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F98E511">
      <w:pPr>
        <w:bidi w:val="0"/>
        <w:spacing w:line="360" w:lineRule="auto"/>
        <w:jc w:val="center"/>
        <w:rPr>
          <w:rFonts w:hint="eastAsia" w:ascii="黑体" w:hAnsi="黑体" w:eastAsia="黑体" w:cs="黑体"/>
          <w:b w:val="0"/>
          <w:bCs w:val="0"/>
          <w:sz w:val="30"/>
          <w:szCs w:val="30"/>
        </w:rPr>
        <w:sectPr>
          <w:headerReference r:id="rId3" w:type="default"/>
          <w:footerReference r:id="rId4" w:type="default"/>
          <w:pgSz w:w="11906" w:h="16838"/>
          <w:pgMar w:top="1531" w:right="1531" w:bottom="1531" w:left="1531" w:header="851" w:footer="851" w:gutter="0"/>
          <w:pgBorders>
            <w:top w:val="none" w:sz="0" w:space="0"/>
            <w:left w:val="none" w:sz="0" w:space="0"/>
            <w:bottom w:val="none" w:sz="0" w:space="0"/>
            <w:right w:val="none" w:sz="0" w:space="0"/>
          </w:pgBorders>
          <w:pgNumType w:fmt="decimal" w:start="1"/>
          <w:cols w:space="720" w:num="1"/>
          <w:docGrid w:linePitch="312" w:charSpace="0"/>
        </w:sectPr>
      </w:pPr>
      <w:r>
        <w:rPr>
          <w:rFonts w:hint="eastAsia" w:ascii="黑体" w:hAnsi="黑体" w:eastAsia="黑体" w:cs="黑体"/>
          <w:b w:val="0"/>
          <w:bCs w:val="0"/>
          <w:sz w:val="30"/>
          <w:szCs w:val="30"/>
          <w:lang w:eastAsia="zh-CN"/>
        </w:rPr>
        <w:drawing>
          <wp:anchor distT="0" distB="0" distL="114300" distR="114300" simplePos="0" relativeHeight="251662336" behindDoc="0" locked="0" layoutInCell="1" allowOverlap="1">
            <wp:simplePos x="0" y="0"/>
            <wp:positionH relativeFrom="column">
              <wp:posOffset>-996315</wp:posOffset>
            </wp:positionH>
            <wp:positionV relativeFrom="paragraph">
              <wp:posOffset>-993140</wp:posOffset>
            </wp:positionV>
            <wp:extent cx="7663180" cy="10725785"/>
            <wp:effectExtent l="0" t="0" r="13970" b="18415"/>
            <wp:wrapNone/>
            <wp:docPr id="7" name="图片 7" descr="扫描全能王 2026-3-4 16.2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扫描全能王 2026-3-4 16.22_01"/>
                    <pic:cNvPicPr>
                      <a:picLocks noChangeAspect="1"/>
                    </pic:cNvPicPr>
                  </pic:nvPicPr>
                  <pic:blipFill>
                    <a:blip r:embed="rId8"/>
                    <a:stretch>
                      <a:fillRect/>
                    </a:stretch>
                  </pic:blipFill>
                  <pic:spPr>
                    <a:xfrm>
                      <a:off x="0" y="0"/>
                      <a:ext cx="7663180" cy="10725785"/>
                    </a:xfrm>
                    <a:prstGeom prst="rect">
                      <a:avLst/>
                    </a:prstGeom>
                  </pic:spPr>
                </pic:pic>
              </a:graphicData>
            </a:graphic>
          </wp:anchor>
        </w:drawing>
      </w:r>
    </w:p>
    <w:p w14:paraId="4A92195A">
      <w:pPr>
        <w:bidi w:val="0"/>
        <w:spacing w:line="360" w:lineRule="auto"/>
        <w:jc w:val="center"/>
        <w:rPr>
          <w:rFonts w:hint="eastAsia" w:ascii="黑体" w:hAnsi="黑体" w:eastAsia="黑体" w:cs="黑体"/>
          <w:b w:val="0"/>
          <w:bCs w:val="0"/>
          <w:sz w:val="30"/>
          <w:szCs w:val="30"/>
        </w:rPr>
        <w:sectPr>
          <w:pgSz w:w="11906" w:h="16838"/>
          <w:pgMar w:top="1531" w:right="1531" w:bottom="1531" w:left="1531" w:header="851" w:footer="851" w:gutter="0"/>
          <w:pgBorders>
            <w:top w:val="none" w:sz="0" w:space="0"/>
            <w:left w:val="none" w:sz="0" w:space="0"/>
            <w:bottom w:val="none" w:sz="0" w:space="0"/>
            <w:right w:val="none" w:sz="0" w:space="0"/>
          </w:pgBorders>
          <w:pgNumType w:fmt="decimal" w:start="1"/>
          <w:cols w:space="720" w:num="1"/>
          <w:docGrid w:linePitch="312" w:charSpace="0"/>
        </w:sectPr>
      </w:pPr>
      <w:r>
        <w:rPr>
          <w:rFonts w:hint="eastAsia" w:ascii="黑体" w:hAnsi="黑体" w:eastAsia="黑体" w:cs="黑体"/>
          <w:b w:val="0"/>
          <w:bCs w:val="0"/>
          <w:sz w:val="30"/>
          <w:szCs w:val="30"/>
          <w:lang w:eastAsia="zh-CN"/>
        </w:rPr>
        <w:drawing>
          <wp:anchor distT="0" distB="0" distL="114300" distR="114300" simplePos="0" relativeHeight="251663360" behindDoc="0" locked="0" layoutInCell="1" allowOverlap="1">
            <wp:simplePos x="0" y="0"/>
            <wp:positionH relativeFrom="column">
              <wp:posOffset>-982980</wp:posOffset>
            </wp:positionH>
            <wp:positionV relativeFrom="paragraph">
              <wp:posOffset>-952500</wp:posOffset>
            </wp:positionV>
            <wp:extent cx="7601585" cy="10727055"/>
            <wp:effectExtent l="0" t="0" r="18415" b="17145"/>
            <wp:wrapNone/>
            <wp:docPr id="8" name="图片 8" descr="e76f49ab3851b17748ee2ca5a9fba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e76f49ab3851b17748ee2ca5a9fba382"/>
                    <pic:cNvPicPr>
                      <a:picLocks noChangeAspect="1"/>
                    </pic:cNvPicPr>
                  </pic:nvPicPr>
                  <pic:blipFill>
                    <a:blip r:embed="rId9"/>
                    <a:stretch>
                      <a:fillRect/>
                    </a:stretch>
                  </pic:blipFill>
                  <pic:spPr>
                    <a:xfrm>
                      <a:off x="0" y="0"/>
                      <a:ext cx="7601585" cy="10727055"/>
                    </a:xfrm>
                    <a:prstGeom prst="rect">
                      <a:avLst/>
                    </a:prstGeom>
                  </pic:spPr>
                </pic:pic>
              </a:graphicData>
            </a:graphic>
          </wp:anchor>
        </w:drawing>
      </w:r>
    </w:p>
    <w:p w14:paraId="2EF1072D">
      <w:pPr>
        <w:bidi w:val="0"/>
        <w:spacing w:line="360" w:lineRule="auto"/>
        <w:jc w:val="center"/>
        <w:rPr>
          <w:rFonts w:hint="eastAsia" w:ascii="黑体" w:hAnsi="黑体" w:eastAsia="黑体" w:cs="黑体"/>
          <w:b w:val="0"/>
          <w:bCs w:val="0"/>
          <w:sz w:val="30"/>
          <w:szCs w:val="30"/>
          <w:lang w:eastAsia="zh-CN"/>
        </w:rPr>
        <w:sectPr>
          <w:pgSz w:w="11906" w:h="16838"/>
          <w:pgMar w:top="1531" w:right="1531" w:bottom="1531" w:left="1531" w:header="851" w:footer="851" w:gutter="0"/>
          <w:pgBorders>
            <w:top w:val="none" w:sz="0" w:space="0"/>
            <w:left w:val="none" w:sz="0" w:space="0"/>
            <w:bottom w:val="none" w:sz="0" w:space="0"/>
            <w:right w:val="none" w:sz="0" w:space="0"/>
          </w:pgBorders>
          <w:pgNumType w:fmt="decimal" w:start="1"/>
          <w:cols w:space="720" w:num="1"/>
          <w:docGrid w:linePitch="312" w:charSpace="0"/>
        </w:sectPr>
      </w:pPr>
      <w:r>
        <w:rPr>
          <w:rFonts w:hint="eastAsia" w:ascii="黑体" w:hAnsi="黑体" w:eastAsia="黑体" w:cs="黑体"/>
          <w:b w:val="0"/>
          <w:bCs w:val="0"/>
          <w:sz w:val="30"/>
          <w:szCs w:val="30"/>
          <w:lang w:eastAsia="zh-CN"/>
        </w:rPr>
        <w:drawing>
          <wp:inline distT="0" distB="0" distL="114300" distR="114300">
            <wp:extent cx="5603875" cy="8425815"/>
            <wp:effectExtent l="0" t="0" r="15875" b="13335"/>
            <wp:docPr id="10" name="图片 10" descr="83f1dbf87159912ea00e5abfc45f4d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83f1dbf87159912ea00e5abfc45f4d33"/>
                    <pic:cNvPicPr>
                      <a:picLocks noChangeAspect="1"/>
                    </pic:cNvPicPr>
                  </pic:nvPicPr>
                  <pic:blipFill>
                    <a:blip r:embed="rId10"/>
                    <a:stretch>
                      <a:fillRect/>
                    </a:stretch>
                  </pic:blipFill>
                  <pic:spPr>
                    <a:xfrm>
                      <a:off x="0" y="0"/>
                      <a:ext cx="5603875" cy="8425815"/>
                    </a:xfrm>
                    <a:prstGeom prst="rect">
                      <a:avLst/>
                    </a:prstGeom>
                  </pic:spPr>
                </pic:pic>
              </a:graphicData>
            </a:graphic>
          </wp:inline>
        </w:drawing>
      </w:r>
    </w:p>
    <w:p w14:paraId="0DC871D7">
      <w:pPr>
        <w:bidi w:val="0"/>
        <w:spacing w:line="360" w:lineRule="auto"/>
        <w:jc w:val="center"/>
        <w:rPr>
          <w:rFonts w:hint="eastAsia" w:ascii="黑体" w:hAnsi="黑体" w:eastAsia="黑体" w:cs="黑体"/>
          <w:b w:val="0"/>
          <w:bCs w:val="0"/>
          <w:sz w:val="30"/>
          <w:szCs w:val="30"/>
        </w:rPr>
        <w:sectPr>
          <w:pgSz w:w="11906" w:h="16838"/>
          <w:pgMar w:top="1531" w:right="1531" w:bottom="1531" w:left="1531" w:header="851" w:footer="851" w:gutter="0"/>
          <w:pgBorders>
            <w:top w:val="none" w:sz="0" w:space="0"/>
            <w:left w:val="none" w:sz="0" w:space="0"/>
            <w:bottom w:val="none" w:sz="0" w:space="0"/>
            <w:right w:val="none" w:sz="0" w:space="0"/>
          </w:pgBorders>
          <w:pgNumType w:fmt="decimal" w:start="1"/>
          <w:cols w:space="720" w:num="1"/>
          <w:docGrid w:linePitch="312" w:charSpace="0"/>
        </w:sectPr>
      </w:pPr>
      <w:r>
        <w:rPr>
          <w:rFonts w:hint="eastAsia" w:ascii="黑体" w:hAnsi="黑体" w:eastAsia="黑体" w:cs="黑体"/>
          <w:b w:val="0"/>
          <w:bCs w:val="0"/>
          <w:sz w:val="30"/>
          <w:szCs w:val="30"/>
          <w:lang w:eastAsia="zh-CN"/>
        </w:rPr>
        <w:drawing>
          <wp:anchor distT="0" distB="0" distL="114300" distR="114300" simplePos="0" relativeHeight="251664384" behindDoc="0" locked="0" layoutInCell="1" allowOverlap="1">
            <wp:simplePos x="0" y="0"/>
            <wp:positionH relativeFrom="column">
              <wp:posOffset>-975995</wp:posOffset>
            </wp:positionH>
            <wp:positionV relativeFrom="paragraph">
              <wp:posOffset>-962660</wp:posOffset>
            </wp:positionV>
            <wp:extent cx="7528560" cy="10702290"/>
            <wp:effectExtent l="0" t="0" r="15240" b="3810"/>
            <wp:wrapNone/>
            <wp:docPr id="11" name="图片 11" descr="5译洋环境营业执照副本20250103——最新pdf(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5译洋环境营业执照副本20250103——最新pdf(1)_01"/>
                    <pic:cNvPicPr>
                      <a:picLocks noChangeAspect="1"/>
                    </pic:cNvPicPr>
                  </pic:nvPicPr>
                  <pic:blipFill>
                    <a:blip r:embed="rId11"/>
                    <a:stretch>
                      <a:fillRect/>
                    </a:stretch>
                  </pic:blipFill>
                  <pic:spPr>
                    <a:xfrm>
                      <a:off x="0" y="0"/>
                      <a:ext cx="7528560" cy="10702290"/>
                    </a:xfrm>
                    <a:prstGeom prst="rect">
                      <a:avLst/>
                    </a:prstGeom>
                  </pic:spPr>
                </pic:pic>
              </a:graphicData>
            </a:graphic>
          </wp:anchor>
        </w:drawing>
      </w:r>
    </w:p>
    <w:p w14:paraId="610100AD">
      <w:pPr>
        <w:bidi w:val="0"/>
        <w:spacing w:line="360" w:lineRule="auto"/>
        <w:jc w:val="center"/>
        <w:rPr>
          <w:rFonts w:hint="eastAsia" w:ascii="黑体" w:hAnsi="黑体" w:eastAsia="黑体" w:cs="黑体"/>
          <w:b w:val="0"/>
          <w:bCs w:val="0"/>
          <w:sz w:val="30"/>
          <w:szCs w:val="30"/>
        </w:rPr>
        <w:sectPr>
          <w:pgSz w:w="11906" w:h="16838"/>
          <w:pgMar w:top="1531" w:right="1531" w:bottom="1531" w:left="1531" w:header="851" w:footer="851" w:gutter="0"/>
          <w:pgBorders>
            <w:top w:val="none" w:sz="0" w:space="0"/>
            <w:left w:val="none" w:sz="0" w:space="0"/>
            <w:bottom w:val="none" w:sz="0" w:space="0"/>
            <w:right w:val="none" w:sz="0" w:space="0"/>
          </w:pgBorders>
          <w:pgNumType w:fmt="decimal" w:start="1"/>
          <w:cols w:space="720" w:num="1"/>
          <w:docGrid w:linePitch="312" w:charSpace="0"/>
        </w:sectPr>
      </w:pPr>
      <w:r>
        <w:rPr>
          <w:rFonts w:hint="eastAsia" w:ascii="黑体" w:hAnsi="黑体" w:eastAsia="黑体" w:cs="黑体"/>
          <w:b w:val="0"/>
          <w:bCs w:val="0"/>
          <w:sz w:val="30"/>
          <w:szCs w:val="30"/>
          <w:lang w:eastAsia="zh-CN"/>
        </w:rPr>
        <w:drawing>
          <wp:anchor distT="0" distB="0" distL="114300" distR="114300" simplePos="0" relativeHeight="251665408" behindDoc="0" locked="0" layoutInCell="1" allowOverlap="1">
            <wp:simplePos x="0" y="0"/>
            <wp:positionH relativeFrom="column">
              <wp:posOffset>-972185</wp:posOffset>
            </wp:positionH>
            <wp:positionV relativeFrom="paragraph">
              <wp:posOffset>-982980</wp:posOffset>
            </wp:positionV>
            <wp:extent cx="7534910" cy="10706100"/>
            <wp:effectExtent l="0" t="0" r="8890" b="0"/>
            <wp:wrapNone/>
            <wp:docPr id="12" name="图片 12" descr="6刘威证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6刘威证书_01"/>
                    <pic:cNvPicPr>
                      <a:picLocks noChangeAspect="1"/>
                    </pic:cNvPicPr>
                  </pic:nvPicPr>
                  <pic:blipFill>
                    <a:blip r:embed="rId12"/>
                    <a:stretch>
                      <a:fillRect/>
                    </a:stretch>
                  </pic:blipFill>
                  <pic:spPr>
                    <a:xfrm>
                      <a:off x="0" y="0"/>
                      <a:ext cx="7534910" cy="10706100"/>
                    </a:xfrm>
                    <a:prstGeom prst="rect">
                      <a:avLst/>
                    </a:prstGeom>
                  </pic:spPr>
                </pic:pic>
              </a:graphicData>
            </a:graphic>
          </wp:anchor>
        </w:drawing>
      </w:r>
    </w:p>
    <w:p w14:paraId="3D78F6B8">
      <w:pPr>
        <w:bidi w:val="0"/>
        <w:spacing w:line="360" w:lineRule="auto"/>
        <w:jc w:val="center"/>
        <w:rPr>
          <w:rFonts w:hint="eastAsia" w:ascii="黑体" w:hAnsi="黑体" w:eastAsia="黑体" w:cs="黑体"/>
          <w:b w:val="0"/>
          <w:bCs w:val="0"/>
          <w:sz w:val="30"/>
          <w:szCs w:val="30"/>
        </w:rPr>
        <w:sectPr>
          <w:pgSz w:w="11906" w:h="16838"/>
          <w:pgMar w:top="1531" w:right="1531" w:bottom="1531" w:left="1531" w:header="851" w:footer="851" w:gutter="0"/>
          <w:pgBorders>
            <w:top w:val="none" w:sz="0" w:space="0"/>
            <w:left w:val="none" w:sz="0" w:space="0"/>
            <w:bottom w:val="none" w:sz="0" w:space="0"/>
            <w:right w:val="none" w:sz="0" w:space="0"/>
          </w:pgBorders>
          <w:pgNumType w:fmt="decimal" w:start="1"/>
          <w:cols w:space="720" w:num="1"/>
          <w:docGrid w:linePitch="312" w:charSpace="0"/>
        </w:sectPr>
      </w:pPr>
      <w:r>
        <w:rPr>
          <w:rFonts w:hint="eastAsia" w:ascii="黑体" w:hAnsi="黑体" w:eastAsia="黑体" w:cs="黑体"/>
          <w:b w:val="0"/>
          <w:bCs w:val="0"/>
          <w:sz w:val="30"/>
          <w:szCs w:val="30"/>
          <w:lang w:eastAsia="zh-CN"/>
        </w:rPr>
        <w:drawing>
          <wp:anchor distT="0" distB="0" distL="114300" distR="114300" simplePos="0" relativeHeight="251666432" behindDoc="0" locked="0" layoutInCell="1" allowOverlap="1">
            <wp:simplePos x="0" y="0"/>
            <wp:positionH relativeFrom="column">
              <wp:posOffset>-1093470</wp:posOffset>
            </wp:positionH>
            <wp:positionV relativeFrom="paragraph">
              <wp:posOffset>-1036320</wp:posOffset>
            </wp:positionV>
            <wp:extent cx="7792720" cy="10770235"/>
            <wp:effectExtent l="0" t="0" r="17780" b="12065"/>
            <wp:wrapNone/>
            <wp:docPr id="13" name="图片 13" descr="7刘威社保20251117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7刘威社保20251117_01"/>
                    <pic:cNvPicPr>
                      <a:picLocks noChangeAspect="1"/>
                    </pic:cNvPicPr>
                  </pic:nvPicPr>
                  <pic:blipFill>
                    <a:blip r:embed="rId13"/>
                    <a:stretch>
                      <a:fillRect/>
                    </a:stretch>
                  </pic:blipFill>
                  <pic:spPr>
                    <a:xfrm>
                      <a:off x="0" y="0"/>
                      <a:ext cx="7792720" cy="10770235"/>
                    </a:xfrm>
                    <a:prstGeom prst="rect">
                      <a:avLst/>
                    </a:prstGeom>
                  </pic:spPr>
                </pic:pic>
              </a:graphicData>
            </a:graphic>
          </wp:anchor>
        </w:drawing>
      </w:r>
    </w:p>
    <w:p w14:paraId="7F2D5890">
      <w:pPr>
        <w:bidi w:val="0"/>
        <w:spacing w:line="360" w:lineRule="auto"/>
        <w:jc w:val="center"/>
        <w:rPr>
          <w:rFonts w:hint="eastAsia" w:ascii="黑体" w:hAnsi="黑体" w:eastAsia="黑体" w:cs="黑体"/>
          <w:b w:val="0"/>
          <w:bCs w:val="0"/>
          <w:sz w:val="30"/>
          <w:szCs w:val="30"/>
          <w:lang w:val="en-US" w:eastAsia="zh-CN"/>
        </w:rPr>
      </w:pPr>
      <w:r>
        <w:rPr>
          <w:rFonts w:hint="eastAsia" w:ascii="黑体" w:hAnsi="黑体" w:eastAsia="黑体" w:cs="黑体"/>
          <w:b w:val="0"/>
          <w:bCs w:val="0"/>
          <w:sz w:val="30"/>
          <w:szCs w:val="30"/>
        </w:rPr>
        <w:t>一、建设项目基本情况</w:t>
      </w:r>
    </w:p>
    <w:tbl>
      <w:tblPr>
        <w:tblStyle w:val="23"/>
        <w:tblW w:w="984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38"/>
        <w:gridCol w:w="467"/>
        <w:gridCol w:w="1300"/>
        <w:gridCol w:w="2865"/>
        <w:gridCol w:w="1718"/>
        <w:gridCol w:w="3404"/>
        <w:gridCol w:w="54"/>
      </w:tblGrid>
      <w:tr w14:paraId="60E700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567" w:hRule="atLeast"/>
          <w:jc w:val="center"/>
        </w:trPr>
        <w:tc>
          <w:tcPr>
            <w:tcW w:w="2184" w:type="dxa"/>
            <w:gridSpan w:val="2"/>
            <w:noWrap w:val="0"/>
            <w:tcMar>
              <w:top w:w="16" w:type="dxa"/>
              <w:left w:w="16" w:type="dxa"/>
              <w:right w:w="16" w:type="dxa"/>
            </w:tcMar>
            <w:vAlign w:val="center"/>
          </w:tcPr>
          <w:p w14:paraId="118CFBB8">
            <w:pPr>
              <w:keepNext w:val="0"/>
              <w:keepLines w:val="0"/>
              <w:suppressLineNumbers w:val="0"/>
              <w:adjustRightInd w:val="0"/>
              <w:snapToGrid w:val="0"/>
              <w:spacing w:before="0" w:beforeAutospacing="0" w:after="0" w:afterAutospacing="0"/>
              <w:ind w:left="0" w:right="0"/>
              <w:jc w:val="center"/>
              <w:rPr>
                <w:rFonts w:hint="default" w:ascii="宋体" w:hAnsi="宋体"/>
                <w:sz w:val="24"/>
              </w:rPr>
            </w:pPr>
            <w:r>
              <w:rPr>
                <w:rFonts w:hint="default" w:ascii="宋体" w:hAnsi="宋体"/>
                <w:sz w:val="24"/>
              </w:rPr>
              <w:t>建设项目名称</w:t>
            </w:r>
          </w:p>
        </w:tc>
        <w:tc>
          <w:tcPr>
            <w:tcW w:w="7570" w:type="dxa"/>
            <w:gridSpan w:val="4"/>
            <w:noWrap w:val="0"/>
            <w:vAlign w:val="center"/>
          </w:tcPr>
          <w:p w14:paraId="35055AB7">
            <w:pPr>
              <w:keepNext w:val="0"/>
              <w:keepLines w:val="0"/>
              <w:suppressLineNumbers w:val="0"/>
              <w:spacing w:before="0" w:beforeAutospacing="0" w:after="0" w:afterAutospacing="0"/>
              <w:ind w:left="0" w:right="0"/>
              <w:jc w:val="center"/>
              <w:rPr>
                <w:rFonts w:hint="default"/>
                <w:color w:val="auto"/>
                <w:highlight w:val="yellow"/>
                <w:lang w:val="en-US" w:eastAsia="zh-CN"/>
              </w:rPr>
            </w:pPr>
            <w:bookmarkStart w:id="7" w:name="_GoBack"/>
            <w:r>
              <w:rPr>
                <w:rFonts w:hint="eastAsia" w:cs="Times New Roman"/>
                <w:color w:val="auto"/>
                <w:sz w:val="24"/>
                <w:szCs w:val="24"/>
                <w:highlight w:val="none"/>
                <w:lang w:eastAsia="zh-CN"/>
              </w:rPr>
              <w:t>新乡市弘力电源科技有限公司锂电生产线设备改造更新项目</w:t>
            </w:r>
            <w:bookmarkEnd w:id="7"/>
          </w:p>
        </w:tc>
      </w:tr>
      <w:tr w14:paraId="73BAC7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567" w:hRule="atLeast"/>
          <w:jc w:val="center"/>
        </w:trPr>
        <w:tc>
          <w:tcPr>
            <w:tcW w:w="2184" w:type="dxa"/>
            <w:gridSpan w:val="2"/>
            <w:noWrap w:val="0"/>
            <w:tcMar>
              <w:top w:w="16" w:type="dxa"/>
              <w:left w:w="16" w:type="dxa"/>
              <w:right w:w="16" w:type="dxa"/>
            </w:tcMar>
            <w:vAlign w:val="center"/>
          </w:tcPr>
          <w:p w14:paraId="309F039A">
            <w:pPr>
              <w:keepNext w:val="0"/>
              <w:keepLines w:val="0"/>
              <w:suppressLineNumbers w:val="0"/>
              <w:adjustRightInd w:val="0"/>
              <w:snapToGrid w:val="0"/>
              <w:spacing w:before="0" w:beforeAutospacing="0" w:after="0" w:afterAutospacing="0"/>
              <w:ind w:left="0" w:right="0"/>
              <w:jc w:val="center"/>
              <w:rPr>
                <w:rFonts w:hint="default" w:ascii="宋体" w:hAnsi="宋体"/>
                <w:sz w:val="24"/>
              </w:rPr>
            </w:pPr>
            <w:r>
              <w:rPr>
                <w:rFonts w:hint="default" w:ascii="宋体" w:hAnsi="宋体"/>
                <w:sz w:val="24"/>
              </w:rPr>
              <w:t>项目代码</w:t>
            </w:r>
          </w:p>
        </w:tc>
        <w:tc>
          <w:tcPr>
            <w:tcW w:w="7570" w:type="dxa"/>
            <w:gridSpan w:val="4"/>
            <w:noWrap w:val="0"/>
            <w:vAlign w:val="center"/>
          </w:tcPr>
          <w:p w14:paraId="45FCA4A4">
            <w:pPr>
              <w:keepNext w:val="0"/>
              <w:keepLines w:val="0"/>
              <w:suppressLineNumbers w:val="0"/>
              <w:adjustRightInd w:val="0"/>
              <w:snapToGrid w:val="0"/>
              <w:spacing w:before="0" w:beforeAutospacing="0" w:after="0" w:afterAutospacing="0"/>
              <w:ind w:left="0" w:right="0"/>
              <w:jc w:val="center"/>
              <w:rPr>
                <w:rFonts w:hint="default" w:ascii="宋体" w:hAnsi="宋体" w:eastAsia="宋体"/>
                <w:color w:val="auto"/>
                <w:sz w:val="24"/>
                <w:highlight w:val="yellow"/>
                <w:lang w:val="en-US" w:eastAsia="zh-CN"/>
              </w:rPr>
            </w:pPr>
            <w:r>
              <w:rPr>
                <w:rFonts w:hint="eastAsia" w:cs="Times New Roman"/>
                <w:color w:val="auto"/>
                <w:sz w:val="24"/>
                <w:szCs w:val="24"/>
                <w:highlight w:val="none"/>
                <w:lang w:val="en-US" w:eastAsia="zh-CN"/>
              </w:rPr>
              <w:t>2510-410721-04-02-164289</w:t>
            </w:r>
          </w:p>
        </w:tc>
      </w:tr>
      <w:tr w14:paraId="6ADAC6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567" w:hRule="atLeast"/>
          <w:jc w:val="center"/>
        </w:trPr>
        <w:tc>
          <w:tcPr>
            <w:tcW w:w="2184" w:type="dxa"/>
            <w:gridSpan w:val="2"/>
            <w:noWrap w:val="0"/>
            <w:tcMar>
              <w:top w:w="16" w:type="dxa"/>
              <w:left w:w="16" w:type="dxa"/>
              <w:right w:w="16" w:type="dxa"/>
            </w:tcMar>
            <w:vAlign w:val="center"/>
          </w:tcPr>
          <w:p w14:paraId="5134CD3D">
            <w:pPr>
              <w:keepNext w:val="0"/>
              <w:keepLines w:val="0"/>
              <w:suppressLineNumbers w:val="0"/>
              <w:adjustRightInd w:val="0"/>
              <w:snapToGrid w:val="0"/>
              <w:spacing w:before="0" w:beforeAutospacing="0" w:after="0" w:afterAutospacing="0"/>
              <w:ind w:left="0" w:right="0"/>
              <w:jc w:val="center"/>
              <w:rPr>
                <w:rFonts w:hint="default" w:ascii="宋体" w:hAnsi="宋体"/>
                <w:color w:val="000000" w:themeColor="text1"/>
                <w:sz w:val="24"/>
                <w14:textFill>
                  <w14:solidFill>
                    <w14:schemeClr w14:val="tx1"/>
                  </w14:solidFill>
                </w14:textFill>
              </w:rPr>
            </w:pPr>
            <w:r>
              <w:rPr>
                <w:rFonts w:hint="default" w:ascii="宋体" w:hAnsi="宋体"/>
                <w:color w:val="000000" w:themeColor="text1"/>
                <w:sz w:val="24"/>
                <w14:textFill>
                  <w14:solidFill>
                    <w14:schemeClr w14:val="tx1"/>
                  </w14:solidFill>
                </w14:textFill>
              </w:rPr>
              <w:t>建设单位联系人</w:t>
            </w:r>
          </w:p>
        </w:tc>
        <w:tc>
          <w:tcPr>
            <w:tcW w:w="2505" w:type="dxa"/>
            <w:noWrap w:val="0"/>
            <w:vAlign w:val="center"/>
          </w:tcPr>
          <w:p w14:paraId="37D9D6EF">
            <w:pPr>
              <w:keepNext w:val="0"/>
              <w:keepLines w:val="0"/>
              <w:suppressLineNumbers w:val="0"/>
              <w:adjustRightInd w:val="0"/>
              <w:snapToGrid w:val="0"/>
              <w:spacing w:before="0" w:beforeAutospacing="0" w:after="0" w:afterAutospacing="0"/>
              <w:ind w:left="0" w:leftChars="0" w:right="0" w:rightChars="0"/>
              <w:jc w:val="center"/>
              <w:rPr>
                <w:rFonts w:hint="default" w:ascii="宋体" w:hAnsi="宋体" w:eastAsia="宋体"/>
                <w:color w:val="000000" w:themeColor="text1"/>
                <w:sz w:val="24"/>
                <w:highlight w:val="none"/>
                <w:lang w:val="en-US" w:eastAsia="zh-CN"/>
                <w14:textFill>
                  <w14:solidFill>
                    <w14:schemeClr w14:val="tx1"/>
                  </w14:solidFill>
                </w14:textFill>
              </w:rPr>
            </w:pPr>
            <w:r>
              <w:rPr>
                <w:rFonts w:hint="eastAsia" w:ascii="宋体" w:hAnsi="宋体"/>
                <w:color w:val="000000" w:themeColor="text1"/>
                <w:sz w:val="24"/>
                <w:highlight w:val="none"/>
                <w:lang w:val="en-US" w:eastAsia="zh-CN"/>
                <w14:textFill>
                  <w14:solidFill>
                    <w14:schemeClr w14:val="tx1"/>
                  </w14:solidFill>
                </w14:textFill>
              </w:rPr>
              <w:t>候振川</w:t>
            </w:r>
          </w:p>
        </w:tc>
        <w:tc>
          <w:tcPr>
            <w:tcW w:w="1958" w:type="dxa"/>
            <w:noWrap w:val="0"/>
            <w:vAlign w:val="center"/>
          </w:tcPr>
          <w:p w14:paraId="3F757212">
            <w:pPr>
              <w:keepNext w:val="0"/>
              <w:keepLines w:val="0"/>
              <w:suppressLineNumbers w:val="0"/>
              <w:adjustRightInd w:val="0"/>
              <w:snapToGrid w:val="0"/>
              <w:spacing w:before="0" w:beforeAutospacing="0" w:after="0" w:afterAutospacing="0"/>
              <w:ind w:left="0" w:leftChars="0" w:right="0" w:rightChars="0"/>
              <w:jc w:val="center"/>
              <w:rPr>
                <w:rFonts w:hint="default" w:ascii="宋体" w:hAnsi="宋体"/>
                <w:color w:val="000000" w:themeColor="text1"/>
                <w:sz w:val="24"/>
                <w:highlight w:val="none"/>
                <w14:textFill>
                  <w14:solidFill>
                    <w14:schemeClr w14:val="tx1"/>
                  </w14:solidFill>
                </w14:textFill>
              </w:rPr>
            </w:pPr>
            <w:r>
              <w:rPr>
                <w:rFonts w:hint="default" w:ascii="宋体" w:hAnsi="宋体"/>
                <w:color w:val="000000" w:themeColor="text1"/>
                <w:sz w:val="24"/>
                <w:highlight w:val="none"/>
                <w14:textFill>
                  <w14:solidFill>
                    <w14:schemeClr w14:val="tx1"/>
                  </w14:solidFill>
                </w14:textFill>
              </w:rPr>
              <w:t>联系方式</w:t>
            </w:r>
          </w:p>
        </w:tc>
        <w:tc>
          <w:tcPr>
            <w:tcW w:w="3107" w:type="dxa"/>
            <w:gridSpan w:val="2"/>
            <w:noWrap w:val="0"/>
            <w:vAlign w:val="center"/>
          </w:tcPr>
          <w:p w14:paraId="1715C2BF">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pPr>
            <w:r>
              <w:rPr>
                <w:rFonts w:hint="eastAsia" w:cs="Times New Roman"/>
                <w:bCs/>
                <w:color w:val="000000" w:themeColor="text1"/>
                <w:sz w:val="24"/>
                <w:highlight w:val="none"/>
                <w:lang w:val="en-US" w:eastAsia="zh-CN"/>
                <w14:textFill>
                  <w14:solidFill>
                    <w14:schemeClr w14:val="tx1"/>
                  </w14:solidFill>
                </w14:textFill>
              </w:rPr>
              <w:t>16638372869</w:t>
            </w:r>
          </w:p>
        </w:tc>
      </w:tr>
      <w:tr w14:paraId="38F5CF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567" w:hRule="atLeast"/>
          <w:jc w:val="center"/>
        </w:trPr>
        <w:tc>
          <w:tcPr>
            <w:tcW w:w="2184" w:type="dxa"/>
            <w:gridSpan w:val="2"/>
            <w:noWrap w:val="0"/>
            <w:tcMar>
              <w:top w:w="16" w:type="dxa"/>
              <w:left w:w="16" w:type="dxa"/>
              <w:right w:w="16" w:type="dxa"/>
            </w:tcMar>
            <w:vAlign w:val="center"/>
          </w:tcPr>
          <w:p w14:paraId="2EA847D3">
            <w:pPr>
              <w:keepNext w:val="0"/>
              <w:keepLines w:val="0"/>
              <w:suppressLineNumbers w:val="0"/>
              <w:adjustRightInd w:val="0"/>
              <w:snapToGrid w:val="0"/>
              <w:spacing w:before="0" w:beforeAutospacing="0" w:after="0" w:afterAutospacing="0"/>
              <w:ind w:left="0" w:right="0"/>
              <w:jc w:val="center"/>
              <w:rPr>
                <w:rFonts w:hint="default" w:ascii="宋体" w:hAnsi="宋体"/>
                <w:sz w:val="24"/>
              </w:rPr>
            </w:pPr>
            <w:r>
              <w:rPr>
                <w:rFonts w:hint="default" w:ascii="宋体" w:hAnsi="宋体"/>
                <w:sz w:val="24"/>
              </w:rPr>
              <w:t>建设单位法人</w:t>
            </w:r>
          </w:p>
        </w:tc>
        <w:tc>
          <w:tcPr>
            <w:tcW w:w="2505" w:type="dxa"/>
            <w:noWrap w:val="0"/>
            <w:vAlign w:val="center"/>
          </w:tcPr>
          <w:p w14:paraId="17685179">
            <w:pPr>
              <w:keepNext w:val="0"/>
              <w:keepLines w:val="0"/>
              <w:suppressLineNumbers w:val="0"/>
              <w:adjustRightInd w:val="0"/>
              <w:snapToGrid w:val="0"/>
              <w:spacing w:before="0" w:beforeAutospacing="0" w:after="0" w:afterAutospacing="0"/>
              <w:ind w:left="0" w:leftChars="0" w:right="0" w:rightChars="0"/>
              <w:jc w:val="center"/>
              <w:rPr>
                <w:rFonts w:hint="default" w:ascii="宋体" w:hAnsi="宋体"/>
                <w:bCs/>
                <w:color w:val="FF0000"/>
                <w:sz w:val="24"/>
                <w:highlight w:val="none"/>
                <w:lang w:val="en-US"/>
              </w:rPr>
            </w:pPr>
            <w:r>
              <w:rPr>
                <w:rFonts w:hint="default" w:ascii="Times New Roman" w:hAnsi="Times New Roman" w:cs="Times New Roman"/>
                <w:color w:val="000000" w:themeColor="text1"/>
                <w:sz w:val="24"/>
                <w:highlight w:val="none"/>
                <w:lang w:val="en-US" w:eastAsia="zh-CN"/>
                <w14:textFill>
                  <w14:solidFill>
                    <w14:schemeClr w14:val="tx1"/>
                  </w14:solidFill>
                </w14:textFill>
              </w:rPr>
              <w:t>张新攀410721197909082051</w:t>
            </w:r>
          </w:p>
        </w:tc>
        <w:tc>
          <w:tcPr>
            <w:tcW w:w="1958" w:type="dxa"/>
            <w:noWrap w:val="0"/>
            <w:vAlign w:val="center"/>
          </w:tcPr>
          <w:p w14:paraId="77213E69">
            <w:pPr>
              <w:keepNext w:val="0"/>
              <w:keepLines w:val="0"/>
              <w:suppressLineNumbers w:val="0"/>
              <w:adjustRightInd w:val="0"/>
              <w:snapToGrid w:val="0"/>
              <w:spacing w:before="0" w:beforeAutospacing="0" w:after="0" w:afterAutospacing="0"/>
              <w:ind w:left="0" w:leftChars="0" w:right="0" w:rightChars="0"/>
              <w:jc w:val="center"/>
              <w:rPr>
                <w:rFonts w:hint="default" w:ascii="宋体" w:hAnsi="宋体"/>
                <w:color w:val="auto"/>
                <w:sz w:val="24"/>
                <w:highlight w:val="none"/>
              </w:rPr>
            </w:pPr>
            <w:r>
              <w:rPr>
                <w:rFonts w:hint="default" w:ascii="宋体" w:hAnsi="宋体"/>
                <w:color w:val="auto"/>
                <w:sz w:val="24"/>
                <w:highlight w:val="none"/>
              </w:rPr>
              <w:t>统一社会信用代码</w:t>
            </w:r>
          </w:p>
        </w:tc>
        <w:tc>
          <w:tcPr>
            <w:tcW w:w="3107" w:type="dxa"/>
            <w:gridSpan w:val="2"/>
            <w:noWrap w:val="0"/>
            <w:vAlign w:val="center"/>
          </w:tcPr>
          <w:p w14:paraId="70423944">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color w:val="auto"/>
                <w:sz w:val="24"/>
                <w:szCs w:val="24"/>
                <w:highlight w:val="none"/>
              </w:rPr>
              <w:t>91410721MA</w:t>
            </w:r>
            <w:r>
              <w:rPr>
                <w:rFonts w:hint="eastAsia" w:cs="Times New Roman"/>
                <w:color w:val="auto"/>
                <w:sz w:val="24"/>
                <w:szCs w:val="24"/>
                <w:highlight w:val="none"/>
                <w:lang w:val="en-US" w:eastAsia="zh-CN"/>
              </w:rPr>
              <w:t>3X5AMG84</w:t>
            </w:r>
          </w:p>
        </w:tc>
      </w:tr>
      <w:tr w14:paraId="20406F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567" w:hRule="atLeast"/>
          <w:jc w:val="center"/>
        </w:trPr>
        <w:tc>
          <w:tcPr>
            <w:tcW w:w="2184" w:type="dxa"/>
            <w:gridSpan w:val="2"/>
            <w:noWrap w:val="0"/>
            <w:tcMar>
              <w:top w:w="16" w:type="dxa"/>
              <w:left w:w="16" w:type="dxa"/>
              <w:right w:w="16" w:type="dxa"/>
            </w:tcMar>
            <w:vAlign w:val="center"/>
          </w:tcPr>
          <w:p w14:paraId="49A64D9C">
            <w:pPr>
              <w:keepNext w:val="0"/>
              <w:keepLines w:val="0"/>
              <w:suppressLineNumbers w:val="0"/>
              <w:adjustRightInd w:val="0"/>
              <w:snapToGrid w:val="0"/>
              <w:spacing w:before="0" w:beforeAutospacing="0" w:after="0" w:afterAutospacing="0"/>
              <w:ind w:left="0" w:right="0"/>
              <w:jc w:val="center"/>
              <w:rPr>
                <w:rFonts w:hint="default" w:ascii="宋体" w:hAnsi="宋体"/>
                <w:sz w:val="24"/>
              </w:rPr>
            </w:pPr>
            <w:r>
              <w:rPr>
                <w:rFonts w:hint="eastAsia" w:hAnsi="宋体"/>
                <w:color w:val="000000"/>
                <w:sz w:val="24"/>
              </w:rPr>
              <w:t>建设单位</w:t>
            </w:r>
          </w:p>
        </w:tc>
        <w:tc>
          <w:tcPr>
            <w:tcW w:w="7570" w:type="dxa"/>
            <w:gridSpan w:val="4"/>
            <w:noWrap w:val="0"/>
            <w:vAlign w:val="center"/>
          </w:tcPr>
          <w:p w14:paraId="08DCCE04">
            <w:pPr>
              <w:pStyle w:val="19"/>
              <w:keepNext w:val="0"/>
              <w:keepLines w:val="0"/>
              <w:widowControl/>
              <w:suppressLineNumbers w:val="0"/>
              <w:spacing w:before="0" w:beforeAutospacing="0" w:after="0" w:afterAutospacing="0"/>
              <w:ind w:left="0" w:leftChars="0" w:right="0" w:rightChars="0" w:firstLine="0" w:firstLineChars="0"/>
              <w:jc w:val="center"/>
              <w:rPr>
                <w:rFonts w:hint="default" w:ascii="宋体" w:hAnsi="宋体" w:eastAsia="宋体"/>
                <w:color w:val="000000"/>
                <w:sz w:val="24"/>
                <w:lang w:val="en-US" w:eastAsia="zh-CN"/>
              </w:rPr>
            </w:pPr>
            <w:r>
              <w:rPr>
                <w:rFonts w:hint="eastAsia" w:cs="宋体"/>
                <w:color w:val="auto"/>
                <w:sz w:val="24"/>
                <w:szCs w:val="24"/>
                <w:highlight w:val="none"/>
                <w:lang w:val="en-US" w:eastAsia="zh-CN"/>
              </w:rPr>
              <w:t>新乡市弘力电源科技有限公司</w:t>
            </w:r>
          </w:p>
        </w:tc>
      </w:tr>
      <w:tr w14:paraId="591FAA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567" w:hRule="atLeast"/>
          <w:jc w:val="center"/>
        </w:trPr>
        <w:tc>
          <w:tcPr>
            <w:tcW w:w="2184" w:type="dxa"/>
            <w:gridSpan w:val="2"/>
            <w:noWrap w:val="0"/>
            <w:tcMar>
              <w:top w:w="16" w:type="dxa"/>
              <w:left w:w="16" w:type="dxa"/>
              <w:right w:w="16" w:type="dxa"/>
            </w:tcMar>
            <w:vAlign w:val="center"/>
          </w:tcPr>
          <w:p w14:paraId="09C6C7DC">
            <w:pPr>
              <w:keepNext w:val="0"/>
              <w:keepLines w:val="0"/>
              <w:suppressLineNumbers w:val="0"/>
              <w:adjustRightInd w:val="0"/>
              <w:snapToGrid w:val="0"/>
              <w:spacing w:before="0" w:beforeAutospacing="0" w:after="0" w:afterAutospacing="0"/>
              <w:ind w:left="0" w:right="0"/>
              <w:jc w:val="center"/>
              <w:rPr>
                <w:rFonts w:hint="default" w:ascii="宋体" w:hAnsi="宋体"/>
                <w:sz w:val="24"/>
              </w:rPr>
            </w:pPr>
            <w:r>
              <w:rPr>
                <w:rFonts w:hint="default" w:ascii="宋体" w:hAnsi="宋体"/>
                <w:sz w:val="24"/>
              </w:rPr>
              <w:t>建设地点</w:t>
            </w:r>
          </w:p>
        </w:tc>
        <w:tc>
          <w:tcPr>
            <w:tcW w:w="7570" w:type="dxa"/>
            <w:gridSpan w:val="4"/>
            <w:noWrap w:val="0"/>
            <w:vAlign w:val="center"/>
          </w:tcPr>
          <w:p w14:paraId="2A712E6D">
            <w:pPr>
              <w:pStyle w:val="19"/>
              <w:keepNext w:val="0"/>
              <w:keepLines w:val="0"/>
              <w:widowControl/>
              <w:suppressLineNumbers w:val="0"/>
              <w:spacing w:before="0" w:beforeAutospacing="0" w:after="0" w:afterAutospacing="0"/>
              <w:ind w:left="0" w:leftChars="0" w:right="0" w:rightChars="0" w:firstLine="0" w:firstLineChars="0"/>
              <w:jc w:val="center"/>
              <w:rPr>
                <w:rFonts w:hint="default" w:ascii="宋体" w:hAnsi="宋体" w:eastAsia="宋体"/>
                <w:sz w:val="24"/>
                <w:lang w:val="en-US" w:eastAsia="zh-CN"/>
              </w:rPr>
            </w:pPr>
            <w:r>
              <w:rPr>
                <w:rFonts w:hint="default" w:ascii="Times New Roman" w:hAnsi="Times New Roman" w:cs="Times New Roman"/>
                <w:color w:val="auto"/>
                <w:sz w:val="24"/>
                <w:szCs w:val="24"/>
                <w:lang w:val="en-US" w:eastAsia="zh-CN"/>
              </w:rPr>
              <w:t>河南省新乡市新乡县</w:t>
            </w:r>
            <w:r>
              <w:rPr>
                <w:rFonts w:hint="eastAsia" w:ascii="Times New Roman" w:hAnsi="Times New Roman" w:cs="Times New Roman"/>
                <w:color w:val="auto"/>
                <w:sz w:val="24"/>
                <w:szCs w:val="24"/>
                <w:lang w:val="en-US" w:eastAsia="zh-CN"/>
              </w:rPr>
              <w:t>经济开发区兴隆路西段</w:t>
            </w:r>
          </w:p>
        </w:tc>
      </w:tr>
      <w:tr w14:paraId="37FFB6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567" w:hRule="atLeast"/>
          <w:jc w:val="center"/>
        </w:trPr>
        <w:tc>
          <w:tcPr>
            <w:tcW w:w="2184" w:type="dxa"/>
            <w:gridSpan w:val="2"/>
            <w:noWrap w:val="0"/>
            <w:tcMar>
              <w:top w:w="16" w:type="dxa"/>
              <w:left w:w="16" w:type="dxa"/>
              <w:right w:w="16" w:type="dxa"/>
            </w:tcMar>
            <w:vAlign w:val="center"/>
          </w:tcPr>
          <w:p w14:paraId="39499DD1">
            <w:pPr>
              <w:keepNext w:val="0"/>
              <w:keepLines w:val="0"/>
              <w:suppressLineNumbers w:val="0"/>
              <w:adjustRightInd w:val="0"/>
              <w:snapToGrid w:val="0"/>
              <w:spacing w:before="0" w:beforeAutospacing="0" w:after="0" w:afterAutospacing="0"/>
              <w:ind w:left="0" w:right="0"/>
              <w:jc w:val="center"/>
              <w:rPr>
                <w:rFonts w:hint="default" w:ascii="宋体" w:hAnsi="宋体"/>
                <w:sz w:val="24"/>
              </w:rPr>
            </w:pPr>
            <w:r>
              <w:rPr>
                <w:rFonts w:hint="default" w:ascii="宋体" w:hAnsi="宋体"/>
                <w:sz w:val="24"/>
              </w:rPr>
              <w:t>地理坐标</w:t>
            </w:r>
          </w:p>
        </w:tc>
        <w:tc>
          <w:tcPr>
            <w:tcW w:w="7570" w:type="dxa"/>
            <w:gridSpan w:val="4"/>
            <w:noWrap w:val="0"/>
            <w:vAlign w:val="center"/>
          </w:tcPr>
          <w:p w14:paraId="3CE00F71">
            <w:pPr>
              <w:keepNext w:val="0"/>
              <w:keepLines w:val="0"/>
              <w:suppressLineNumbers w:val="0"/>
              <w:spacing w:before="0" w:beforeAutospacing="0" w:after="0" w:afterAutospacing="0"/>
              <w:ind w:left="0" w:right="0"/>
              <w:jc w:val="center"/>
              <w:rPr>
                <w:rFonts w:hint="default" w:ascii="宋体" w:hAnsi="宋体"/>
                <w:sz w:val="24"/>
              </w:rPr>
            </w:pP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u w:val="single"/>
                <w:lang w:val="en-US" w:eastAsia="zh-CN"/>
              </w:rPr>
              <w:t>11</w:t>
            </w:r>
            <w:r>
              <w:rPr>
                <w:rFonts w:hint="eastAsia" w:cs="Times New Roman"/>
                <w:color w:val="auto"/>
                <w:sz w:val="24"/>
                <w:highlight w:val="none"/>
                <w:u w:val="single"/>
                <w:lang w:val="en-US" w:eastAsia="zh-CN"/>
              </w:rPr>
              <w:t>3</w:t>
            </w:r>
            <w:r>
              <w:rPr>
                <w:rFonts w:hint="default" w:ascii="Times New Roman" w:hAnsi="Times New Roman" w:cs="Times New Roman"/>
                <w:color w:val="auto"/>
                <w:sz w:val="24"/>
                <w:highlight w:val="none"/>
              </w:rPr>
              <w:t>度</w:t>
            </w:r>
            <w:r>
              <w:rPr>
                <w:rFonts w:hint="eastAsia" w:cs="Times New Roman"/>
                <w:color w:val="auto"/>
                <w:sz w:val="24"/>
                <w:highlight w:val="none"/>
                <w:u w:val="single"/>
                <w:lang w:val="en-US" w:eastAsia="zh-CN"/>
              </w:rPr>
              <w:t>47</w:t>
            </w:r>
            <w:r>
              <w:rPr>
                <w:rFonts w:hint="default" w:ascii="Times New Roman" w:hAnsi="Times New Roman" w:cs="Times New Roman"/>
                <w:color w:val="auto"/>
                <w:sz w:val="24"/>
                <w:highlight w:val="none"/>
              </w:rPr>
              <w:t>分</w:t>
            </w:r>
            <w:r>
              <w:rPr>
                <w:rFonts w:hint="eastAsia" w:cs="Times New Roman"/>
                <w:color w:val="auto"/>
                <w:sz w:val="24"/>
                <w:highlight w:val="none"/>
                <w:u w:val="single"/>
                <w:lang w:val="en-US" w:eastAsia="zh-CN"/>
              </w:rPr>
              <w:t>17.489</w:t>
            </w:r>
            <w:r>
              <w:rPr>
                <w:rFonts w:hint="default" w:ascii="Times New Roman" w:hAnsi="Times New Roman" w:cs="Times New Roman"/>
                <w:color w:val="auto"/>
                <w:sz w:val="24"/>
                <w:highlight w:val="none"/>
              </w:rPr>
              <w:t>秒，</w:t>
            </w:r>
            <w:r>
              <w:rPr>
                <w:rFonts w:hint="default" w:ascii="Times New Roman" w:hAnsi="Times New Roman" w:cs="Times New Roman"/>
                <w:color w:val="auto"/>
                <w:sz w:val="24"/>
                <w:highlight w:val="none"/>
                <w:u w:val="single"/>
              </w:rPr>
              <w:t>35</w:t>
            </w:r>
            <w:r>
              <w:rPr>
                <w:rFonts w:hint="default" w:ascii="Times New Roman" w:hAnsi="Times New Roman" w:cs="Times New Roman"/>
                <w:color w:val="auto"/>
                <w:sz w:val="24"/>
                <w:highlight w:val="none"/>
              </w:rPr>
              <w:t>度</w:t>
            </w:r>
            <w:r>
              <w:rPr>
                <w:rFonts w:hint="eastAsia" w:cs="Times New Roman"/>
                <w:color w:val="auto"/>
                <w:sz w:val="24"/>
                <w:highlight w:val="none"/>
                <w:u w:val="single"/>
                <w:lang w:val="en-US" w:eastAsia="zh-CN"/>
              </w:rPr>
              <w:t>12</w:t>
            </w:r>
            <w:r>
              <w:rPr>
                <w:rFonts w:hint="default" w:ascii="Times New Roman" w:hAnsi="Times New Roman" w:cs="Times New Roman"/>
                <w:color w:val="auto"/>
                <w:sz w:val="24"/>
                <w:highlight w:val="none"/>
              </w:rPr>
              <w:t>分</w:t>
            </w:r>
            <w:r>
              <w:rPr>
                <w:rFonts w:hint="eastAsia" w:cs="Times New Roman"/>
                <w:color w:val="auto"/>
                <w:sz w:val="24"/>
                <w:highlight w:val="none"/>
                <w:u w:val="single"/>
                <w:lang w:val="en-US" w:eastAsia="zh-CN"/>
              </w:rPr>
              <w:t>39.021</w:t>
            </w:r>
            <w:r>
              <w:rPr>
                <w:rFonts w:hint="default" w:ascii="Times New Roman" w:hAnsi="Times New Roman" w:cs="Times New Roman"/>
                <w:color w:val="auto"/>
                <w:sz w:val="24"/>
                <w:highlight w:val="none"/>
              </w:rPr>
              <w:t>秒）</w:t>
            </w:r>
          </w:p>
        </w:tc>
      </w:tr>
      <w:tr w14:paraId="1BC698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567" w:hRule="atLeast"/>
          <w:jc w:val="center"/>
        </w:trPr>
        <w:tc>
          <w:tcPr>
            <w:tcW w:w="2184" w:type="dxa"/>
            <w:gridSpan w:val="2"/>
            <w:noWrap w:val="0"/>
            <w:tcMar>
              <w:top w:w="16" w:type="dxa"/>
              <w:left w:w="16" w:type="dxa"/>
              <w:right w:w="16" w:type="dxa"/>
            </w:tcMar>
            <w:vAlign w:val="center"/>
          </w:tcPr>
          <w:p w14:paraId="2A5A50E2">
            <w:pPr>
              <w:keepNext w:val="0"/>
              <w:keepLines w:val="0"/>
              <w:suppressLineNumbers w:val="0"/>
              <w:adjustRightInd w:val="0"/>
              <w:snapToGrid w:val="0"/>
              <w:spacing w:before="0" w:beforeAutospacing="0" w:after="0" w:afterAutospacing="0"/>
              <w:ind w:left="0" w:right="0"/>
              <w:jc w:val="center"/>
              <w:rPr>
                <w:rFonts w:hint="default" w:ascii="宋体" w:hAnsi="宋体"/>
                <w:color w:val="auto"/>
                <w:sz w:val="24"/>
              </w:rPr>
            </w:pPr>
            <w:r>
              <w:rPr>
                <w:rFonts w:hint="default" w:ascii="宋体" w:hAnsi="宋体"/>
                <w:color w:val="auto"/>
                <w:sz w:val="24"/>
              </w:rPr>
              <w:t>国民经济</w:t>
            </w:r>
          </w:p>
          <w:p w14:paraId="0BE56364">
            <w:pPr>
              <w:keepNext w:val="0"/>
              <w:keepLines w:val="0"/>
              <w:suppressLineNumbers w:val="0"/>
              <w:adjustRightInd w:val="0"/>
              <w:snapToGrid w:val="0"/>
              <w:spacing w:before="0" w:beforeAutospacing="0" w:after="0" w:afterAutospacing="0"/>
              <w:ind w:left="0" w:right="0"/>
              <w:jc w:val="center"/>
              <w:rPr>
                <w:rFonts w:hint="default" w:ascii="宋体" w:hAnsi="宋体"/>
                <w:color w:val="auto"/>
                <w:sz w:val="24"/>
              </w:rPr>
            </w:pPr>
            <w:r>
              <w:rPr>
                <w:rFonts w:hint="default" w:ascii="宋体" w:hAnsi="宋体"/>
                <w:color w:val="auto"/>
                <w:sz w:val="24"/>
              </w:rPr>
              <w:t>行业类别</w:t>
            </w:r>
          </w:p>
        </w:tc>
        <w:tc>
          <w:tcPr>
            <w:tcW w:w="2505" w:type="dxa"/>
            <w:noWrap w:val="0"/>
            <w:vAlign w:val="center"/>
          </w:tcPr>
          <w:p w14:paraId="59775A3F">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s="Times New Roman"/>
                <w:sz w:val="24"/>
                <w:highlight w:val="none"/>
                <w:lang w:val="en-US" w:eastAsia="zh-CN"/>
              </w:rPr>
            </w:pPr>
            <w:r>
              <w:rPr>
                <w:rFonts w:hint="eastAsia" w:cs="Times New Roman"/>
                <w:sz w:val="24"/>
                <w:highlight w:val="none"/>
                <w:lang w:val="en-US" w:eastAsia="zh-CN"/>
              </w:rPr>
              <w:t>C3841锂离子电池制造</w:t>
            </w:r>
          </w:p>
        </w:tc>
        <w:tc>
          <w:tcPr>
            <w:tcW w:w="1958" w:type="dxa"/>
            <w:noWrap w:val="0"/>
            <w:vAlign w:val="center"/>
          </w:tcPr>
          <w:p w14:paraId="31173AF1">
            <w:pPr>
              <w:keepNext w:val="0"/>
              <w:keepLines w:val="0"/>
              <w:suppressLineNumbers w:val="0"/>
              <w:adjustRightInd w:val="0"/>
              <w:snapToGrid w:val="0"/>
              <w:spacing w:before="0" w:beforeAutospacing="0" w:after="0" w:afterAutospacing="0"/>
              <w:ind w:left="0" w:right="0"/>
              <w:jc w:val="center"/>
              <w:rPr>
                <w:rFonts w:hint="default" w:ascii="宋体" w:hAnsi="宋体"/>
                <w:color w:val="auto"/>
                <w:sz w:val="24"/>
                <w:highlight w:val="none"/>
              </w:rPr>
            </w:pPr>
            <w:r>
              <w:rPr>
                <w:rFonts w:hint="default" w:ascii="宋体" w:hAnsi="宋体"/>
                <w:color w:val="auto"/>
                <w:sz w:val="24"/>
                <w:highlight w:val="none"/>
              </w:rPr>
              <w:t>建设项目</w:t>
            </w:r>
          </w:p>
          <w:p w14:paraId="66A36567">
            <w:pPr>
              <w:keepNext w:val="0"/>
              <w:keepLines w:val="0"/>
              <w:suppressLineNumbers w:val="0"/>
              <w:adjustRightInd w:val="0"/>
              <w:snapToGrid w:val="0"/>
              <w:spacing w:before="0" w:beforeAutospacing="0" w:after="0" w:afterAutospacing="0"/>
              <w:ind w:left="0" w:leftChars="0" w:right="0" w:rightChars="0"/>
              <w:jc w:val="center"/>
              <w:rPr>
                <w:rFonts w:hint="default" w:ascii="宋体" w:hAnsi="宋体"/>
                <w:color w:val="auto"/>
                <w:sz w:val="24"/>
                <w:highlight w:val="none"/>
              </w:rPr>
            </w:pPr>
            <w:r>
              <w:rPr>
                <w:rFonts w:hint="default" w:ascii="宋体" w:hAnsi="宋体"/>
                <w:color w:val="auto"/>
                <w:sz w:val="24"/>
                <w:highlight w:val="none"/>
              </w:rPr>
              <w:t>行业类别</w:t>
            </w:r>
          </w:p>
        </w:tc>
        <w:tc>
          <w:tcPr>
            <w:tcW w:w="3107" w:type="dxa"/>
            <w:gridSpan w:val="2"/>
            <w:noWrap w:val="0"/>
            <w:vAlign w:val="center"/>
          </w:tcPr>
          <w:p w14:paraId="2B1583CB">
            <w:pPr>
              <w:keepNext w:val="0"/>
              <w:keepLines w:val="0"/>
              <w:suppressLineNumbers w:val="0"/>
              <w:bidi w:val="0"/>
              <w:spacing w:before="0" w:beforeAutospacing="0" w:after="0" w:afterAutospacing="0"/>
              <w:ind w:left="0" w:leftChars="0" w:right="0" w:rightChars="0"/>
              <w:rPr>
                <w:rFonts w:hint="default" w:eastAsia="宋体"/>
                <w:lang w:val="en-US" w:eastAsia="zh-CN"/>
              </w:rPr>
            </w:pPr>
            <w:r>
              <w:rPr>
                <w:rFonts w:hint="default" w:ascii="Times New Roman" w:hAnsi="Times New Roman" w:cs="Times New Roman"/>
                <w:sz w:val="24"/>
                <w:lang w:val="en-US" w:eastAsia="zh-CN"/>
              </w:rPr>
              <w:t>三十五、电气机械和器材制造业 38：第77条，电池制造 384，其他</w:t>
            </w:r>
          </w:p>
        </w:tc>
      </w:tr>
      <w:tr w14:paraId="408236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567" w:hRule="atLeast"/>
          <w:jc w:val="center"/>
        </w:trPr>
        <w:tc>
          <w:tcPr>
            <w:tcW w:w="2184" w:type="dxa"/>
            <w:gridSpan w:val="2"/>
            <w:noWrap w:val="0"/>
            <w:tcMar>
              <w:top w:w="16" w:type="dxa"/>
              <w:left w:w="16" w:type="dxa"/>
              <w:right w:w="16" w:type="dxa"/>
            </w:tcMar>
            <w:vAlign w:val="center"/>
          </w:tcPr>
          <w:p w14:paraId="65FCAE12">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hAnsi="宋体"/>
                <w:sz w:val="24"/>
              </w:rPr>
              <w:t>建设性质</w:t>
            </w:r>
          </w:p>
        </w:tc>
        <w:tc>
          <w:tcPr>
            <w:tcW w:w="2505" w:type="dxa"/>
            <w:noWrap w:val="0"/>
            <w:vAlign w:val="center"/>
          </w:tcPr>
          <w:p w14:paraId="073AAC9A">
            <w:pPr>
              <w:keepNext w:val="0"/>
              <w:keepLines w:val="0"/>
              <w:suppressLineNumbers w:val="0"/>
              <w:spacing w:before="0" w:beforeAutospacing="0" w:after="0" w:afterAutospacing="0"/>
              <w:ind w:left="0" w:right="0"/>
              <w:jc w:val="left"/>
              <w:rPr>
                <w:rFonts w:hint="default" w:ascii="宋体" w:hAnsi="宋体"/>
                <w:sz w:val="24"/>
                <w:highlight w:val="none"/>
              </w:rPr>
            </w:pPr>
            <w:r>
              <w:rPr>
                <w:rFonts w:hint="eastAsia" w:ascii="宋体" w:hAnsi="宋体"/>
                <w:sz w:val="24"/>
                <w:highlight w:val="none"/>
                <w:lang w:eastAsia="zh-CN"/>
              </w:rPr>
              <w:t>□</w:t>
            </w:r>
            <w:r>
              <w:rPr>
                <w:rFonts w:hint="default" w:ascii="宋体" w:hAnsi="宋体"/>
                <w:sz w:val="24"/>
                <w:highlight w:val="none"/>
              </w:rPr>
              <w:t>新建（迁建）</w:t>
            </w:r>
          </w:p>
          <w:p w14:paraId="4B8AD3D9">
            <w:pPr>
              <w:keepNext w:val="0"/>
              <w:keepLines w:val="0"/>
              <w:suppressLineNumbers w:val="0"/>
              <w:spacing w:before="0" w:beforeAutospacing="0" w:after="0" w:afterAutospacing="0"/>
              <w:ind w:left="0" w:right="0"/>
              <w:jc w:val="left"/>
              <w:rPr>
                <w:rFonts w:hint="default" w:ascii="宋体" w:hAnsi="宋体"/>
                <w:sz w:val="24"/>
                <w:highlight w:val="none"/>
              </w:rPr>
            </w:pPr>
            <w:r>
              <w:rPr>
                <w:rFonts w:hint="eastAsia" w:ascii="宋体" w:hAnsi="宋体"/>
                <w:sz w:val="24"/>
                <w:highlight w:val="none"/>
                <w:lang w:eastAsia="zh-CN"/>
              </w:rPr>
              <w:t>☑</w:t>
            </w:r>
            <w:r>
              <w:rPr>
                <w:rFonts w:hint="default" w:ascii="宋体" w:hAnsi="宋体"/>
                <w:sz w:val="24"/>
                <w:highlight w:val="none"/>
              </w:rPr>
              <w:t>改建</w:t>
            </w:r>
          </w:p>
          <w:p w14:paraId="5DD37DB0">
            <w:pPr>
              <w:keepNext w:val="0"/>
              <w:keepLines w:val="0"/>
              <w:suppressLineNumbers w:val="0"/>
              <w:spacing w:before="0" w:beforeAutospacing="0" w:after="0" w:afterAutospacing="0"/>
              <w:ind w:left="0" w:right="0"/>
              <w:jc w:val="left"/>
              <w:rPr>
                <w:rFonts w:hint="default" w:ascii="宋体" w:hAnsi="宋体"/>
                <w:sz w:val="24"/>
                <w:highlight w:val="none"/>
              </w:rPr>
            </w:pPr>
            <w:r>
              <w:rPr>
                <w:rFonts w:hint="eastAsia" w:ascii="宋体" w:hAnsi="宋体"/>
                <w:sz w:val="24"/>
                <w:highlight w:val="none"/>
                <w:lang w:eastAsia="zh-CN"/>
              </w:rPr>
              <w:t>□</w:t>
            </w:r>
            <w:r>
              <w:rPr>
                <w:rFonts w:hint="default" w:ascii="宋体" w:hAnsi="宋体"/>
                <w:sz w:val="24"/>
                <w:highlight w:val="none"/>
              </w:rPr>
              <w:t>扩建</w:t>
            </w:r>
          </w:p>
          <w:p w14:paraId="1544AAE7">
            <w:pPr>
              <w:keepNext w:val="0"/>
              <w:keepLines w:val="0"/>
              <w:suppressLineNumbers w:val="0"/>
              <w:spacing w:before="0" w:beforeAutospacing="0" w:after="0" w:afterAutospacing="0"/>
              <w:ind w:left="0" w:right="0"/>
              <w:jc w:val="left"/>
              <w:rPr>
                <w:rFonts w:hint="default"/>
                <w:sz w:val="24"/>
              </w:rPr>
            </w:pPr>
            <w:r>
              <w:rPr>
                <w:rFonts w:hint="default" w:ascii="宋体" w:hAnsi="宋体"/>
                <w:sz w:val="24"/>
                <w:highlight w:val="none"/>
              </w:rPr>
              <w:t>□技术改造</w:t>
            </w:r>
          </w:p>
        </w:tc>
        <w:tc>
          <w:tcPr>
            <w:tcW w:w="1958" w:type="dxa"/>
            <w:noWrap w:val="0"/>
            <w:vAlign w:val="center"/>
          </w:tcPr>
          <w:p w14:paraId="1C140FF2">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hAnsi="宋体"/>
                <w:sz w:val="24"/>
              </w:rPr>
              <w:t>建设项目</w:t>
            </w:r>
          </w:p>
          <w:p w14:paraId="30F96383">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hAnsi="宋体"/>
                <w:sz w:val="24"/>
              </w:rPr>
              <w:t>申报情形</w:t>
            </w:r>
          </w:p>
        </w:tc>
        <w:tc>
          <w:tcPr>
            <w:tcW w:w="3107" w:type="dxa"/>
            <w:gridSpan w:val="2"/>
            <w:noWrap w:val="0"/>
            <w:vAlign w:val="center"/>
          </w:tcPr>
          <w:p w14:paraId="2550C429">
            <w:pPr>
              <w:keepNext w:val="0"/>
              <w:keepLines w:val="0"/>
              <w:suppressLineNumbers w:val="0"/>
              <w:spacing w:before="0" w:beforeAutospacing="0" w:after="0" w:afterAutospacing="0"/>
              <w:ind w:left="0" w:right="0"/>
              <w:jc w:val="left"/>
              <w:rPr>
                <w:rFonts w:hint="default"/>
                <w:sz w:val="24"/>
              </w:rPr>
            </w:pPr>
            <w:r>
              <w:rPr>
                <w:rFonts w:hint="eastAsia" w:ascii="宋体" w:hAnsi="宋体"/>
                <w:sz w:val="24"/>
                <w:lang w:eastAsia="zh-CN"/>
              </w:rPr>
              <w:t>☑</w:t>
            </w:r>
            <w:r>
              <w:rPr>
                <w:rFonts w:hint="default" w:hAnsi="宋体"/>
                <w:sz w:val="24"/>
              </w:rPr>
              <w:t>首次申报项目</w:t>
            </w:r>
            <w:r>
              <w:rPr>
                <w:rFonts w:hint="default"/>
                <w:sz w:val="24"/>
              </w:rPr>
              <w:t xml:space="preserve">             </w:t>
            </w:r>
          </w:p>
          <w:p w14:paraId="6EE61BAC">
            <w:pPr>
              <w:keepNext w:val="0"/>
              <w:keepLines w:val="0"/>
              <w:suppressLineNumbers w:val="0"/>
              <w:spacing w:before="0" w:beforeAutospacing="0" w:after="0" w:afterAutospacing="0"/>
              <w:ind w:left="0" w:right="0"/>
              <w:jc w:val="left"/>
              <w:rPr>
                <w:rFonts w:hint="default" w:ascii="宋体" w:hAnsi="宋体"/>
                <w:sz w:val="24"/>
              </w:rPr>
            </w:pPr>
            <w:r>
              <w:rPr>
                <w:rFonts w:hint="default" w:ascii="宋体" w:hAnsi="宋体"/>
                <w:sz w:val="24"/>
              </w:rPr>
              <w:t>□不予批准后再次申报项目</w:t>
            </w:r>
          </w:p>
          <w:p w14:paraId="16489469">
            <w:pPr>
              <w:keepNext w:val="0"/>
              <w:keepLines w:val="0"/>
              <w:suppressLineNumbers w:val="0"/>
              <w:spacing w:before="0" w:beforeAutospacing="0" w:after="0" w:afterAutospacing="0"/>
              <w:ind w:left="0" w:right="0"/>
              <w:jc w:val="left"/>
              <w:rPr>
                <w:rFonts w:hint="default" w:ascii="宋体" w:hAnsi="宋体"/>
                <w:sz w:val="24"/>
              </w:rPr>
            </w:pPr>
            <w:r>
              <w:rPr>
                <w:rFonts w:hint="default" w:ascii="宋体" w:hAnsi="宋体"/>
                <w:sz w:val="24"/>
              </w:rPr>
              <w:t xml:space="preserve">□超五年重新审核项目     </w:t>
            </w:r>
          </w:p>
          <w:p w14:paraId="70E0CBEE">
            <w:pPr>
              <w:keepNext w:val="0"/>
              <w:keepLines w:val="0"/>
              <w:suppressLineNumbers w:val="0"/>
              <w:spacing w:before="0" w:beforeAutospacing="0" w:after="0" w:afterAutospacing="0"/>
              <w:ind w:left="0" w:right="0"/>
              <w:jc w:val="left"/>
              <w:rPr>
                <w:rFonts w:hint="default"/>
                <w:sz w:val="24"/>
              </w:rPr>
            </w:pPr>
            <w:r>
              <w:rPr>
                <w:rFonts w:hint="default" w:ascii="宋体" w:hAnsi="宋体"/>
                <w:sz w:val="24"/>
              </w:rPr>
              <w:t>□重大变动重新报批项目</w:t>
            </w:r>
          </w:p>
        </w:tc>
      </w:tr>
      <w:tr w14:paraId="680731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567" w:hRule="atLeast"/>
          <w:jc w:val="center"/>
        </w:trPr>
        <w:tc>
          <w:tcPr>
            <w:tcW w:w="2184" w:type="dxa"/>
            <w:gridSpan w:val="2"/>
            <w:noWrap w:val="0"/>
            <w:tcMar>
              <w:top w:w="16" w:type="dxa"/>
              <w:left w:w="16" w:type="dxa"/>
              <w:right w:w="16" w:type="dxa"/>
            </w:tcMar>
            <w:vAlign w:val="center"/>
          </w:tcPr>
          <w:p w14:paraId="2E2774AB">
            <w:pPr>
              <w:keepNext w:val="0"/>
              <w:keepLines w:val="0"/>
              <w:suppressLineNumbers w:val="0"/>
              <w:adjustRightInd w:val="0"/>
              <w:snapToGrid w:val="0"/>
              <w:spacing w:before="0" w:beforeAutospacing="0" w:after="0" w:afterAutospacing="0"/>
              <w:ind w:left="0" w:right="0"/>
              <w:jc w:val="center"/>
              <w:rPr>
                <w:rFonts w:hint="default" w:ascii="宋体" w:hAnsi="宋体"/>
                <w:sz w:val="24"/>
              </w:rPr>
            </w:pPr>
            <w:r>
              <w:rPr>
                <w:rFonts w:hint="default" w:ascii="宋体" w:hAnsi="宋体"/>
                <w:sz w:val="24"/>
              </w:rPr>
              <w:t>项目审批（核准/</w:t>
            </w:r>
          </w:p>
          <w:p w14:paraId="0CC03495">
            <w:pPr>
              <w:keepNext w:val="0"/>
              <w:keepLines w:val="0"/>
              <w:suppressLineNumbers w:val="0"/>
              <w:adjustRightInd w:val="0"/>
              <w:snapToGrid w:val="0"/>
              <w:spacing w:before="0" w:beforeAutospacing="0" w:after="0" w:afterAutospacing="0"/>
              <w:ind w:left="0" w:right="0"/>
              <w:jc w:val="center"/>
              <w:rPr>
                <w:rFonts w:hint="default" w:ascii="宋体" w:hAnsi="宋体"/>
                <w:sz w:val="24"/>
              </w:rPr>
            </w:pPr>
            <w:r>
              <w:rPr>
                <w:rFonts w:hint="default" w:ascii="宋体" w:hAnsi="宋体"/>
                <w:sz w:val="24"/>
              </w:rPr>
              <w:t>备案）部门（选填）</w:t>
            </w:r>
          </w:p>
        </w:tc>
        <w:tc>
          <w:tcPr>
            <w:tcW w:w="2505" w:type="dxa"/>
            <w:noWrap w:val="0"/>
            <w:vAlign w:val="center"/>
          </w:tcPr>
          <w:p w14:paraId="42447C06">
            <w:pPr>
              <w:keepNext w:val="0"/>
              <w:keepLines w:val="0"/>
              <w:suppressLineNumbers w:val="0"/>
              <w:adjustRightInd w:val="0"/>
              <w:snapToGrid w:val="0"/>
              <w:spacing w:before="0" w:beforeAutospacing="0" w:after="0" w:afterAutospacing="0"/>
              <w:ind w:left="0" w:right="0"/>
              <w:jc w:val="center"/>
              <w:rPr>
                <w:rFonts w:hint="default" w:ascii="宋体" w:hAnsi="宋体"/>
                <w:sz w:val="24"/>
                <w:lang w:val="en-US"/>
              </w:rPr>
            </w:pPr>
            <w:r>
              <w:rPr>
                <w:rFonts w:hint="eastAsia" w:ascii="宋体" w:hAnsi="宋体"/>
                <w:sz w:val="24"/>
                <w:highlight w:val="none"/>
                <w:lang w:val="en-US" w:eastAsia="zh-CN"/>
              </w:rPr>
              <w:t>新乡县发展和改革委员会</w:t>
            </w:r>
          </w:p>
        </w:tc>
        <w:tc>
          <w:tcPr>
            <w:tcW w:w="1958" w:type="dxa"/>
            <w:noWrap w:val="0"/>
            <w:vAlign w:val="center"/>
          </w:tcPr>
          <w:p w14:paraId="2E2D6D7A">
            <w:pPr>
              <w:keepNext w:val="0"/>
              <w:keepLines w:val="0"/>
              <w:suppressLineNumbers w:val="0"/>
              <w:adjustRightInd w:val="0"/>
              <w:snapToGrid w:val="0"/>
              <w:spacing w:before="0" w:beforeAutospacing="0" w:after="0" w:afterAutospacing="0"/>
              <w:ind w:left="0" w:right="0"/>
              <w:jc w:val="center"/>
              <w:rPr>
                <w:rFonts w:hint="default" w:ascii="宋体" w:hAnsi="宋体"/>
                <w:sz w:val="24"/>
              </w:rPr>
            </w:pPr>
            <w:r>
              <w:rPr>
                <w:rFonts w:hint="default" w:ascii="宋体" w:hAnsi="宋体"/>
                <w:sz w:val="24"/>
              </w:rPr>
              <w:t>项目审批（核准/</w:t>
            </w:r>
          </w:p>
          <w:p w14:paraId="261DDB56">
            <w:pPr>
              <w:keepNext w:val="0"/>
              <w:keepLines w:val="0"/>
              <w:suppressLineNumbers w:val="0"/>
              <w:adjustRightInd w:val="0"/>
              <w:snapToGrid w:val="0"/>
              <w:spacing w:before="0" w:beforeAutospacing="0" w:after="0" w:afterAutospacing="0"/>
              <w:ind w:left="0" w:right="0"/>
              <w:jc w:val="center"/>
              <w:rPr>
                <w:rFonts w:hint="default" w:ascii="宋体" w:hAnsi="宋体"/>
                <w:sz w:val="24"/>
              </w:rPr>
            </w:pPr>
            <w:r>
              <w:rPr>
                <w:rFonts w:hint="default" w:ascii="宋体" w:hAnsi="宋体"/>
                <w:sz w:val="24"/>
              </w:rPr>
              <w:t>备案）文号（选填）</w:t>
            </w:r>
          </w:p>
        </w:tc>
        <w:tc>
          <w:tcPr>
            <w:tcW w:w="3107" w:type="dxa"/>
            <w:gridSpan w:val="2"/>
            <w:noWrap w:val="0"/>
            <w:vAlign w:val="center"/>
          </w:tcPr>
          <w:p w14:paraId="5523965E">
            <w:pPr>
              <w:keepNext w:val="0"/>
              <w:keepLines w:val="0"/>
              <w:suppressLineNumbers w:val="0"/>
              <w:adjustRightInd w:val="0"/>
              <w:snapToGrid w:val="0"/>
              <w:spacing w:before="0" w:beforeAutospacing="0" w:after="0" w:afterAutospacing="0"/>
              <w:ind w:left="0" w:right="0"/>
              <w:jc w:val="center"/>
              <w:rPr>
                <w:rFonts w:hint="default" w:ascii="宋体" w:hAnsi="宋体" w:eastAsia="宋体"/>
                <w:color w:val="FF0000"/>
                <w:sz w:val="24"/>
                <w:lang w:val="en-US" w:eastAsia="zh-CN"/>
              </w:rPr>
            </w:pPr>
            <w:r>
              <w:rPr>
                <w:rFonts w:hint="eastAsia" w:ascii="宋体" w:hAnsi="宋体"/>
                <w:color w:val="auto"/>
                <w:sz w:val="24"/>
                <w:lang w:val="en-US" w:eastAsia="zh-CN"/>
              </w:rPr>
              <w:t>/</w:t>
            </w:r>
          </w:p>
        </w:tc>
      </w:tr>
      <w:tr w14:paraId="23C438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567" w:hRule="atLeast"/>
          <w:jc w:val="center"/>
        </w:trPr>
        <w:tc>
          <w:tcPr>
            <w:tcW w:w="2184" w:type="dxa"/>
            <w:gridSpan w:val="2"/>
            <w:noWrap w:val="0"/>
            <w:tcMar>
              <w:top w:w="16" w:type="dxa"/>
              <w:left w:w="16" w:type="dxa"/>
              <w:right w:w="16" w:type="dxa"/>
            </w:tcMar>
            <w:vAlign w:val="center"/>
          </w:tcPr>
          <w:p w14:paraId="4CF0B98E">
            <w:pPr>
              <w:keepNext w:val="0"/>
              <w:keepLines w:val="0"/>
              <w:suppressLineNumbers w:val="0"/>
              <w:adjustRightInd w:val="0"/>
              <w:snapToGrid w:val="0"/>
              <w:spacing w:before="0" w:beforeAutospacing="0" w:after="0" w:afterAutospacing="0"/>
              <w:ind w:left="0" w:right="0"/>
              <w:jc w:val="center"/>
              <w:rPr>
                <w:rFonts w:hint="default" w:ascii="宋体" w:hAnsi="宋体"/>
                <w:color w:val="000000"/>
                <w:sz w:val="24"/>
              </w:rPr>
            </w:pPr>
            <w:r>
              <w:rPr>
                <w:rFonts w:hint="default" w:ascii="宋体" w:hAnsi="宋体"/>
                <w:color w:val="000000"/>
                <w:sz w:val="24"/>
              </w:rPr>
              <w:t>总投资（万元）</w:t>
            </w:r>
          </w:p>
        </w:tc>
        <w:tc>
          <w:tcPr>
            <w:tcW w:w="2505" w:type="dxa"/>
            <w:noWrap w:val="0"/>
            <w:vAlign w:val="center"/>
          </w:tcPr>
          <w:p w14:paraId="09A3D04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highlight w:val="none"/>
                <w:lang w:val="en-US" w:eastAsia="zh-CN"/>
              </w:rPr>
            </w:pPr>
            <w:r>
              <w:rPr>
                <w:rFonts w:hint="eastAsia" w:cs="Times New Roman"/>
                <w:color w:val="000000" w:themeColor="text1"/>
                <w:sz w:val="24"/>
                <w:highlight w:val="none"/>
                <w:lang w:val="en-US" w:eastAsia="zh-CN"/>
                <w14:textFill>
                  <w14:solidFill>
                    <w14:schemeClr w14:val="tx1"/>
                  </w14:solidFill>
                </w14:textFill>
              </w:rPr>
              <w:t>3000</w:t>
            </w:r>
          </w:p>
        </w:tc>
        <w:tc>
          <w:tcPr>
            <w:tcW w:w="1958" w:type="dxa"/>
            <w:noWrap w:val="0"/>
            <w:tcMar>
              <w:top w:w="16" w:type="dxa"/>
              <w:left w:w="16" w:type="dxa"/>
              <w:right w:w="16" w:type="dxa"/>
            </w:tcMar>
            <w:vAlign w:val="center"/>
          </w:tcPr>
          <w:p w14:paraId="356FB62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环保投资（万元）</w:t>
            </w:r>
          </w:p>
        </w:tc>
        <w:tc>
          <w:tcPr>
            <w:tcW w:w="3107" w:type="dxa"/>
            <w:gridSpan w:val="2"/>
            <w:noWrap w:val="0"/>
            <w:vAlign w:val="center"/>
          </w:tcPr>
          <w:p w14:paraId="494E103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4"/>
                <w:highlight w:val="yellow"/>
                <w:lang w:val="en-US" w:eastAsia="zh-CN"/>
              </w:rPr>
            </w:pPr>
            <w:r>
              <w:rPr>
                <w:rFonts w:hint="eastAsia" w:cs="Times New Roman"/>
                <w:color w:val="000000" w:themeColor="text1"/>
                <w:sz w:val="24"/>
                <w:highlight w:val="none"/>
                <w:lang w:val="en-US" w:eastAsia="zh-CN"/>
                <w14:textFill>
                  <w14:solidFill>
                    <w14:schemeClr w14:val="tx1"/>
                  </w14:solidFill>
                </w14:textFill>
              </w:rPr>
              <w:t>0</w:t>
            </w:r>
          </w:p>
        </w:tc>
      </w:tr>
      <w:tr w14:paraId="7556D8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567" w:hRule="atLeast"/>
          <w:jc w:val="center"/>
        </w:trPr>
        <w:tc>
          <w:tcPr>
            <w:tcW w:w="2184" w:type="dxa"/>
            <w:gridSpan w:val="2"/>
            <w:noWrap w:val="0"/>
            <w:tcMar>
              <w:top w:w="16" w:type="dxa"/>
              <w:left w:w="16" w:type="dxa"/>
              <w:right w:w="16" w:type="dxa"/>
            </w:tcMar>
            <w:vAlign w:val="center"/>
          </w:tcPr>
          <w:p w14:paraId="4B0C893E">
            <w:pPr>
              <w:keepNext w:val="0"/>
              <w:keepLines w:val="0"/>
              <w:suppressLineNumbers w:val="0"/>
              <w:adjustRightInd w:val="0"/>
              <w:snapToGrid w:val="0"/>
              <w:spacing w:before="0" w:beforeAutospacing="0" w:after="0" w:afterAutospacing="0"/>
              <w:ind w:left="0" w:right="0"/>
              <w:jc w:val="center"/>
              <w:rPr>
                <w:rFonts w:hint="default" w:ascii="宋体" w:hAnsi="宋体"/>
                <w:color w:val="000000"/>
                <w:sz w:val="24"/>
              </w:rPr>
            </w:pPr>
            <w:r>
              <w:rPr>
                <w:rFonts w:hint="default" w:ascii="宋体" w:hAnsi="宋体"/>
                <w:color w:val="000000"/>
                <w:sz w:val="24"/>
              </w:rPr>
              <w:t>环保投资占比（</w:t>
            </w:r>
            <w:r>
              <w:rPr>
                <w:rFonts w:hint="default" w:ascii="Times New Roman" w:hAnsi="Times New Roman" w:cs="Times New Roman"/>
                <w:color w:val="000000"/>
                <w:sz w:val="24"/>
              </w:rPr>
              <w:t>%</w:t>
            </w:r>
            <w:r>
              <w:rPr>
                <w:rFonts w:hint="default" w:ascii="宋体" w:hAnsi="宋体"/>
                <w:color w:val="000000"/>
                <w:sz w:val="24"/>
              </w:rPr>
              <w:t>）</w:t>
            </w:r>
          </w:p>
        </w:tc>
        <w:tc>
          <w:tcPr>
            <w:tcW w:w="2505" w:type="dxa"/>
            <w:noWrap w:val="0"/>
            <w:vAlign w:val="center"/>
          </w:tcPr>
          <w:p w14:paraId="758FB37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highlight w:val="none"/>
                <w:lang w:val="en-US" w:eastAsia="zh-CN"/>
              </w:rPr>
            </w:pPr>
            <w:r>
              <w:rPr>
                <w:rFonts w:hint="eastAsia" w:cs="Times New Roman"/>
                <w:sz w:val="24"/>
                <w:highlight w:val="none"/>
                <w:lang w:val="en-US" w:eastAsia="zh-CN"/>
              </w:rPr>
              <w:t>0</w:t>
            </w:r>
          </w:p>
        </w:tc>
        <w:tc>
          <w:tcPr>
            <w:tcW w:w="1958" w:type="dxa"/>
            <w:noWrap w:val="0"/>
            <w:tcMar>
              <w:top w:w="16" w:type="dxa"/>
              <w:left w:w="16" w:type="dxa"/>
              <w:right w:w="16" w:type="dxa"/>
            </w:tcMar>
            <w:vAlign w:val="center"/>
          </w:tcPr>
          <w:p w14:paraId="5C47055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施工工期</w:t>
            </w:r>
          </w:p>
        </w:tc>
        <w:tc>
          <w:tcPr>
            <w:tcW w:w="3107" w:type="dxa"/>
            <w:gridSpan w:val="2"/>
            <w:noWrap w:val="0"/>
            <w:vAlign w:val="center"/>
          </w:tcPr>
          <w:p w14:paraId="1B1ABB8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4"/>
                <w:highlight w:val="yellow"/>
              </w:rPr>
            </w:pPr>
            <w:r>
              <w:rPr>
                <w:rFonts w:hint="eastAsia" w:cs="Times New Roman"/>
                <w:color w:val="000000"/>
                <w:sz w:val="24"/>
                <w:highlight w:val="none"/>
                <w:lang w:val="en-US" w:eastAsia="zh-CN"/>
              </w:rPr>
              <w:t>6</w:t>
            </w:r>
            <w:r>
              <w:rPr>
                <w:rFonts w:hint="default" w:ascii="Times New Roman" w:hAnsi="Times New Roman" w:cs="Times New Roman"/>
                <w:color w:val="000000"/>
                <w:sz w:val="24"/>
                <w:highlight w:val="none"/>
              </w:rPr>
              <w:t>个月</w:t>
            </w:r>
          </w:p>
        </w:tc>
      </w:tr>
      <w:tr w14:paraId="3B9F6B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567" w:hRule="atLeast"/>
          <w:jc w:val="center"/>
        </w:trPr>
        <w:tc>
          <w:tcPr>
            <w:tcW w:w="2184" w:type="dxa"/>
            <w:gridSpan w:val="2"/>
            <w:noWrap w:val="0"/>
            <w:tcMar>
              <w:top w:w="16" w:type="dxa"/>
              <w:left w:w="16" w:type="dxa"/>
              <w:right w:w="16" w:type="dxa"/>
            </w:tcMar>
            <w:vAlign w:val="center"/>
          </w:tcPr>
          <w:p w14:paraId="0A08D638">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hAnsi="宋体"/>
                <w:sz w:val="24"/>
              </w:rPr>
              <w:t>是否开工建设</w:t>
            </w:r>
          </w:p>
        </w:tc>
        <w:tc>
          <w:tcPr>
            <w:tcW w:w="2505" w:type="dxa"/>
            <w:noWrap w:val="0"/>
            <w:vAlign w:val="center"/>
          </w:tcPr>
          <w:p w14:paraId="17C076F4">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sz w:val="24"/>
                <w:highlight w:val="none"/>
              </w:rPr>
            </w:pP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rPr>
              <w:t>否</w:t>
            </w:r>
          </w:p>
          <w:p w14:paraId="4EC80198">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sz w:val="24"/>
                <w:highlight w:val="none"/>
              </w:rPr>
            </w:pPr>
            <w:r>
              <w:rPr>
                <w:rFonts w:hint="eastAsia" w:ascii="Times New Roman" w:hAnsi="Times New Roman" w:cs="Times New Roman"/>
                <w:sz w:val="24"/>
                <w:highlight w:val="none"/>
                <w:lang w:eastAsia="zh-CN"/>
              </w:rPr>
              <w:t>□</w:t>
            </w:r>
            <w:r>
              <w:rPr>
                <w:rFonts w:hint="default" w:ascii="Times New Roman" w:hAnsi="Times New Roman" w:cs="Times New Roman"/>
                <w:sz w:val="24"/>
                <w:highlight w:val="none"/>
              </w:rPr>
              <w:t>是：</w:t>
            </w:r>
            <w:r>
              <w:rPr>
                <w:rFonts w:hint="default" w:ascii="Times New Roman" w:hAnsi="Times New Roman" w:cs="Times New Roman"/>
                <w:sz w:val="24"/>
                <w:highlight w:val="none"/>
                <w:u w:val="single"/>
              </w:rPr>
              <w:t xml:space="preserve">             </w:t>
            </w:r>
          </w:p>
        </w:tc>
        <w:tc>
          <w:tcPr>
            <w:tcW w:w="1958" w:type="dxa"/>
            <w:noWrap w:val="0"/>
            <w:tcMar>
              <w:top w:w="16" w:type="dxa"/>
              <w:left w:w="16" w:type="dxa"/>
              <w:right w:w="16" w:type="dxa"/>
            </w:tcMar>
            <w:vAlign w:val="center"/>
          </w:tcPr>
          <w:p w14:paraId="680F2E7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spacing w:val="-6"/>
                <w:sz w:val="24"/>
                <w:highlight w:val="none"/>
              </w:rPr>
            </w:pPr>
            <w:r>
              <w:rPr>
                <w:rFonts w:hint="default" w:ascii="Times New Roman" w:hAnsi="Times New Roman" w:cs="Times New Roman"/>
                <w:spacing w:val="-6"/>
                <w:sz w:val="24"/>
                <w:highlight w:val="none"/>
              </w:rPr>
              <w:t>用地面积（m</w:t>
            </w:r>
            <w:r>
              <w:rPr>
                <w:rFonts w:hint="default" w:ascii="Times New Roman" w:hAnsi="Times New Roman" w:cs="Times New Roman"/>
                <w:spacing w:val="-6"/>
                <w:sz w:val="24"/>
                <w:highlight w:val="none"/>
                <w:vertAlign w:val="superscript"/>
              </w:rPr>
              <w:t>2</w:t>
            </w:r>
            <w:r>
              <w:rPr>
                <w:rFonts w:hint="default" w:ascii="Times New Roman" w:hAnsi="Times New Roman" w:cs="Times New Roman"/>
                <w:spacing w:val="-6"/>
                <w:sz w:val="24"/>
                <w:highlight w:val="none"/>
              </w:rPr>
              <w:t>）</w:t>
            </w:r>
          </w:p>
        </w:tc>
        <w:tc>
          <w:tcPr>
            <w:tcW w:w="3107" w:type="dxa"/>
            <w:gridSpan w:val="2"/>
            <w:noWrap w:val="0"/>
            <w:vAlign w:val="center"/>
          </w:tcPr>
          <w:p w14:paraId="2F61B1B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highlight w:val="none"/>
                <w:lang w:val="en-US" w:eastAsia="zh-CN"/>
              </w:rPr>
            </w:pPr>
            <w:r>
              <w:rPr>
                <w:rFonts w:hint="eastAsia" w:cs="Times New Roman"/>
                <w:sz w:val="24"/>
                <w:highlight w:val="none"/>
                <w:lang w:val="en-US" w:eastAsia="zh-CN"/>
              </w:rPr>
              <w:t>0</w:t>
            </w:r>
          </w:p>
        </w:tc>
      </w:tr>
      <w:tr w14:paraId="71CA5D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Before w:val="1"/>
          <w:wBefore w:w="92" w:type="dxa"/>
          <w:trHeight w:val="647" w:hRule="atLeast"/>
          <w:jc w:val="center"/>
        </w:trPr>
        <w:tc>
          <w:tcPr>
            <w:tcW w:w="2184" w:type="dxa"/>
            <w:gridSpan w:val="2"/>
            <w:noWrap w:val="0"/>
            <w:vAlign w:val="center"/>
          </w:tcPr>
          <w:p w14:paraId="2D38F81C">
            <w:pPr>
              <w:keepNext w:val="0"/>
              <w:keepLines w:val="0"/>
              <w:suppressLineNumbers w:val="0"/>
              <w:autoSpaceDE w:val="0"/>
              <w:autoSpaceDN w:val="0"/>
              <w:adjustRightInd w:val="0"/>
              <w:snapToGrid w:val="0"/>
              <w:spacing w:before="0" w:beforeAutospacing="0" w:after="0" w:afterAutospacing="0"/>
              <w:ind w:left="0" w:right="0"/>
              <w:jc w:val="center"/>
              <w:rPr>
                <w:rFonts w:hint="default"/>
                <w:kern w:val="0"/>
                <w:sz w:val="24"/>
              </w:rPr>
            </w:pPr>
            <w:r>
              <w:rPr>
                <w:rFonts w:hint="default" w:hAnsi="宋体"/>
                <w:kern w:val="0"/>
                <w:sz w:val="24"/>
              </w:rPr>
              <w:t>专项评价设置情况</w:t>
            </w:r>
          </w:p>
        </w:tc>
        <w:tc>
          <w:tcPr>
            <w:tcW w:w="7570" w:type="dxa"/>
            <w:gridSpan w:val="4"/>
            <w:noWrap w:val="0"/>
            <w:vAlign w:val="center"/>
          </w:tcPr>
          <w:p w14:paraId="4860B033">
            <w:pPr>
              <w:keepNext w:val="0"/>
              <w:keepLines w:val="0"/>
              <w:suppressLineNumbers w:val="0"/>
              <w:autoSpaceDE w:val="0"/>
              <w:autoSpaceDN w:val="0"/>
              <w:adjustRightInd w:val="0"/>
              <w:snapToGrid w:val="0"/>
              <w:spacing w:before="0" w:beforeAutospacing="0" w:after="0" w:afterAutospacing="0"/>
              <w:ind w:left="0" w:right="0"/>
              <w:jc w:val="center"/>
              <w:rPr>
                <w:rFonts w:hint="eastAsia"/>
                <w:kern w:val="0"/>
                <w:sz w:val="24"/>
                <w:lang w:val="en-US" w:eastAsia="zh-CN"/>
              </w:rPr>
            </w:pPr>
            <w:r>
              <w:rPr>
                <w:rFonts w:hint="eastAsia"/>
                <w:kern w:val="0"/>
                <w:sz w:val="24"/>
                <w:lang w:val="en-US" w:eastAsia="zh-CN"/>
              </w:rPr>
              <w:t>无</w:t>
            </w:r>
          </w:p>
        </w:tc>
      </w:tr>
      <w:tr w14:paraId="50C0D9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Before w:val="1"/>
          <w:wBefore w:w="92" w:type="dxa"/>
          <w:trHeight w:val="617" w:hRule="atLeast"/>
          <w:jc w:val="center"/>
        </w:trPr>
        <w:tc>
          <w:tcPr>
            <w:tcW w:w="2184" w:type="dxa"/>
            <w:gridSpan w:val="2"/>
            <w:noWrap w:val="0"/>
            <w:vAlign w:val="center"/>
          </w:tcPr>
          <w:p w14:paraId="637566E0">
            <w:pPr>
              <w:keepNext w:val="0"/>
              <w:keepLines w:val="0"/>
              <w:suppressLineNumbers w:val="0"/>
              <w:autoSpaceDE w:val="0"/>
              <w:autoSpaceDN w:val="0"/>
              <w:adjustRightInd w:val="0"/>
              <w:snapToGrid w:val="0"/>
              <w:spacing w:before="0" w:beforeAutospacing="0" w:after="0" w:afterAutospacing="0"/>
              <w:ind w:left="0" w:right="0"/>
              <w:jc w:val="center"/>
              <w:rPr>
                <w:rFonts w:hint="default"/>
                <w:kern w:val="0"/>
                <w:sz w:val="24"/>
              </w:rPr>
            </w:pPr>
            <w:r>
              <w:rPr>
                <w:rFonts w:hint="default" w:hAnsi="宋体"/>
                <w:sz w:val="24"/>
              </w:rPr>
              <w:t>规划情况</w:t>
            </w:r>
          </w:p>
        </w:tc>
        <w:tc>
          <w:tcPr>
            <w:tcW w:w="7570" w:type="dxa"/>
            <w:gridSpan w:val="4"/>
            <w:noWrap w:val="0"/>
            <w:vAlign w:val="center"/>
          </w:tcPr>
          <w:p w14:paraId="214471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val="0"/>
                <w:color w:val="000000" w:themeColor="text1"/>
                <w:sz w:val="24"/>
                <w:szCs w:val="24"/>
                <w:u w:val="none"/>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14:textFill>
                  <w14:solidFill>
                    <w14:schemeClr w14:val="tx1"/>
                  </w14:solidFill>
                </w14:textFill>
              </w:rPr>
              <w:t>1、规划文件名称：《新乡县智能制造产业园区总体发展规划（2021-2035）》</w:t>
            </w:r>
          </w:p>
          <w:p w14:paraId="7846EC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val="0"/>
                <w:color w:val="000000" w:themeColor="text1"/>
                <w:sz w:val="24"/>
                <w:szCs w:val="24"/>
                <w:u w:val="none"/>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14:textFill>
                  <w14:solidFill>
                    <w14:schemeClr w14:val="tx1"/>
                  </w14:solidFill>
                </w14:textFill>
              </w:rPr>
              <w:t>2、审批机关：新乡县发展和改革委员会</w:t>
            </w:r>
          </w:p>
          <w:p w14:paraId="13BB79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cs="Times New Roman"/>
                <w:sz w:val="24"/>
                <w:szCs w:val="24"/>
                <w:lang w:val="en-US" w:eastAsia="zh-CN"/>
              </w:rPr>
            </w:pPr>
            <w:r>
              <w:rPr>
                <w:rFonts w:hint="default" w:ascii="Times New Roman" w:hAnsi="Times New Roman" w:eastAsia="宋体" w:cs="Times New Roman"/>
                <w:b w:val="0"/>
                <w:bCs w:val="0"/>
                <w:color w:val="000000" w:themeColor="text1"/>
                <w:sz w:val="24"/>
                <w:szCs w:val="24"/>
                <w:u w:val="none"/>
                <w14:textFill>
                  <w14:solidFill>
                    <w14:schemeClr w14:val="tx1"/>
                  </w14:solidFill>
                </w14:textFill>
              </w:rPr>
              <w:t>3、审批文件名称及文号：《新乡县智能制造产业园区总体发展规划（2021-2035）》</w:t>
            </w:r>
            <w:r>
              <w:rPr>
                <w:rFonts w:hint="eastAsia" w:cs="Times New Roman"/>
                <w:b w:val="0"/>
                <w:bCs w:val="0"/>
                <w:color w:val="000000" w:themeColor="text1"/>
                <w:sz w:val="24"/>
                <w:szCs w:val="24"/>
                <w:u w:val="none"/>
                <w:lang w:val="en-US" w:eastAsia="zh-CN"/>
                <w14:textFill>
                  <w14:solidFill>
                    <w14:schemeClr w14:val="tx1"/>
                  </w14:solidFill>
                </w14:textFill>
              </w:rPr>
              <w:t>的批复</w:t>
            </w:r>
            <w:r>
              <w:rPr>
                <w:rFonts w:hint="default" w:ascii="Times New Roman" w:hAnsi="Times New Roman" w:eastAsia="宋体" w:cs="Times New Roman"/>
                <w:b w:val="0"/>
                <w:bCs w:val="0"/>
                <w:color w:val="000000" w:themeColor="text1"/>
                <w:sz w:val="24"/>
                <w:szCs w:val="24"/>
                <w:u w:val="none"/>
                <w14:textFill>
                  <w14:solidFill>
                    <w14:schemeClr w14:val="tx1"/>
                  </w14:solidFill>
                </w14:textFill>
              </w:rPr>
              <w:t>，</w:t>
            </w:r>
            <w:r>
              <w:rPr>
                <w:rFonts w:hint="eastAsia" w:cs="Times New Roman"/>
                <w:b w:val="0"/>
                <w:bCs w:val="0"/>
                <w:color w:val="000000" w:themeColor="text1"/>
                <w:sz w:val="24"/>
                <w:szCs w:val="24"/>
                <w:u w:val="none"/>
                <w:lang w:val="en-US" w:eastAsia="zh-CN"/>
                <w14:textFill>
                  <w14:solidFill>
                    <w14:schemeClr w14:val="tx1"/>
                  </w14:solidFill>
                </w14:textFill>
              </w:rPr>
              <w:t>批文文号：新发改[2020]146号</w:t>
            </w:r>
          </w:p>
        </w:tc>
      </w:tr>
      <w:tr w14:paraId="12E1F3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Before w:val="1"/>
          <w:wBefore w:w="92" w:type="dxa"/>
          <w:trHeight w:val="872" w:hRule="atLeast"/>
          <w:jc w:val="center"/>
        </w:trPr>
        <w:tc>
          <w:tcPr>
            <w:tcW w:w="2184" w:type="dxa"/>
            <w:gridSpan w:val="2"/>
            <w:noWrap w:val="0"/>
            <w:vAlign w:val="center"/>
          </w:tcPr>
          <w:p w14:paraId="142FCA20">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hAnsi="宋体"/>
                <w:sz w:val="24"/>
              </w:rPr>
              <w:t>规划环境影响</w:t>
            </w:r>
          </w:p>
          <w:p w14:paraId="6FC8D6BE">
            <w:pPr>
              <w:keepNext w:val="0"/>
              <w:keepLines w:val="0"/>
              <w:suppressLineNumbers w:val="0"/>
              <w:adjustRightInd w:val="0"/>
              <w:snapToGrid w:val="0"/>
              <w:spacing w:before="0" w:beforeAutospacing="0" w:after="0" w:afterAutospacing="0"/>
              <w:ind w:left="0" w:right="0"/>
              <w:jc w:val="center"/>
              <w:rPr>
                <w:rFonts w:hint="default"/>
                <w:kern w:val="0"/>
                <w:sz w:val="24"/>
              </w:rPr>
            </w:pPr>
            <w:r>
              <w:rPr>
                <w:rFonts w:hint="default" w:hAnsi="宋体"/>
                <w:sz w:val="24"/>
              </w:rPr>
              <w:t>评价情况</w:t>
            </w:r>
          </w:p>
        </w:tc>
        <w:tc>
          <w:tcPr>
            <w:tcW w:w="7570" w:type="dxa"/>
            <w:gridSpan w:val="4"/>
            <w:noWrap w:val="0"/>
            <w:vAlign w:val="center"/>
          </w:tcPr>
          <w:p w14:paraId="1761EB1D">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40" w:lineRule="auto"/>
              <w:ind w:left="0" w:right="0" w:firstLine="0" w:firstLineChars="0"/>
              <w:jc w:val="both"/>
              <w:textAlignment w:val="auto"/>
              <w:rPr>
                <w:rFonts w:hint="default" w:ascii="Times New Roman" w:hAnsi="Times New Roman" w:eastAsia="宋体" w:cs="Times New Roman"/>
                <w:b w:val="0"/>
                <w:bCs w:val="0"/>
                <w:color w:val="000000" w:themeColor="text1"/>
                <w:sz w:val="24"/>
                <w:szCs w:val="24"/>
                <w:u w:val="none"/>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14:textFill>
                  <w14:solidFill>
                    <w14:schemeClr w14:val="tx1"/>
                  </w14:solidFill>
                </w14:textFill>
              </w:rPr>
              <w:t>1、规划环境影响评价文件：《新乡县智能制造产业园区总体发展规划（202</w:t>
            </w:r>
            <w:r>
              <w:rPr>
                <w:rFonts w:hint="default" w:ascii="Times New Roman" w:hAnsi="Times New Roman" w:eastAsia="宋体" w:cs="Times New Roman"/>
                <w:b w:val="0"/>
                <w:bCs w:val="0"/>
                <w:color w:val="000000" w:themeColor="text1"/>
                <w:sz w:val="24"/>
                <w:szCs w:val="24"/>
                <w:u w:val="none"/>
                <w14:textFill>
                  <w14:solidFill>
                    <w14:schemeClr w14:val="tx1"/>
                  </w14:solidFill>
                </w14:textFill>
              </w:rPr>
              <w:t>1</w:t>
            </w:r>
            <w:r>
              <w:rPr>
                <w:rFonts w:hint="eastAsia" w:ascii="Times New Roman" w:hAnsi="Times New Roman" w:eastAsia="宋体" w:cs="Times New Roman"/>
                <w:b w:val="0"/>
                <w:bCs w:val="0"/>
                <w:color w:val="000000" w:themeColor="text1"/>
                <w:sz w:val="24"/>
                <w:szCs w:val="24"/>
                <w:u w:val="none"/>
                <w14:textFill>
                  <w14:solidFill>
                    <w14:schemeClr w14:val="tx1"/>
                  </w14:solidFill>
                </w14:textFill>
              </w:rPr>
              <w:t>-2035）环境影响报告书》</w:t>
            </w:r>
          </w:p>
          <w:p w14:paraId="14C1BA50">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40" w:lineRule="auto"/>
              <w:ind w:left="0" w:right="0" w:firstLine="0" w:firstLineChars="0"/>
              <w:jc w:val="both"/>
              <w:textAlignment w:val="auto"/>
              <w:rPr>
                <w:rFonts w:hint="default" w:ascii="Times New Roman" w:hAnsi="Times New Roman" w:eastAsia="宋体" w:cs="Times New Roman"/>
                <w:b w:val="0"/>
                <w:bCs w:val="0"/>
                <w:color w:val="000000" w:themeColor="text1"/>
                <w:sz w:val="24"/>
                <w:szCs w:val="24"/>
                <w:u w:val="none"/>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14:textFill>
                  <w14:solidFill>
                    <w14:schemeClr w14:val="tx1"/>
                  </w14:solidFill>
                </w14:textFill>
              </w:rPr>
              <w:t>2、召集审查机关：新乡市生态环境局新乡县分局</w:t>
            </w:r>
          </w:p>
          <w:p w14:paraId="5B0F6D95">
            <w:pPr>
              <w:keepNext w:val="0"/>
              <w:keepLines w:val="0"/>
              <w:suppressLineNumbers w:val="0"/>
              <w:bidi w:val="0"/>
              <w:spacing w:before="0" w:beforeAutospacing="0" w:after="0" w:afterAutospacing="0" w:line="240" w:lineRule="auto"/>
              <w:ind w:left="0" w:right="0"/>
              <w:jc w:val="both"/>
              <w:rPr>
                <w:rFonts w:hint="eastAsia" w:eastAsia="宋体"/>
                <w:kern w:val="0"/>
                <w:lang w:eastAsia="zh-CN"/>
              </w:rPr>
            </w:pPr>
            <w:r>
              <w:rPr>
                <w:rFonts w:hint="eastAsia" w:ascii="Times New Roman" w:hAnsi="Times New Roman" w:eastAsia="宋体" w:cs="Times New Roman"/>
                <w:b w:val="0"/>
                <w:bCs w:val="0"/>
                <w:color w:val="000000" w:themeColor="text1"/>
                <w:sz w:val="24"/>
                <w:szCs w:val="24"/>
                <w:u w:val="none"/>
                <w14:textFill>
                  <w14:solidFill>
                    <w14:schemeClr w14:val="tx1"/>
                  </w14:solidFill>
                </w14:textFill>
              </w:rPr>
              <w:t>3、审批文件名称及文号：《新乡县智能制造产业园区总体发展规划（202</w:t>
            </w:r>
            <w:r>
              <w:rPr>
                <w:rFonts w:hint="default" w:ascii="Times New Roman" w:hAnsi="Times New Roman" w:eastAsia="宋体" w:cs="Times New Roman"/>
                <w:b w:val="0"/>
                <w:bCs w:val="0"/>
                <w:color w:val="000000" w:themeColor="text1"/>
                <w:sz w:val="24"/>
                <w:szCs w:val="24"/>
                <w:u w:val="none"/>
                <w14:textFill>
                  <w14:solidFill>
                    <w14:schemeClr w14:val="tx1"/>
                  </w14:solidFill>
                </w14:textFill>
              </w:rPr>
              <w:t>1</w:t>
            </w:r>
            <w:r>
              <w:rPr>
                <w:rFonts w:hint="eastAsia" w:ascii="Times New Roman" w:hAnsi="Times New Roman" w:eastAsia="宋体" w:cs="Times New Roman"/>
                <w:b w:val="0"/>
                <w:bCs w:val="0"/>
                <w:color w:val="000000" w:themeColor="text1"/>
                <w:sz w:val="24"/>
                <w:szCs w:val="24"/>
                <w:u w:val="none"/>
                <w14:textFill>
                  <w14:solidFill>
                    <w14:schemeClr w14:val="tx1"/>
                  </w14:solidFill>
                </w14:textFill>
              </w:rPr>
              <w:t>-2035）环境影响报告书</w:t>
            </w:r>
            <w:r>
              <w:rPr>
                <w:rFonts w:hint="eastAsia" w:cs="Times New Roman"/>
                <w:b w:val="0"/>
                <w:bCs w:val="0"/>
                <w:color w:val="000000" w:themeColor="text1"/>
                <w:sz w:val="24"/>
                <w:szCs w:val="24"/>
                <w:u w:val="none"/>
                <w:lang w:val="en-US" w:eastAsia="zh-CN"/>
                <w14:textFill>
                  <w14:solidFill>
                    <w14:schemeClr w14:val="tx1"/>
                  </w14:solidFill>
                </w14:textFill>
              </w:rPr>
              <w:t>的审查意见</w:t>
            </w:r>
            <w:r>
              <w:rPr>
                <w:rFonts w:hint="eastAsia" w:ascii="Times New Roman" w:hAnsi="Times New Roman" w:eastAsia="宋体" w:cs="Times New Roman"/>
                <w:b w:val="0"/>
                <w:bCs w:val="0"/>
                <w:color w:val="000000" w:themeColor="text1"/>
                <w:sz w:val="24"/>
                <w:szCs w:val="24"/>
                <w:u w:val="none"/>
                <w14:textFill>
                  <w14:solidFill>
                    <w14:schemeClr w14:val="tx1"/>
                  </w14:solidFill>
                </w14:textFill>
              </w:rPr>
              <w:t>》，</w:t>
            </w:r>
            <w:r>
              <w:rPr>
                <w:rFonts w:hint="eastAsia" w:cs="Times New Roman"/>
                <w:b w:val="0"/>
                <w:bCs w:val="0"/>
                <w:color w:val="000000" w:themeColor="text1"/>
                <w:sz w:val="24"/>
                <w:szCs w:val="24"/>
                <w:u w:val="none"/>
                <w:lang w:val="en-US" w:eastAsia="zh-CN"/>
                <w14:textFill>
                  <w14:solidFill>
                    <w14:schemeClr w14:val="tx1"/>
                  </w14:solidFill>
                </w14:textFill>
              </w:rPr>
              <w:t>新环书审查[2023]1号</w:t>
            </w:r>
          </w:p>
        </w:tc>
      </w:tr>
      <w:tr w14:paraId="1B9517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Before w:val="1"/>
          <w:wBefore w:w="92" w:type="dxa"/>
          <w:trHeight w:val="822" w:hRule="atLeast"/>
          <w:jc w:val="center"/>
        </w:trPr>
        <w:tc>
          <w:tcPr>
            <w:tcW w:w="2184" w:type="dxa"/>
            <w:gridSpan w:val="2"/>
            <w:noWrap w:val="0"/>
            <w:vAlign w:val="center"/>
          </w:tcPr>
          <w:p w14:paraId="6C4A887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kern w:val="0"/>
                <w:sz w:val="24"/>
              </w:rPr>
            </w:pPr>
            <w:r>
              <w:rPr>
                <w:rFonts w:hint="default" w:hAnsi="宋体"/>
                <w:kern w:val="0"/>
                <w:sz w:val="24"/>
              </w:rPr>
              <w:t>规划及规划环境影响评价符合性分析</w:t>
            </w:r>
          </w:p>
        </w:tc>
        <w:tc>
          <w:tcPr>
            <w:tcW w:w="7570" w:type="dxa"/>
            <w:gridSpan w:val="4"/>
            <w:noWrap w:val="0"/>
            <w:vAlign w:val="center"/>
          </w:tcPr>
          <w:p w14:paraId="050323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jc w:val="both"/>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b/>
                <w:bCs/>
                <w:color w:val="000000" w:themeColor="text1"/>
                <w:lang w:val="en-US" w:eastAsia="zh-CN"/>
                <w14:textFill>
                  <w14:solidFill>
                    <w14:schemeClr w14:val="tx1"/>
                  </w14:solidFill>
                </w14:textFill>
              </w:rPr>
              <w:t>1、</w:t>
            </w:r>
            <w:r>
              <w:rPr>
                <w:rFonts w:hint="eastAsia"/>
                <w:b/>
                <w:bCs/>
                <w:color w:val="000000" w:themeColor="text1"/>
                <w14:textFill>
                  <w14:solidFill>
                    <w14:schemeClr w14:val="tx1"/>
                  </w14:solidFill>
                </w14:textFill>
              </w:rPr>
              <w:t>本项目</w:t>
            </w:r>
            <w:r>
              <w:rPr>
                <w:rFonts w:hint="eastAsia" w:ascii="Times New Roman" w:hAnsi="Times New Roman" w:eastAsia="宋体" w:cs="Times New Roman"/>
                <w:b/>
                <w:bCs/>
                <w:color w:val="000000" w:themeColor="text1"/>
                <w:lang w:val="en-US" w:eastAsia="zh-CN"/>
                <w14:textFill>
                  <w14:solidFill>
                    <w14:schemeClr w14:val="tx1"/>
                  </w14:solidFill>
                </w14:textFill>
              </w:rPr>
              <w:t>与新乡县智能制造产业园区准入条件和负面清单</w:t>
            </w:r>
            <w:r>
              <w:rPr>
                <w:rFonts w:hint="default" w:ascii="Times New Roman" w:hAnsi="Times New Roman" w:eastAsia="宋体" w:cs="Times New Roman"/>
                <w:b/>
                <w:bCs/>
                <w:color w:val="000000" w:themeColor="text1"/>
                <w:lang w:val="en-US" w:eastAsia="zh-CN"/>
                <w14:textFill>
                  <w14:solidFill>
                    <w14:schemeClr w14:val="tx1"/>
                  </w14:solidFill>
                </w14:textFill>
              </w:rPr>
              <w:t>相符性分析</w:t>
            </w:r>
          </w:p>
          <w:p w14:paraId="070026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color w:val="000000" w:themeColor="text1"/>
                <w14:textFill>
                  <w14:solidFill>
                    <w14:schemeClr w14:val="tx1"/>
                  </w14:solidFill>
                </w14:textFill>
              </w:rPr>
            </w:pPr>
            <w:r>
              <w:rPr>
                <w:rFonts w:hint="default"/>
                <w:color w:val="000000" w:themeColor="text1"/>
                <w:lang w:val="zh-CN"/>
                <w14:textFill>
                  <w14:solidFill>
                    <w14:schemeClr w14:val="tx1"/>
                  </w14:solidFill>
                </w14:textFill>
              </w:rPr>
              <w:t>本项目</w:t>
            </w:r>
            <w:r>
              <w:rPr>
                <w:rFonts w:hint="eastAsia"/>
                <w:color w:val="000000" w:themeColor="text1"/>
                <w:lang w:val="zh-CN"/>
                <w14:textFill>
                  <w14:solidFill>
                    <w14:schemeClr w14:val="tx1"/>
                  </w14:solidFill>
                </w14:textFill>
              </w:rPr>
              <w:t>厂址位于</w:t>
            </w:r>
            <w:r>
              <w:rPr>
                <w:rFonts w:hint="eastAsia"/>
                <w:color w:val="000000" w:themeColor="text1"/>
                <w:lang w:val="en-US" w:eastAsia="zh-CN"/>
                <w14:textFill>
                  <w14:solidFill>
                    <w14:schemeClr w14:val="tx1"/>
                  </w14:solidFill>
                </w14:textFill>
              </w:rPr>
              <w:t>河南省新乡市新乡县经济开发区兴隆路西段</w:t>
            </w:r>
            <w:r>
              <w:rPr>
                <w:rFonts w:hint="eastAsia"/>
                <w:color w:val="000000" w:themeColor="text1"/>
                <w:lang w:val="zh-CN"/>
                <w14:textFill>
                  <w14:solidFill>
                    <w14:schemeClr w14:val="tx1"/>
                  </w14:solidFill>
                </w14:textFill>
              </w:rPr>
              <w:t>，项目与</w:t>
            </w:r>
            <w:r>
              <w:rPr>
                <w:rFonts w:hint="eastAsia"/>
                <w:color w:val="000000" w:themeColor="text1"/>
                <w:lang w:val="en-US" w:eastAsia="zh-CN"/>
                <w14:textFill>
                  <w14:solidFill>
                    <w14:schemeClr w14:val="tx1"/>
                  </w14:solidFill>
                </w14:textFill>
              </w:rPr>
              <w:t>新乡县</w:t>
            </w:r>
            <w:r>
              <w:rPr>
                <w:rFonts w:hint="eastAsia"/>
                <w:color w:val="000000" w:themeColor="text1"/>
                <w:szCs w:val="21"/>
                <w:u w:val="none"/>
                <w:lang w:eastAsia="zh-CN"/>
                <w14:textFill>
                  <w14:solidFill>
                    <w14:schemeClr w14:val="tx1"/>
                  </w14:solidFill>
                </w14:textFill>
              </w:rPr>
              <w:t>智能制造产业园区</w:t>
            </w:r>
            <w:r>
              <w:rPr>
                <w:rFonts w:hint="eastAsia"/>
                <w:color w:val="000000" w:themeColor="text1"/>
                <w:lang w:val="zh-CN"/>
                <w14:textFill>
                  <w14:solidFill>
                    <w14:schemeClr w14:val="tx1"/>
                  </w14:solidFill>
                </w14:textFill>
              </w:rPr>
              <w:t>准入条件对照分析如下</w:t>
            </w:r>
            <w:r>
              <w:rPr>
                <w:rFonts w:hint="eastAsia"/>
                <w:color w:val="000000" w:themeColor="text1"/>
                <w:lang w:val="en-US" w:eastAsia="zh-CN"/>
                <w14:textFill>
                  <w14:solidFill>
                    <w14:schemeClr w14:val="tx1"/>
                  </w14:solidFill>
                </w14:textFill>
              </w:rPr>
              <w:t>表</w:t>
            </w:r>
            <w:r>
              <w:rPr>
                <w:rFonts w:hint="eastAsia"/>
                <w:color w:val="000000" w:themeColor="text1"/>
                <w:lang w:val="zh-CN"/>
                <w14:textFill>
                  <w14:solidFill>
                    <w14:schemeClr w14:val="tx1"/>
                  </w14:solidFill>
                </w14:textFill>
              </w:rPr>
              <w:t>。</w:t>
            </w:r>
          </w:p>
          <w:p w14:paraId="77E792F7">
            <w:pPr>
              <w:pStyle w:val="7"/>
              <w:keepNext w:val="0"/>
              <w:keepLines w:val="0"/>
              <w:suppressLineNumbers w:val="0"/>
              <w:spacing w:before="0" w:beforeAutospacing="0" w:after="0" w:afterAutospacing="0"/>
              <w:ind w:left="0" w:right="0"/>
              <w:rPr>
                <w:rFonts w:hint="eastAsia" w:eastAsia="宋体"/>
                <w:color w:val="000000" w:themeColor="text1"/>
                <w:u w:val="none"/>
                <w:lang w:eastAsia="zh-CN"/>
                <w14:textFill>
                  <w14:solidFill>
                    <w14:schemeClr w14:val="tx1"/>
                  </w14:solidFill>
                </w14:textFill>
              </w:rPr>
            </w:pPr>
            <w:r>
              <w:rPr>
                <w:rFonts w:hint="default"/>
                <w:color w:val="000000" w:themeColor="text1"/>
                <w:u w:val="none"/>
                <w14:textFill>
                  <w14:solidFill>
                    <w14:schemeClr w14:val="tx1"/>
                  </w14:solidFill>
                </w14:textFill>
              </w:rPr>
              <w:t xml:space="preserve">表 </w:t>
            </w:r>
            <w:r>
              <w:rPr>
                <w:rFonts w:hint="eastAsia"/>
                <w:color w:val="000000" w:themeColor="text1"/>
                <w:u w:val="none"/>
                <w:lang w:val="en-US" w:eastAsia="zh-CN"/>
                <w14:textFill>
                  <w14:solidFill>
                    <w14:schemeClr w14:val="tx1"/>
                  </w14:solidFill>
                </w14:textFill>
              </w:rPr>
              <w:t>1</w:t>
            </w:r>
            <w:r>
              <w:rPr>
                <w:rFonts w:hint="eastAsia"/>
                <w:color w:val="000000" w:themeColor="text1"/>
                <w:u w:val="none"/>
                <w:lang w:eastAsia="zh-CN"/>
                <w14:textFill>
                  <w14:solidFill>
                    <w14:schemeClr w14:val="tx1"/>
                  </w14:solidFill>
                </w14:textFill>
              </w:rPr>
              <w:t xml:space="preserve">    </w:t>
            </w:r>
            <w:r>
              <w:rPr>
                <w:rFonts w:hint="eastAsia"/>
                <w:color w:val="000000" w:themeColor="text1"/>
                <w:lang w:eastAsia="zh-CN"/>
                <w14:textFill>
                  <w14:solidFill>
                    <w14:schemeClr w14:val="tx1"/>
                  </w14:solidFill>
                </w14:textFill>
              </w:rPr>
              <w:t>项目与</w:t>
            </w:r>
            <w:r>
              <w:rPr>
                <w:rFonts w:hint="eastAsia"/>
                <w:color w:val="000000" w:themeColor="text1"/>
                <w:lang w:val="en-US" w:eastAsia="zh-CN"/>
                <w14:textFill>
                  <w14:solidFill>
                    <w14:schemeClr w14:val="tx1"/>
                  </w14:solidFill>
                </w14:textFill>
              </w:rPr>
              <w:t>园区</w:t>
            </w:r>
            <w:r>
              <w:rPr>
                <w:rFonts w:hint="eastAsia"/>
                <w:color w:val="000000" w:themeColor="text1"/>
                <w:lang w:eastAsia="zh-CN"/>
                <w14:textFill>
                  <w14:solidFill>
                    <w14:schemeClr w14:val="tx1"/>
                  </w14:solidFill>
                </w14:textFill>
              </w:rPr>
              <w:t>准入条件对照情况一览表</w:t>
            </w:r>
          </w:p>
          <w:tbl>
            <w:tblPr>
              <w:tblStyle w:val="24"/>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0"/>
              <w:gridCol w:w="3510"/>
              <w:gridCol w:w="2968"/>
              <w:gridCol w:w="662"/>
            </w:tblGrid>
            <w:tr w14:paraId="6DABED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tcBorders>
                    <w:top w:val="single" w:color="auto" w:sz="8" w:space="0"/>
                    <w:bottom w:val="single" w:color="auto" w:sz="8" w:space="0"/>
                  </w:tcBorders>
                  <w:noWrap w:val="0"/>
                  <w:vAlign w:val="center"/>
                </w:tcPr>
                <w:p w14:paraId="1A9D1381">
                  <w:pPr>
                    <w:pStyle w:val="51"/>
                    <w:keepNext w:val="0"/>
                    <w:keepLines w:val="0"/>
                    <w:suppressLineNumbers w:val="0"/>
                    <w:bidi w:val="0"/>
                    <w:spacing w:before="0" w:beforeAutospacing="0" w:after="0" w:afterAutospacing="0"/>
                    <w:ind w:left="0" w:right="0"/>
                    <w:jc w:val="center"/>
                    <w:rPr>
                      <w:rFonts w:hint="default"/>
                      <w:b/>
                      <w:bCs/>
                      <w:color w:val="000000" w:themeColor="text1"/>
                      <w:u w:val="none"/>
                      <w:lang w:val="en-US" w:eastAsia="zh-CN"/>
                      <w14:textFill>
                        <w14:solidFill>
                          <w14:schemeClr w14:val="tx1"/>
                        </w14:solidFill>
                      </w14:textFill>
                    </w:rPr>
                  </w:pPr>
                  <w:r>
                    <w:rPr>
                      <w:rFonts w:hint="eastAsia"/>
                      <w:b/>
                      <w:bCs/>
                      <w:color w:val="000000" w:themeColor="text1"/>
                      <w:u w:val="none"/>
                      <w:lang w:val="en-US" w:eastAsia="zh-CN"/>
                      <w14:textFill>
                        <w14:solidFill>
                          <w14:schemeClr w14:val="tx1"/>
                        </w14:solidFill>
                      </w14:textFill>
                    </w:rPr>
                    <w:t>类别</w:t>
                  </w:r>
                </w:p>
              </w:tc>
              <w:tc>
                <w:tcPr>
                  <w:tcW w:w="2244" w:type="pct"/>
                  <w:tcBorders>
                    <w:top w:val="single" w:color="auto" w:sz="8" w:space="0"/>
                    <w:bottom w:val="single" w:color="auto" w:sz="8" w:space="0"/>
                  </w:tcBorders>
                  <w:noWrap w:val="0"/>
                  <w:vAlign w:val="center"/>
                </w:tcPr>
                <w:p w14:paraId="2BB8F493">
                  <w:pPr>
                    <w:pStyle w:val="51"/>
                    <w:keepNext w:val="0"/>
                    <w:keepLines w:val="0"/>
                    <w:suppressLineNumbers w:val="0"/>
                    <w:bidi w:val="0"/>
                    <w:spacing w:before="0" w:beforeAutospacing="0" w:after="0" w:afterAutospacing="0"/>
                    <w:ind w:left="0" w:right="0"/>
                    <w:jc w:val="center"/>
                    <w:rPr>
                      <w:rFonts w:hint="eastAsia" w:eastAsia="宋体"/>
                      <w:b/>
                      <w:bCs/>
                      <w:color w:val="000000" w:themeColor="text1"/>
                      <w:u w:val="none"/>
                      <w:lang w:val="en-US" w:eastAsia="zh-CN"/>
                      <w14:textFill>
                        <w14:solidFill>
                          <w14:schemeClr w14:val="tx1"/>
                        </w14:solidFill>
                      </w14:textFill>
                    </w:rPr>
                  </w:pPr>
                  <w:r>
                    <w:rPr>
                      <w:rFonts w:hint="eastAsia"/>
                      <w:b/>
                      <w:bCs/>
                      <w:color w:val="000000" w:themeColor="text1"/>
                      <w:u w:val="none"/>
                      <w:lang w:val="en-US" w:eastAsia="zh-CN"/>
                      <w14:textFill>
                        <w14:solidFill>
                          <w14:schemeClr w14:val="tx1"/>
                        </w14:solidFill>
                      </w14:textFill>
                    </w:rPr>
                    <w:t>准入条件</w:t>
                  </w:r>
                </w:p>
              </w:tc>
              <w:tc>
                <w:tcPr>
                  <w:tcW w:w="1897" w:type="pct"/>
                  <w:tcBorders>
                    <w:top w:val="single" w:color="auto" w:sz="8" w:space="0"/>
                    <w:bottom w:val="single" w:color="auto" w:sz="8" w:space="0"/>
                  </w:tcBorders>
                  <w:noWrap w:val="0"/>
                  <w:vAlign w:val="center"/>
                </w:tcPr>
                <w:p w14:paraId="1BED612F">
                  <w:pPr>
                    <w:pStyle w:val="51"/>
                    <w:keepNext w:val="0"/>
                    <w:keepLines w:val="0"/>
                    <w:suppressLineNumbers w:val="0"/>
                    <w:bidi w:val="0"/>
                    <w:spacing w:before="0" w:beforeAutospacing="0" w:after="0" w:afterAutospacing="0"/>
                    <w:ind w:left="0" w:right="0"/>
                    <w:jc w:val="center"/>
                    <w:rPr>
                      <w:rFonts w:hint="default" w:eastAsia="宋体"/>
                      <w:b/>
                      <w:bCs/>
                      <w:color w:val="000000" w:themeColor="text1"/>
                      <w:u w:val="none"/>
                      <w:lang w:val="en-US" w:eastAsia="zh-CN"/>
                      <w14:textFill>
                        <w14:solidFill>
                          <w14:schemeClr w14:val="tx1"/>
                        </w14:solidFill>
                      </w14:textFill>
                    </w:rPr>
                  </w:pPr>
                  <w:r>
                    <w:rPr>
                      <w:rFonts w:hint="eastAsia"/>
                      <w:b/>
                      <w:bCs/>
                      <w:color w:val="000000" w:themeColor="text1"/>
                      <w:u w:val="none"/>
                      <w:lang w:val="en-US" w:eastAsia="zh-CN"/>
                      <w14:textFill>
                        <w14:solidFill>
                          <w14:schemeClr w14:val="tx1"/>
                        </w14:solidFill>
                      </w14:textFill>
                    </w:rPr>
                    <w:t>本项目情况</w:t>
                  </w:r>
                </w:p>
              </w:tc>
              <w:tc>
                <w:tcPr>
                  <w:tcW w:w="423" w:type="pct"/>
                  <w:tcBorders>
                    <w:top w:val="single" w:color="auto" w:sz="8" w:space="0"/>
                    <w:bottom w:val="single" w:color="auto" w:sz="8" w:space="0"/>
                  </w:tcBorders>
                  <w:noWrap w:val="0"/>
                  <w:vAlign w:val="center"/>
                </w:tcPr>
                <w:p w14:paraId="4AD9A271">
                  <w:pPr>
                    <w:pStyle w:val="51"/>
                    <w:keepNext w:val="0"/>
                    <w:keepLines w:val="0"/>
                    <w:suppressLineNumbers w:val="0"/>
                    <w:bidi w:val="0"/>
                    <w:spacing w:before="0" w:beforeAutospacing="0" w:after="0" w:afterAutospacing="0"/>
                    <w:ind w:left="0" w:right="0"/>
                    <w:jc w:val="center"/>
                    <w:rPr>
                      <w:rFonts w:hint="eastAsia" w:eastAsia="宋体"/>
                      <w:b/>
                      <w:bCs/>
                      <w:color w:val="000000" w:themeColor="text1"/>
                      <w:u w:val="none"/>
                      <w:lang w:val="en-US" w:eastAsia="zh-CN"/>
                      <w14:textFill>
                        <w14:solidFill>
                          <w14:schemeClr w14:val="tx1"/>
                        </w14:solidFill>
                      </w14:textFill>
                    </w:rPr>
                  </w:pPr>
                  <w:r>
                    <w:rPr>
                      <w:rFonts w:hint="eastAsia"/>
                      <w:b/>
                      <w:bCs/>
                      <w:color w:val="000000" w:themeColor="text1"/>
                      <w:u w:val="none"/>
                      <w:lang w:val="en-US" w:eastAsia="zh-CN"/>
                      <w14:textFill>
                        <w14:solidFill>
                          <w14:schemeClr w14:val="tx1"/>
                        </w14:solidFill>
                      </w14:textFill>
                    </w:rPr>
                    <w:t>相符性</w:t>
                  </w:r>
                </w:p>
              </w:tc>
            </w:tr>
            <w:tr w14:paraId="35F074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vMerge w:val="restart"/>
                  <w:tcBorders>
                    <w:top w:val="single" w:color="auto" w:sz="8" w:space="0"/>
                  </w:tcBorders>
                  <w:noWrap w:val="0"/>
                  <w:vAlign w:val="center"/>
                </w:tcPr>
                <w:p w14:paraId="24E9A915">
                  <w:pPr>
                    <w:pStyle w:val="5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空间布局约束</w:t>
                  </w:r>
                </w:p>
              </w:tc>
              <w:tc>
                <w:tcPr>
                  <w:tcW w:w="2244" w:type="pct"/>
                  <w:tcBorders>
                    <w:top w:val="single" w:color="auto" w:sz="8" w:space="0"/>
                  </w:tcBorders>
                  <w:noWrap w:val="0"/>
                  <w:vAlign w:val="center"/>
                </w:tcPr>
                <w:p w14:paraId="5220A0C2">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1、鼓励引进与园区产业定位及产业规划相符的项目入驻，与园区产业链相关的轻污染项目优先入园。</w:t>
                  </w:r>
                </w:p>
              </w:tc>
              <w:tc>
                <w:tcPr>
                  <w:tcW w:w="1897" w:type="pct"/>
                  <w:tcBorders>
                    <w:top w:val="single" w:color="auto" w:sz="8" w:space="0"/>
                  </w:tcBorders>
                  <w:noWrap w:val="0"/>
                  <w:vAlign w:val="center"/>
                </w:tcPr>
                <w:p w14:paraId="2DC9A10D">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本项目位于新乡县智能制造产业园区</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的智能装备园区</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属于锂离子电池制造</w:t>
                  </w:r>
                  <w:r>
                    <w:rPr>
                      <w:rFonts w:hint="eastAsia" w:ascii="Times New Roman" w:hAnsi="Times New Roman" w:eastAsia="宋体" w:cs="Times New Roman"/>
                      <w:color w:val="000000" w:themeColor="text1"/>
                      <w:sz w:val="21"/>
                      <w:szCs w:val="21"/>
                      <w14:textFill>
                        <w14:solidFill>
                          <w14:schemeClr w14:val="tx1"/>
                        </w14:solidFill>
                      </w14:textFill>
                    </w:rPr>
                    <w:t>，与园区产业定位及产业规划不冲突，允许入驻。</w:t>
                  </w:r>
                </w:p>
              </w:tc>
              <w:tc>
                <w:tcPr>
                  <w:tcW w:w="423" w:type="pct"/>
                  <w:tcBorders>
                    <w:top w:val="single" w:color="auto" w:sz="8" w:space="0"/>
                  </w:tcBorders>
                  <w:noWrap w:val="0"/>
                  <w:vAlign w:val="center"/>
                </w:tcPr>
                <w:p w14:paraId="3BDBE357">
                  <w:pPr>
                    <w:pStyle w:val="51"/>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pPr>
                  <w:r>
                    <w:rPr>
                      <w:rFonts w:hint="eastAsia"/>
                      <w:color w:val="000000" w:themeColor="text1"/>
                      <w:sz w:val="21"/>
                      <w:szCs w:val="21"/>
                      <w:lang w:val="en-GB"/>
                      <w14:textFill>
                        <w14:solidFill>
                          <w14:schemeClr w14:val="tx1"/>
                        </w14:solidFill>
                      </w14:textFill>
                    </w:rPr>
                    <w:t>相符</w:t>
                  </w:r>
                </w:p>
              </w:tc>
            </w:tr>
            <w:tr w14:paraId="411794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vMerge w:val="continue"/>
                  <w:noWrap w:val="0"/>
                  <w:vAlign w:val="center"/>
                </w:tcPr>
                <w:p w14:paraId="75F060E9">
                  <w:pPr>
                    <w:pStyle w:val="51"/>
                    <w:keepNext w:val="0"/>
                    <w:keepLines w:val="0"/>
                    <w:suppressLineNumbers w:val="0"/>
                    <w:bidi w:val="0"/>
                    <w:spacing w:before="0" w:beforeAutospacing="0" w:after="0" w:afterAutospacing="0"/>
                    <w:ind w:left="0" w:right="0" w:firstLine="0" w:firstLineChars="0"/>
                    <w:rPr>
                      <w:rFonts w:hint="eastAsia" w:ascii="Times New Roman" w:hAnsi="Times New Roman" w:eastAsia="宋体" w:cs="Times New Roman"/>
                      <w:color w:val="000000" w:themeColor="text1"/>
                      <w:sz w:val="21"/>
                      <w:szCs w:val="21"/>
                      <w:lang w:val="en-GB"/>
                      <w14:textFill>
                        <w14:solidFill>
                          <w14:schemeClr w14:val="tx1"/>
                        </w14:solidFill>
                      </w14:textFill>
                    </w:rPr>
                  </w:pPr>
                </w:p>
              </w:tc>
              <w:tc>
                <w:tcPr>
                  <w:tcW w:w="2244" w:type="pct"/>
                  <w:noWrap w:val="0"/>
                  <w:vAlign w:val="center"/>
                </w:tcPr>
                <w:p w14:paraId="2CA56B8D">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2、鼓励与园区产业定位及产业规划相符的项目退城入园。</w:t>
                  </w:r>
                </w:p>
              </w:tc>
              <w:tc>
                <w:tcPr>
                  <w:tcW w:w="1897" w:type="pct"/>
                  <w:noWrap w:val="0"/>
                  <w:vAlign w:val="center"/>
                </w:tcPr>
                <w:p w14:paraId="6979A77E">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本项目位于新乡县智能制造产业园区，与园区产业定位及产业规划不冲突，允许入驻。</w:t>
                  </w:r>
                </w:p>
              </w:tc>
              <w:tc>
                <w:tcPr>
                  <w:tcW w:w="423" w:type="pct"/>
                  <w:noWrap w:val="0"/>
                  <w:vAlign w:val="center"/>
                </w:tcPr>
                <w:p w14:paraId="5670328E">
                  <w:pPr>
                    <w:pStyle w:val="51"/>
                    <w:keepNext w:val="0"/>
                    <w:keepLines w:val="0"/>
                    <w:suppressLineNumbers w:val="0"/>
                    <w:bidi w:val="0"/>
                    <w:spacing w:before="0" w:beforeAutospacing="0" w:after="0" w:afterAutospacing="0"/>
                    <w:ind w:left="0" w:right="0" w:firstLine="0" w:firstLineChars="0"/>
                    <w:jc w:val="center"/>
                    <w:rPr>
                      <w:rFonts w:hint="default"/>
                      <w:color w:val="000000" w:themeColor="text1"/>
                      <w:u w:val="none"/>
                      <w14:textFill>
                        <w14:solidFill>
                          <w14:schemeClr w14:val="tx1"/>
                        </w14:solidFill>
                      </w14:textFill>
                    </w:rPr>
                  </w:pPr>
                  <w:r>
                    <w:rPr>
                      <w:rFonts w:hint="eastAsia"/>
                      <w:color w:val="000000" w:themeColor="text1"/>
                      <w:sz w:val="21"/>
                      <w:szCs w:val="21"/>
                      <w:lang w:val="en-GB"/>
                      <w14:textFill>
                        <w14:solidFill>
                          <w14:schemeClr w14:val="tx1"/>
                        </w14:solidFill>
                      </w14:textFill>
                    </w:rPr>
                    <w:t>相符</w:t>
                  </w:r>
                </w:p>
              </w:tc>
            </w:tr>
            <w:tr w14:paraId="7A6A09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vMerge w:val="continue"/>
                  <w:noWrap w:val="0"/>
                  <w:vAlign w:val="center"/>
                </w:tcPr>
                <w:p w14:paraId="33929FC0">
                  <w:pPr>
                    <w:pStyle w:val="51"/>
                    <w:keepNext w:val="0"/>
                    <w:keepLines w:val="0"/>
                    <w:suppressLineNumbers w:val="0"/>
                    <w:bidi w:val="0"/>
                    <w:spacing w:before="0" w:beforeAutospacing="0" w:after="0" w:afterAutospacing="0"/>
                    <w:ind w:left="0" w:right="0" w:firstLine="0" w:firstLineChars="0"/>
                    <w:rPr>
                      <w:rFonts w:hint="eastAsia" w:ascii="Times New Roman" w:hAnsi="Times New Roman" w:eastAsia="宋体" w:cs="Times New Roman"/>
                      <w:color w:val="000000" w:themeColor="text1"/>
                      <w:sz w:val="21"/>
                      <w:szCs w:val="21"/>
                      <w:lang w:val="en-GB"/>
                      <w14:textFill>
                        <w14:solidFill>
                          <w14:schemeClr w14:val="tx1"/>
                        </w14:solidFill>
                      </w14:textFill>
                    </w:rPr>
                  </w:pPr>
                </w:p>
              </w:tc>
              <w:tc>
                <w:tcPr>
                  <w:tcW w:w="2244" w:type="pct"/>
                  <w:noWrap w:val="0"/>
                  <w:vAlign w:val="center"/>
                </w:tcPr>
                <w:p w14:paraId="02C08E18">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3、优先引进与园区产业定位及产业规划相符且污染小、污染防治措施技术先进的项目。</w:t>
                  </w:r>
                </w:p>
              </w:tc>
              <w:tc>
                <w:tcPr>
                  <w:tcW w:w="1897" w:type="pct"/>
                  <w:noWrap w:val="0"/>
                  <w:vAlign w:val="center"/>
                </w:tcPr>
                <w:p w14:paraId="3CE66137">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本项目</w:t>
                  </w:r>
                  <w:r>
                    <w:rPr>
                      <w:rFonts w:hint="eastAsia" w:ascii="Times New Roman" w:hAnsi="Times New Roman" w:eastAsia="宋体" w:cs="Times New Roman"/>
                      <w:color w:val="000000" w:themeColor="text1"/>
                      <w:sz w:val="21"/>
                      <w:szCs w:val="21"/>
                      <w14:textFill>
                        <w14:solidFill>
                          <w14:schemeClr w14:val="tx1"/>
                        </w14:solidFill>
                      </w14:textFill>
                    </w:rPr>
                    <w:t>与园区产业定位及产业规划不冲突</w:t>
                  </w:r>
                  <w:r>
                    <w:rPr>
                      <w:rFonts w:hint="eastAsia" w:ascii="Times New Roman" w:hAnsi="Times New Roman" w:eastAsia="宋体" w:cs="Times New Roman"/>
                      <w:color w:val="000000" w:themeColor="text1"/>
                      <w:sz w:val="21"/>
                      <w:szCs w:val="21"/>
                      <w:lang w:eastAsia="zh-CN"/>
                      <w14:textFill>
                        <w14:solidFill>
                          <w14:schemeClr w14:val="tx1"/>
                        </w14:solidFill>
                      </w14:textFill>
                    </w:rPr>
                    <w:t>，</w:t>
                  </w:r>
                  <w:r>
                    <w:rPr>
                      <w:rFonts w:hint="eastAsia" w:ascii="Times New Roman" w:hAnsi="Times New Roman" w:eastAsia="宋体" w:cs="Times New Roman"/>
                      <w:color w:val="000000" w:themeColor="text1"/>
                      <w:sz w:val="21"/>
                      <w:szCs w:val="21"/>
                      <w14:textFill>
                        <w14:solidFill>
                          <w14:schemeClr w14:val="tx1"/>
                        </w14:solidFill>
                      </w14:textFill>
                    </w:rPr>
                    <w:t>允许入驻</w:t>
                  </w:r>
                  <w:r>
                    <w:rPr>
                      <w:rFonts w:hint="eastAsia" w:ascii="Times New Roman" w:hAnsi="Times New Roman" w:eastAsia="宋体" w:cs="Times New Roman"/>
                      <w:color w:val="000000" w:themeColor="text1"/>
                      <w:sz w:val="21"/>
                      <w:szCs w:val="21"/>
                      <w:lang w:eastAsia="zh-CN"/>
                      <w14:textFill>
                        <w14:solidFill>
                          <w14:schemeClr w14:val="tx1"/>
                        </w14:solidFill>
                      </w14:textFill>
                    </w:rPr>
                    <w:t>。</w:t>
                  </w:r>
                </w:p>
              </w:tc>
              <w:tc>
                <w:tcPr>
                  <w:tcW w:w="423" w:type="pct"/>
                  <w:noWrap w:val="0"/>
                  <w:vAlign w:val="center"/>
                </w:tcPr>
                <w:p w14:paraId="654E9FDC">
                  <w:pPr>
                    <w:pStyle w:val="51"/>
                    <w:keepNext w:val="0"/>
                    <w:keepLines w:val="0"/>
                    <w:suppressLineNumbers w:val="0"/>
                    <w:bidi w:val="0"/>
                    <w:spacing w:before="0" w:beforeAutospacing="0" w:after="0" w:afterAutospacing="0"/>
                    <w:ind w:left="0" w:right="0" w:firstLine="0" w:firstLineChars="0"/>
                    <w:jc w:val="center"/>
                    <w:rPr>
                      <w:rFonts w:hint="eastAsia"/>
                      <w:color w:val="000000" w:themeColor="text1"/>
                      <w:sz w:val="21"/>
                      <w:szCs w:val="21"/>
                      <w:lang w:val="en-GB"/>
                      <w14:textFill>
                        <w14:solidFill>
                          <w14:schemeClr w14:val="tx1"/>
                        </w14:solidFill>
                      </w14:textFill>
                    </w:rPr>
                  </w:pPr>
                  <w:r>
                    <w:rPr>
                      <w:rFonts w:hint="eastAsia"/>
                      <w:color w:val="000000" w:themeColor="text1"/>
                      <w:sz w:val="21"/>
                      <w:szCs w:val="21"/>
                      <w:lang w:val="en-GB"/>
                      <w14:textFill>
                        <w14:solidFill>
                          <w14:schemeClr w14:val="tx1"/>
                        </w14:solidFill>
                      </w14:textFill>
                    </w:rPr>
                    <w:t>相符</w:t>
                  </w:r>
                </w:p>
              </w:tc>
            </w:tr>
            <w:tr w14:paraId="33B4B5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vMerge w:val="continue"/>
                  <w:noWrap w:val="0"/>
                  <w:vAlign w:val="center"/>
                </w:tcPr>
                <w:p w14:paraId="530A9037">
                  <w:pPr>
                    <w:pStyle w:val="51"/>
                    <w:keepNext w:val="0"/>
                    <w:keepLines w:val="0"/>
                    <w:suppressLineNumbers w:val="0"/>
                    <w:bidi w:val="0"/>
                    <w:spacing w:before="0" w:beforeAutospacing="0" w:after="0" w:afterAutospacing="0"/>
                    <w:ind w:left="0" w:right="0" w:firstLine="0" w:firstLineChars="0"/>
                    <w:rPr>
                      <w:rFonts w:hint="eastAsia" w:ascii="Times New Roman" w:hAnsi="Times New Roman" w:eastAsia="宋体" w:cs="Times New Roman"/>
                      <w:color w:val="000000" w:themeColor="text1"/>
                      <w:sz w:val="21"/>
                      <w:szCs w:val="21"/>
                      <w:lang w:val="en-GB"/>
                      <w14:textFill>
                        <w14:solidFill>
                          <w14:schemeClr w14:val="tx1"/>
                        </w14:solidFill>
                      </w14:textFill>
                    </w:rPr>
                  </w:pPr>
                </w:p>
              </w:tc>
              <w:tc>
                <w:tcPr>
                  <w:tcW w:w="2244" w:type="pct"/>
                  <w:noWrap w:val="0"/>
                  <w:vAlign w:val="center"/>
                </w:tcPr>
                <w:p w14:paraId="7C08D626">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4、入驻项目须符合生态环境保护法律法规和相关法定规划，满足重点污染物排放总量控制、碳排放达峰目标、生态环境准入清单、相关规划环评和相应行业建设项目环境准入条件、环评文件审批原则要求。</w:t>
                  </w:r>
                </w:p>
              </w:tc>
              <w:tc>
                <w:tcPr>
                  <w:tcW w:w="1897" w:type="pct"/>
                  <w:noWrap w:val="0"/>
                  <w:vAlign w:val="center"/>
                </w:tcPr>
                <w:p w14:paraId="42599DB6">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本项目符合生态环境保护法律法规和相关法定规划，满足重点污染物排放总量控制、碳排放达峰目标、生态环境准入清单、相关规划环评和相应行业建设项目环境准入条件、环评文件审批原则要求。</w:t>
                  </w:r>
                </w:p>
              </w:tc>
              <w:tc>
                <w:tcPr>
                  <w:tcW w:w="423" w:type="pct"/>
                  <w:noWrap w:val="0"/>
                  <w:vAlign w:val="center"/>
                </w:tcPr>
                <w:p w14:paraId="3A82F3EC">
                  <w:pPr>
                    <w:pStyle w:val="51"/>
                    <w:keepNext w:val="0"/>
                    <w:keepLines w:val="0"/>
                    <w:suppressLineNumbers w:val="0"/>
                    <w:bidi w:val="0"/>
                    <w:spacing w:before="0" w:beforeAutospacing="0" w:after="0" w:afterAutospacing="0"/>
                    <w:ind w:left="0" w:right="0" w:firstLine="0" w:firstLineChars="0"/>
                    <w:jc w:val="center"/>
                    <w:rPr>
                      <w:rFonts w:hint="eastAsia"/>
                      <w:color w:val="000000" w:themeColor="text1"/>
                      <w:sz w:val="21"/>
                      <w:szCs w:val="21"/>
                      <w:lang w:val="en-GB"/>
                      <w14:textFill>
                        <w14:solidFill>
                          <w14:schemeClr w14:val="tx1"/>
                        </w14:solidFill>
                      </w14:textFill>
                    </w:rPr>
                  </w:pPr>
                  <w:r>
                    <w:rPr>
                      <w:rFonts w:hint="eastAsia"/>
                      <w:color w:val="000000" w:themeColor="text1"/>
                      <w:sz w:val="21"/>
                      <w:szCs w:val="21"/>
                      <w:lang w:val="en-GB"/>
                      <w14:textFill>
                        <w14:solidFill>
                          <w14:schemeClr w14:val="tx1"/>
                        </w14:solidFill>
                      </w14:textFill>
                    </w:rPr>
                    <w:t>相符</w:t>
                  </w:r>
                </w:p>
              </w:tc>
            </w:tr>
            <w:tr w14:paraId="608A6E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vMerge w:val="continue"/>
                  <w:noWrap w:val="0"/>
                  <w:vAlign w:val="center"/>
                </w:tcPr>
                <w:p w14:paraId="4B3A5F2A">
                  <w:pPr>
                    <w:pStyle w:val="51"/>
                    <w:keepNext w:val="0"/>
                    <w:keepLines w:val="0"/>
                    <w:suppressLineNumbers w:val="0"/>
                    <w:bidi w:val="0"/>
                    <w:spacing w:before="0" w:beforeAutospacing="0" w:after="0" w:afterAutospacing="0"/>
                    <w:ind w:left="0" w:right="0" w:firstLine="0" w:firstLineChars="0"/>
                    <w:rPr>
                      <w:rFonts w:hint="eastAsia" w:ascii="Times New Roman" w:hAnsi="Times New Roman" w:eastAsia="宋体" w:cs="Times New Roman"/>
                      <w:color w:val="000000" w:themeColor="text1"/>
                      <w:sz w:val="21"/>
                      <w:szCs w:val="21"/>
                      <w:lang w:val="en-GB"/>
                      <w14:textFill>
                        <w14:solidFill>
                          <w14:schemeClr w14:val="tx1"/>
                        </w14:solidFill>
                      </w14:textFill>
                    </w:rPr>
                  </w:pPr>
                </w:p>
              </w:tc>
              <w:tc>
                <w:tcPr>
                  <w:tcW w:w="2244" w:type="pct"/>
                  <w:noWrap w:val="0"/>
                  <w:vAlign w:val="center"/>
                </w:tcPr>
                <w:p w14:paraId="22C8DBAB">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5、在大阳堤东岳庙文物保护范围及建设控制地带范围内的入驻企业应征得相应文物行政主管部门同意，严格按照文物保护法相关要求进行建设活动。</w:t>
                  </w:r>
                </w:p>
              </w:tc>
              <w:tc>
                <w:tcPr>
                  <w:tcW w:w="1897" w:type="pct"/>
                  <w:noWrap w:val="0"/>
                  <w:vAlign w:val="center"/>
                </w:tcPr>
                <w:p w14:paraId="385F887C">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本项目位于</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河南省新乡市新乡县经济开发区兴隆路西段</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本项目位于</w:t>
                  </w:r>
                  <w:r>
                    <w:rPr>
                      <w:rFonts w:hint="eastAsia" w:ascii="Times New Roman" w:hAnsi="Times New Roman" w:eastAsia="宋体" w:cs="Times New Roman"/>
                      <w:color w:val="000000" w:themeColor="text1"/>
                      <w:sz w:val="21"/>
                      <w:szCs w:val="21"/>
                      <w:highlight w:val="none"/>
                      <w14:textFill>
                        <w14:solidFill>
                          <w14:schemeClr w14:val="tx1"/>
                        </w14:solidFill>
                      </w14:textFill>
                    </w:rPr>
                    <w:t>大阳堤东岳庙</w:t>
                  </w:r>
                  <w:r>
                    <w:rPr>
                      <w:rFonts w:hint="eastAsia" w:ascii="Times New Roman" w:cs="Times New Roman"/>
                      <w:color w:val="000000" w:themeColor="text1"/>
                      <w:sz w:val="21"/>
                      <w:szCs w:val="21"/>
                      <w:lang w:val="en-US" w:eastAsia="zh-CN"/>
                      <w14:textFill>
                        <w14:solidFill>
                          <w14:schemeClr w14:val="tx1"/>
                        </w14:solidFill>
                      </w14:textFill>
                    </w:rPr>
                    <w:t>南750</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m处，不在</w:t>
                  </w:r>
                  <w:r>
                    <w:rPr>
                      <w:rFonts w:hint="eastAsia" w:ascii="Times New Roman" w:hAnsi="Times New Roman" w:eastAsia="宋体" w:cs="Times New Roman"/>
                      <w:color w:val="000000" w:themeColor="text1"/>
                      <w:sz w:val="21"/>
                      <w:szCs w:val="21"/>
                      <w14:textFill>
                        <w14:solidFill>
                          <w14:schemeClr w14:val="tx1"/>
                        </w14:solidFill>
                      </w14:textFill>
                    </w:rPr>
                    <w:t>大阳堤东岳庙文物保护范围及建设控制地带范围。</w:t>
                  </w:r>
                </w:p>
              </w:tc>
              <w:tc>
                <w:tcPr>
                  <w:tcW w:w="423" w:type="pct"/>
                  <w:noWrap w:val="0"/>
                  <w:vAlign w:val="center"/>
                </w:tcPr>
                <w:p w14:paraId="27C2E776">
                  <w:pPr>
                    <w:pStyle w:val="51"/>
                    <w:keepNext w:val="0"/>
                    <w:keepLines w:val="0"/>
                    <w:suppressLineNumbers w:val="0"/>
                    <w:bidi w:val="0"/>
                    <w:spacing w:before="0" w:beforeAutospacing="0" w:after="0" w:afterAutospacing="0"/>
                    <w:ind w:left="0" w:right="0" w:firstLine="0" w:firstLineChars="0"/>
                    <w:jc w:val="center"/>
                    <w:rPr>
                      <w:rFonts w:hint="eastAsia"/>
                      <w:color w:val="000000" w:themeColor="text1"/>
                      <w:sz w:val="21"/>
                      <w:szCs w:val="21"/>
                      <w:lang w:val="en-GB"/>
                      <w14:textFill>
                        <w14:solidFill>
                          <w14:schemeClr w14:val="tx1"/>
                        </w14:solidFill>
                      </w14:textFill>
                    </w:rPr>
                  </w:pPr>
                  <w:r>
                    <w:rPr>
                      <w:rFonts w:hint="eastAsia"/>
                      <w:color w:val="000000" w:themeColor="text1"/>
                      <w:sz w:val="21"/>
                      <w:szCs w:val="21"/>
                      <w:lang w:val="en-GB"/>
                      <w14:textFill>
                        <w14:solidFill>
                          <w14:schemeClr w14:val="tx1"/>
                        </w14:solidFill>
                      </w14:textFill>
                    </w:rPr>
                    <w:t>相符</w:t>
                  </w:r>
                </w:p>
              </w:tc>
            </w:tr>
            <w:tr w14:paraId="375484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vMerge w:val="continue"/>
                  <w:noWrap w:val="0"/>
                  <w:vAlign w:val="center"/>
                </w:tcPr>
                <w:p w14:paraId="2D104FE2">
                  <w:pPr>
                    <w:pStyle w:val="51"/>
                    <w:keepNext w:val="0"/>
                    <w:keepLines w:val="0"/>
                    <w:suppressLineNumbers w:val="0"/>
                    <w:bidi w:val="0"/>
                    <w:spacing w:before="0" w:beforeAutospacing="0" w:after="0" w:afterAutospacing="0"/>
                    <w:ind w:left="0" w:right="0" w:firstLine="0" w:firstLineChars="0"/>
                    <w:rPr>
                      <w:rFonts w:hint="eastAsia" w:ascii="Times New Roman" w:hAnsi="Times New Roman" w:eastAsia="宋体" w:cs="Times New Roman"/>
                      <w:color w:val="000000" w:themeColor="text1"/>
                      <w:sz w:val="21"/>
                      <w:szCs w:val="21"/>
                      <w:lang w:val="en-GB"/>
                      <w14:textFill>
                        <w14:solidFill>
                          <w14:schemeClr w14:val="tx1"/>
                        </w14:solidFill>
                      </w14:textFill>
                    </w:rPr>
                  </w:pPr>
                </w:p>
              </w:tc>
              <w:tc>
                <w:tcPr>
                  <w:tcW w:w="2244" w:type="pct"/>
                  <w:noWrap w:val="0"/>
                  <w:vAlign w:val="center"/>
                </w:tcPr>
                <w:p w14:paraId="59FC667E">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6、对引进有防护距离要求的项目，结合园区周边敏感点村庄情况进行合理布局，其防护距离内不得有村庄、学校等敏感点。</w:t>
                  </w:r>
                </w:p>
              </w:tc>
              <w:tc>
                <w:tcPr>
                  <w:tcW w:w="1897" w:type="pct"/>
                  <w:noWrap w:val="0"/>
                  <w:vAlign w:val="center"/>
                </w:tcPr>
                <w:p w14:paraId="005F2485">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本项目</w:t>
                  </w:r>
                  <w:r>
                    <w:rPr>
                      <w:rFonts w:hint="default" w:ascii="Times New Roman" w:hAnsi="Times New Roman" w:cs="Times New Roman"/>
                      <w:color w:val="000000" w:themeColor="text1"/>
                      <w:sz w:val="21"/>
                      <w:szCs w:val="21"/>
                      <w:lang w:val="en-US" w:eastAsia="zh-CN"/>
                      <w14:textFill>
                        <w14:solidFill>
                          <w14:schemeClr w14:val="tx1"/>
                        </w14:solidFill>
                      </w14:textFill>
                    </w:rPr>
                    <w:t>为</w:t>
                  </w:r>
                  <w:r>
                    <w:rPr>
                      <w:rFonts w:hint="eastAsia" w:ascii="Times New Roman" w:cs="Times New Roman"/>
                      <w:color w:val="000000" w:themeColor="text1"/>
                      <w:sz w:val="21"/>
                      <w:szCs w:val="21"/>
                      <w:lang w:val="en-US" w:eastAsia="zh-CN"/>
                      <w14:textFill>
                        <w14:solidFill>
                          <w14:schemeClr w14:val="tx1"/>
                        </w14:solidFill>
                      </w14:textFill>
                    </w:rPr>
                    <w:t>锂离子电池制造</w:t>
                  </w:r>
                  <w:r>
                    <w:rPr>
                      <w:rFonts w:hint="default" w:ascii="Times New Roman" w:hAnsi="Times New Roman" w:cs="Times New Roman"/>
                      <w:color w:val="000000" w:themeColor="text1"/>
                      <w:sz w:val="21"/>
                      <w:szCs w:val="21"/>
                      <w14:textFill>
                        <w14:solidFill>
                          <w14:schemeClr w14:val="tx1"/>
                        </w14:solidFill>
                      </w14:textFill>
                    </w:rPr>
                    <w:t>，不属于有防护距离要求的项目</w:t>
                  </w:r>
                  <w:r>
                    <w:rPr>
                      <w:rFonts w:hint="default" w:ascii="Times New Roman" w:hAnsi="Times New Roman" w:cs="Times New Roman"/>
                      <w:color w:val="000000" w:themeColor="text1"/>
                      <w:sz w:val="21"/>
                      <w:szCs w:val="21"/>
                      <w:lang w:eastAsia="zh-CN"/>
                      <w14:textFill>
                        <w14:solidFill>
                          <w14:schemeClr w14:val="tx1"/>
                        </w14:solidFill>
                      </w14:textFill>
                    </w:rPr>
                    <w:t>。</w:t>
                  </w:r>
                </w:p>
              </w:tc>
              <w:tc>
                <w:tcPr>
                  <w:tcW w:w="423" w:type="pct"/>
                  <w:noWrap w:val="0"/>
                  <w:vAlign w:val="center"/>
                </w:tcPr>
                <w:p w14:paraId="13F7BE7D">
                  <w:pPr>
                    <w:pStyle w:val="51"/>
                    <w:keepNext w:val="0"/>
                    <w:keepLines w:val="0"/>
                    <w:suppressLineNumbers w:val="0"/>
                    <w:bidi w:val="0"/>
                    <w:spacing w:before="0" w:beforeAutospacing="0" w:after="0" w:afterAutospacing="0"/>
                    <w:ind w:left="0" w:right="0" w:firstLine="0" w:firstLineChars="0"/>
                    <w:jc w:val="center"/>
                    <w:rPr>
                      <w:rFonts w:hint="eastAsia"/>
                      <w:color w:val="000000" w:themeColor="text1"/>
                      <w:sz w:val="21"/>
                      <w:szCs w:val="21"/>
                      <w:lang w:val="en-GB"/>
                      <w14:textFill>
                        <w14:solidFill>
                          <w14:schemeClr w14:val="tx1"/>
                        </w14:solidFill>
                      </w14:textFill>
                    </w:rPr>
                  </w:pPr>
                  <w:r>
                    <w:rPr>
                      <w:rFonts w:hint="eastAsia"/>
                      <w:color w:val="000000" w:themeColor="text1"/>
                      <w:sz w:val="21"/>
                      <w:szCs w:val="21"/>
                      <w:lang w:val="en-GB"/>
                      <w14:textFill>
                        <w14:solidFill>
                          <w14:schemeClr w14:val="tx1"/>
                        </w14:solidFill>
                      </w14:textFill>
                    </w:rPr>
                    <w:t>相符</w:t>
                  </w:r>
                </w:p>
              </w:tc>
            </w:tr>
            <w:tr w14:paraId="7FADBA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435" w:type="pct"/>
                  <w:vMerge w:val="restart"/>
                  <w:noWrap w:val="0"/>
                  <w:vAlign w:val="center"/>
                </w:tcPr>
                <w:p w14:paraId="78F081F7">
                  <w:pPr>
                    <w:pStyle w:val="51"/>
                    <w:keepNext w:val="0"/>
                    <w:keepLines w:val="0"/>
                    <w:suppressLineNumbers w:val="0"/>
                    <w:bidi w:val="0"/>
                    <w:spacing w:before="0" w:beforeAutospacing="0" w:after="0" w:afterAutospacing="0"/>
                    <w:ind w:left="0" w:right="0" w:firstLine="0" w:firstLineChars="0"/>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污染物排放管控</w:t>
                  </w:r>
                </w:p>
              </w:tc>
              <w:tc>
                <w:tcPr>
                  <w:tcW w:w="2244" w:type="pct"/>
                  <w:noWrap w:val="0"/>
                  <w:vAlign w:val="center"/>
                </w:tcPr>
                <w:p w14:paraId="69EC5AF8">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1、入驻园区项目的生产工艺、设备、污染治理技术，以及单位产品水耗、能耗、物耗、污染物排放和资源利用率等均需达到同行业国内先进水平或国际领先水平。</w:t>
                  </w:r>
                </w:p>
              </w:tc>
              <w:tc>
                <w:tcPr>
                  <w:tcW w:w="1897" w:type="pct"/>
                  <w:noWrap w:val="0"/>
                  <w:vAlign w:val="center"/>
                </w:tcPr>
                <w:p w14:paraId="614FA51E">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color w:val="000000" w:themeColor="text1"/>
                      <w:sz w:val="21"/>
                      <w:szCs w:val="21"/>
                      <w14:textFill>
                        <w14:solidFill>
                          <w14:schemeClr w14:val="tx1"/>
                        </w14:solidFill>
                      </w14:textFill>
                    </w:rPr>
                    <w:t>本项目</w:t>
                  </w:r>
                  <w:r>
                    <w:rPr>
                      <w:rFonts w:hint="eastAsia"/>
                      <w:color w:val="000000" w:themeColor="text1"/>
                      <w:sz w:val="21"/>
                      <w:szCs w:val="21"/>
                      <w14:textFill>
                        <w14:solidFill>
                          <w14:schemeClr w14:val="tx1"/>
                        </w14:solidFill>
                      </w14:textFill>
                    </w:rPr>
                    <w:t>生产工艺、设备、污染治理技术、</w:t>
                  </w:r>
                  <w:r>
                    <w:rPr>
                      <w:rFonts w:hint="default"/>
                      <w:color w:val="000000" w:themeColor="text1"/>
                      <w:sz w:val="21"/>
                      <w:szCs w:val="21"/>
                      <w14:textFill>
                        <w14:solidFill>
                          <w14:schemeClr w14:val="tx1"/>
                        </w14:solidFill>
                      </w14:textFill>
                    </w:rPr>
                    <w:t>单位产品水耗、能耗、污染物排放量等</w:t>
                  </w:r>
                  <w:r>
                    <w:rPr>
                      <w:rFonts w:hint="eastAsia" w:ascii="Times New Roman" w:hAnsi="Times New Roman" w:eastAsia="宋体" w:cs="Times New Roman"/>
                      <w:color w:val="000000" w:themeColor="text1"/>
                      <w:spacing w:val="-4"/>
                      <w:sz w:val="21"/>
                      <w:szCs w:val="21"/>
                      <w:lang w:val="en-US" w:eastAsia="zh-CN"/>
                      <w14:textFill>
                        <w14:solidFill>
                          <w14:schemeClr w14:val="tx1"/>
                        </w14:solidFill>
                      </w14:textFill>
                    </w:rPr>
                    <w:t>清洁生产水平</w:t>
                  </w:r>
                  <w:r>
                    <w:rPr>
                      <w:rFonts w:hint="eastAsia" w:ascii="Times New Roman" w:hAnsi="Times New Roman" w:eastAsia="宋体" w:cs="Times New Roman"/>
                      <w:color w:val="000000" w:themeColor="text1"/>
                      <w:spacing w:val="-4"/>
                      <w:sz w:val="21"/>
                      <w:szCs w:val="21"/>
                      <w:lang w:val="en-GB"/>
                      <w14:textFill>
                        <w14:solidFill>
                          <w14:schemeClr w14:val="tx1"/>
                        </w14:solidFill>
                      </w14:textFill>
                    </w:rPr>
                    <w:t>达到国内同行业</w:t>
                  </w:r>
                  <w:r>
                    <w:rPr>
                      <w:rFonts w:hint="eastAsia" w:ascii="Times New Roman" w:hAnsi="Times New Roman" w:eastAsia="宋体" w:cs="Times New Roman"/>
                      <w:color w:val="000000" w:themeColor="text1"/>
                      <w:spacing w:val="-4"/>
                      <w:sz w:val="21"/>
                      <w:szCs w:val="21"/>
                      <w:lang w:val="en-US" w:eastAsia="zh-CN"/>
                      <w14:textFill>
                        <w14:solidFill>
                          <w14:schemeClr w14:val="tx1"/>
                        </w14:solidFill>
                      </w14:textFill>
                    </w:rPr>
                    <w:t>要求</w:t>
                  </w:r>
                  <w:r>
                    <w:rPr>
                      <w:rFonts w:hint="eastAsia" w:ascii="Times New Roman" w:hAnsi="Times New Roman" w:eastAsia="宋体" w:cs="Times New Roman"/>
                      <w:color w:val="000000" w:themeColor="text1"/>
                      <w:spacing w:val="-4"/>
                      <w:sz w:val="21"/>
                      <w:szCs w:val="21"/>
                      <w:lang w:val="en-GB"/>
                      <w14:textFill>
                        <w14:solidFill>
                          <w14:schemeClr w14:val="tx1"/>
                        </w14:solidFill>
                      </w14:textFill>
                    </w:rPr>
                    <w:t>水平</w:t>
                  </w:r>
                  <w:r>
                    <w:rPr>
                      <w:rFonts w:hint="default"/>
                      <w:color w:val="000000" w:themeColor="text1"/>
                      <w:sz w:val="21"/>
                      <w:szCs w:val="21"/>
                      <w14:textFill>
                        <w14:solidFill>
                          <w14:schemeClr w14:val="tx1"/>
                        </w14:solidFill>
                      </w14:textFill>
                    </w:rPr>
                    <w:t>。</w:t>
                  </w:r>
                </w:p>
              </w:tc>
              <w:tc>
                <w:tcPr>
                  <w:tcW w:w="423" w:type="pct"/>
                  <w:noWrap w:val="0"/>
                  <w:vAlign w:val="center"/>
                </w:tcPr>
                <w:p w14:paraId="44BE926F">
                  <w:pPr>
                    <w:pStyle w:val="51"/>
                    <w:keepNext w:val="0"/>
                    <w:keepLines w:val="0"/>
                    <w:suppressLineNumbers w:val="0"/>
                    <w:bidi w:val="0"/>
                    <w:spacing w:before="0" w:beforeAutospacing="0" w:after="0" w:afterAutospacing="0"/>
                    <w:ind w:left="0" w:right="0" w:firstLine="0" w:firstLineChars="0"/>
                    <w:rPr>
                      <w:rFonts w:hint="default"/>
                      <w:color w:val="000000" w:themeColor="text1"/>
                      <w:u w:val="none"/>
                      <w14:textFill>
                        <w14:solidFill>
                          <w14:schemeClr w14:val="tx1"/>
                        </w14:solidFill>
                      </w14:textFill>
                    </w:rPr>
                  </w:pPr>
                  <w:r>
                    <w:rPr>
                      <w:rFonts w:hint="eastAsia"/>
                      <w:color w:val="000000" w:themeColor="text1"/>
                      <w:sz w:val="21"/>
                      <w:szCs w:val="21"/>
                      <w:lang w:val="en-GB"/>
                      <w14:textFill>
                        <w14:solidFill>
                          <w14:schemeClr w14:val="tx1"/>
                        </w14:solidFill>
                      </w14:textFill>
                    </w:rPr>
                    <w:t>相符</w:t>
                  </w:r>
                </w:p>
              </w:tc>
            </w:tr>
            <w:tr w14:paraId="4C5912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vMerge w:val="continue"/>
                  <w:noWrap w:val="0"/>
                  <w:vAlign w:val="center"/>
                </w:tcPr>
                <w:p w14:paraId="642DFFFE">
                  <w:pPr>
                    <w:pStyle w:val="51"/>
                    <w:keepNext w:val="0"/>
                    <w:keepLines w:val="0"/>
                    <w:suppressLineNumbers w:val="0"/>
                    <w:bidi w:val="0"/>
                    <w:spacing w:before="0" w:beforeAutospacing="0" w:after="0" w:afterAutospacing="0"/>
                    <w:ind w:left="0" w:right="0" w:firstLine="0" w:firstLineChars="0"/>
                    <w:rPr>
                      <w:rFonts w:hint="eastAsia" w:ascii="Times New Roman" w:hAnsi="Times New Roman" w:eastAsia="宋体" w:cs="Times New Roman"/>
                      <w:color w:val="000000" w:themeColor="text1"/>
                      <w:sz w:val="21"/>
                      <w:szCs w:val="21"/>
                      <w:lang w:val="en-GB"/>
                      <w14:textFill>
                        <w14:solidFill>
                          <w14:schemeClr w14:val="tx1"/>
                        </w14:solidFill>
                      </w14:textFill>
                    </w:rPr>
                  </w:pPr>
                </w:p>
              </w:tc>
              <w:tc>
                <w:tcPr>
                  <w:tcW w:w="2244" w:type="pct"/>
                  <w:noWrap w:val="0"/>
                  <w:vAlign w:val="center"/>
                </w:tcPr>
                <w:p w14:paraId="2ABD9B30">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2、入驻项目二氧化硫、氮氧化物、颗粒物、VOCs全面执行大气污染物特别排放限值，单位产品污染物排放必须满足行业污染物排放标准。</w:t>
                  </w:r>
                </w:p>
              </w:tc>
              <w:tc>
                <w:tcPr>
                  <w:tcW w:w="1897" w:type="pct"/>
                  <w:noWrap w:val="0"/>
                  <w:vAlign w:val="center"/>
                </w:tcPr>
                <w:p w14:paraId="26B6E984">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color w:val="000000" w:themeColor="text1"/>
                      <w:sz w:val="21"/>
                      <w:szCs w:val="21"/>
                      <w14:textFill>
                        <w14:solidFill>
                          <w14:schemeClr w14:val="tx1"/>
                        </w14:solidFill>
                      </w14:textFill>
                    </w:rPr>
                    <w:t>本项目</w:t>
                  </w:r>
                  <w:r>
                    <w:rPr>
                      <w:rFonts w:hint="eastAsia"/>
                      <w:color w:val="000000" w:themeColor="text1"/>
                      <w:sz w:val="21"/>
                      <w:szCs w:val="21"/>
                      <w:lang w:val="en-US" w:eastAsia="zh-CN"/>
                      <w14:textFill>
                        <w14:solidFill>
                          <w14:schemeClr w14:val="tx1"/>
                        </w14:solidFill>
                      </w14:textFill>
                    </w:rPr>
                    <w:t>不涉及</w:t>
                  </w:r>
                  <w:r>
                    <w:rPr>
                      <w:rFonts w:hint="eastAsia"/>
                      <w:color w:val="000000" w:themeColor="text1"/>
                      <w:sz w:val="21"/>
                      <w:szCs w:val="21"/>
                      <w14:textFill>
                        <w14:solidFill>
                          <w14:schemeClr w14:val="tx1"/>
                        </w14:solidFill>
                      </w14:textFill>
                    </w:rPr>
                    <w:t>废气</w:t>
                  </w:r>
                  <w:r>
                    <w:rPr>
                      <w:rFonts w:hint="default"/>
                      <w:snapToGrid w:val="0"/>
                      <w:color w:val="000000" w:themeColor="text1"/>
                      <w:sz w:val="21"/>
                      <w:szCs w:val="21"/>
                      <w14:textFill>
                        <w14:solidFill>
                          <w14:schemeClr w14:val="tx1"/>
                        </w14:solidFill>
                      </w14:textFill>
                    </w:rPr>
                    <w:t>。</w:t>
                  </w:r>
                </w:p>
              </w:tc>
              <w:tc>
                <w:tcPr>
                  <w:tcW w:w="423" w:type="pct"/>
                  <w:noWrap w:val="0"/>
                  <w:vAlign w:val="center"/>
                </w:tcPr>
                <w:p w14:paraId="5617D3EE">
                  <w:pPr>
                    <w:pStyle w:val="51"/>
                    <w:keepNext w:val="0"/>
                    <w:keepLines w:val="0"/>
                    <w:suppressLineNumbers w:val="0"/>
                    <w:bidi w:val="0"/>
                    <w:spacing w:before="0" w:beforeAutospacing="0" w:after="0" w:afterAutospacing="0"/>
                    <w:ind w:left="0" w:right="0" w:firstLine="0" w:firstLineChars="0"/>
                    <w:rPr>
                      <w:rFonts w:hint="eastAsia"/>
                      <w:color w:val="000000" w:themeColor="text1"/>
                      <w:sz w:val="21"/>
                      <w:szCs w:val="21"/>
                      <w:lang w:val="en-GB"/>
                      <w14:textFill>
                        <w14:solidFill>
                          <w14:schemeClr w14:val="tx1"/>
                        </w14:solidFill>
                      </w14:textFill>
                    </w:rPr>
                  </w:pPr>
                  <w:r>
                    <w:rPr>
                      <w:rFonts w:hint="eastAsia"/>
                      <w:color w:val="000000" w:themeColor="text1"/>
                      <w:sz w:val="21"/>
                      <w:szCs w:val="21"/>
                      <w:lang w:val="en-GB"/>
                      <w14:textFill>
                        <w14:solidFill>
                          <w14:schemeClr w14:val="tx1"/>
                        </w14:solidFill>
                      </w14:textFill>
                    </w:rPr>
                    <w:t>相符</w:t>
                  </w:r>
                </w:p>
              </w:tc>
            </w:tr>
            <w:tr w14:paraId="1FFB7A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vMerge w:val="continue"/>
                  <w:noWrap w:val="0"/>
                  <w:vAlign w:val="center"/>
                </w:tcPr>
                <w:p w14:paraId="5F3B642B">
                  <w:pPr>
                    <w:pStyle w:val="51"/>
                    <w:keepNext w:val="0"/>
                    <w:keepLines w:val="0"/>
                    <w:suppressLineNumbers w:val="0"/>
                    <w:bidi w:val="0"/>
                    <w:spacing w:before="0" w:beforeAutospacing="0" w:after="0" w:afterAutospacing="0"/>
                    <w:ind w:left="0" w:right="0" w:firstLine="0" w:firstLineChars="0"/>
                    <w:rPr>
                      <w:rFonts w:hint="eastAsia" w:ascii="Times New Roman" w:hAnsi="Times New Roman" w:eastAsia="宋体" w:cs="Times New Roman"/>
                      <w:color w:val="000000" w:themeColor="text1"/>
                      <w:sz w:val="21"/>
                      <w:szCs w:val="21"/>
                      <w:lang w:val="en-GB"/>
                      <w14:textFill>
                        <w14:solidFill>
                          <w14:schemeClr w14:val="tx1"/>
                        </w14:solidFill>
                      </w14:textFill>
                    </w:rPr>
                  </w:pPr>
                </w:p>
              </w:tc>
              <w:tc>
                <w:tcPr>
                  <w:tcW w:w="2244" w:type="pct"/>
                  <w:noWrap w:val="0"/>
                  <w:vAlign w:val="center"/>
                </w:tcPr>
                <w:p w14:paraId="427565A2">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3、符合行业环境准入要求。</w:t>
                  </w:r>
                </w:p>
              </w:tc>
              <w:tc>
                <w:tcPr>
                  <w:tcW w:w="1897" w:type="pct"/>
                  <w:noWrap w:val="0"/>
                  <w:vAlign w:val="center"/>
                </w:tcPr>
                <w:p w14:paraId="78116B09">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color w:val="000000" w:themeColor="text1"/>
                      <w:sz w:val="21"/>
                      <w:szCs w:val="21"/>
                      <w14:textFill>
                        <w14:solidFill>
                          <w14:schemeClr w14:val="tx1"/>
                        </w14:solidFill>
                      </w14:textFill>
                    </w:rPr>
                    <w:t>本项目符合行业环境准入要求。</w:t>
                  </w:r>
                </w:p>
              </w:tc>
              <w:tc>
                <w:tcPr>
                  <w:tcW w:w="423" w:type="pct"/>
                  <w:noWrap w:val="0"/>
                  <w:vAlign w:val="center"/>
                </w:tcPr>
                <w:p w14:paraId="465C7648">
                  <w:pPr>
                    <w:pStyle w:val="51"/>
                    <w:keepNext w:val="0"/>
                    <w:keepLines w:val="0"/>
                    <w:suppressLineNumbers w:val="0"/>
                    <w:bidi w:val="0"/>
                    <w:spacing w:before="0" w:beforeAutospacing="0" w:after="0" w:afterAutospacing="0"/>
                    <w:ind w:left="0" w:right="0" w:firstLine="0" w:firstLineChars="0"/>
                    <w:rPr>
                      <w:rFonts w:hint="eastAsia"/>
                      <w:color w:val="000000" w:themeColor="text1"/>
                      <w:sz w:val="21"/>
                      <w:szCs w:val="21"/>
                      <w:lang w:val="en-GB"/>
                      <w14:textFill>
                        <w14:solidFill>
                          <w14:schemeClr w14:val="tx1"/>
                        </w14:solidFill>
                      </w14:textFill>
                    </w:rPr>
                  </w:pPr>
                  <w:r>
                    <w:rPr>
                      <w:rFonts w:hint="eastAsia"/>
                      <w:color w:val="000000" w:themeColor="text1"/>
                      <w:sz w:val="21"/>
                      <w:szCs w:val="21"/>
                      <w:lang w:val="en-GB"/>
                      <w14:textFill>
                        <w14:solidFill>
                          <w14:schemeClr w14:val="tx1"/>
                        </w14:solidFill>
                      </w14:textFill>
                    </w:rPr>
                    <w:t>相符</w:t>
                  </w:r>
                </w:p>
              </w:tc>
            </w:tr>
            <w:tr w14:paraId="403AA0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vMerge w:val="continue"/>
                  <w:noWrap w:val="0"/>
                  <w:vAlign w:val="center"/>
                </w:tcPr>
                <w:p w14:paraId="2501705B">
                  <w:pPr>
                    <w:pStyle w:val="51"/>
                    <w:keepNext w:val="0"/>
                    <w:keepLines w:val="0"/>
                    <w:suppressLineNumbers w:val="0"/>
                    <w:bidi w:val="0"/>
                    <w:spacing w:before="0" w:beforeAutospacing="0" w:after="0" w:afterAutospacing="0"/>
                    <w:ind w:left="0" w:right="0" w:firstLine="0" w:firstLineChars="0"/>
                    <w:rPr>
                      <w:rFonts w:hint="eastAsia" w:ascii="Times New Roman" w:hAnsi="Times New Roman" w:eastAsia="宋体" w:cs="Times New Roman"/>
                      <w:color w:val="000000" w:themeColor="text1"/>
                      <w:sz w:val="21"/>
                      <w:szCs w:val="21"/>
                      <w:lang w:val="en-GB"/>
                      <w14:textFill>
                        <w14:solidFill>
                          <w14:schemeClr w14:val="tx1"/>
                        </w14:solidFill>
                      </w14:textFill>
                    </w:rPr>
                  </w:pPr>
                </w:p>
              </w:tc>
              <w:tc>
                <w:tcPr>
                  <w:tcW w:w="2244" w:type="pct"/>
                  <w:noWrap w:val="0"/>
                  <w:vAlign w:val="center"/>
                </w:tcPr>
                <w:p w14:paraId="28C9C197">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4、强化项目环评及“三同时”管理，国家、省绩效分级重点行业企业新建、扩建项目达到A级绩效水平，改建项目达到B级以上绩效水平。</w:t>
                  </w:r>
                </w:p>
              </w:tc>
              <w:tc>
                <w:tcPr>
                  <w:tcW w:w="1897" w:type="pct"/>
                  <w:noWrap w:val="0"/>
                  <w:vAlign w:val="center"/>
                </w:tcPr>
                <w:p w14:paraId="12C4B8CE">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lang w:eastAsia="zh-CN"/>
                      <w14:textFill>
                        <w14:solidFill>
                          <w14:schemeClr w14:val="tx1"/>
                        </w14:solidFill>
                      </w14:textFill>
                    </w:rPr>
                  </w:pPr>
                  <w:bookmarkStart w:id="0" w:name="OLE_LINK104"/>
                  <w:r>
                    <w:rPr>
                      <w:rFonts w:hint="default"/>
                      <w:color w:val="000000" w:themeColor="text1"/>
                      <w:sz w:val="21"/>
                      <w:szCs w:val="21"/>
                      <w14:textFill>
                        <w14:solidFill>
                          <w14:schemeClr w14:val="tx1"/>
                        </w14:solidFill>
                      </w14:textFill>
                    </w:rPr>
                    <w:t>本项目为</w:t>
                  </w:r>
                  <w:r>
                    <w:rPr>
                      <w:rFonts w:hint="eastAsia"/>
                      <w:color w:val="000000" w:themeColor="text1"/>
                      <w:sz w:val="21"/>
                      <w:szCs w:val="21"/>
                      <w:lang w:val="en-US" w:eastAsia="zh-CN"/>
                      <w14:textFill>
                        <w14:solidFill>
                          <w14:schemeClr w14:val="tx1"/>
                        </w14:solidFill>
                      </w14:textFill>
                    </w:rPr>
                    <w:t>改</w:t>
                  </w:r>
                  <w:r>
                    <w:rPr>
                      <w:rFonts w:hint="default"/>
                      <w:color w:val="000000" w:themeColor="text1"/>
                      <w:sz w:val="21"/>
                      <w:szCs w:val="21"/>
                      <w14:textFill>
                        <w14:solidFill>
                          <w14:schemeClr w14:val="tx1"/>
                        </w14:solidFill>
                      </w14:textFill>
                    </w:rPr>
                    <w:t>建项目，</w:t>
                  </w:r>
                  <w:bookmarkEnd w:id="0"/>
                  <w:r>
                    <w:rPr>
                      <w:rFonts w:hint="eastAsia"/>
                      <w:color w:val="000000" w:themeColor="text1"/>
                      <w:sz w:val="21"/>
                      <w:szCs w:val="21"/>
                      <w:highlight w:val="none"/>
                      <w:lang w:val="en-US" w:eastAsia="zh-CN"/>
                      <w14:textFill>
                        <w14:solidFill>
                          <w14:schemeClr w14:val="tx1"/>
                        </w14:solidFill>
                      </w14:textFill>
                    </w:rPr>
                    <w:t>按照《河南省重污染天气重点行业应急减排措施制定技术指南（</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2024</w:t>
                  </w:r>
                  <w:r>
                    <w:rPr>
                      <w:rFonts w:hint="eastAsia"/>
                      <w:color w:val="000000" w:themeColor="text1"/>
                      <w:sz w:val="21"/>
                      <w:szCs w:val="21"/>
                      <w:highlight w:val="none"/>
                      <w:lang w:val="en-US" w:eastAsia="zh-CN"/>
                      <w14:textFill>
                        <w14:solidFill>
                          <w14:schemeClr w14:val="tx1"/>
                        </w14:solidFill>
                      </w14:textFill>
                    </w:rPr>
                    <w:t>年修订版）》中电池制造A级水平进行建设。</w:t>
                  </w:r>
                </w:p>
              </w:tc>
              <w:tc>
                <w:tcPr>
                  <w:tcW w:w="423" w:type="pct"/>
                  <w:noWrap w:val="0"/>
                  <w:vAlign w:val="center"/>
                </w:tcPr>
                <w:p w14:paraId="710BB170">
                  <w:pPr>
                    <w:pStyle w:val="51"/>
                    <w:keepNext w:val="0"/>
                    <w:keepLines w:val="0"/>
                    <w:suppressLineNumbers w:val="0"/>
                    <w:bidi w:val="0"/>
                    <w:spacing w:before="0" w:beforeAutospacing="0" w:after="0" w:afterAutospacing="0"/>
                    <w:ind w:left="0" w:right="0" w:firstLine="0" w:firstLineChars="0"/>
                    <w:rPr>
                      <w:rFonts w:hint="eastAsia"/>
                      <w:color w:val="000000" w:themeColor="text1"/>
                      <w:sz w:val="21"/>
                      <w:szCs w:val="21"/>
                      <w:lang w:val="en-GB"/>
                      <w14:textFill>
                        <w14:solidFill>
                          <w14:schemeClr w14:val="tx1"/>
                        </w14:solidFill>
                      </w14:textFill>
                    </w:rPr>
                  </w:pPr>
                  <w:r>
                    <w:rPr>
                      <w:rFonts w:hint="eastAsia"/>
                      <w:color w:val="000000" w:themeColor="text1"/>
                      <w:sz w:val="21"/>
                      <w:szCs w:val="21"/>
                      <w:lang w:val="en-GB"/>
                      <w14:textFill>
                        <w14:solidFill>
                          <w14:schemeClr w14:val="tx1"/>
                        </w14:solidFill>
                      </w14:textFill>
                    </w:rPr>
                    <w:t>相符</w:t>
                  </w:r>
                </w:p>
              </w:tc>
            </w:tr>
            <w:tr w14:paraId="0ABC2A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vMerge w:val="continue"/>
                  <w:noWrap w:val="0"/>
                  <w:vAlign w:val="center"/>
                </w:tcPr>
                <w:p w14:paraId="5DAEC353">
                  <w:pPr>
                    <w:pStyle w:val="51"/>
                    <w:keepNext w:val="0"/>
                    <w:keepLines w:val="0"/>
                    <w:suppressLineNumbers w:val="0"/>
                    <w:bidi w:val="0"/>
                    <w:spacing w:before="0" w:beforeAutospacing="0" w:after="0" w:afterAutospacing="0"/>
                    <w:ind w:left="0" w:right="0" w:firstLine="0" w:firstLineChars="0"/>
                    <w:rPr>
                      <w:rFonts w:hint="eastAsia" w:ascii="Times New Roman" w:hAnsi="Times New Roman" w:eastAsia="宋体" w:cs="Times New Roman"/>
                      <w:color w:val="000000" w:themeColor="text1"/>
                      <w:sz w:val="21"/>
                      <w:szCs w:val="21"/>
                      <w:lang w:val="en-GB"/>
                      <w14:textFill>
                        <w14:solidFill>
                          <w14:schemeClr w14:val="tx1"/>
                        </w14:solidFill>
                      </w14:textFill>
                    </w:rPr>
                  </w:pPr>
                </w:p>
              </w:tc>
              <w:tc>
                <w:tcPr>
                  <w:tcW w:w="2244" w:type="pct"/>
                  <w:noWrap w:val="0"/>
                  <w:vAlign w:val="center"/>
                </w:tcPr>
                <w:p w14:paraId="68F6258A">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5、已出台超低排放要求的行业，其建设项目应满足</w:t>
                  </w:r>
                  <w:bookmarkStart w:id="1" w:name="OLE_LINK26"/>
                  <w:r>
                    <w:rPr>
                      <w:rFonts w:hint="eastAsia" w:ascii="Times New Roman" w:hAnsi="Times New Roman" w:eastAsia="宋体" w:cs="Times New Roman"/>
                      <w:color w:val="000000" w:themeColor="text1"/>
                      <w:sz w:val="21"/>
                      <w:szCs w:val="21"/>
                      <w14:textFill>
                        <w14:solidFill>
                          <w14:schemeClr w14:val="tx1"/>
                        </w14:solidFill>
                      </w14:textFill>
                    </w:rPr>
                    <w:t>超低排放要求</w:t>
                  </w:r>
                  <w:bookmarkEnd w:id="1"/>
                  <w:r>
                    <w:rPr>
                      <w:rFonts w:hint="eastAsia" w:ascii="Times New Roman" w:hAnsi="Times New Roman" w:eastAsia="宋体" w:cs="Times New Roman"/>
                      <w:color w:val="000000" w:themeColor="text1"/>
                      <w:sz w:val="21"/>
                      <w:szCs w:val="21"/>
                      <w14:textFill>
                        <w14:solidFill>
                          <w14:schemeClr w14:val="tx1"/>
                        </w14:solidFill>
                      </w14:textFill>
                    </w:rPr>
                    <w:t>。</w:t>
                  </w:r>
                </w:p>
              </w:tc>
              <w:tc>
                <w:tcPr>
                  <w:tcW w:w="1897" w:type="pct"/>
                  <w:noWrap w:val="0"/>
                  <w:vAlign w:val="center"/>
                </w:tcPr>
                <w:p w14:paraId="690A0FA8">
                  <w:pPr>
                    <w:pStyle w:val="51"/>
                    <w:keepNext w:val="0"/>
                    <w:keepLines w:val="0"/>
                    <w:suppressLineNumbers w:val="0"/>
                    <w:bidi w:val="0"/>
                    <w:spacing w:before="0" w:beforeAutospacing="0" w:after="0" w:afterAutospacing="0"/>
                    <w:ind w:left="0" w:right="0" w:firstLine="0" w:firstLineChars="0"/>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color w:val="000000" w:themeColor="text1"/>
                      <w:sz w:val="21"/>
                      <w:szCs w:val="21"/>
                      <w14:textFill>
                        <w14:solidFill>
                          <w14:schemeClr w14:val="tx1"/>
                        </w14:solidFill>
                      </w14:textFill>
                    </w:rPr>
                    <w:t>本项目</w:t>
                  </w:r>
                  <w:r>
                    <w:rPr>
                      <w:rFonts w:hint="eastAsia"/>
                      <w:color w:val="000000" w:themeColor="text1"/>
                      <w:sz w:val="21"/>
                      <w:szCs w:val="21"/>
                      <w:lang w:val="en-US" w:eastAsia="zh-CN"/>
                      <w14:textFill>
                        <w14:solidFill>
                          <w14:schemeClr w14:val="tx1"/>
                        </w14:solidFill>
                      </w14:textFill>
                    </w:rPr>
                    <w:t>满足超低排放要求。</w:t>
                  </w:r>
                </w:p>
              </w:tc>
              <w:tc>
                <w:tcPr>
                  <w:tcW w:w="423" w:type="pct"/>
                  <w:noWrap w:val="0"/>
                  <w:vAlign w:val="center"/>
                </w:tcPr>
                <w:p w14:paraId="1656A7EB">
                  <w:pPr>
                    <w:pStyle w:val="51"/>
                    <w:keepNext w:val="0"/>
                    <w:keepLines w:val="0"/>
                    <w:suppressLineNumbers w:val="0"/>
                    <w:bidi w:val="0"/>
                    <w:spacing w:before="0" w:beforeAutospacing="0" w:after="0" w:afterAutospacing="0"/>
                    <w:ind w:left="0" w:right="0" w:firstLine="0" w:firstLineChars="0"/>
                    <w:rPr>
                      <w:rFonts w:hint="eastAsia"/>
                      <w:color w:val="000000" w:themeColor="text1"/>
                      <w:sz w:val="21"/>
                      <w:szCs w:val="21"/>
                      <w:lang w:val="en-GB"/>
                      <w14:textFill>
                        <w14:solidFill>
                          <w14:schemeClr w14:val="tx1"/>
                        </w14:solidFill>
                      </w14:textFill>
                    </w:rPr>
                  </w:pPr>
                  <w:r>
                    <w:rPr>
                      <w:rFonts w:hint="eastAsia"/>
                      <w:color w:val="000000" w:themeColor="text1"/>
                      <w:sz w:val="21"/>
                      <w:szCs w:val="21"/>
                      <w:lang w:val="en-GB"/>
                      <w14:textFill>
                        <w14:solidFill>
                          <w14:schemeClr w14:val="tx1"/>
                        </w14:solidFill>
                      </w14:textFill>
                    </w:rPr>
                    <w:t>相符</w:t>
                  </w:r>
                </w:p>
              </w:tc>
            </w:tr>
            <w:tr w14:paraId="09F17F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vMerge w:val="continue"/>
                  <w:noWrap w:val="0"/>
                  <w:vAlign w:val="center"/>
                </w:tcPr>
                <w:p w14:paraId="04ABC366">
                  <w:pPr>
                    <w:pStyle w:val="51"/>
                    <w:keepNext w:val="0"/>
                    <w:keepLines w:val="0"/>
                    <w:suppressLineNumbers w:val="0"/>
                    <w:bidi w:val="0"/>
                    <w:spacing w:before="0" w:beforeAutospacing="0" w:after="0" w:afterAutospacing="0"/>
                    <w:ind w:left="0" w:right="0" w:firstLine="0" w:firstLineChars="0"/>
                    <w:rPr>
                      <w:rFonts w:hint="eastAsia" w:ascii="Times New Roman" w:hAnsi="Times New Roman" w:eastAsia="宋体" w:cs="Times New Roman"/>
                      <w:color w:val="000000" w:themeColor="text1"/>
                      <w:sz w:val="21"/>
                      <w:szCs w:val="21"/>
                      <w:lang w:val="en-GB"/>
                      <w14:textFill>
                        <w14:solidFill>
                          <w14:schemeClr w14:val="tx1"/>
                        </w14:solidFill>
                      </w14:textFill>
                    </w:rPr>
                  </w:pPr>
                </w:p>
              </w:tc>
              <w:tc>
                <w:tcPr>
                  <w:tcW w:w="2244" w:type="pct"/>
                  <w:noWrap w:val="0"/>
                  <w:vAlign w:val="center"/>
                </w:tcPr>
                <w:p w14:paraId="1FDB3C39">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6、入驻电镀项目应符合《河南省电镀建设项目环境影响评价文件审查审批原则（修订）》及相关政策要求，镀铬、镍、铅、镉的电镀工段废水（包括含铬钝化、镍封、退镀工序等）及相应清洗废水应全部回用，实施零排放；其他废水经厂内污水处理设施处理后尽可能回用，优先回用于清洗等水质要求不高的工段。</w:t>
                  </w:r>
                </w:p>
              </w:tc>
              <w:tc>
                <w:tcPr>
                  <w:tcW w:w="1897" w:type="pct"/>
                  <w:noWrap w:val="0"/>
                  <w:vAlign w:val="center"/>
                </w:tcPr>
                <w:p w14:paraId="75106B02">
                  <w:pPr>
                    <w:pStyle w:val="51"/>
                    <w:keepNext w:val="0"/>
                    <w:keepLines w:val="0"/>
                    <w:suppressLineNumbers w:val="0"/>
                    <w:bidi w:val="0"/>
                    <w:spacing w:before="0" w:beforeAutospacing="0" w:after="0" w:afterAutospacing="0"/>
                    <w:ind w:left="0" w:right="0" w:firstLine="0" w:firstLineChars="0"/>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olor w:val="000000" w:themeColor="text1"/>
                      <w:sz w:val="21"/>
                      <w:szCs w:val="21"/>
                      <w14:textFill>
                        <w14:solidFill>
                          <w14:schemeClr w14:val="tx1"/>
                        </w14:solidFill>
                      </w14:textFill>
                    </w:rPr>
                    <w:t>本项目不涉及电镀工艺。</w:t>
                  </w:r>
                </w:p>
              </w:tc>
              <w:tc>
                <w:tcPr>
                  <w:tcW w:w="423" w:type="pct"/>
                  <w:noWrap w:val="0"/>
                  <w:vAlign w:val="center"/>
                </w:tcPr>
                <w:p w14:paraId="0989F683">
                  <w:pPr>
                    <w:pStyle w:val="51"/>
                    <w:keepNext w:val="0"/>
                    <w:keepLines w:val="0"/>
                    <w:suppressLineNumbers w:val="0"/>
                    <w:bidi w:val="0"/>
                    <w:spacing w:before="0" w:beforeAutospacing="0" w:after="0" w:afterAutospacing="0"/>
                    <w:ind w:left="0" w:right="0" w:firstLine="0" w:firstLineChars="0"/>
                    <w:rPr>
                      <w:rFonts w:hint="eastAsia"/>
                      <w:color w:val="000000" w:themeColor="text1"/>
                      <w:sz w:val="21"/>
                      <w:szCs w:val="21"/>
                      <w:lang w:val="en-GB"/>
                      <w14:textFill>
                        <w14:solidFill>
                          <w14:schemeClr w14:val="tx1"/>
                        </w14:solidFill>
                      </w14:textFill>
                    </w:rPr>
                  </w:pPr>
                  <w:r>
                    <w:rPr>
                      <w:rFonts w:hint="eastAsia"/>
                      <w:color w:val="000000" w:themeColor="text1"/>
                      <w:sz w:val="21"/>
                      <w:szCs w:val="21"/>
                      <w:lang w:val="en-GB"/>
                      <w14:textFill>
                        <w14:solidFill>
                          <w14:schemeClr w14:val="tx1"/>
                        </w14:solidFill>
                      </w14:textFill>
                    </w:rPr>
                    <w:t>相符</w:t>
                  </w:r>
                </w:p>
              </w:tc>
            </w:tr>
            <w:tr w14:paraId="7C3D06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vMerge w:val="continue"/>
                  <w:noWrap w:val="0"/>
                  <w:vAlign w:val="center"/>
                </w:tcPr>
                <w:p w14:paraId="6AB7E53D">
                  <w:pPr>
                    <w:pStyle w:val="51"/>
                    <w:keepNext w:val="0"/>
                    <w:keepLines w:val="0"/>
                    <w:suppressLineNumbers w:val="0"/>
                    <w:bidi w:val="0"/>
                    <w:spacing w:before="0" w:beforeAutospacing="0" w:after="0" w:afterAutospacing="0"/>
                    <w:ind w:left="0" w:right="0" w:firstLine="0" w:firstLineChars="0"/>
                    <w:rPr>
                      <w:rFonts w:hint="eastAsia" w:ascii="Times New Roman" w:hAnsi="Times New Roman" w:eastAsia="宋体" w:cs="Times New Roman"/>
                      <w:color w:val="000000" w:themeColor="text1"/>
                      <w:sz w:val="21"/>
                      <w:szCs w:val="21"/>
                      <w:lang w:val="en-GB"/>
                      <w14:textFill>
                        <w14:solidFill>
                          <w14:schemeClr w14:val="tx1"/>
                        </w14:solidFill>
                      </w14:textFill>
                    </w:rPr>
                  </w:pPr>
                </w:p>
              </w:tc>
              <w:tc>
                <w:tcPr>
                  <w:tcW w:w="2244" w:type="pct"/>
                  <w:noWrap w:val="0"/>
                  <w:vAlign w:val="center"/>
                </w:tcPr>
                <w:p w14:paraId="0A457636">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7、涉及第一类污染物的废水应在车间或车间处理设施排放口满足《污水综合排放标准》（GB8978-1996）表1第一类污染物最高允许排放浓度要求。</w:t>
                  </w:r>
                </w:p>
              </w:tc>
              <w:tc>
                <w:tcPr>
                  <w:tcW w:w="1897" w:type="pct"/>
                  <w:noWrap w:val="0"/>
                  <w:vAlign w:val="center"/>
                </w:tcPr>
                <w:p w14:paraId="0842E671">
                  <w:pPr>
                    <w:pStyle w:val="51"/>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本项目不涉及。</w:t>
                  </w:r>
                </w:p>
              </w:tc>
              <w:tc>
                <w:tcPr>
                  <w:tcW w:w="423" w:type="pct"/>
                  <w:noWrap w:val="0"/>
                  <w:vAlign w:val="center"/>
                </w:tcPr>
                <w:p w14:paraId="71011951">
                  <w:pPr>
                    <w:pStyle w:val="51"/>
                    <w:keepNext w:val="0"/>
                    <w:keepLines w:val="0"/>
                    <w:suppressLineNumbers w:val="0"/>
                    <w:bidi w:val="0"/>
                    <w:spacing w:before="0" w:beforeAutospacing="0" w:after="0" w:afterAutospacing="0"/>
                    <w:ind w:left="0" w:right="0" w:firstLine="0" w:firstLineChars="0"/>
                    <w:rPr>
                      <w:rFonts w:hint="eastAsia"/>
                      <w:color w:val="000000" w:themeColor="text1"/>
                      <w:sz w:val="21"/>
                      <w:szCs w:val="21"/>
                      <w:lang w:val="en-GB"/>
                      <w14:textFill>
                        <w14:solidFill>
                          <w14:schemeClr w14:val="tx1"/>
                        </w14:solidFill>
                      </w14:textFill>
                    </w:rPr>
                  </w:pPr>
                  <w:r>
                    <w:rPr>
                      <w:rFonts w:hint="eastAsia"/>
                      <w:color w:val="000000" w:themeColor="text1"/>
                      <w:sz w:val="21"/>
                      <w:szCs w:val="21"/>
                      <w:lang w:val="en-GB"/>
                      <w14:textFill>
                        <w14:solidFill>
                          <w14:schemeClr w14:val="tx1"/>
                        </w14:solidFill>
                      </w14:textFill>
                    </w:rPr>
                    <w:t>相符</w:t>
                  </w:r>
                </w:p>
              </w:tc>
            </w:tr>
            <w:tr w14:paraId="5D664F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vMerge w:val="continue"/>
                  <w:noWrap w:val="0"/>
                  <w:vAlign w:val="center"/>
                </w:tcPr>
                <w:p w14:paraId="6706E8A9">
                  <w:pPr>
                    <w:pStyle w:val="51"/>
                    <w:keepNext w:val="0"/>
                    <w:keepLines w:val="0"/>
                    <w:suppressLineNumbers w:val="0"/>
                    <w:bidi w:val="0"/>
                    <w:spacing w:before="0" w:beforeAutospacing="0" w:after="0" w:afterAutospacing="0"/>
                    <w:ind w:left="0" w:right="0" w:firstLine="0" w:firstLineChars="0"/>
                    <w:rPr>
                      <w:rFonts w:hint="eastAsia" w:ascii="Times New Roman" w:hAnsi="Times New Roman" w:eastAsia="宋体" w:cs="Times New Roman"/>
                      <w:color w:val="000000" w:themeColor="text1"/>
                      <w:sz w:val="21"/>
                      <w:szCs w:val="21"/>
                      <w:lang w:val="en-GB"/>
                      <w14:textFill>
                        <w14:solidFill>
                          <w14:schemeClr w14:val="tx1"/>
                        </w14:solidFill>
                      </w14:textFill>
                    </w:rPr>
                  </w:pPr>
                </w:p>
              </w:tc>
              <w:tc>
                <w:tcPr>
                  <w:tcW w:w="2244" w:type="pct"/>
                  <w:noWrap w:val="0"/>
                  <w:vAlign w:val="center"/>
                </w:tcPr>
                <w:p w14:paraId="65781566">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8、涉及颗粒物、VOCs、废水排放的建设项目，需实行颗粒物、VOCs、COD、氨氮排放等量或倍量削减替代，满足重点污染物总量控制指标要求。</w:t>
                  </w:r>
                </w:p>
              </w:tc>
              <w:tc>
                <w:tcPr>
                  <w:tcW w:w="1897" w:type="pct"/>
                  <w:noWrap w:val="0"/>
                  <w:vAlign w:val="center"/>
                </w:tcPr>
                <w:p w14:paraId="63129235">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本项目</w:t>
                  </w:r>
                  <w:r>
                    <w:rPr>
                      <w:rFonts w:hint="eastAsia" w:ascii="Times New Roman" w:cs="Times New Roman"/>
                      <w:color w:val="000000" w:themeColor="text1"/>
                      <w:sz w:val="21"/>
                      <w:szCs w:val="21"/>
                      <w:lang w:val="en-US" w:eastAsia="zh-CN"/>
                      <w14:textFill>
                        <w14:solidFill>
                          <w14:schemeClr w14:val="tx1"/>
                        </w14:solidFill>
                      </w14:textFill>
                    </w:rPr>
                    <w:t>不新增废气、废水污染物</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423" w:type="pct"/>
                  <w:noWrap w:val="0"/>
                  <w:vAlign w:val="center"/>
                </w:tcPr>
                <w:p w14:paraId="783BEBEE">
                  <w:pPr>
                    <w:pStyle w:val="51"/>
                    <w:keepNext w:val="0"/>
                    <w:keepLines w:val="0"/>
                    <w:suppressLineNumbers w:val="0"/>
                    <w:bidi w:val="0"/>
                    <w:spacing w:before="0" w:beforeAutospacing="0" w:after="0" w:afterAutospacing="0"/>
                    <w:ind w:left="0" w:right="0" w:firstLine="0" w:firstLineChars="0"/>
                    <w:rPr>
                      <w:rFonts w:hint="eastAsia"/>
                      <w:color w:val="000000" w:themeColor="text1"/>
                      <w:sz w:val="21"/>
                      <w:szCs w:val="21"/>
                      <w:lang w:val="en-GB"/>
                      <w14:textFill>
                        <w14:solidFill>
                          <w14:schemeClr w14:val="tx1"/>
                        </w14:solidFill>
                      </w14:textFill>
                    </w:rPr>
                  </w:pPr>
                  <w:r>
                    <w:rPr>
                      <w:rFonts w:hint="eastAsia"/>
                      <w:color w:val="000000" w:themeColor="text1"/>
                      <w:sz w:val="21"/>
                      <w:szCs w:val="21"/>
                      <w:lang w:val="en-GB"/>
                      <w14:textFill>
                        <w14:solidFill>
                          <w14:schemeClr w14:val="tx1"/>
                        </w14:solidFill>
                      </w14:textFill>
                    </w:rPr>
                    <w:t>相符</w:t>
                  </w:r>
                </w:p>
              </w:tc>
            </w:tr>
            <w:tr w14:paraId="539AC6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vMerge w:val="continue"/>
                  <w:noWrap w:val="0"/>
                  <w:vAlign w:val="center"/>
                </w:tcPr>
                <w:p w14:paraId="696EA9CE">
                  <w:pPr>
                    <w:pStyle w:val="51"/>
                    <w:keepNext w:val="0"/>
                    <w:keepLines w:val="0"/>
                    <w:suppressLineNumbers w:val="0"/>
                    <w:bidi w:val="0"/>
                    <w:spacing w:before="0" w:beforeAutospacing="0" w:after="0" w:afterAutospacing="0"/>
                    <w:ind w:left="0" w:right="0" w:firstLine="0" w:firstLineChars="0"/>
                    <w:rPr>
                      <w:rFonts w:hint="eastAsia" w:ascii="Times New Roman" w:hAnsi="Times New Roman" w:eastAsia="宋体" w:cs="Times New Roman"/>
                      <w:color w:val="000000" w:themeColor="text1"/>
                      <w:sz w:val="21"/>
                      <w:szCs w:val="21"/>
                      <w:lang w:val="en-GB"/>
                      <w14:textFill>
                        <w14:solidFill>
                          <w14:schemeClr w14:val="tx1"/>
                        </w14:solidFill>
                      </w14:textFill>
                    </w:rPr>
                  </w:pPr>
                </w:p>
              </w:tc>
              <w:tc>
                <w:tcPr>
                  <w:tcW w:w="2244" w:type="pct"/>
                  <w:noWrap w:val="0"/>
                  <w:vAlign w:val="center"/>
                </w:tcPr>
                <w:p w14:paraId="48237EE7">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9、加快污水处理厂配套管网建设，以满足园区企业污水处理的需求，确保入区企业外排废水全部经管网收集后进入污水处理厂处理。</w:t>
                  </w:r>
                </w:p>
              </w:tc>
              <w:tc>
                <w:tcPr>
                  <w:tcW w:w="1897" w:type="pct"/>
                  <w:noWrap w:val="0"/>
                  <w:vAlign w:val="center"/>
                </w:tcPr>
                <w:p w14:paraId="7B22B858">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w:t>
                  </w:r>
                  <w:r>
                    <w:rPr>
                      <w:rFonts w:hint="eastAsia" w:ascii="Times New Roman" w:cs="Times New Roman"/>
                      <w:color w:val="000000" w:themeColor="text1"/>
                      <w:sz w:val="21"/>
                      <w:szCs w:val="21"/>
                      <w:lang w:val="en-US" w:eastAsia="zh-CN"/>
                      <w14:textFill>
                        <w14:solidFill>
                          <w14:schemeClr w14:val="tx1"/>
                        </w14:solidFill>
                      </w14:textFill>
                    </w:rPr>
                    <w:t>不新增外排废水</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423" w:type="pct"/>
                  <w:noWrap w:val="0"/>
                  <w:vAlign w:val="center"/>
                </w:tcPr>
                <w:p w14:paraId="2E593515">
                  <w:pPr>
                    <w:pStyle w:val="51"/>
                    <w:keepNext w:val="0"/>
                    <w:keepLines w:val="0"/>
                    <w:suppressLineNumbers w:val="0"/>
                    <w:bidi w:val="0"/>
                    <w:spacing w:before="0" w:beforeAutospacing="0" w:after="0" w:afterAutospacing="0"/>
                    <w:ind w:left="0" w:right="0" w:firstLine="0" w:firstLineChars="0"/>
                    <w:rPr>
                      <w:rFonts w:hint="eastAsia"/>
                      <w:color w:val="000000" w:themeColor="text1"/>
                      <w:sz w:val="21"/>
                      <w:szCs w:val="21"/>
                      <w:lang w:val="en-GB"/>
                      <w14:textFill>
                        <w14:solidFill>
                          <w14:schemeClr w14:val="tx1"/>
                        </w14:solidFill>
                      </w14:textFill>
                    </w:rPr>
                  </w:pPr>
                  <w:r>
                    <w:rPr>
                      <w:rFonts w:hint="eastAsia"/>
                      <w:color w:val="000000" w:themeColor="text1"/>
                      <w:sz w:val="21"/>
                      <w:szCs w:val="21"/>
                      <w:lang w:val="en-GB"/>
                      <w14:textFill>
                        <w14:solidFill>
                          <w14:schemeClr w14:val="tx1"/>
                        </w14:solidFill>
                      </w14:textFill>
                    </w:rPr>
                    <w:t>相符</w:t>
                  </w:r>
                </w:p>
              </w:tc>
            </w:tr>
            <w:tr w14:paraId="3FC48A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vMerge w:val="restart"/>
                  <w:noWrap w:val="0"/>
                  <w:vAlign w:val="center"/>
                </w:tcPr>
                <w:p w14:paraId="72A02D56">
                  <w:pPr>
                    <w:pStyle w:val="5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环境风险防控</w:t>
                  </w:r>
                </w:p>
              </w:tc>
              <w:tc>
                <w:tcPr>
                  <w:tcW w:w="2244" w:type="pct"/>
                  <w:noWrap w:val="0"/>
                  <w:vAlign w:val="center"/>
                </w:tcPr>
                <w:p w14:paraId="5F5AB4E7">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1、引进项目必须严格落实环境影响评价等文件提出的各项环境风险防控措施。</w:t>
                  </w:r>
                </w:p>
              </w:tc>
              <w:tc>
                <w:tcPr>
                  <w:tcW w:w="1897" w:type="pct"/>
                  <w:noWrap w:val="0"/>
                  <w:vAlign w:val="center"/>
                </w:tcPr>
                <w:p w14:paraId="595C1F8D">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严格落实环境影响评价等提出的各项环境风险防控措施</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423" w:type="pct"/>
                  <w:noWrap w:val="0"/>
                  <w:vAlign w:val="center"/>
                </w:tcPr>
                <w:p w14:paraId="7DE2C70F">
                  <w:pPr>
                    <w:pStyle w:val="51"/>
                    <w:keepNext w:val="0"/>
                    <w:keepLines w:val="0"/>
                    <w:suppressLineNumbers w:val="0"/>
                    <w:bidi w:val="0"/>
                    <w:spacing w:before="0" w:beforeAutospacing="0" w:after="0" w:afterAutospacing="0"/>
                    <w:ind w:left="0" w:right="0" w:firstLine="0" w:firstLineChars="0"/>
                    <w:rPr>
                      <w:rFonts w:hint="default"/>
                      <w:color w:val="000000" w:themeColor="text1"/>
                      <w:u w:val="none"/>
                      <w14:textFill>
                        <w14:solidFill>
                          <w14:schemeClr w14:val="tx1"/>
                        </w14:solidFill>
                      </w14:textFill>
                    </w:rPr>
                  </w:pPr>
                  <w:r>
                    <w:rPr>
                      <w:rFonts w:hint="eastAsia"/>
                      <w:color w:val="000000" w:themeColor="text1"/>
                      <w:sz w:val="21"/>
                      <w:szCs w:val="21"/>
                      <w:lang w:val="en-GB"/>
                      <w14:textFill>
                        <w14:solidFill>
                          <w14:schemeClr w14:val="tx1"/>
                        </w14:solidFill>
                      </w14:textFill>
                    </w:rPr>
                    <w:t>相符</w:t>
                  </w:r>
                </w:p>
              </w:tc>
            </w:tr>
            <w:tr w14:paraId="0E96CD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vMerge w:val="continue"/>
                  <w:noWrap w:val="0"/>
                  <w:vAlign w:val="center"/>
                </w:tcPr>
                <w:p w14:paraId="7B226263">
                  <w:pPr>
                    <w:pStyle w:val="51"/>
                    <w:keepNext w:val="0"/>
                    <w:keepLines w:val="0"/>
                    <w:suppressLineNumbers w:val="0"/>
                    <w:bidi w:val="0"/>
                    <w:spacing w:before="0" w:beforeAutospacing="0" w:after="0" w:afterAutospacing="0"/>
                    <w:ind w:left="0" w:right="0" w:firstLine="0" w:firstLineChars="0"/>
                    <w:rPr>
                      <w:rFonts w:hint="eastAsia" w:ascii="Times New Roman" w:hAnsi="Times New Roman" w:eastAsia="宋体" w:cs="Times New Roman"/>
                      <w:color w:val="000000" w:themeColor="text1"/>
                      <w:sz w:val="21"/>
                      <w:szCs w:val="21"/>
                      <w:lang w:val="en-GB"/>
                      <w14:textFill>
                        <w14:solidFill>
                          <w14:schemeClr w14:val="tx1"/>
                        </w14:solidFill>
                      </w14:textFill>
                    </w:rPr>
                  </w:pPr>
                </w:p>
              </w:tc>
              <w:tc>
                <w:tcPr>
                  <w:tcW w:w="2244" w:type="pct"/>
                  <w:noWrap w:val="0"/>
                  <w:vAlign w:val="center"/>
                </w:tcPr>
                <w:p w14:paraId="24FB4848">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2、建立健全园区环境风险管理体系。加快环境风险预警体系建设，健全环境风险单位信息库，严格危险化学品管理。</w:t>
                  </w:r>
                </w:p>
              </w:tc>
              <w:tc>
                <w:tcPr>
                  <w:tcW w:w="1897" w:type="pct"/>
                  <w:noWrap w:val="0"/>
                  <w:vAlign w:val="center"/>
                </w:tcPr>
                <w:p w14:paraId="66E2BBC8">
                  <w:pPr>
                    <w:pStyle w:val="51"/>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本项目不涉及。</w:t>
                  </w:r>
                </w:p>
              </w:tc>
              <w:tc>
                <w:tcPr>
                  <w:tcW w:w="423" w:type="pct"/>
                  <w:noWrap w:val="0"/>
                  <w:vAlign w:val="center"/>
                </w:tcPr>
                <w:p w14:paraId="6C92059D">
                  <w:pPr>
                    <w:pStyle w:val="51"/>
                    <w:keepNext w:val="0"/>
                    <w:keepLines w:val="0"/>
                    <w:suppressLineNumbers w:val="0"/>
                    <w:bidi w:val="0"/>
                    <w:spacing w:before="0" w:beforeAutospacing="0" w:after="0" w:afterAutospacing="0"/>
                    <w:ind w:left="0" w:right="0" w:firstLine="0" w:firstLineChars="0"/>
                    <w:rPr>
                      <w:rFonts w:hint="eastAsia"/>
                      <w:color w:val="000000" w:themeColor="text1"/>
                      <w:sz w:val="21"/>
                      <w:szCs w:val="21"/>
                      <w:lang w:val="en-GB"/>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相符</w:t>
                  </w:r>
                </w:p>
              </w:tc>
            </w:tr>
            <w:tr w14:paraId="025389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vMerge w:val="continue"/>
                  <w:noWrap w:val="0"/>
                  <w:vAlign w:val="center"/>
                </w:tcPr>
                <w:p w14:paraId="491ADEB1">
                  <w:pPr>
                    <w:pStyle w:val="51"/>
                    <w:keepNext w:val="0"/>
                    <w:keepLines w:val="0"/>
                    <w:suppressLineNumbers w:val="0"/>
                    <w:bidi w:val="0"/>
                    <w:spacing w:before="0" w:beforeAutospacing="0" w:after="0" w:afterAutospacing="0"/>
                    <w:ind w:left="0" w:right="0" w:firstLine="0" w:firstLineChars="0"/>
                    <w:rPr>
                      <w:rFonts w:hint="eastAsia" w:ascii="Times New Roman" w:hAnsi="Times New Roman" w:eastAsia="宋体" w:cs="Times New Roman"/>
                      <w:color w:val="000000" w:themeColor="text1"/>
                      <w:sz w:val="21"/>
                      <w:szCs w:val="21"/>
                      <w:lang w:val="en-GB"/>
                      <w14:textFill>
                        <w14:solidFill>
                          <w14:schemeClr w14:val="tx1"/>
                        </w14:solidFill>
                      </w14:textFill>
                    </w:rPr>
                  </w:pPr>
                </w:p>
              </w:tc>
              <w:tc>
                <w:tcPr>
                  <w:tcW w:w="2244" w:type="pct"/>
                  <w:noWrap w:val="0"/>
                  <w:vAlign w:val="center"/>
                </w:tcPr>
                <w:p w14:paraId="4372D5A4">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3、规范园区建设，对涉重行业及化工企业加强管理，建立土壤和地下水污染隐患排查治理制度、风险防控体系和长效监管机制。</w:t>
                  </w:r>
                </w:p>
              </w:tc>
              <w:tc>
                <w:tcPr>
                  <w:tcW w:w="1897" w:type="pct"/>
                  <w:noWrap w:val="0"/>
                  <w:vAlign w:val="center"/>
                </w:tcPr>
                <w:p w14:paraId="438A4A5F">
                  <w:pPr>
                    <w:pStyle w:val="51"/>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本项目不涉及。</w:t>
                  </w:r>
                </w:p>
              </w:tc>
              <w:tc>
                <w:tcPr>
                  <w:tcW w:w="423" w:type="pct"/>
                  <w:noWrap w:val="0"/>
                  <w:vAlign w:val="center"/>
                </w:tcPr>
                <w:p w14:paraId="6EB6F2D9">
                  <w:pPr>
                    <w:pStyle w:val="51"/>
                    <w:keepNext w:val="0"/>
                    <w:keepLines w:val="0"/>
                    <w:suppressLineNumbers w:val="0"/>
                    <w:bidi w:val="0"/>
                    <w:spacing w:before="0" w:beforeAutospacing="0" w:after="0" w:afterAutospacing="0"/>
                    <w:ind w:left="0" w:right="0" w:firstLine="0" w:firstLineChars="0"/>
                    <w:rPr>
                      <w:rFonts w:hint="eastAsia"/>
                      <w:color w:val="000000" w:themeColor="text1"/>
                      <w:sz w:val="21"/>
                      <w:szCs w:val="21"/>
                      <w:lang w:val="en-GB"/>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相符</w:t>
                  </w:r>
                </w:p>
              </w:tc>
            </w:tr>
            <w:tr w14:paraId="693BF0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vMerge w:val="continue"/>
                  <w:noWrap w:val="0"/>
                  <w:vAlign w:val="center"/>
                </w:tcPr>
                <w:p w14:paraId="39E75A89">
                  <w:pPr>
                    <w:pStyle w:val="51"/>
                    <w:keepNext w:val="0"/>
                    <w:keepLines w:val="0"/>
                    <w:suppressLineNumbers w:val="0"/>
                    <w:bidi w:val="0"/>
                    <w:spacing w:before="0" w:beforeAutospacing="0" w:after="0" w:afterAutospacing="0"/>
                    <w:ind w:left="0" w:right="0" w:firstLine="0" w:firstLineChars="0"/>
                    <w:rPr>
                      <w:rFonts w:hint="eastAsia" w:ascii="Times New Roman" w:hAnsi="Times New Roman" w:eastAsia="宋体" w:cs="Times New Roman"/>
                      <w:color w:val="000000" w:themeColor="text1"/>
                      <w:sz w:val="21"/>
                      <w:szCs w:val="21"/>
                      <w:lang w:val="en-GB"/>
                      <w14:textFill>
                        <w14:solidFill>
                          <w14:schemeClr w14:val="tx1"/>
                        </w14:solidFill>
                      </w14:textFill>
                    </w:rPr>
                  </w:pPr>
                </w:p>
              </w:tc>
              <w:tc>
                <w:tcPr>
                  <w:tcW w:w="2244" w:type="pct"/>
                  <w:noWrap w:val="0"/>
                  <w:vAlign w:val="center"/>
                </w:tcPr>
                <w:p w14:paraId="005D393C">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4、园区入驻企业加强应急方案的制定，园区应制定区域环境监管计划，保证周围居民不受大气环境的影响。</w:t>
                  </w:r>
                </w:p>
              </w:tc>
              <w:tc>
                <w:tcPr>
                  <w:tcW w:w="1897" w:type="pct"/>
                  <w:noWrap w:val="0"/>
                  <w:vAlign w:val="center"/>
                </w:tcPr>
                <w:p w14:paraId="32554507">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本项目环境风险较小，项目建成后将根据环境管理部门的要求编制环突发环境事件应急预案，将环境事故对周边环境及居民的影响降到最低。</w:t>
                  </w:r>
                </w:p>
              </w:tc>
              <w:tc>
                <w:tcPr>
                  <w:tcW w:w="423" w:type="pct"/>
                  <w:noWrap w:val="0"/>
                  <w:vAlign w:val="center"/>
                </w:tcPr>
                <w:p w14:paraId="1D7B803A">
                  <w:pPr>
                    <w:pStyle w:val="51"/>
                    <w:keepNext w:val="0"/>
                    <w:keepLines w:val="0"/>
                    <w:suppressLineNumbers w:val="0"/>
                    <w:bidi w:val="0"/>
                    <w:spacing w:before="0" w:beforeAutospacing="0" w:after="0" w:afterAutospacing="0"/>
                    <w:ind w:left="0" w:right="0" w:firstLine="0" w:firstLineChars="0"/>
                    <w:rPr>
                      <w:rFonts w:hint="eastAsia"/>
                      <w:color w:val="000000" w:themeColor="text1"/>
                      <w:sz w:val="21"/>
                      <w:szCs w:val="21"/>
                      <w:lang w:val="en-GB"/>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相符</w:t>
                  </w:r>
                </w:p>
              </w:tc>
            </w:tr>
            <w:tr w14:paraId="7EA71F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vMerge w:val="continue"/>
                  <w:noWrap w:val="0"/>
                  <w:vAlign w:val="center"/>
                </w:tcPr>
                <w:p w14:paraId="7FE7C248">
                  <w:pPr>
                    <w:pStyle w:val="51"/>
                    <w:keepNext w:val="0"/>
                    <w:keepLines w:val="0"/>
                    <w:suppressLineNumbers w:val="0"/>
                    <w:bidi w:val="0"/>
                    <w:spacing w:before="0" w:beforeAutospacing="0" w:after="0" w:afterAutospacing="0"/>
                    <w:ind w:left="0" w:right="0" w:firstLine="0" w:firstLineChars="0"/>
                    <w:rPr>
                      <w:rFonts w:hint="eastAsia" w:ascii="Times New Roman" w:hAnsi="Times New Roman" w:eastAsia="宋体" w:cs="Times New Roman"/>
                      <w:color w:val="000000" w:themeColor="text1"/>
                      <w:sz w:val="21"/>
                      <w:szCs w:val="21"/>
                      <w:lang w:val="en-GB"/>
                      <w14:textFill>
                        <w14:solidFill>
                          <w14:schemeClr w14:val="tx1"/>
                        </w14:solidFill>
                      </w14:textFill>
                    </w:rPr>
                  </w:pPr>
                </w:p>
              </w:tc>
              <w:tc>
                <w:tcPr>
                  <w:tcW w:w="2244" w:type="pct"/>
                  <w:noWrap w:val="0"/>
                  <w:vAlign w:val="center"/>
                </w:tcPr>
                <w:p w14:paraId="1191E591">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5、高关注地块划分污染风险等级，纳入优先管控名录。</w:t>
                  </w:r>
                </w:p>
              </w:tc>
              <w:tc>
                <w:tcPr>
                  <w:tcW w:w="1897" w:type="pct"/>
                  <w:noWrap w:val="0"/>
                  <w:vAlign w:val="center"/>
                </w:tcPr>
                <w:p w14:paraId="0BDA2AF3">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本项目选址不属于高关注地块。</w:t>
                  </w:r>
                </w:p>
              </w:tc>
              <w:tc>
                <w:tcPr>
                  <w:tcW w:w="423" w:type="pct"/>
                  <w:noWrap w:val="0"/>
                  <w:vAlign w:val="center"/>
                </w:tcPr>
                <w:p w14:paraId="4330A027">
                  <w:pPr>
                    <w:pStyle w:val="51"/>
                    <w:keepNext w:val="0"/>
                    <w:keepLines w:val="0"/>
                    <w:suppressLineNumbers w:val="0"/>
                    <w:bidi w:val="0"/>
                    <w:spacing w:before="0" w:beforeAutospacing="0" w:after="0" w:afterAutospacing="0"/>
                    <w:ind w:left="0" w:right="0" w:firstLine="0" w:firstLineChars="0"/>
                    <w:rPr>
                      <w:rFonts w:hint="eastAsia"/>
                      <w:color w:val="000000" w:themeColor="text1"/>
                      <w:sz w:val="21"/>
                      <w:szCs w:val="21"/>
                      <w:lang w:val="en-GB"/>
                      <w14:textFill>
                        <w14:solidFill>
                          <w14:schemeClr w14:val="tx1"/>
                        </w14:solidFill>
                      </w14:textFill>
                    </w:rPr>
                  </w:pPr>
                </w:p>
              </w:tc>
            </w:tr>
            <w:tr w14:paraId="0289CB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vMerge w:val="restart"/>
                  <w:noWrap w:val="0"/>
                  <w:vAlign w:val="center"/>
                </w:tcPr>
                <w:p w14:paraId="1765A642">
                  <w:pPr>
                    <w:pStyle w:val="51"/>
                    <w:keepNext w:val="0"/>
                    <w:keepLines w:val="0"/>
                    <w:suppressLineNumbers w:val="0"/>
                    <w:bidi w:val="0"/>
                    <w:spacing w:before="0" w:beforeAutospacing="0" w:after="0" w:afterAutospacing="0"/>
                    <w:ind w:left="0" w:right="0"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资源开发利用管控</w:t>
                  </w:r>
                </w:p>
              </w:tc>
              <w:tc>
                <w:tcPr>
                  <w:tcW w:w="2244" w:type="pct"/>
                  <w:noWrap w:val="0"/>
                  <w:vAlign w:val="center"/>
                </w:tcPr>
                <w:p w14:paraId="4DB3E8C0">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1、鼓励企业进行中水回用、工业用水循环利用和工业固废综合利用。</w:t>
                  </w:r>
                </w:p>
              </w:tc>
              <w:tc>
                <w:tcPr>
                  <w:tcW w:w="1897" w:type="pct"/>
                  <w:noWrap w:val="0"/>
                  <w:vAlign w:val="center"/>
                </w:tcPr>
                <w:p w14:paraId="096BA1BC">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本项目不涉及中水回用、工业用水循环利用和工业固废综合利用</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423" w:type="pct"/>
                  <w:noWrap w:val="0"/>
                  <w:vAlign w:val="center"/>
                </w:tcPr>
                <w:p w14:paraId="7449B1DA">
                  <w:pPr>
                    <w:pStyle w:val="51"/>
                    <w:keepNext w:val="0"/>
                    <w:keepLines w:val="0"/>
                    <w:suppressLineNumbers w:val="0"/>
                    <w:bidi w:val="0"/>
                    <w:spacing w:before="0" w:beforeAutospacing="0" w:after="0" w:afterAutospacing="0"/>
                    <w:ind w:left="0" w:right="0" w:firstLine="0" w:firstLineChars="0"/>
                    <w:rPr>
                      <w:rFonts w:hint="default"/>
                      <w:color w:val="000000" w:themeColor="text1"/>
                      <w:u w:val="none"/>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相符</w:t>
                  </w:r>
                </w:p>
              </w:tc>
            </w:tr>
            <w:tr w14:paraId="222A83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vMerge w:val="continue"/>
                  <w:noWrap w:val="0"/>
                  <w:vAlign w:val="center"/>
                </w:tcPr>
                <w:p w14:paraId="02CAD0E7">
                  <w:pPr>
                    <w:pStyle w:val="51"/>
                    <w:keepNext w:val="0"/>
                    <w:keepLines w:val="0"/>
                    <w:suppressLineNumbers w:val="0"/>
                    <w:bidi w:val="0"/>
                    <w:spacing w:before="0" w:beforeAutospacing="0" w:after="0" w:afterAutospacing="0"/>
                    <w:ind w:left="0" w:right="0" w:firstLine="0" w:firstLineChars="0"/>
                    <w:jc w:val="center"/>
                    <w:rPr>
                      <w:rFonts w:hint="default"/>
                      <w:color w:val="000000" w:themeColor="text1"/>
                      <w:sz w:val="21"/>
                      <w:szCs w:val="21"/>
                      <w14:textFill>
                        <w14:solidFill>
                          <w14:schemeClr w14:val="tx1"/>
                        </w14:solidFill>
                      </w14:textFill>
                    </w:rPr>
                  </w:pPr>
                </w:p>
              </w:tc>
              <w:tc>
                <w:tcPr>
                  <w:tcW w:w="2244" w:type="pct"/>
                  <w:noWrap w:val="0"/>
                  <w:vAlign w:val="center"/>
                </w:tcPr>
                <w:p w14:paraId="6B5465EC">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2、进一步优化能源结构，加快园区集中供热、供气及配套管网建设；不得新改扩建分散燃煤设施。集中供热管网铺设到位后，入驻企业应采取集中供热，现有企业自备燃气锅炉作为备用热源使用。</w:t>
                  </w:r>
                </w:p>
              </w:tc>
              <w:tc>
                <w:tcPr>
                  <w:tcW w:w="1897" w:type="pct"/>
                  <w:noWrap w:val="0"/>
                  <w:vAlign w:val="center"/>
                </w:tcPr>
                <w:p w14:paraId="595D9CC7">
                  <w:pPr>
                    <w:pStyle w:val="51"/>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本项目不涉及。</w:t>
                  </w:r>
                </w:p>
              </w:tc>
              <w:tc>
                <w:tcPr>
                  <w:tcW w:w="423" w:type="pct"/>
                  <w:noWrap w:val="0"/>
                  <w:vAlign w:val="center"/>
                </w:tcPr>
                <w:p w14:paraId="19A441A3">
                  <w:pPr>
                    <w:pStyle w:val="51"/>
                    <w:keepNext w:val="0"/>
                    <w:keepLines w:val="0"/>
                    <w:suppressLineNumbers w:val="0"/>
                    <w:bidi w:val="0"/>
                    <w:spacing w:before="0" w:beforeAutospacing="0" w:after="0" w:afterAutospacing="0"/>
                    <w:ind w:left="0" w:right="0" w:firstLine="0" w:firstLineChars="0"/>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GB"/>
                      <w14:textFill>
                        <w14:solidFill>
                          <w14:schemeClr w14:val="tx1"/>
                        </w14:solidFill>
                      </w14:textFill>
                    </w:rPr>
                    <w:t>相符</w:t>
                  </w:r>
                </w:p>
              </w:tc>
            </w:tr>
            <w:tr w14:paraId="11825D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vMerge w:val="continue"/>
                  <w:noWrap w:val="0"/>
                  <w:vAlign w:val="center"/>
                </w:tcPr>
                <w:p w14:paraId="771B6D87">
                  <w:pPr>
                    <w:pStyle w:val="51"/>
                    <w:keepNext w:val="0"/>
                    <w:keepLines w:val="0"/>
                    <w:suppressLineNumbers w:val="0"/>
                    <w:bidi w:val="0"/>
                    <w:spacing w:before="0" w:beforeAutospacing="0" w:after="0" w:afterAutospacing="0"/>
                    <w:ind w:left="0" w:right="0" w:firstLine="0" w:firstLineChars="0"/>
                    <w:jc w:val="center"/>
                    <w:rPr>
                      <w:rFonts w:hint="default"/>
                      <w:color w:val="000000" w:themeColor="text1"/>
                      <w:sz w:val="21"/>
                      <w:szCs w:val="21"/>
                      <w14:textFill>
                        <w14:solidFill>
                          <w14:schemeClr w14:val="tx1"/>
                        </w14:solidFill>
                      </w14:textFill>
                    </w:rPr>
                  </w:pPr>
                </w:p>
              </w:tc>
              <w:tc>
                <w:tcPr>
                  <w:tcW w:w="2244" w:type="pct"/>
                  <w:noWrap w:val="0"/>
                  <w:vAlign w:val="center"/>
                </w:tcPr>
                <w:p w14:paraId="5C1DFF60">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14:textFill>
                        <w14:solidFill>
                          <w14:schemeClr w14:val="tx1"/>
                        </w14:solidFill>
                      </w14:textFill>
                    </w:rPr>
                    <w:t>3、加快实施园区集中供水，加快中水回用配套设施建设，逐步关停企业自备水井。</w:t>
                  </w:r>
                </w:p>
              </w:tc>
              <w:tc>
                <w:tcPr>
                  <w:tcW w:w="1897" w:type="pct"/>
                  <w:noWrap w:val="0"/>
                  <w:vAlign w:val="center"/>
                </w:tcPr>
                <w:p w14:paraId="77D3C82E">
                  <w:pPr>
                    <w:pStyle w:val="51"/>
                    <w:keepNext w:val="0"/>
                    <w:keepLines w:val="0"/>
                    <w:suppressLineNumbers w:val="0"/>
                    <w:bidi w:val="0"/>
                    <w:spacing w:before="0" w:beforeAutospacing="0" w:after="0" w:afterAutospacing="0"/>
                    <w:ind w:left="0" w:right="0" w:firstLine="0" w:firstLineChars="0"/>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bookmarkStart w:id="2" w:name="OLE_LINK35"/>
                  <w:bookmarkStart w:id="3" w:name="OLE_LINK19"/>
                  <w:r>
                    <w:rPr>
                      <w:rFonts w:hint="default"/>
                      <w:color w:val="000000" w:themeColor="text1"/>
                      <w:sz w:val="21"/>
                      <w:szCs w:val="21"/>
                      <w:highlight w:val="none"/>
                      <w14:textFill>
                        <w14:solidFill>
                          <w14:schemeClr w14:val="tx1"/>
                        </w14:solidFill>
                      </w14:textFill>
                    </w:rPr>
                    <w:t>本</w:t>
                  </w:r>
                  <w:r>
                    <w:rPr>
                      <w:rFonts w:hint="default" w:ascii="Times New Roman" w:hAnsi="Times New Roman" w:eastAsia="宋体"/>
                      <w:color w:val="000000" w:themeColor="text1"/>
                      <w:sz w:val="21"/>
                      <w:szCs w:val="21"/>
                      <w:highlight w:val="none"/>
                      <w14:textFill>
                        <w14:solidFill>
                          <w14:schemeClr w14:val="tx1"/>
                        </w14:solidFill>
                      </w14:textFill>
                    </w:rPr>
                    <w:t>项目</w:t>
                  </w:r>
                  <w:bookmarkEnd w:id="2"/>
                  <w:r>
                    <w:rPr>
                      <w:rFonts w:hint="eastAsia" w:ascii="Times New Roman"/>
                      <w:color w:val="000000" w:themeColor="text1"/>
                      <w:sz w:val="21"/>
                      <w:szCs w:val="21"/>
                      <w:highlight w:val="none"/>
                      <w:lang w:val="en-US" w:eastAsia="zh-CN"/>
                      <w14:textFill>
                        <w14:solidFill>
                          <w14:schemeClr w14:val="tx1"/>
                        </w14:solidFill>
                      </w14:textFill>
                    </w:rPr>
                    <w:t>不涉及</w:t>
                  </w:r>
                  <w:r>
                    <w:rPr>
                      <w:rFonts w:hint="default"/>
                      <w:color w:val="000000" w:themeColor="text1"/>
                      <w:sz w:val="21"/>
                      <w:szCs w:val="21"/>
                      <w:highlight w:val="none"/>
                      <w14:textFill>
                        <w14:solidFill>
                          <w14:schemeClr w14:val="tx1"/>
                        </w14:solidFill>
                      </w14:textFill>
                    </w:rPr>
                    <w:t>。</w:t>
                  </w:r>
                  <w:bookmarkEnd w:id="3"/>
                </w:p>
              </w:tc>
              <w:tc>
                <w:tcPr>
                  <w:tcW w:w="423" w:type="pct"/>
                  <w:noWrap w:val="0"/>
                  <w:vAlign w:val="center"/>
                </w:tcPr>
                <w:p w14:paraId="7E3C90D3">
                  <w:pPr>
                    <w:pStyle w:val="51"/>
                    <w:keepNext w:val="0"/>
                    <w:keepLines w:val="0"/>
                    <w:suppressLineNumbers w:val="0"/>
                    <w:bidi w:val="0"/>
                    <w:spacing w:before="0" w:beforeAutospacing="0" w:after="0" w:afterAutospacing="0"/>
                    <w:ind w:left="0" w:right="0" w:firstLine="0" w:firstLineChars="0"/>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GB"/>
                      <w14:textFill>
                        <w14:solidFill>
                          <w14:schemeClr w14:val="tx1"/>
                        </w14:solidFill>
                      </w14:textFill>
                    </w:rPr>
                    <w:t>相符</w:t>
                  </w:r>
                </w:p>
              </w:tc>
            </w:tr>
            <w:tr w14:paraId="47AFF7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vMerge w:val="continue"/>
                  <w:tcBorders>
                    <w:bottom w:val="single" w:color="auto" w:sz="8" w:space="0"/>
                  </w:tcBorders>
                  <w:noWrap w:val="0"/>
                  <w:vAlign w:val="center"/>
                </w:tcPr>
                <w:p w14:paraId="16509A7C">
                  <w:pPr>
                    <w:pStyle w:val="51"/>
                    <w:keepNext w:val="0"/>
                    <w:keepLines w:val="0"/>
                    <w:suppressLineNumbers w:val="0"/>
                    <w:bidi w:val="0"/>
                    <w:spacing w:before="0" w:beforeAutospacing="0" w:after="0" w:afterAutospacing="0"/>
                    <w:ind w:left="0" w:right="0" w:firstLine="0" w:firstLineChars="0"/>
                    <w:jc w:val="center"/>
                    <w:rPr>
                      <w:rFonts w:hint="eastAsia"/>
                      <w:color w:val="000000" w:themeColor="text1"/>
                      <w:sz w:val="21"/>
                      <w:szCs w:val="21"/>
                      <w14:textFill>
                        <w14:solidFill>
                          <w14:schemeClr w14:val="tx1"/>
                        </w14:solidFill>
                      </w14:textFill>
                    </w:rPr>
                  </w:pPr>
                </w:p>
              </w:tc>
              <w:tc>
                <w:tcPr>
                  <w:tcW w:w="2244" w:type="pct"/>
                  <w:tcBorders>
                    <w:bottom w:val="single" w:color="auto" w:sz="8" w:space="0"/>
                  </w:tcBorders>
                  <w:noWrap w:val="0"/>
                  <w:vAlign w:val="center"/>
                </w:tcPr>
                <w:p w14:paraId="75D4792A">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4、入园项目用地必须符合园区土地利用规划要求。</w:t>
                  </w:r>
                </w:p>
              </w:tc>
              <w:tc>
                <w:tcPr>
                  <w:tcW w:w="1897" w:type="pct"/>
                  <w:tcBorders>
                    <w:bottom w:val="single" w:color="auto" w:sz="8" w:space="0"/>
                  </w:tcBorders>
                  <w:noWrap w:val="0"/>
                  <w:vAlign w:val="center"/>
                </w:tcPr>
                <w:p w14:paraId="07F97D67">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color w:val="000000" w:themeColor="text1"/>
                      <w:sz w:val="21"/>
                      <w:szCs w:val="21"/>
                      <w14:textFill>
                        <w14:solidFill>
                          <w14:schemeClr w14:val="tx1"/>
                        </w14:solidFill>
                      </w14:textFill>
                    </w:rPr>
                    <w:t>本项目位于</w:t>
                  </w:r>
                  <w:r>
                    <w:rPr>
                      <w:rFonts w:hint="default" w:ascii="Times New Roman" w:hAnsi="Times New Roman" w:cs="Times New Roman"/>
                      <w:color w:val="auto"/>
                      <w:sz w:val="21"/>
                      <w:szCs w:val="21"/>
                      <w:lang w:val="en-US" w:eastAsia="zh-CN"/>
                    </w:rPr>
                    <w:t>河南省新乡市新乡县经济开发区兴隆路西段</w:t>
                  </w:r>
                  <w:r>
                    <w:rPr>
                      <w:rFonts w:hint="default"/>
                      <w:color w:val="000000" w:themeColor="text1"/>
                      <w:sz w:val="21"/>
                      <w:szCs w:val="21"/>
                      <w14:textFill>
                        <w14:solidFill>
                          <w14:schemeClr w14:val="tx1"/>
                        </w14:solidFill>
                      </w14:textFill>
                    </w:rPr>
                    <w:t>，根据</w:t>
                  </w:r>
                  <w:r>
                    <w:rPr>
                      <w:rFonts w:hint="default"/>
                      <w:color w:val="000000" w:themeColor="text1"/>
                      <w:sz w:val="21"/>
                      <w:szCs w:val="21"/>
                      <w:lang w:val="en-US" w:eastAsia="zh-CN"/>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新乡县智能制造产业园区总体发展规划（</w:t>
                  </w:r>
                  <w:r>
                    <w:rPr>
                      <w:rFonts w:hint="default" w:ascii="Times New Roman" w:hAnsi="Times New Roman" w:cs="Times New Roman"/>
                      <w:color w:val="000000" w:themeColor="text1"/>
                      <w:sz w:val="21"/>
                      <w:szCs w:val="21"/>
                      <w:lang w:val="en-US" w:eastAsia="zh-CN"/>
                      <w14:textFill>
                        <w14:solidFill>
                          <w14:schemeClr w14:val="tx1"/>
                        </w14:solidFill>
                      </w14:textFill>
                    </w:rPr>
                    <w:t>2021-20</w:t>
                  </w:r>
                  <w:r>
                    <w:rPr>
                      <w:rFonts w:hint="eastAsia" w:ascii="Times New Roman" w:cs="Times New Roman"/>
                      <w:color w:val="000000" w:themeColor="text1"/>
                      <w:sz w:val="21"/>
                      <w:szCs w:val="21"/>
                      <w:lang w:val="en-US" w:eastAsia="zh-CN"/>
                      <w14:textFill>
                        <w14:solidFill>
                          <w14:schemeClr w14:val="tx1"/>
                        </w14:solidFill>
                      </w14:textFill>
                    </w:rPr>
                    <w:t>3</w:t>
                  </w:r>
                  <w:r>
                    <w:rPr>
                      <w:rFonts w:hint="default" w:ascii="Times New Roman" w:hAnsi="Times New Roman" w:cs="Times New Roman"/>
                      <w:color w:val="000000" w:themeColor="text1"/>
                      <w:sz w:val="21"/>
                      <w:szCs w:val="21"/>
                      <w:lang w:val="en-US" w:eastAsia="zh-CN"/>
                      <w14:textFill>
                        <w14:solidFill>
                          <w14:schemeClr w14:val="tx1"/>
                        </w14:solidFill>
                      </w14:textFill>
                    </w:rPr>
                    <w:t>5</w:t>
                  </w:r>
                  <w:r>
                    <w:rPr>
                      <w:rFonts w:hint="eastAsia"/>
                      <w:color w:val="000000" w:themeColor="text1"/>
                      <w:sz w:val="21"/>
                      <w:szCs w:val="21"/>
                      <w:lang w:val="en-US" w:eastAsia="zh-CN"/>
                      <w14:textFill>
                        <w14:solidFill>
                          <w14:schemeClr w14:val="tx1"/>
                        </w14:solidFill>
                      </w14:textFill>
                    </w:rPr>
                    <w:t>）-土地利用规划图</w:t>
                  </w:r>
                  <w:r>
                    <w:rPr>
                      <w:rFonts w:hint="default"/>
                      <w:color w:val="000000" w:themeColor="text1"/>
                      <w:sz w:val="21"/>
                      <w:szCs w:val="21"/>
                      <w:lang w:val="en-US" w:eastAsia="zh-CN"/>
                      <w14:textFill>
                        <w14:solidFill>
                          <w14:schemeClr w14:val="tx1"/>
                        </w14:solidFill>
                      </w14:textFill>
                    </w:rPr>
                    <w:t>》</w:t>
                  </w:r>
                  <w:r>
                    <w:rPr>
                      <w:rFonts w:hint="default"/>
                      <w:color w:val="000000" w:themeColor="text1"/>
                      <w:sz w:val="21"/>
                      <w:szCs w:val="21"/>
                      <w14:textFill>
                        <w14:solidFill>
                          <w14:schemeClr w14:val="tx1"/>
                        </w14:solidFill>
                      </w14:textFill>
                    </w:rPr>
                    <w:t>，项目所占用地为</w:t>
                  </w:r>
                  <w:r>
                    <w:rPr>
                      <w:rFonts w:hint="eastAsia"/>
                      <w:color w:val="000000" w:themeColor="text1"/>
                      <w:sz w:val="21"/>
                      <w:szCs w:val="21"/>
                      <w:lang w:val="en-US" w:eastAsia="zh-CN"/>
                      <w14:textFill>
                        <w14:solidFill>
                          <w14:schemeClr w14:val="tx1"/>
                        </w14:solidFill>
                      </w14:textFill>
                    </w:rPr>
                    <w:t>二类工业</w:t>
                  </w:r>
                  <w:r>
                    <w:rPr>
                      <w:rFonts w:hint="default"/>
                      <w:color w:val="000000" w:themeColor="text1"/>
                      <w:sz w:val="21"/>
                      <w:szCs w:val="21"/>
                      <w14:textFill>
                        <w14:solidFill>
                          <w14:schemeClr w14:val="tx1"/>
                        </w14:solidFill>
                      </w14:textFill>
                    </w:rPr>
                    <w:t>用地，符合新乡县智能制造产业园区总体发展规划要求。</w:t>
                  </w:r>
                </w:p>
              </w:tc>
              <w:tc>
                <w:tcPr>
                  <w:tcW w:w="423" w:type="pct"/>
                  <w:tcBorders>
                    <w:bottom w:val="single" w:color="auto" w:sz="8" w:space="0"/>
                  </w:tcBorders>
                  <w:noWrap w:val="0"/>
                  <w:vAlign w:val="center"/>
                </w:tcPr>
                <w:p w14:paraId="564ED4FB">
                  <w:pPr>
                    <w:pStyle w:val="51"/>
                    <w:keepNext w:val="0"/>
                    <w:keepLines w:val="0"/>
                    <w:suppressLineNumbers w:val="0"/>
                    <w:bidi w:val="0"/>
                    <w:spacing w:before="0" w:beforeAutospacing="0" w:after="0" w:afterAutospacing="0"/>
                    <w:ind w:left="0" w:right="0" w:firstLine="0" w:firstLineChars="0"/>
                    <w:rPr>
                      <w:rFonts w:hint="default"/>
                      <w:color w:val="000000" w:themeColor="text1"/>
                      <w:u w:val="none"/>
                      <w14:textFill>
                        <w14:solidFill>
                          <w14:schemeClr w14:val="tx1"/>
                        </w14:solidFill>
                      </w14:textFill>
                    </w:rPr>
                  </w:pPr>
                  <w:r>
                    <w:rPr>
                      <w:rFonts w:hint="eastAsia"/>
                      <w:color w:val="000000" w:themeColor="text1"/>
                      <w:sz w:val="21"/>
                      <w:szCs w:val="21"/>
                      <w:lang w:val="en-GB"/>
                      <w14:textFill>
                        <w14:solidFill>
                          <w14:schemeClr w14:val="tx1"/>
                        </w14:solidFill>
                      </w14:textFill>
                    </w:rPr>
                    <w:t>相符</w:t>
                  </w:r>
                </w:p>
              </w:tc>
            </w:tr>
          </w:tbl>
          <w:p w14:paraId="5CFE47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由</w:t>
            </w:r>
            <w:r>
              <w:rPr>
                <w:rFonts w:hint="eastAsia"/>
                <w:color w:val="000000" w:themeColor="text1"/>
                <w14:textFill>
                  <w14:solidFill>
                    <w14:schemeClr w14:val="tx1"/>
                  </w14:solidFill>
                </w14:textFill>
              </w:rPr>
              <w:t>上表</w:t>
            </w:r>
            <w:r>
              <w:rPr>
                <w:rFonts w:hint="default"/>
                <w:color w:val="000000" w:themeColor="text1"/>
                <w14:textFill>
                  <w14:solidFill>
                    <w14:schemeClr w14:val="tx1"/>
                  </w14:solidFill>
                </w14:textFill>
              </w:rPr>
              <w:t>可知，本项目符合</w:t>
            </w:r>
            <w:r>
              <w:rPr>
                <w:rFonts w:hint="default"/>
                <w:color w:val="000000" w:themeColor="text1"/>
                <w:szCs w:val="21"/>
                <w14:textFill>
                  <w14:solidFill>
                    <w14:schemeClr w14:val="tx1"/>
                  </w14:solidFill>
                </w14:textFill>
              </w:rPr>
              <w:t>新乡县智能制造产业园区</w:t>
            </w:r>
            <w:r>
              <w:rPr>
                <w:rFonts w:hint="eastAsia"/>
                <w:color w:val="000000" w:themeColor="text1"/>
                <w14:textFill>
                  <w14:solidFill>
                    <w14:schemeClr w14:val="tx1"/>
                  </w14:solidFill>
                </w14:textFill>
              </w:rPr>
              <w:t>环境</w:t>
            </w:r>
            <w:r>
              <w:rPr>
                <w:rFonts w:hint="default"/>
                <w:color w:val="000000" w:themeColor="text1"/>
                <w14:textFill>
                  <w14:solidFill>
                    <w14:schemeClr w14:val="tx1"/>
                  </w14:solidFill>
                </w14:textFill>
              </w:rPr>
              <w:t>准</w:t>
            </w:r>
            <w:r>
              <w:rPr>
                <w:rFonts w:hint="eastAsia"/>
                <w:color w:val="000000" w:themeColor="text1"/>
                <w14:textFill>
                  <w14:solidFill>
                    <w14:schemeClr w14:val="tx1"/>
                  </w14:solidFill>
                </w14:textFill>
              </w:rPr>
              <w:t>入</w:t>
            </w:r>
            <w:r>
              <w:rPr>
                <w:rFonts w:hint="default"/>
                <w:color w:val="000000" w:themeColor="text1"/>
                <w14:textFill>
                  <w14:solidFill>
                    <w14:schemeClr w14:val="tx1"/>
                  </w14:solidFill>
                </w14:textFill>
              </w:rPr>
              <w:t>条件</w:t>
            </w:r>
            <w:r>
              <w:rPr>
                <w:rFonts w:hint="eastAsia"/>
                <w:color w:val="000000" w:themeColor="text1"/>
                <w14:textFill>
                  <w14:solidFill>
                    <w14:schemeClr w14:val="tx1"/>
                  </w14:solidFill>
                </w14:textFill>
              </w:rPr>
              <w:t>要求</w:t>
            </w:r>
            <w:r>
              <w:rPr>
                <w:rFonts w:hint="default"/>
                <w:color w:val="000000" w:themeColor="text1"/>
                <w14:textFill>
                  <w14:solidFill>
                    <w14:schemeClr w14:val="tx1"/>
                  </w14:solidFill>
                </w14:textFill>
              </w:rPr>
              <w:t>。</w:t>
            </w:r>
          </w:p>
          <w:p w14:paraId="2E9906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项目与</w:t>
            </w:r>
            <w:r>
              <w:rPr>
                <w:rFonts w:hint="default"/>
                <w:color w:val="000000" w:themeColor="text1"/>
                <w:szCs w:val="21"/>
                <w14:textFill>
                  <w14:solidFill>
                    <w14:schemeClr w14:val="tx1"/>
                  </w14:solidFill>
                </w14:textFill>
              </w:rPr>
              <w:t>新乡县智能制造产业园区</w:t>
            </w:r>
            <w:r>
              <w:rPr>
                <w:rFonts w:hint="eastAsia"/>
                <w:color w:val="000000" w:themeColor="text1"/>
                <w14:textFill>
                  <w14:solidFill>
                    <w14:schemeClr w14:val="tx1"/>
                  </w14:solidFill>
                </w14:textFill>
              </w:rPr>
              <w:t>环境准入</w:t>
            </w:r>
            <w:r>
              <w:rPr>
                <w:rFonts w:hint="default"/>
                <w:color w:val="000000" w:themeColor="text1"/>
                <w14:textFill>
                  <w14:solidFill>
                    <w14:schemeClr w14:val="tx1"/>
                  </w14:solidFill>
                </w14:textFill>
              </w:rPr>
              <w:t>负面清单对比分析如下</w:t>
            </w:r>
            <w:r>
              <w:rPr>
                <w:rFonts w:hint="eastAsia"/>
                <w:color w:val="000000" w:themeColor="text1"/>
                <w14:textFill>
                  <w14:solidFill>
                    <w14:schemeClr w14:val="tx1"/>
                  </w14:solidFill>
                </w14:textFill>
              </w:rPr>
              <w:t>：</w:t>
            </w:r>
          </w:p>
          <w:p w14:paraId="27652C4F">
            <w:pPr>
              <w:pStyle w:val="7"/>
              <w:keepNext w:val="0"/>
              <w:keepLines w:val="0"/>
              <w:suppressLineNumbers w:val="0"/>
              <w:spacing w:before="0" w:beforeAutospacing="0" w:after="0" w:afterAutospacing="0"/>
              <w:ind w:left="0" w:right="0"/>
              <w:rPr>
                <w:rFonts w:hint="eastAsia" w:eastAsia="宋体"/>
                <w:color w:val="000000" w:themeColor="text1"/>
                <w:u w:val="none"/>
                <w:lang w:eastAsia="zh-CN"/>
                <w14:textFill>
                  <w14:solidFill>
                    <w14:schemeClr w14:val="tx1"/>
                  </w14:solidFill>
                </w14:textFill>
              </w:rPr>
            </w:pPr>
            <w:r>
              <w:rPr>
                <w:rFonts w:hint="default"/>
                <w:color w:val="000000" w:themeColor="text1"/>
                <w:u w:val="none"/>
                <w14:textFill>
                  <w14:solidFill>
                    <w14:schemeClr w14:val="tx1"/>
                  </w14:solidFill>
                </w14:textFill>
              </w:rPr>
              <w:t xml:space="preserve">表 </w:t>
            </w:r>
            <w:r>
              <w:rPr>
                <w:rFonts w:hint="eastAsia"/>
                <w:color w:val="000000" w:themeColor="text1"/>
                <w:u w:val="none"/>
                <w:lang w:val="en-US" w:eastAsia="zh-CN"/>
                <w14:textFill>
                  <w14:solidFill>
                    <w14:schemeClr w14:val="tx1"/>
                  </w14:solidFill>
                </w14:textFill>
              </w:rPr>
              <w:t>2</w:t>
            </w:r>
            <w:r>
              <w:rPr>
                <w:rFonts w:hint="eastAsia"/>
                <w:color w:val="000000" w:themeColor="text1"/>
                <w:u w:val="none"/>
                <w:lang w:eastAsia="zh-CN"/>
                <w14:textFill>
                  <w14:solidFill>
                    <w14:schemeClr w14:val="tx1"/>
                  </w14:solidFill>
                </w14:textFill>
              </w:rPr>
              <w:t xml:space="preserve">    </w:t>
            </w:r>
            <w:r>
              <w:rPr>
                <w:rFonts w:hint="eastAsia"/>
                <w:color w:val="000000" w:themeColor="text1"/>
                <w:lang w:eastAsia="zh-CN"/>
                <w14:textFill>
                  <w14:solidFill>
                    <w14:schemeClr w14:val="tx1"/>
                  </w14:solidFill>
                </w14:textFill>
              </w:rPr>
              <w:t>项目与</w:t>
            </w:r>
            <w:r>
              <w:rPr>
                <w:rFonts w:hint="default"/>
                <w:color w:val="000000" w:themeColor="text1"/>
                <w:szCs w:val="21"/>
                <w14:textFill>
                  <w14:solidFill>
                    <w14:schemeClr w14:val="tx1"/>
                  </w14:solidFill>
                </w14:textFill>
              </w:rPr>
              <w:t>园区</w:t>
            </w:r>
            <w:r>
              <w:rPr>
                <w:rFonts w:hint="eastAsia"/>
                <w:color w:val="000000" w:themeColor="text1"/>
                <w:lang w:eastAsia="zh-CN"/>
                <w14:textFill>
                  <w14:solidFill>
                    <w14:schemeClr w14:val="tx1"/>
                  </w14:solidFill>
                </w14:textFill>
              </w:rPr>
              <w:t>环境准入负面清单对比分析一览表</w:t>
            </w:r>
          </w:p>
          <w:tbl>
            <w:tblPr>
              <w:tblStyle w:val="2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0"/>
              <w:gridCol w:w="3806"/>
              <w:gridCol w:w="2613"/>
              <w:gridCol w:w="716"/>
            </w:tblGrid>
            <w:tr w14:paraId="63FF47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1" w:type="pct"/>
                  <w:tcBorders>
                    <w:top w:val="single" w:color="auto" w:sz="8" w:space="0"/>
                    <w:bottom w:val="single" w:color="auto" w:sz="8" w:space="0"/>
                  </w:tcBorders>
                  <w:noWrap w:val="0"/>
                  <w:vAlign w:val="center"/>
                </w:tcPr>
                <w:p w14:paraId="1AA39F7C">
                  <w:pPr>
                    <w:pStyle w:val="51"/>
                    <w:keepNext w:val="0"/>
                    <w:keepLines w:val="0"/>
                    <w:suppressLineNumbers w:val="0"/>
                    <w:bidi w:val="0"/>
                    <w:spacing w:before="0" w:beforeAutospacing="0" w:after="0" w:afterAutospacing="0"/>
                    <w:ind w:left="0" w:right="0"/>
                    <w:rPr>
                      <w:rFonts w:hint="default"/>
                      <w:b/>
                      <w:bCs/>
                      <w:color w:val="000000" w:themeColor="text1"/>
                      <w:sz w:val="21"/>
                      <w:szCs w:val="21"/>
                      <w:u w:val="none"/>
                      <w:lang w:val="en-US" w:eastAsia="zh-CN"/>
                      <w14:textFill>
                        <w14:solidFill>
                          <w14:schemeClr w14:val="tx1"/>
                        </w14:solidFill>
                      </w14:textFill>
                    </w:rPr>
                  </w:pPr>
                  <w:r>
                    <w:rPr>
                      <w:rFonts w:hint="eastAsia"/>
                      <w:b/>
                      <w:bCs/>
                      <w:color w:val="000000" w:themeColor="text1"/>
                      <w:sz w:val="21"/>
                      <w:szCs w:val="21"/>
                      <w:u w:val="none"/>
                      <w:lang w:val="en-US" w:eastAsia="zh-CN"/>
                      <w14:textFill>
                        <w14:solidFill>
                          <w14:schemeClr w14:val="tx1"/>
                        </w14:solidFill>
                      </w14:textFill>
                    </w:rPr>
                    <w:t>类别</w:t>
                  </w:r>
                </w:p>
              </w:tc>
              <w:tc>
                <w:tcPr>
                  <w:tcW w:w="2431" w:type="pct"/>
                  <w:tcBorders>
                    <w:top w:val="single" w:color="auto" w:sz="8" w:space="0"/>
                    <w:bottom w:val="single" w:color="auto" w:sz="8" w:space="0"/>
                  </w:tcBorders>
                  <w:noWrap w:val="0"/>
                  <w:vAlign w:val="center"/>
                </w:tcPr>
                <w:p w14:paraId="696B7B6A">
                  <w:pPr>
                    <w:pStyle w:val="51"/>
                    <w:keepNext w:val="0"/>
                    <w:keepLines w:val="0"/>
                    <w:suppressLineNumbers w:val="0"/>
                    <w:bidi w:val="0"/>
                    <w:spacing w:before="0" w:beforeAutospacing="0" w:after="0" w:afterAutospacing="0"/>
                    <w:ind w:left="0" w:right="0"/>
                    <w:rPr>
                      <w:rFonts w:hint="eastAsia"/>
                      <w:b/>
                      <w:bCs/>
                      <w:color w:val="000000" w:themeColor="text1"/>
                      <w:sz w:val="21"/>
                      <w:szCs w:val="21"/>
                      <w:u w:val="none"/>
                      <w:lang w:val="en-US" w:eastAsia="zh-CN"/>
                      <w14:textFill>
                        <w14:solidFill>
                          <w14:schemeClr w14:val="tx1"/>
                        </w14:solidFill>
                      </w14:textFill>
                    </w:rPr>
                  </w:pPr>
                  <w:r>
                    <w:rPr>
                      <w:rFonts w:hint="eastAsia"/>
                      <w:b/>
                      <w:bCs/>
                      <w:color w:val="000000" w:themeColor="text1"/>
                      <w:sz w:val="21"/>
                      <w:szCs w:val="21"/>
                      <w:u w:val="none"/>
                      <w:lang w:val="en-US" w:eastAsia="zh-CN"/>
                      <w14:textFill>
                        <w14:solidFill>
                          <w14:schemeClr w14:val="tx1"/>
                        </w14:solidFill>
                      </w14:textFill>
                    </w:rPr>
                    <w:t>负面清单</w:t>
                  </w:r>
                </w:p>
              </w:tc>
              <w:tc>
                <w:tcPr>
                  <w:tcW w:w="1669" w:type="pct"/>
                  <w:tcBorders>
                    <w:top w:val="single" w:color="auto" w:sz="8" w:space="0"/>
                    <w:bottom w:val="single" w:color="auto" w:sz="8" w:space="0"/>
                  </w:tcBorders>
                  <w:noWrap w:val="0"/>
                  <w:vAlign w:val="center"/>
                </w:tcPr>
                <w:p w14:paraId="59A7923B">
                  <w:pPr>
                    <w:pStyle w:val="51"/>
                    <w:keepNext w:val="0"/>
                    <w:keepLines w:val="0"/>
                    <w:suppressLineNumbers w:val="0"/>
                    <w:bidi w:val="0"/>
                    <w:spacing w:before="0" w:beforeAutospacing="0" w:after="0" w:afterAutospacing="0"/>
                    <w:ind w:left="0" w:right="0"/>
                    <w:rPr>
                      <w:rFonts w:hint="default"/>
                      <w:b/>
                      <w:bCs/>
                      <w:color w:val="000000" w:themeColor="text1"/>
                      <w:sz w:val="21"/>
                      <w:szCs w:val="21"/>
                      <w:u w:val="none"/>
                      <w:lang w:val="en-US" w:eastAsia="zh-CN"/>
                      <w14:textFill>
                        <w14:solidFill>
                          <w14:schemeClr w14:val="tx1"/>
                        </w14:solidFill>
                      </w14:textFill>
                    </w:rPr>
                  </w:pPr>
                  <w:r>
                    <w:rPr>
                      <w:rFonts w:hint="eastAsia"/>
                      <w:b/>
                      <w:bCs/>
                      <w:color w:val="000000" w:themeColor="text1"/>
                      <w:sz w:val="21"/>
                      <w:szCs w:val="21"/>
                      <w:u w:val="none"/>
                      <w:lang w:val="en-US" w:eastAsia="zh-CN"/>
                      <w14:textFill>
                        <w14:solidFill>
                          <w14:schemeClr w14:val="tx1"/>
                        </w14:solidFill>
                      </w14:textFill>
                    </w:rPr>
                    <w:t>本项目情况</w:t>
                  </w:r>
                </w:p>
              </w:tc>
              <w:tc>
                <w:tcPr>
                  <w:tcW w:w="457" w:type="pct"/>
                  <w:tcBorders>
                    <w:top w:val="single" w:color="auto" w:sz="8" w:space="0"/>
                    <w:bottom w:val="single" w:color="auto" w:sz="8" w:space="0"/>
                  </w:tcBorders>
                  <w:noWrap w:val="0"/>
                  <w:vAlign w:val="center"/>
                </w:tcPr>
                <w:p w14:paraId="3D05EFC0">
                  <w:pPr>
                    <w:pStyle w:val="51"/>
                    <w:keepNext w:val="0"/>
                    <w:keepLines w:val="0"/>
                    <w:suppressLineNumbers w:val="0"/>
                    <w:bidi w:val="0"/>
                    <w:spacing w:before="0" w:beforeAutospacing="0" w:after="0" w:afterAutospacing="0"/>
                    <w:ind w:left="0" w:right="0"/>
                    <w:rPr>
                      <w:rFonts w:hint="default"/>
                      <w:b/>
                      <w:bCs/>
                      <w:color w:val="000000" w:themeColor="text1"/>
                      <w:sz w:val="21"/>
                      <w:szCs w:val="21"/>
                      <w:u w:val="none"/>
                      <w:lang w:val="en-US" w:eastAsia="zh-CN"/>
                      <w14:textFill>
                        <w14:solidFill>
                          <w14:schemeClr w14:val="tx1"/>
                        </w14:solidFill>
                      </w14:textFill>
                    </w:rPr>
                  </w:pPr>
                  <w:r>
                    <w:rPr>
                      <w:rFonts w:hint="eastAsia"/>
                      <w:b/>
                      <w:bCs/>
                      <w:color w:val="000000" w:themeColor="text1"/>
                      <w:sz w:val="21"/>
                      <w:szCs w:val="21"/>
                      <w:u w:val="none"/>
                      <w:lang w:val="en-US" w:eastAsia="zh-CN"/>
                      <w14:textFill>
                        <w14:solidFill>
                          <w14:schemeClr w14:val="tx1"/>
                        </w14:solidFill>
                      </w14:textFill>
                    </w:rPr>
                    <w:t>分析结果</w:t>
                  </w:r>
                </w:p>
              </w:tc>
            </w:tr>
            <w:tr w14:paraId="5AA966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1" w:type="pct"/>
                  <w:vMerge w:val="restart"/>
                  <w:tcBorders>
                    <w:top w:val="single" w:color="auto" w:sz="8" w:space="0"/>
                  </w:tcBorders>
                  <w:noWrap w:val="0"/>
                  <w:vAlign w:val="center"/>
                </w:tcPr>
                <w:p w14:paraId="702AB0AE">
                  <w:pPr>
                    <w:pStyle w:val="51"/>
                    <w:keepNext w:val="0"/>
                    <w:keepLines w:val="0"/>
                    <w:suppressLineNumbers w:val="0"/>
                    <w:bidi w:val="0"/>
                    <w:spacing w:before="0" w:beforeAutospacing="0" w:after="0" w:afterAutospacing="0"/>
                    <w:ind w:left="0" w:right="0" w:firstLine="0" w:firstLineChars="0"/>
                    <w:rPr>
                      <w:rFonts w:hint="eastAsia" w:eastAsia="宋体"/>
                      <w:color w:val="000000" w:themeColor="text1"/>
                      <w:sz w:val="21"/>
                      <w:szCs w:val="21"/>
                      <w:u w:val="none"/>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空间布局</w:t>
                  </w:r>
                  <w:r>
                    <w:rPr>
                      <w:rFonts w:hint="eastAsia"/>
                      <w:color w:val="000000" w:themeColor="text1"/>
                      <w:sz w:val="21"/>
                      <w:szCs w:val="21"/>
                      <w:lang w:val="en-US" w:eastAsia="zh-CN"/>
                      <w14:textFill>
                        <w14:solidFill>
                          <w14:schemeClr w14:val="tx1"/>
                        </w14:solidFill>
                      </w14:textFill>
                    </w:rPr>
                    <w:t>约束</w:t>
                  </w:r>
                </w:p>
              </w:tc>
              <w:tc>
                <w:tcPr>
                  <w:tcW w:w="2431" w:type="pct"/>
                  <w:tcBorders>
                    <w:top w:val="single" w:color="auto" w:sz="8" w:space="0"/>
                  </w:tcBorders>
                  <w:noWrap w:val="0"/>
                  <w:vAlign w:val="center"/>
                </w:tcPr>
                <w:p w14:paraId="67744454">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u w:val="none"/>
                      <w14:textFill>
                        <w14:solidFill>
                          <w14:schemeClr w14:val="tx1"/>
                        </w14:solidFill>
                      </w14:textFill>
                    </w:rPr>
                    <w:t>禁止入驻《产业结构调整指导目录（20</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24</w:t>
                  </w:r>
                  <w:r>
                    <w:rPr>
                      <w:rFonts w:hint="default" w:ascii="Times New Roman" w:hAnsi="Times New Roman" w:eastAsia="宋体" w:cs="Times New Roman"/>
                      <w:color w:val="000000" w:themeColor="text1"/>
                      <w:sz w:val="21"/>
                      <w:szCs w:val="21"/>
                      <w:u w:val="none"/>
                      <w14:textFill>
                        <w14:solidFill>
                          <w14:schemeClr w14:val="tx1"/>
                        </w14:solidFill>
                      </w14:textFill>
                    </w:rPr>
                    <w:t>年本）》中限制类、淘汰类项目；严禁国家明令禁止或淘汰工艺和设备企业入园；</w:t>
                  </w:r>
                </w:p>
              </w:tc>
              <w:tc>
                <w:tcPr>
                  <w:tcW w:w="1669" w:type="pct"/>
                  <w:tcBorders>
                    <w:top w:val="single" w:color="auto" w:sz="8" w:space="0"/>
                  </w:tcBorders>
                  <w:noWrap w:val="0"/>
                  <w:vAlign w:val="center"/>
                </w:tcPr>
                <w:p w14:paraId="190192E9">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ascii="Times New Roman" w:hAnsi="Times New Roman" w:cs="Times New Roman"/>
                      <w:b w:val="0"/>
                      <w:bCs w:val="0"/>
                      <w:color w:val="000000" w:themeColor="text1"/>
                      <w:sz w:val="21"/>
                      <w:szCs w:val="21"/>
                      <w14:textFill>
                        <w14:solidFill>
                          <w14:schemeClr w14:val="tx1"/>
                        </w14:solidFill>
                      </w14:textFill>
                    </w:rPr>
                    <w:t>本项目不属于《产业结构调整指导目录（</w:t>
                  </w: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2024</w:t>
                  </w:r>
                  <w:r>
                    <w:rPr>
                      <w:rFonts w:hint="eastAsia" w:ascii="Times New Roman" w:hAnsi="Times New Roman" w:cs="Times New Roman"/>
                      <w:b w:val="0"/>
                      <w:bCs w:val="0"/>
                      <w:color w:val="000000" w:themeColor="text1"/>
                      <w:sz w:val="21"/>
                      <w:szCs w:val="21"/>
                      <w14:textFill>
                        <w14:solidFill>
                          <w14:schemeClr w14:val="tx1"/>
                        </w14:solidFill>
                      </w14:textFill>
                    </w:rPr>
                    <w:t>年本）》中限制类、淘汰类项目，属于</w:t>
                  </w:r>
                  <w:r>
                    <w:rPr>
                      <w:rFonts w:hint="eastAsia" w:ascii="Times New Roman" w:cs="Times New Roman"/>
                      <w:b w:val="0"/>
                      <w:bCs w:val="0"/>
                      <w:color w:val="000000" w:themeColor="text1"/>
                      <w:sz w:val="21"/>
                      <w:szCs w:val="21"/>
                      <w:lang w:eastAsia="zh-CN"/>
                      <w14:textFill>
                        <w14:solidFill>
                          <w14:schemeClr w14:val="tx1"/>
                        </w14:solidFill>
                      </w14:textFill>
                    </w:rPr>
                    <w:t>鼓励类</w:t>
                  </w:r>
                  <w:r>
                    <w:rPr>
                      <w:rFonts w:hint="eastAsia" w:ascii="Times New Roman" w:hAnsi="Times New Roman" w:cs="Times New Roman"/>
                      <w:b w:val="0"/>
                      <w:bCs w:val="0"/>
                      <w:color w:val="000000" w:themeColor="text1"/>
                      <w:sz w:val="21"/>
                      <w:szCs w:val="21"/>
                      <w14:textFill>
                        <w14:solidFill>
                          <w14:schemeClr w14:val="tx1"/>
                        </w14:solidFill>
                      </w14:textFill>
                    </w:rPr>
                    <w:t>。</w:t>
                  </w:r>
                </w:p>
              </w:tc>
              <w:tc>
                <w:tcPr>
                  <w:tcW w:w="457" w:type="pct"/>
                  <w:tcBorders>
                    <w:top w:val="single" w:color="auto" w:sz="8" w:space="0"/>
                  </w:tcBorders>
                  <w:noWrap w:val="0"/>
                  <w:vAlign w:val="center"/>
                </w:tcPr>
                <w:p w14:paraId="76560F02">
                  <w:pPr>
                    <w:pStyle w:val="51"/>
                    <w:keepNext w:val="0"/>
                    <w:keepLines w:val="0"/>
                    <w:suppressLineNumbers w:val="0"/>
                    <w:bidi w:val="0"/>
                    <w:spacing w:before="0" w:beforeAutospacing="0" w:after="0" w:afterAutospacing="0"/>
                    <w:ind w:left="0" w:right="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不属于</w:t>
                  </w:r>
                </w:p>
              </w:tc>
            </w:tr>
            <w:tr w14:paraId="5FDF0A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1" w:type="pct"/>
                  <w:vMerge w:val="continue"/>
                  <w:noWrap w:val="0"/>
                  <w:vAlign w:val="center"/>
                </w:tcPr>
                <w:p w14:paraId="0543EC9F">
                  <w:pPr>
                    <w:pStyle w:val="51"/>
                    <w:keepNext w:val="0"/>
                    <w:keepLines w:val="0"/>
                    <w:suppressLineNumbers w:val="0"/>
                    <w:bidi w:val="0"/>
                    <w:spacing w:before="0" w:beforeAutospacing="0" w:after="0" w:afterAutospacing="0"/>
                    <w:ind w:left="0" w:right="0" w:firstLine="0" w:firstLineChars="0"/>
                    <w:rPr>
                      <w:rFonts w:hint="eastAsia"/>
                      <w:color w:val="000000" w:themeColor="text1"/>
                      <w:sz w:val="21"/>
                      <w:szCs w:val="21"/>
                      <w14:textFill>
                        <w14:solidFill>
                          <w14:schemeClr w14:val="tx1"/>
                        </w14:solidFill>
                      </w14:textFill>
                    </w:rPr>
                  </w:pPr>
                </w:p>
              </w:tc>
              <w:tc>
                <w:tcPr>
                  <w:tcW w:w="2431" w:type="pct"/>
                  <w:noWrap w:val="0"/>
                  <w:vAlign w:val="center"/>
                </w:tcPr>
                <w:p w14:paraId="404B6BB3">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u w:val="none"/>
                      <w14:textFill>
                        <w14:solidFill>
                          <w14:schemeClr w14:val="tx1"/>
                        </w14:solidFill>
                      </w14:textFill>
                    </w:rPr>
                    <w:t>禁止入驻钢铁、金属冶炼、制浆造纸、屠宰、水泥、平板玻璃、建筑陶瓷、化学原料及化学制品、化学药品原料药和生物发酵制药、皮革或毛皮鞣制加工、轮胎制造、再生橡胶制造、印染等不符合园区产业定位且污染重的项目。</w:t>
                  </w:r>
                </w:p>
              </w:tc>
              <w:tc>
                <w:tcPr>
                  <w:tcW w:w="1669" w:type="pct"/>
                  <w:noWrap w:val="0"/>
                  <w:vAlign w:val="center"/>
                </w:tcPr>
                <w:p w14:paraId="46F73E52">
                  <w:pPr>
                    <w:pStyle w:val="8"/>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ascii="Times New Roman" w:hAnsi="Times New Roman" w:cs="Times New Roman"/>
                      <w:b w:val="0"/>
                      <w:bCs w:val="0"/>
                      <w:color w:val="000000" w:themeColor="text1"/>
                      <w:sz w:val="21"/>
                      <w:szCs w:val="21"/>
                      <w14:textFill>
                        <w14:solidFill>
                          <w14:schemeClr w14:val="tx1"/>
                        </w14:solidFill>
                      </w14:textFill>
                    </w:rPr>
                    <w:t>本项目</w:t>
                  </w: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为</w:t>
                  </w:r>
                  <w:r>
                    <w:rPr>
                      <w:rFonts w:hint="eastAsia"/>
                      <w:color w:val="000000" w:themeColor="text1"/>
                      <w:sz w:val="21"/>
                      <w:szCs w:val="21"/>
                      <w:lang w:val="en-US" w:eastAsia="zh-CN"/>
                      <w14:textFill>
                        <w14:solidFill>
                          <w14:schemeClr w14:val="tx1"/>
                        </w14:solidFill>
                      </w14:textFill>
                    </w:rPr>
                    <w:t>锂离子电池制造</w:t>
                  </w:r>
                  <w:r>
                    <w:rPr>
                      <w:rFonts w:hint="eastAsia" w:ascii="Times New Roman" w:hAnsi="Times New Roman" w:cs="Times New Roman"/>
                      <w:b w:val="0"/>
                      <w:bCs w:val="0"/>
                      <w:color w:val="000000" w:themeColor="text1"/>
                      <w:sz w:val="21"/>
                      <w:szCs w:val="21"/>
                      <w14:textFill>
                        <w14:solidFill>
                          <w14:schemeClr w14:val="tx1"/>
                        </w14:solidFill>
                      </w14:textFill>
                    </w:rPr>
                    <w:t>，</w:t>
                  </w:r>
                  <w:r>
                    <w:rPr>
                      <w:rFonts w:hint="eastAsia" w:ascii="Times New Roman" w:cs="Times New Roman"/>
                      <w:b w:val="0"/>
                      <w:bCs w:val="0"/>
                      <w:color w:val="000000" w:themeColor="text1"/>
                      <w:sz w:val="21"/>
                      <w:szCs w:val="21"/>
                      <w:lang w:val="en-US" w:eastAsia="zh-CN"/>
                      <w14:textFill>
                        <w14:solidFill>
                          <w14:schemeClr w14:val="tx1"/>
                        </w14:solidFill>
                      </w14:textFill>
                    </w:rPr>
                    <w:t>不属于园区禁止</w:t>
                  </w:r>
                  <w:r>
                    <w:rPr>
                      <w:rFonts w:hint="eastAsia" w:cs="Times New Roman"/>
                      <w:color w:val="000000" w:themeColor="text1"/>
                      <w:sz w:val="21"/>
                      <w:szCs w:val="21"/>
                      <w:u w:val="none"/>
                      <w:lang w:val="en-US" w:eastAsia="zh-CN"/>
                      <w14:textFill>
                        <w14:solidFill>
                          <w14:schemeClr w14:val="tx1"/>
                        </w14:solidFill>
                      </w14:textFill>
                    </w:rPr>
                    <w:t>入内的</w:t>
                  </w:r>
                  <w:r>
                    <w:rPr>
                      <w:rFonts w:hint="default" w:ascii="Times New Roman" w:hAnsi="Times New Roman" w:eastAsia="宋体" w:cs="Times New Roman"/>
                      <w:color w:val="000000" w:themeColor="text1"/>
                      <w:sz w:val="21"/>
                      <w:szCs w:val="21"/>
                      <w:u w:val="none"/>
                      <w14:textFill>
                        <w14:solidFill>
                          <w14:schemeClr w14:val="tx1"/>
                        </w14:solidFill>
                      </w14:textFill>
                    </w:rPr>
                    <w:t>不符合园区产业定位且污染重的项目</w:t>
                  </w:r>
                  <w:r>
                    <w:rPr>
                      <w:rFonts w:hint="eastAsia" w:cs="Times New Roman"/>
                      <w:color w:val="000000" w:themeColor="text1"/>
                      <w:sz w:val="21"/>
                      <w:szCs w:val="21"/>
                      <w:u w:val="none"/>
                      <w:lang w:eastAsia="zh-CN"/>
                      <w14:textFill>
                        <w14:solidFill>
                          <w14:schemeClr w14:val="tx1"/>
                        </w14:solidFill>
                      </w14:textFill>
                    </w:rPr>
                    <w:t>，</w:t>
                  </w:r>
                  <w:r>
                    <w:rPr>
                      <w:rFonts w:hint="eastAsia" w:ascii="Times New Roman" w:hAnsi="Times New Roman" w:cs="Times New Roman"/>
                      <w:b w:val="0"/>
                      <w:bCs w:val="0"/>
                      <w:color w:val="000000" w:themeColor="text1"/>
                      <w:sz w:val="21"/>
                      <w:szCs w:val="21"/>
                      <w14:textFill>
                        <w14:solidFill>
                          <w14:schemeClr w14:val="tx1"/>
                        </w14:solidFill>
                      </w14:textFill>
                    </w:rPr>
                    <w:t>与园区产业定位及产业规划不冲突。</w:t>
                  </w:r>
                </w:p>
              </w:tc>
              <w:tc>
                <w:tcPr>
                  <w:tcW w:w="457" w:type="pct"/>
                  <w:noWrap w:val="0"/>
                  <w:vAlign w:val="center"/>
                </w:tcPr>
                <w:p w14:paraId="35675918">
                  <w:pPr>
                    <w:pStyle w:val="51"/>
                    <w:keepNext w:val="0"/>
                    <w:keepLines w:val="0"/>
                    <w:suppressLineNumbers w:val="0"/>
                    <w:bidi w:val="0"/>
                    <w:spacing w:before="0" w:beforeAutospacing="0" w:after="0" w:afterAutospacing="0"/>
                    <w:ind w:left="0" w:right="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不属于</w:t>
                  </w:r>
                </w:p>
              </w:tc>
            </w:tr>
            <w:tr w14:paraId="204022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1" w:type="pct"/>
                  <w:vMerge w:val="continue"/>
                  <w:noWrap w:val="0"/>
                  <w:vAlign w:val="center"/>
                </w:tcPr>
                <w:p w14:paraId="4A3C606A">
                  <w:pPr>
                    <w:pStyle w:val="51"/>
                    <w:keepNext w:val="0"/>
                    <w:keepLines w:val="0"/>
                    <w:suppressLineNumbers w:val="0"/>
                    <w:bidi w:val="0"/>
                    <w:spacing w:before="0" w:beforeAutospacing="0" w:after="0" w:afterAutospacing="0"/>
                    <w:ind w:left="0" w:right="0" w:firstLine="0" w:firstLineChars="0"/>
                    <w:rPr>
                      <w:rFonts w:hint="eastAsia"/>
                      <w:color w:val="000000" w:themeColor="text1"/>
                      <w:sz w:val="21"/>
                      <w:szCs w:val="21"/>
                      <w14:textFill>
                        <w14:solidFill>
                          <w14:schemeClr w14:val="tx1"/>
                        </w14:solidFill>
                      </w14:textFill>
                    </w:rPr>
                  </w:pPr>
                </w:p>
              </w:tc>
              <w:tc>
                <w:tcPr>
                  <w:tcW w:w="2431" w:type="pct"/>
                  <w:noWrap w:val="0"/>
                  <w:vAlign w:val="center"/>
                </w:tcPr>
                <w:p w14:paraId="653DD369">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u w:val="none"/>
                      <w14:textFill>
                        <w14:solidFill>
                          <w14:schemeClr w14:val="tx1"/>
                        </w14:solidFill>
                      </w14:textFill>
                    </w:rPr>
                    <w:t>现有化学原料及化学制品、化学药品原料药企业限制发展（不涉及挥发性有机溶剂的单纯复配、分装及升级改造项目除外）。</w:t>
                  </w:r>
                </w:p>
              </w:tc>
              <w:tc>
                <w:tcPr>
                  <w:tcW w:w="1669" w:type="pct"/>
                  <w:noWrap w:val="0"/>
                  <w:vAlign w:val="center"/>
                </w:tcPr>
                <w:p w14:paraId="0F68EABA">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ascii="Times New Roman" w:hAnsi="Times New Roman" w:cs="Times New Roman"/>
                      <w:b w:val="0"/>
                      <w:bCs w:val="0"/>
                      <w:color w:val="000000" w:themeColor="text1"/>
                      <w:sz w:val="21"/>
                      <w:szCs w:val="21"/>
                      <w14:textFill>
                        <w14:solidFill>
                          <w14:schemeClr w14:val="tx1"/>
                        </w14:solidFill>
                      </w14:textFill>
                    </w:rPr>
                    <w:t>本项目为</w:t>
                  </w:r>
                  <w:r>
                    <w:rPr>
                      <w:rFonts w:hint="eastAsia" w:ascii="Times New Roman" w:cs="Times New Roman"/>
                      <w:b w:val="0"/>
                      <w:bCs w:val="0"/>
                      <w:color w:val="000000" w:themeColor="text1"/>
                      <w:sz w:val="21"/>
                      <w:szCs w:val="21"/>
                      <w:lang w:val="en-US" w:eastAsia="zh-CN"/>
                      <w14:textFill>
                        <w14:solidFill>
                          <w14:schemeClr w14:val="tx1"/>
                        </w14:solidFill>
                      </w14:textFill>
                    </w:rPr>
                    <w:t>改</w:t>
                  </w:r>
                  <w:r>
                    <w:rPr>
                      <w:rFonts w:hint="eastAsia" w:ascii="Times New Roman" w:hAnsi="Times New Roman" w:cs="Times New Roman"/>
                      <w:b w:val="0"/>
                      <w:bCs w:val="0"/>
                      <w:color w:val="000000" w:themeColor="text1"/>
                      <w:sz w:val="21"/>
                      <w:szCs w:val="21"/>
                      <w14:textFill>
                        <w14:solidFill>
                          <w14:schemeClr w14:val="tx1"/>
                        </w14:solidFill>
                      </w14:textFill>
                    </w:rPr>
                    <w:t>建项目，不属于化学原料及化学制品、化学药品原料药行业。</w:t>
                  </w:r>
                </w:p>
              </w:tc>
              <w:tc>
                <w:tcPr>
                  <w:tcW w:w="457" w:type="pct"/>
                  <w:noWrap w:val="0"/>
                  <w:vAlign w:val="center"/>
                </w:tcPr>
                <w:p w14:paraId="4E8FB164">
                  <w:pPr>
                    <w:pStyle w:val="51"/>
                    <w:keepNext w:val="0"/>
                    <w:keepLines w:val="0"/>
                    <w:suppressLineNumbers w:val="0"/>
                    <w:bidi w:val="0"/>
                    <w:spacing w:before="0" w:beforeAutospacing="0" w:after="0" w:afterAutospacing="0"/>
                    <w:ind w:left="0" w:right="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不属于</w:t>
                  </w:r>
                </w:p>
              </w:tc>
            </w:tr>
            <w:tr w14:paraId="3421E6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1" w:type="pct"/>
                  <w:vMerge w:val="continue"/>
                  <w:noWrap w:val="0"/>
                  <w:vAlign w:val="center"/>
                </w:tcPr>
                <w:p w14:paraId="52F95CBF">
                  <w:pPr>
                    <w:pStyle w:val="51"/>
                    <w:keepNext w:val="0"/>
                    <w:keepLines w:val="0"/>
                    <w:suppressLineNumbers w:val="0"/>
                    <w:bidi w:val="0"/>
                    <w:spacing w:before="0" w:beforeAutospacing="0" w:after="0" w:afterAutospacing="0"/>
                    <w:ind w:left="0" w:right="0" w:firstLine="0" w:firstLineChars="0"/>
                    <w:rPr>
                      <w:rFonts w:hint="eastAsia"/>
                      <w:color w:val="000000" w:themeColor="text1"/>
                      <w:sz w:val="21"/>
                      <w:szCs w:val="21"/>
                      <w14:textFill>
                        <w14:solidFill>
                          <w14:schemeClr w14:val="tx1"/>
                        </w14:solidFill>
                      </w14:textFill>
                    </w:rPr>
                  </w:pPr>
                </w:p>
              </w:tc>
              <w:tc>
                <w:tcPr>
                  <w:tcW w:w="2431" w:type="pct"/>
                  <w:noWrap w:val="0"/>
                  <w:vAlign w:val="center"/>
                </w:tcPr>
                <w:p w14:paraId="050093C4">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u w:val="none"/>
                      <w14:textFill>
                        <w14:solidFill>
                          <w14:schemeClr w14:val="tx1"/>
                        </w14:solidFill>
                      </w14:textFill>
                    </w:rPr>
                    <w:t>禁止入驻食品制造项目，限制现有食品制造企业发展。</w:t>
                  </w:r>
                </w:p>
              </w:tc>
              <w:tc>
                <w:tcPr>
                  <w:tcW w:w="1669" w:type="pct"/>
                  <w:noWrap w:val="0"/>
                  <w:vAlign w:val="center"/>
                </w:tcPr>
                <w:p w14:paraId="67F68D53">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ascii="Times New Roman" w:hAnsi="Times New Roman" w:cs="Times New Roman"/>
                      <w:b w:val="0"/>
                      <w:bCs w:val="0"/>
                      <w:color w:val="000000" w:themeColor="text1"/>
                      <w:sz w:val="21"/>
                      <w:szCs w:val="21"/>
                      <w14:textFill>
                        <w14:solidFill>
                          <w14:schemeClr w14:val="tx1"/>
                        </w14:solidFill>
                      </w14:textFill>
                    </w:rPr>
                    <w:t>本项目为</w:t>
                  </w:r>
                  <w:r>
                    <w:rPr>
                      <w:rFonts w:hint="eastAsia" w:ascii="Times New Roman" w:cs="Times New Roman"/>
                      <w:b w:val="0"/>
                      <w:bCs w:val="0"/>
                      <w:color w:val="000000" w:themeColor="text1"/>
                      <w:sz w:val="21"/>
                      <w:szCs w:val="21"/>
                      <w:lang w:val="en-US" w:eastAsia="zh-CN"/>
                      <w14:textFill>
                        <w14:solidFill>
                          <w14:schemeClr w14:val="tx1"/>
                        </w14:solidFill>
                      </w14:textFill>
                    </w:rPr>
                    <w:t>改</w:t>
                  </w:r>
                  <w:r>
                    <w:rPr>
                      <w:rFonts w:hint="eastAsia" w:ascii="Times New Roman" w:hAnsi="Times New Roman" w:cs="Times New Roman"/>
                      <w:b w:val="0"/>
                      <w:bCs w:val="0"/>
                      <w:color w:val="000000" w:themeColor="text1"/>
                      <w:sz w:val="21"/>
                      <w:szCs w:val="21"/>
                      <w14:textFill>
                        <w14:solidFill>
                          <w14:schemeClr w14:val="tx1"/>
                        </w14:solidFill>
                      </w14:textFill>
                    </w:rPr>
                    <w:t>建项目，不属于食品制造项目。</w:t>
                  </w:r>
                </w:p>
              </w:tc>
              <w:tc>
                <w:tcPr>
                  <w:tcW w:w="457" w:type="pct"/>
                  <w:noWrap w:val="0"/>
                  <w:vAlign w:val="center"/>
                </w:tcPr>
                <w:p w14:paraId="4880612A">
                  <w:pPr>
                    <w:pStyle w:val="51"/>
                    <w:keepNext w:val="0"/>
                    <w:keepLines w:val="0"/>
                    <w:suppressLineNumbers w:val="0"/>
                    <w:bidi w:val="0"/>
                    <w:spacing w:before="0" w:beforeAutospacing="0" w:after="0" w:afterAutospacing="0"/>
                    <w:ind w:left="0" w:right="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不属于</w:t>
                  </w:r>
                </w:p>
              </w:tc>
            </w:tr>
            <w:tr w14:paraId="2345A2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1" w:type="pct"/>
                  <w:vMerge w:val="continue"/>
                  <w:noWrap w:val="0"/>
                  <w:vAlign w:val="center"/>
                </w:tcPr>
                <w:p w14:paraId="1DA9593B">
                  <w:pPr>
                    <w:pStyle w:val="51"/>
                    <w:keepNext w:val="0"/>
                    <w:keepLines w:val="0"/>
                    <w:suppressLineNumbers w:val="0"/>
                    <w:bidi w:val="0"/>
                    <w:spacing w:before="0" w:beforeAutospacing="0" w:after="0" w:afterAutospacing="0"/>
                    <w:ind w:left="0" w:right="0" w:firstLine="0" w:firstLineChars="0"/>
                    <w:rPr>
                      <w:rFonts w:hint="eastAsia"/>
                      <w:color w:val="000000" w:themeColor="text1"/>
                      <w:sz w:val="21"/>
                      <w:szCs w:val="21"/>
                      <w14:textFill>
                        <w14:solidFill>
                          <w14:schemeClr w14:val="tx1"/>
                        </w14:solidFill>
                      </w14:textFill>
                    </w:rPr>
                  </w:pPr>
                </w:p>
              </w:tc>
              <w:tc>
                <w:tcPr>
                  <w:tcW w:w="2431" w:type="pct"/>
                  <w:noWrap w:val="0"/>
                  <w:vAlign w:val="center"/>
                </w:tcPr>
                <w:p w14:paraId="25E08CEB">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5.</w:t>
                  </w:r>
                  <w:r>
                    <w:rPr>
                      <w:rFonts w:hint="default" w:ascii="Times New Roman" w:hAnsi="Times New Roman" w:eastAsia="宋体" w:cs="Times New Roman"/>
                      <w:color w:val="000000" w:themeColor="text1"/>
                      <w:sz w:val="21"/>
                      <w:szCs w:val="21"/>
                      <w:u w:val="none"/>
                      <w14:textFill>
                        <w14:solidFill>
                          <w14:schemeClr w14:val="tx1"/>
                        </w14:solidFill>
                      </w14:textFill>
                    </w:rPr>
                    <w:t>禁止建设生产和使用高VOCs含量的溶剂型涂料、油墨、胶粘剂等项目。</w:t>
                  </w:r>
                </w:p>
              </w:tc>
              <w:tc>
                <w:tcPr>
                  <w:tcW w:w="1669" w:type="pct"/>
                  <w:noWrap w:val="0"/>
                  <w:vAlign w:val="center"/>
                </w:tcPr>
                <w:p w14:paraId="1A89AC4F">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ascii="Times New Roman" w:hAnsi="Times New Roman" w:cs="Times New Roman"/>
                      <w:b w:val="0"/>
                      <w:bCs w:val="0"/>
                      <w:color w:val="000000" w:themeColor="text1"/>
                      <w:sz w:val="21"/>
                      <w:szCs w:val="21"/>
                      <w14:textFill>
                        <w14:solidFill>
                          <w14:schemeClr w14:val="tx1"/>
                        </w14:solidFill>
                      </w14:textFill>
                    </w:rPr>
                    <w:t>本项目不涉及生产和使用高VOCs含量的溶剂型涂料、油墨、胶粘剂等。</w:t>
                  </w:r>
                </w:p>
              </w:tc>
              <w:tc>
                <w:tcPr>
                  <w:tcW w:w="457" w:type="pct"/>
                  <w:noWrap w:val="0"/>
                  <w:vAlign w:val="center"/>
                </w:tcPr>
                <w:p w14:paraId="2279F4E8">
                  <w:pPr>
                    <w:pStyle w:val="51"/>
                    <w:keepNext w:val="0"/>
                    <w:keepLines w:val="0"/>
                    <w:suppressLineNumbers w:val="0"/>
                    <w:bidi w:val="0"/>
                    <w:spacing w:before="0" w:beforeAutospacing="0" w:after="0" w:afterAutospacing="0"/>
                    <w:ind w:left="0" w:right="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不属于</w:t>
                  </w:r>
                </w:p>
              </w:tc>
            </w:tr>
            <w:tr w14:paraId="7FE0F1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1" w:type="pct"/>
                  <w:vMerge w:val="continue"/>
                  <w:noWrap w:val="0"/>
                  <w:vAlign w:val="center"/>
                </w:tcPr>
                <w:p w14:paraId="1CB238FF">
                  <w:pPr>
                    <w:pStyle w:val="51"/>
                    <w:keepNext w:val="0"/>
                    <w:keepLines w:val="0"/>
                    <w:suppressLineNumbers w:val="0"/>
                    <w:bidi w:val="0"/>
                    <w:spacing w:before="0" w:beforeAutospacing="0" w:after="0" w:afterAutospacing="0"/>
                    <w:ind w:left="0" w:right="0" w:firstLine="0" w:firstLineChars="0"/>
                    <w:rPr>
                      <w:rFonts w:hint="eastAsia"/>
                      <w:color w:val="000000" w:themeColor="text1"/>
                      <w:sz w:val="21"/>
                      <w:szCs w:val="21"/>
                      <w14:textFill>
                        <w14:solidFill>
                          <w14:schemeClr w14:val="tx1"/>
                        </w14:solidFill>
                      </w14:textFill>
                    </w:rPr>
                  </w:pPr>
                </w:p>
              </w:tc>
              <w:tc>
                <w:tcPr>
                  <w:tcW w:w="2431" w:type="pct"/>
                  <w:noWrap w:val="0"/>
                  <w:vAlign w:val="center"/>
                </w:tcPr>
                <w:p w14:paraId="05808AB5">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6.</w:t>
                  </w:r>
                  <w:r>
                    <w:rPr>
                      <w:rFonts w:hint="default" w:ascii="Times New Roman" w:hAnsi="Times New Roman" w:eastAsia="宋体" w:cs="Times New Roman"/>
                      <w:color w:val="000000" w:themeColor="text1"/>
                      <w:sz w:val="21"/>
                      <w:szCs w:val="21"/>
                      <w:u w:val="none"/>
                      <w14:textFill>
                        <w14:solidFill>
                          <w14:schemeClr w14:val="tx1"/>
                        </w14:solidFill>
                      </w14:textFill>
                    </w:rPr>
                    <w:t>禁止涉及含苯（苯系物）漆料项目入园，限制现有企业使用含苯（苯系物）漆料。</w:t>
                  </w:r>
                </w:p>
              </w:tc>
              <w:tc>
                <w:tcPr>
                  <w:tcW w:w="1669" w:type="pct"/>
                  <w:noWrap w:val="0"/>
                  <w:vAlign w:val="center"/>
                </w:tcPr>
                <w:p w14:paraId="2137897C">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ascii="Times New Roman" w:hAnsi="Times New Roman" w:cs="Times New Roman"/>
                      <w:b w:val="0"/>
                      <w:bCs w:val="0"/>
                      <w:color w:val="000000" w:themeColor="text1"/>
                      <w:sz w:val="21"/>
                      <w:szCs w:val="21"/>
                      <w14:textFill>
                        <w14:solidFill>
                          <w14:schemeClr w14:val="tx1"/>
                        </w14:solidFill>
                      </w14:textFill>
                    </w:rPr>
                    <w:t>本项目为</w:t>
                  </w:r>
                  <w:r>
                    <w:rPr>
                      <w:rFonts w:hint="eastAsia" w:ascii="Times New Roman" w:cs="Times New Roman"/>
                      <w:b w:val="0"/>
                      <w:bCs w:val="0"/>
                      <w:color w:val="000000" w:themeColor="text1"/>
                      <w:sz w:val="21"/>
                      <w:szCs w:val="21"/>
                      <w:lang w:val="en-US" w:eastAsia="zh-CN"/>
                      <w14:textFill>
                        <w14:solidFill>
                          <w14:schemeClr w14:val="tx1"/>
                        </w14:solidFill>
                      </w14:textFill>
                    </w:rPr>
                    <w:t>改</w:t>
                  </w:r>
                  <w:r>
                    <w:rPr>
                      <w:rFonts w:hint="eastAsia" w:ascii="Times New Roman" w:hAnsi="Times New Roman" w:cs="Times New Roman"/>
                      <w:b w:val="0"/>
                      <w:bCs w:val="0"/>
                      <w:color w:val="000000" w:themeColor="text1"/>
                      <w:sz w:val="21"/>
                      <w:szCs w:val="21"/>
                      <w14:textFill>
                        <w14:solidFill>
                          <w14:schemeClr w14:val="tx1"/>
                        </w14:solidFill>
                      </w14:textFill>
                    </w:rPr>
                    <w:t>建项目，不涉及使用</w:t>
                  </w:r>
                  <w:r>
                    <w:rPr>
                      <w:rFonts w:hint="default" w:ascii="Times New Roman" w:hAnsi="Times New Roman" w:eastAsia="宋体" w:cs="Times New Roman"/>
                      <w:color w:val="000000" w:themeColor="text1"/>
                      <w:sz w:val="21"/>
                      <w:szCs w:val="21"/>
                      <w:u w:val="none"/>
                      <w14:textFill>
                        <w14:solidFill>
                          <w14:schemeClr w14:val="tx1"/>
                        </w14:solidFill>
                      </w14:textFill>
                    </w:rPr>
                    <w:t>含苯（苯系物）漆料</w:t>
                  </w:r>
                  <w:r>
                    <w:rPr>
                      <w:rFonts w:hint="eastAsia" w:ascii="Times New Roman" w:hAnsi="Times New Roman" w:cs="Times New Roman"/>
                      <w:b w:val="0"/>
                      <w:bCs w:val="0"/>
                      <w:color w:val="000000" w:themeColor="text1"/>
                      <w:sz w:val="21"/>
                      <w:szCs w:val="21"/>
                      <w14:textFill>
                        <w14:solidFill>
                          <w14:schemeClr w14:val="tx1"/>
                        </w14:solidFill>
                      </w14:textFill>
                    </w:rPr>
                    <w:t>。</w:t>
                  </w:r>
                </w:p>
              </w:tc>
              <w:tc>
                <w:tcPr>
                  <w:tcW w:w="457" w:type="pct"/>
                  <w:noWrap w:val="0"/>
                  <w:vAlign w:val="center"/>
                </w:tcPr>
                <w:p w14:paraId="2B62D291">
                  <w:pPr>
                    <w:pStyle w:val="51"/>
                    <w:keepNext w:val="0"/>
                    <w:keepLines w:val="0"/>
                    <w:suppressLineNumbers w:val="0"/>
                    <w:bidi w:val="0"/>
                    <w:spacing w:before="0" w:beforeAutospacing="0" w:after="0" w:afterAutospacing="0"/>
                    <w:ind w:left="0" w:right="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不属于</w:t>
                  </w:r>
                </w:p>
              </w:tc>
            </w:tr>
            <w:tr w14:paraId="104B46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1" w:type="pct"/>
                  <w:vMerge w:val="continue"/>
                  <w:noWrap w:val="0"/>
                  <w:vAlign w:val="center"/>
                </w:tcPr>
                <w:p w14:paraId="2B66EB1D">
                  <w:pPr>
                    <w:pStyle w:val="51"/>
                    <w:keepNext w:val="0"/>
                    <w:keepLines w:val="0"/>
                    <w:suppressLineNumbers w:val="0"/>
                    <w:bidi w:val="0"/>
                    <w:spacing w:before="0" w:beforeAutospacing="0" w:after="0" w:afterAutospacing="0"/>
                    <w:ind w:left="0" w:right="0" w:firstLine="0" w:firstLineChars="0"/>
                    <w:rPr>
                      <w:rFonts w:hint="eastAsia"/>
                      <w:color w:val="000000" w:themeColor="text1"/>
                      <w:sz w:val="21"/>
                      <w:szCs w:val="21"/>
                      <w14:textFill>
                        <w14:solidFill>
                          <w14:schemeClr w14:val="tx1"/>
                        </w14:solidFill>
                      </w14:textFill>
                    </w:rPr>
                  </w:pPr>
                </w:p>
              </w:tc>
              <w:tc>
                <w:tcPr>
                  <w:tcW w:w="2431" w:type="pct"/>
                  <w:noWrap w:val="0"/>
                  <w:vAlign w:val="center"/>
                </w:tcPr>
                <w:p w14:paraId="353A2700">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7.</w:t>
                  </w:r>
                  <w:r>
                    <w:rPr>
                      <w:rFonts w:hint="default" w:ascii="Times New Roman" w:hAnsi="Times New Roman" w:eastAsia="宋体" w:cs="Times New Roman"/>
                      <w:color w:val="000000" w:themeColor="text1"/>
                      <w:sz w:val="21"/>
                      <w:szCs w:val="21"/>
                      <w:u w:val="none"/>
                      <w14:textFill>
                        <w14:solidFill>
                          <w14:schemeClr w14:val="tx1"/>
                        </w14:solidFill>
                      </w14:textFill>
                    </w:rPr>
                    <w:t>禁止新增铸造行业产能。</w:t>
                  </w:r>
                </w:p>
              </w:tc>
              <w:tc>
                <w:tcPr>
                  <w:tcW w:w="1669" w:type="pct"/>
                  <w:noWrap w:val="0"/>
                  <w:vAlign w:val="center"/>
                </w:tcPr>
                <w:p w14:paraId="173AC047">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ascii="Times New Roman" w:hAnsi="Times New Roman" w:cs="Times New Roman"/>
                      <w:b w:val="0"/>
                      <w:bCs w:val="0"/>
                      <w:color w:val="000000" w:themeColor="text1"/>
                      <w:sz w:val="21"/>
                      <w:szCs w:val="21"/>
                      <w14:textFill>
                        <w14:solidFill>
                          <w14:schemeClr w14:val="tx1"/>
                        </w14:solidFill>
                      </w14:textFill>
                    </w:rPr>
                    <w:t>本项目不属于铸造行业。</w:t>
                  </w:r>
                </w:p>
              </w:tc>
              <w:tc>
                <w:tcPr>
                  <w:tcW w:w="457" w:type="pct"/>
                  <w:noWrap w:val="0"/>
                  <w:vAlign w:val="center"/>
                </w:tcPr>
                <w:p w14:paraId="297F5553">
                  <w:pPr>
                    <w:pStyle w:val="51"/>
                    <w:keepNext w:val="0"/>
                    <w:keepLines w:val="0"/>
                    <w:suppressLineNumbers w:val="0"/>
                    <w:bidi w:val="0"/>
                    <w:spacing w:before="0" w:beforeAutospacing="0" w:after="0" w:afterAutospacing="0"/>
                    <w:ind w:left="0" w:right="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不属于</w:t>
                  </w:r>
                </w:p>
              </w:tc>
            </w:tr>
            <w:tr w14:paraId="0F49D5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1" w:type="pct"/>
                  <w:vMerge w:val="continue"/>
                  <w:noWrap w:val="0"/>
                  <w:vAlign w:val="center"/>
                </w:tcPr>
                <w:p w14:paraId="26F6F19A">
                  <w:pPr>
                    <w:pStyle w:val="51"/>
                    <w:keepNext w:val="0"/>
                    <w:keepLines w:val="0"/>
                    <w:suppressLineNumbers w:val="0"/>
                    <w:bidi w:val="0"/>
                    <w:spacing w:before="0" w:beforeAutospacing="0" w:after="0" w:afterAutospacing="0"/>
                    <w:ind w:left="0" w:right="0" w:firstLine="0" w:firstLineChars="0"/>
                    <w:rPr>
                      <w:rFonts w:hint="eastAsia"/>
                      <w:color w:val="000000" w:themeColor="text1"/>
                      <w:sz w:val="21"/>
                      <w:szCs w:val="21"/>
                      <w14:textFill>
                        <w14:solidFill>
                          <w14:schemeClr w14:val="tx1"/>
                        </w14:solidFill>
                      </w14:textFill>
                    </w:rPr>
                  </w:pPr>
                </w:p>
              </w:tc>
              <w:tc>
                <w:tcPr>
                  <w:tcW w:w="2431" w:type="pct"/>
                  <w:noWrap w:val="0"/>
                  <w:vAlign w:val="center"/>
                </w:tcPr>
                <w:p w14:paraId="6AFFEFB8">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8.</w:t>
                  </w:r>
                  <w:r>
                    <w:rPr>
                      <w:rFonts w:hint="default" w:ascii="Times New Roman" w:hAnsi="Times New Roman" w:eastAsia="宋体" w:cs="Times New Roman"/>
                      <w:color w:val="000000" w:themeColor="text1"/>
                      <w:sz w:val="21"/>
                      <w:szCs w:val="21"/>
                      <w:u w:val="none"/>
                      <w14:textFill>
                        <w14:solidFill>
                          <w14:schemeClr w14:val="tx1"/>
                        </w14:solidFill>
                      </w14:textFill>
                    </w:rPr>
                    <w:t>禁止入驻非集中供热性质的燃煤、燃重油、渣油等锅炉或炉窑；</w:t>
                  </w:r>
                </w:p>
              </w:tc>
              <w:tc>
                <w:tcPr>
                  <w:tcW w:w="1669" w:type="pct"/>
                  <w:noWrap w:val="0"/>
                  <w:vAlign w:val="center"/>
                </w:tcPr>
                <w:p w14:paraId="110C173C">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ascii="Times New Roman" w:hAnsi="Times New Roman" w:cs="Times New Roman"/>
                      <w:b w:val="0"/>
                      <w:bCs w:val="0"/>
                      <w:color w:val="000000" w:themeColor="text1"/>
                      <w:sz w:val="21"/>
                      <w:szCs w:val="21"/>
                      <w14:textFill>
                        <w14:solidFill>
                          <w14:schemeClr w14:val="tx1"/>
                        </w14:solidFill>
                      </w14:textFill>
                    </w:rPr>
                    <w:t>本项目不涉及锅炉。</w:t>
                  </w:r>
                </w:p>
              </w:tc>
              <w:tc>
                <w:tcPr>
                  <w:tcW w:w="457" w:type="pct"/>
                  <w:noWrap w:val="0"/>
                  <w:vAlign w:val="center"/>
                </w:tcPr>
                <w:p w14:paraId="03892344">
                  <w:pPr>
                    <w:pStyle w:val="51"/>
                    <w:keepNext w:val="0"/>
                    <w:keepLines w:val="0"/>
                    <w:suppressLineNumbers w:val="0"/>
                    <w:bidi w:val="0"/>
                    <w:spacing w:before="0" w:beforeAutospacing="0" w:after="0" w:afterAutospacing="0"/>
                    <w:ind w:left="0" w:right="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不属于</w:t>
                  </w:r>
                </w:p>
              </w:tc>
            </w:tr>
            <w:tr w14:paraId="0C888D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1" w:type="pct"/>
                  <w:vMerge w:val="continue"/>
                  <w:noWrap w:val="0"/>
                  <w:vAlign w:val="center"/>
                </w:tcPr>
                <w:p w14:paraId="718D6FE1">
                  <w:pPr>
                    <w:pStyle w:val="51"/>
                    <w:keepNext w:val="0"/>
                    <w:keepLines w:val="0"/>
                    <w:suppressLineNumbers w:val="0"/>
                    <w:bidi w:val="0"/>
                    <w:spacing w:before="0" w:beforeAutospacing="0" w:after="0" w:afterAutospacing="0"/>
                    <w:ind w:left="0" w:right="0" w:firstLine="0" w:firstLineChars="0"/>
                    <w:rPr>
                      <w:rFonts w:hint="eastAsia"/>
                      <w:color w:val="000000" w:themeColor="text1"/>
                      <w:sz w:val="21"/>
                      <w:szCs w:val="21"/>
                      <w14:textFill>
                        <w14:solidFill>
                          <w14:schemeClr w14:val="tx1"/>
                        </w14:solidFill>
                      </w14:textFill>
                    </w:rPr>
                  </w:pPr>
                </w:p>
              </w:tc>
              <w:tc>
                <w:tcPr>
                  <w:tcW w:w="2431" w:type="pct"/>
                  <w:noWrap w:val="0"/>
                  <w:vAlign w:val="center"/>
                </w:tcPr>
                <w:p w14:paraId="6B98BE45">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9.</w:t>
                  </w:r>
                  <w:r>
                    <w:rPr>
                      <w:rFonts w:hint="default" w:ascii="Times New Roman" w:hAnsi="Times New Roman" w:eastAsia="宋体" w:cs="Times New Roman"/>
                      <w:color w:val="000000" w:themeColor="text1"/>
                      <w:sz w:val="21"/>
                      <w:szCs w:val="21"/>
                      <w:u w:val="none"/>
                      <w14:textFill>
                        <w14:solidFill>
                          <w14:schemeClr w14:val="tx1"/>
                        </w14:solidFill>
                      </w14:textFill>
                    </w:rPr>
                    <w:t>禁止新、改、扩建“两高”项目，与主导产业相符的“两高”项目除外。</w:t>
                  </w:r>
                </w:p>
              </w:tc>
              <w:tc>
                <w:tcPr>
                  <w:tcW w:w="1669" w:type="pct"/>
                  <w:noWrap w:val="0"/>
                  <w:vAlign w:val="center"/>
                </w:tcPr>
                <w:p w14:paraId="480A11DB">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ascii="Times New Roman" w:hAnsi="Times New Roman" w:cs="Times New Roman"/>
                      <w:b w:val="0"/>
                      <w:bCs w:val="0"/>
                      <w:color w:val="000000" w:themeColor="text1"/>
                      <w:sz w:val="21"/>
                      <w:szCs w:val="21"/>
                      <w14:textFill>
                        <w14:solidFill>
                          <w14:schemeClr w14:val="tx1"/>
                        </w14:solidFill>
                      </w14:textFill>
                    </w:rPr>
                    <w:t>本项目不属于“两高”项目。</w:t>
                  </w:r>
                </w:p>
              </w:tc>
              <w:tc>
                <w:tcPr>
                  <w:tcW w:w="457" w:type="pct"/>
                  <w:noWrap w:val="0"/>
                  <w:vAlign w:val="center"/>
                </w:tcPr>
                <w:p w14:paraId="4B8FE527">
                  <w:pPr>
                    <w:pStyle w:val="51"/>
                    <w:keepNext w:val="0"/>
                    <w:keepLines w:val="0"/>
                    <w:suppressLineNumbers w:val="0"/>
                    <w:bidi w:val="0"/>
                    <w:spacing w:before="0" w:beforeAutospacing="0" w:after="0" w:afterAutospacing="0"/>
                    <w:ind w:left="0" w:right="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不属于</w:t>
                  </w:r>
                </w:p>
              </w:tc>
            </w:tr>
            <w:tr w14:paraId="16D57D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1" w:type="pct"/>
                  <w:vMerge w:val="continue"/>
                  <w:noWrap w:val="0"/>
                  <w:vAlign w:val="center"/>
                </w:tcPr>
                <w:p w14:paraId="11F85C2B">
                  <w:pPr>
                    <w:pStyle w:val="51"/>
                    <w:keepNext w:val="0"/>
                    <w:keepLines w:val="0"/>
                    <w:suppressLineNumbers w:val="0"/>
                    <w:bidi w:val="0"/>
                    <w:spacing w:before="0" w:beforeAutospacing="0" w:after="0" w:afterAutospacing="0"/>
                    <w:ind w:left="0" w:right="0" w:firstLine="0" w:firstLineChars="0"/>
                    <w:rPr>
                      <w:rFonts w:hint="eastAsia"/>
                      <w:color w:val="000000" w:themeColor="text1"/>
                      <w:sz w:val="21"/>
                      <w:szCs w:val="21"/>
                      <w14:textFill>
                        <w14:solidFill>
                          <w14:schemeClr w14:val="tx1"/>
                        </w14:solidFill>
                      </w14:textFill>
                    </w:rPr>
                  </w:pPr>
                </w:p>
              </w:tc>
              <w:tc>
                <w:tcPr>
                  <w:tcW w:w="2431" w:type="pct"/>
                  <w:noWrap w:val="0"/>
                  <w:vAlign w:val="center"/>
                </w:tcPr>
                <w:p w14:paraId="3DF4F41F">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u w:val="none"/>
                      <w14:textFill>
                        <w14:solidFill>
                          <w14:schemeClr w14:val="tx1"/>
                        </w14:solidFill>
                      </w14:textFill>
                    </w:rPr>
                    <w:t>禁止新增铅、铬、镉、汞、砷等重点控制重金属污染物排放的项目入驻。</w:t>
                  </w:r>
                </w:p>
              </w:tc>
              <w:tc>
                <w:tcPr>
                  <w:tcW w:w="1669" w:type="pct"/>
                  <w:noWrap w:val="0"/>
                  <w:vAlign w:val="center"/>
                </w:tcPr>
                <w:p w14:paraId="66DDB9AE">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u w:val="none"/>
                      <w:lang w:eastAsia="zh-CN"/>
                      <w14:textFill>
                        <w14:solidFill>
                          <w14:schemeClr w14:val="tx1"/>
                        </w14:solidFill>
                      </w14:textFill>
                    </w:rPr>
                  </w:pPr>
                  <w:r>
                    <w:rPr>
                      <w:rFonts w:hint="eastAsia" w:ascii="Times New Roman" w:hAnsi="Times New Roman" w:cs="Times New Roman"/>
                      <w:b w:val="0"/>
                      <w:bCs w:val="0"/>
                      <w:color w:val="000000" w:themeColor="text1"/>
                      <w:sz w:val="21"/>
                      <w:szCs w:val="21"/>
                      <w14:textFill>
                        <w14:solidFill>
                          <w14:schemeClr w14:val="tx1"/>
                        </w14:solidFill>
                      </w14:textFill>
                    </w:rPr>
                    <w:t>本项目不涉及重金属污染物排放</w:t>
                  </w:r>
                  <w:r>
                    <w:rPr>
                      <w:rFonts w:hint="eastAsia" w:cs="Times New Roman"/>
                      <w:b w:val="0"/>
                      <w:bCs w:val="0"/>
                      <w:color w:val="000000" w:themeColor="text1"/>
                      <w:sz w:val="21"/>
                      <w:szCs w:val="21"/>
                      <w:lang w:eastAsia="zh-CN"/>
                      <w14:textFill>
                        <w14:solidFill>
                          <w14:schemeClr w14:val="tx1"/>
                        </w14:solidFill>
                      </w14:textFill>
                    </w:rPr>
                    <w:t>。</w:t>
                  </w:r>
                </w:p>
              </w:tc>
              <w:tc>
                <w:tcPr>
                  <w:tcW w:w="457" w:type="pct"/>
                  <w:noWrap w:val="0"/>
                  <w:vAlign w:val="center"/>
                </w:tcPr>
                <w:p w14:paraId="7EFB488F">
                  <w:pPr>
                    <w:pStyle w:val="51"/>
                    <w:keepNext w:val="0"/>
                    <w:keepLines w:val="0"/>
                    <w:suppressLineNumbers w:val="0"/>
                    <w:bidi w:val="0"/>
                    <w:spacing w:before="0" w:beforeAutospacing="0" w:after="0" w:afterAutospacing="0"/>
                    <w:ind w:left="0" w:right="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不属于</w:t>
                  </w:r>
                </w:p>
              </w:tc>
            </w:tr>
            <w:tr w14:paraId="05FC2D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1" w:type="pct"/>
                  <w:vMerge w:val="continue"/>
                  <w:noWrap w:val="0"/>
                  <w:vAlign w:val="center"/>
                </w:tcPr>
                <w:p w14:paraId="1DCBDD49">
                  <w:pPr>
                    <w:pStyle w:val="51"/>
                    <w:keepNext w:val="0"/>
                    <w:keepLines w:val="0"/>
                    <w:suppressLineNumbers w:val="0"/>
                    <w:bidi w:val="0"/>
                    <w:spacing w:before="0" w:beforeAutospacing="0" w:after="0" w:afterAutospacing="0"/>
                    <w:ind w:left="0" w:right="0" w:firstLine="0" w:firstLineChars="0"/>
                    <w:rPr>
                      <w:rFonts w:hint="eastAsia"/>
                      <w:color w:val="000000" w:themeColor="text1"/>
                      <w:sz w:val="21"/>
                      <w:szCs w:val="21"/>
                      <w14:textFill>
                        <w14:solidFill>
                          <w14:schemeClr w14:val="tx1"/>
                        </w14:solidFill>
                      </w14:textFill>
                    </w:rPr>
                  </w:pPr>
                </w:p>
              </w:tc>
              <w:tc>
                <w:tcPr>
                  <w:tcW w:w="2431" w:type="pct"/>
                  <w:noWrap w:val="0"/>
                  <w:vAlign w:val="center"/>
                </w:tcPr>
                <w:p w14:paraId="7F583776">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11.</w:t>
                  </w:r>
                  <w:r>
                    <w:rPr>
                      <w:rFonts w:hint="default" w:ascii="Times New Roman" w:hAnsi="Times New Roman" w:eastAsia="宋体" w:cs="Times New Roman"/>
                      <w:color w:val="000000" w:themeColor="text1"/>
                      <w:sz w:val="21"/>
                      <w:szCs w:val="21"/>
                      <w:u w:val="none"/>
                      <w14:textFill>
                        <w14:solidFill>
                          <w14:schemeClr w14:val="tx1"/>
                        </w14:solidFill>
                      </w14:textFill>
                    </w:rPr>
                    <w:t>禁止不符合土地利用性质的三类工业项目入驻。</w:t>
                  </w:r>
                </w:p>
              </w:tc>
              <w:tc>
                <w:tcPr>
                  <w:tcW w:w="1669" w:type="pct"/>
                  <w:vMerge w:val="restart"/>
                  <w:noWrap w:val="0"/>
                  <w:vAlign w:val="center"/>
                </w:tcPr>
                <w:p w14:paraId="23A51A67">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14:textFill>
                        <w14:solidFill>
                          <w14:schemeClr w14:val="tx1"/>
                        </w14:solidFill>
                      </w14:textFill>
                    </w:rPr>
                    <w:t>本项目位于</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河南省新乡市新乡县</w:t>
                  </w:r>
                  <w:r>
                    <w:rPr>
                      <w:rFonts w:hint="eastAsia" w:ascii="Times New Roman" w:cs="Times New Roman"/>
                      <w:b w:val="0"/>
                      <w:bCs w:val="0"/>
                      <w:color w:val="000000" w:themeColor="text1"/>
                      <w:sz w:val="21"/>
                      <w:szCs w:val="21"/>
                      <w:highlight w:val="none"/>
                      <w:lang w:val="en-US" w:eastAsia="zh-CN"/>
                      <w14:textFill>
                        <w14:solidFill>
                          <w14:schemeClr w14:val="tx1"/>
                        </w14:solidFill>
                      </w14:textFill>
                    </w:rPr>
                    <w:t>经济开发区兴隆路西段</w:t>
                  </w:r>
                  <w:r>
                    <w:rPr>
                      <w:rFonts w:hint="eastAsia" w:ascii="Times New Roman" w:hAnsi="Times New Roman" w:cs="Times New Roman"/>
                      <w:b w:val="0"/>
                      <w:bCs w:val="0"/>
                      <w:color w:val="000000" w:themeColor="text1"/>
                      <w:sz w:val="21"/>
                      <w:szCs w:val="21"/>
                      <w:highlight w:val="none"/>
                      <w14:textFill>
                        <w14:solidFill>
                          <w14:schemeClr w14:val="tx1"/>
                        </w14:solidFill>
                      </w14:textFill>
                    </w:rPr>
                    <w:t>，根据</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《新乡县智能制造产业园区总体发展规划（2021-20</w:t>
                  </w:r>
                  <w:r>
                    <w:rPr>
                      <w:rFonts w:hint="eastAsia" w:ascii="Times New Roman" w:cs="Times New Roman"/>
                      <w:b w:val="0"/>
                      <w:bCs w:val="0"/>
                      <w:color w:val="000000" w:themeColor="text1"/>
                      <w:sz w:val="21"/>
                      <w:szCs w:val="21"/>
                      <w:highlight w:val="none"/>
                      <w:lang w:val="en-US" w:eastAsia="zh-CN"/>
                      <w14:textFill>
                        <w14:solidFill>
                          <w14:schemeClr w14:val="tx1"/>
                        </w14:solidFill>
                      </w14:textFill>
                    </w:rPr>
                    <w:t>3</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5）-土地利用规划图》</w:t>
                  </w:r>
                  <w:r>
                    <w:rPr>
                      <w:rFonts w:hint="eastAsia" w:ascii="Times New Roman" w:hAnsi="Times New Roman" w:cs="Times New Roman"/>
                      <w:b w:val="0"/>
                      <w:bCs w:val="0"/>
                      <w:color w:val="000000" w:themeColor="text1"/>
                      <w:sz w:val="21"/>
                      <w:szCs w:val="21"/>
                      <w:highlight w:val="none"/>
                      <w14:textFill>
                        <w14:solidFill>
                          <w14:schemeClr w14:val="tx1"/>
                        </w14:solidFill>
                      </w14:textFill>
                    </w:rPr>
                    <w:t>，项目所占用地为</w:t>
                  </w:r>
                  <w:r>
                    <w:rPr>
                      <w:rFonts w:hint="eastAsia" w:ascii="Times New Roman" w:cs="Times New Roman"/>
                      <w:b w:val="0"/>
                      <w:bCs w:val="0"/>
                      <w:color w:val="000000" w:themeColor="text1"/>
                      <w:sz w:val="21"/>
                      <w:szCs w:val="21"/>
                      <w:highlight w:val="none"/>
                      <w:lang w:val="en-US" w:eastAsia="zh-CN"/>
                      <w14:textFill>
                        <w14:solidFill>
                          <w14:schemeClr w14:val="tx1"/>
                        </w14:solidFill>
                      </w14:textFill>
                    </w:rPr>
                    <w:t>二类</w:t>
                  </w:r>
                  <w:r>
                    <w:rPr>
                      <w:rFonts w:hint="eastAsia" w:ascii="Times New Roman" w:hAnsi="Times New Roman" w:cs="Times New Roman"/>
                      <w:b w:val="0"/>
                      <w:bCs w:val="0"/>
                      <w:color w:val="000000" w:themeColor="text1"/>
                      <w:sz w:val="21"/>
                      <w:szCs w:val="21"/>
                      <w:highlight w:val="none"/>
                      <w14:textFill>
                        <w14:solidFill>
                          <w14:schemeClr w14:val="tx1"/>
                        </w14:solidFill>
                      </w14:textFill>
                    </w:rPr>
                    <w:t>用地，符合新乡县智能制造产业园区总体发展规划要求。</w:t>
                  </w:r>
                </w:p>
              </w:tc>
              <w:tc>
                <w:tcPr>
                  <w:tcW w:w="457" w:type="pct"/>
                  <w:vMerge w:val="restart"/>
                  <w:noWrap w:val="0"/>
                  <w:vAlign w:val="center"/>
                </w:tcPr>
                <w:p w14:paraId="57ED65B6">
                  <w:pPr>
                    <w:pStyle w:val="51"/>
                    <w:keepNext w:val="0"/>
                    <w:keepLines w:val="0"/>
                    <w:suppressLineNumbers w:val="0"/>
                    <w:bidi w:val="0"/>
                    <w:spacing w:before="0" w:beforeAutospacing="0" w:after="0" w:afterAutospacing="0"/>
                    <w:ind w:left="0" w:right="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不属于</w:t>
                  </w:r>
                </w:p>
              </w:tc>
            </w:tr>
            <w:tr w14:paraId="3C2BB4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1" w:type="pct"/>
                  <w:vMerge w:val="continue"/>
                  <w:noWrap w:val="0"/>
                  <w:vAlign w:val="center"/>
                </w:tcPr>
                <w:p w14:paraId="306E7603">
                  <w:pPr>
                    <w:pStyle w:val="51"/>
                    <w:keepNext w:val="0"/>
                    <w:keepLines w:val="0"/>
                    <w:suppressLineNumbers w:val="0"/>
                    <w:bidi w:val="0"/>
                    <w:spacing w:before="0" w:beforeAutospacing="0" w:after="0" w:afterAutospacing="0"/>
                    <w:ind w:left="0" w:right="0" w:firstLine="0" w:firstLineChars="0"/>
                    <w:rPr>
                      <w:rFonts w:hint="eastAsia"/>
                      <w:color w:val="000000" w:themeColor="text1"/>
                      <w:sz w:val="21"/>
                      <w:szCs w:val="21"/>
                      <w14:textFill>
                        <w14:solidFill>
                          <w14:schemeClr w14:val="tx1"/>
                        </w14:solidFill>
                      </w14:textFill>
                    </w:rPr>
                  </w:pPr>
                </w:p>
              </w:tc>
              <w:tc>
                <w:tcPr>
                  <w:tcW w:w="2431" w:type="pct"/>
                  <w:noWrap w:val="0"/>
                  <w:vAlign w:val="center"/>
                </w:tcPr>
                <w:p w14:paraId="4D75B2FF">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12.</w:t>
                  </w:r>
                  <w:r>
                    <w:rPr>
                      <w:rFonts w:hint="default" w:ascii="Times New Roman" w:hAnsi="Times New Roman" w:eastAsia="宋体" w:cs="Times New Roman"/>
                      <w:color w:val="000000" w:themeColor="text1"/>
                      <w:sz w:val="21"/>
                      <w:szCs w:val="21"/>
                      <w:u w:val="none"/>
                      <w14:textFill>
                        <w14:solidFill>
                          <w14:schemeClr w14:val="tx1"/>
                        </w14:solidFill>
                      </w14:textFill>
                    </w:rPr>
                    <w:t>土地利用规划调整到位前不得入驻与土地性质不符的项目。</w:t>
                  </w:r>
                </w:p>
              </w:tc>
              <w:tc>
                <w:tcPr>
                  <w:tcW w:w="1669" w:type="pct"/>
                  <w:vMerge w:val="continue"/>
                  <w:noWrap w:val="0"/>
                  <w:vAlign w:val="center"/>
                </w:tcPr>
                <w:p w14:paraId="2A366CB9">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457" w:type="pct"/>
                  <w:vMerge w:val="continue"/>
                  <w:noWrap w:val="0"/>
                  <w:vAlign w:val="center"/>
                </w:tcPr>
                <w:p w14:paraId="78323340">
                  <w:pPr>
                    <w:pStyle w:val="51"/>
                    <w:keepNext w:val="0"/>
                    <w:keepLines w:val="0"/>
                    <w:suppressLineNumbers w:val="0"/>
                    <w:bidi w:val="0"/>
                    <w:spacing w:before="0" w:beforeAutospacing="0" w:after="0" w:afterAutospacing="0"/>
                    <w:ind w:left="0" w:right="0"/>
                    <w:rPr>
                      <w:rFonts w:hint="eastAsia"/>
                      <w:color w:val="000000" w:themeColor="text1"/>
                      <w:sz w:val="21"/>
                      <w:szCs w:val="21"/>
                      <w:u w:val="none"/>
                      <w:lang w:val="en-US" w:eastAsia="zh-CN"/>
                      <w14:textFill>
                        <w14:solidFill>
                          <w14:schemeClr w14:val="tx1"/>
                        </w14:solidFill>
                      </w14:textFill>
                    </w:rPr>
                  </w:pPr>
                </w:p>
              </w:tc>
            </w:tr>
            <w:tr w14:paraId="5AD41B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1" w:type="pct"/>
                  <w:vMerge w:val="restart"/>
                  <w:noWrap w:val="0"/>
                  <w:vAlign w:val="center"/>
                </w:tcPr>
                <w:p w14:paraId="073CCCE7">
                  <w:pPr>
                    <w:pStyle w:val="51"/>
                    <w:keepNext w:val="0"/>
                    <w:keepLines w:val="0"/>
                    <w:suppressLineNumbers w:val="0"/>
                    <w:bidi w:val="0"/>
                    <w:spacing w:before="0" w:beforeAutospacing="0" w:after="0" w:afterAutospacing="0"/>
                    <w:ind w:left="0" w:right="0"/>
                    <w:jc w:val="center"/>
                    <w:rPr>
                      <w:rFonts w:hint="eastAsia" w:eastAsia="宋体"/>
                      <w:color w:val="000000" w:themeColor="text1"/>
                      <w:sz w:val="21"/>
                      <w:szCs w:val="21"/>
                      <w:u w:val="none"/>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污染物排放</w:t>
                  </w:r>
                  <w:r>
                    <w:rPr>
                      <w:rFonts w:hint="eastAsia"/>
                      <w:color w:val="000000" w:themeColor="text1"/>
                      <w:sz w:val="21"/>
                      <w:szCs w:val="21"/>
                      <w:lang w:val="en-US" w:eastAsia="zh-CN"/>
                      <w14:textFill>
                        <w14:solidFill>
                          <w14:schemeClr w14:val="tx1"/>
                        </w14:solidFill>
                      </w14:textFill>
                    </w:rPr>
                    <w:t>管控</w:t>
                  </w:r>
                </w:p>
              </w:tc>
              <w:tc>
                <w:tcPr>
                  <w:tcW w:w="2431" w:type="pct"/>
                  <w:noWrap w:val="0"/>
                  <w:vAlign w:val="center"/>
                </w:tcPr>
                <w:p w14:paraId="6B121682">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禁止发展环境污染严重、无污染治理技术或治理技术在技术经济上不可行的项目。</w:t>
                  </w:r>
                </w:p>
              </w:tc>
              <w:tc>
                <w:tcPr>
                  <w:tcW w:w="1669" w:type="pct"/>
                  <w:noWrap w:val="0"/>
                  <w:vAlign w:val="center"/>
                </w:tcPr>
                <w:p w14:paraId="13EA2CEC">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14:textFill>
                        <w14:solidFill>
                          <w14:schemeClr w14:val="tx1"/>
                        </w14:solidFill>
                      </w14:textFill>
                    </w:rPr>
                    <w:t>本项目</w:t>
                  </w:r>
                  <w:r>
                    <w:rPr>
                      <w:rFonts w:hint="eastAsia" w:cs="Times New Roman"/>
                      <w:b w:val="0"/>
                      <w:bCs w:val="0"/>
                      <w:color w:val="000000" w:themeColor="text1"/>
                      <w:sz w:val="21"/>
                      <w:szCs w:val="21"/>
                      <w:lang w:val="en-US" w:eastAsia="zh-CN"/>
                      <w14:textFill>
                        <w14:solidFill>
                          <w14:schemeClr w14:val="tx1"/>
                        </w14:solidFill>
                      </w14:textFill>
                    </w:rPr>
                    <w:t>不新增废气污染物</w:t>
                  </w:r>
                  <w:r>
                    <w:rPr>
                      <w:rFonts w:hint="eastAsia" w:ascii="Times New Roman" w:hAnsi="Times New Roman" w:cs="Times New Roman"/>
                      <w:b w:val="0"/>
                      <w:bCs w:val="0"/>
                      <w:color w:val="000000" w:themeColor="text1"/>
                      <w:sz w:val="21"/>
                      <w:szCs w:val="21"/>
                      <w14:textFill>
                        <w14:solidFill>
                          <w14:schemeClr w14:val="tx1"/>
                        </w14:solidFill>
                      </w14:textFill>
                    </w:rPr>
                    <w:t>。</w:t>
                  </w:r>
                </w:p>
              </w:tc>
              <w:tc>
                <w:tcPr>
                  <w:tcW w:w="457" w:type="pct"/>
                  <w:noWrap w:val="0"/>
                  <w:vAlign w:val="center"/>
                </w:tcPr>
                <w:p w14:paraId="35CA6441">
                  <w:pPr>
                    <w:pStyle w:val="51"/>
                    <w:keepNext w:val="0"/>
                    <w:keepLines w:val="0"/>
                    <w:suppressLineNumbers w:val="0"/>
                    <w:bidi w:val="0"/>
                    <w:spacing w:before="0" w:beforeAutospacing="0" w:after="0" w:afterAutospacing="0"/>
                    <w:ind w:left="0" w:right="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不属于</w:t>
                  </w:r>
                </w:p>
              </w:tc>
            </w:tr>
            <w:tr w14:paraId="1226DF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8" w:hRule="atLeast"/>
                <w:jc w:val="center"/>
              </w:trPr>
              <w:tc>
                <w:tcPr>
                  <w:tcW w:w="441" w:type="pct"/>
                  <w:vMerge w:val="continue"/>
                  <w:noWrap w:val="0"/>
                  <w:vAlign w:val="center"/>
                </w:tcPr>
                <w:p w14:paraId="1996F9A0">
                  <w:pPr>
                    <w:pStyle w:val="51"/>
                    <w:keepNext w:val="0"/>
                    <w:keepLines w:val="0"/>
                    <w:suppressLineNumbers w:val="0"/>
                    <w:bidi w:val="0"/>
                    <w:spacing w:before="0" w:beforeAutospacing="0" w:after="0" w:afterAutospacing="0"/>
                    <w:ind w:left="0" w:right="0" w:firstLine="0" w:firstLineChars="0"/>
                    <w:jc w:val="center"/>
                    <w:rPr>
                      <w:rFonts w:hint="eastAsia"/>
                      <w:color w:val="000000" w:themeColor="text1"/>
                      <w:sz w:val="21"/>
                      <w:szCs w:val="21"/>
                      <w:u w:val="none"/>
                      <w:lang w:val="en-US" w:eastAsia="zh-CN"/>
                      <w14:textFill>
                        <w14:solidFill>
                          <w14:schemeClr w14:val="tx1"/>
                        </w14:solidFill>
                      </w14:textFill>
                    </w:rPr>
                  </w:pPr>
                </w:p>
              </w:tc>
              <w:tc>
                <w:tcPr>
                  <w:tcW w:w="2431" w:type="pct"/>
                  <w:noWrap w:val="0"/>
                  <w:vAlign w:val="center"/>
                </w:tcPr>
                <w:p w14:paraId="730C86CD">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禁止入驻废水处理难度大且处理工艺不成熟，排水可能影响集中污水处理厂稳定运行达标排放的项目；</w:t>
                  </w:r>
                </w:p>
              </w:tc>
              <w:tc>
                <w:tcPr>
                  <w:tcW w:w="1669" w:type="pct"/>
                  <w:noWrap w:val="0"/>
                  <w:vAlign w:val="center"/>
                </w:tcPr>
                <w:p w14:paraId="57764B01">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14:textFill>
                        <w14:solidFill>
                          <w14:schemeClr w14:val="tx1"/>
                        </w14:solidFill>
                      </w14:textFill>
                    </w:rPr>
                    <w:t>本项目</w:t>
                  </w: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不</w:t>
                  </w:r>
                  <w:r>
                    <w:rPr>
                      <w:rFonts w:hint="eastAsia" w:ascii="Times New Roman" w:cs="Times New Roman"/>
                      <w:b w:val="0"/>
                      <w:bCs w:val="0"/>
                      <w:color w:val="000000" w:themeColor="text1"/>
                      <w:sz w:val="21"/>
                      <w:szCs w:val="21"/>
                      <w:lang w:val="en-US" w:eastAsia="zh-CN"/>
                      <w14:textFill>
                        <w14:solidFill>
                          <w14:schemeClr w14:val="tx1"/>
                        </w14:solidFill>
                      </w14:textFill>
                    </w:rPr>
                    <w:t>新增</w:t>
                  </w: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外排废水</w:t>
                  </w:r>
                  <w:r>
                    <w:rPr>
                      <w:rFonts w:hint="eastAsia" w:ascii="Times New Roman" w:hAnsi="Times New Roman" w:cs="Times New Roman"/>
                      <w:b w:val="0"/>
                      <w:bCs w:val="0"/>
                      <w:color w:val="000000" w:themeColor="text1"/>
                      <w:sz w:val="21"/>
                      <w:szCs w:val="21"/>
                      <w14:textFill>
                        <w14:solidFill>
                          <w14:schemeClr w14:val="tx1"/>
                        </w14:solidFill>
                      </w14:textFill>
                    </w:rPr>
                    <w:t>。</w:t>
                  </w:r>
                </w:p>
              </w:tc>
              <w:tc>
                <w:tcPr>
                  <w:tcW w:w="457" w:type="pct"/>
                  <w:noWrap w:val="0"/>
                  <w:vAlign w:val="center"/>
                </w:tcPr>
                <w:p w14:paraId="285A606D">
                  <w:pPr>
                    <w:pStyle w:val="51"/>
                    <w:keepNext w:val="0"/>
                    <w:keepLines w:val="0"/>
                    <w:suppressLineNumbers w:val="0"/>
                    <w:bidi w:val="0"/>
                    <w:spacing w:before="0" w:beforeAutospacing="0" w:after="0" w:afterAutospacing="0"/>
                    <w:ind w:left="0" w:right="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不属于</w:t>
                  </w:r>
                </w:p>
              </w:tc>
            </w:tr>
            <w:tr w14:paraId="3D9CE9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8" w:hRule="atLeast"/>
                <w:jc w:val="center"/>
              </w:trPr>
              <w:tc>
                <w:tcPr>
                  <w:tcW w:w="441" w:type="pct"/>
                  <w:noWrap w:val="0"/>
                  <w:vAlign w:val="center"/>
                </w:tcPr>
                <w:p w14:paraId="482F9EA5">
                  <w:pPr>
                    <w:pStyle w:val="51"/>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环境风险防控</w:t>
                  </w:r>
                </w:p>
              </w:tc>
              <w:tc>
                <w:tcPr>
                  <w:tcW w:w="2431" w:type="pct"/>
                  <w:noWrap w:val="0"/>
                  <w:vAlign w:val="center"/>
                </w:tcPr>
                <w:p w14:paraId="13DFEA5D">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禁止入驻与环境敏感目标间距不能满足建设项目环评文件或行业规定的防护距离要求的项目。</w:t>
                  </w:r>
                </w:p>
              </w:tc>
              <w:tc>
                <w:tcPr>
                  <w:tcW w:w="1669" w:type="pct"/>
                  <w:noWrap w:val="0"/>
                  <w:vAlign w:val="center"/>
                </w:tcPr>
                <w:p w14:paraId="48439A03">
                  <w:pPr>
                    <w:pStyle w:val="51"/>
                    <w:keepNext w:val="0"/>
                    <w:keepLines w:val="0"/>
                    <w:suppressLineNumbers w:val="0"/>
                    <w:bidi w:val="0"/>
                    <w:spacing w:before="0" w:beforeAutospacing="0" w:after="0" w:afterAutospacing="0"/>
                    <w:ind w:left="0" w:right="0" w:firstLine="0" w:firstLineChars="0"/>
                    <w:jc w:val="cente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14:textFill>
                        <w14:solidFill>
                          <w14:schemeClr w14:val="tx1"/>
                        </w14:solidFill>
                      </w14:textFill>
                    </w:rPr>
                    <w:t>本项目不涉及。</w:t>
                  </w:r>
                </w:p>
              </w:tc>
              <w:tc>
                <w:tcPr>
                  <w:tcW w:w="457" w:type="pct"/>
                  <w:noWrap w:val="0"/>
                  <w:vAlign w:val="center"/>
                </w:tcPr>
                <w:p w14:paraId="58C0A041">
                  <w:pPr>
                    <w:pStyle w:val="51"/>
                    <w:keepNext w:val="0"/>
                    <w:keepLines w:val="0"/>
                    <w:suppressLineNumbers w:val="0"/>
                    <w:bidi w:val="0"/>
                    <w:spacing w:before="0" w:beforeAutospacing="0" w:after="0" w:afterAutospacing="0"/>
                    <w:ind w:left="0" w:right="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不属于</w:t>
                  </w:r>
                </w:p>
              </w:tc>
            </w:tr>
            <w:tr w14:paraId="2A37EE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8" w:hRule="atLeast"/>
                <w:jc w:val="center"/>
              </w:trPr>
              <w:tc>
                <w:tcPr>
                  <w:tcW w:w="441" w:type="pct"/>
                  <w:tcBorders>
                    <w:bottom w:val="single" w:color="auto" w:sz="8" w:space="0"/>
                  </w:tcBorders>
                  <w:noWrap w:val="0"/>
                  <w:vAlign w:val="center"/>
                </w:tcPr>
                <w:p w14:paraId="4232405A">
                  <w:pPr>
                    <w:pStyle w:val="51"/>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资源开发利用要求</w:t>
                  </w:r>
                </w:p>
              </w:tc>
              <w:tc>
                <w:tcPr>
                  <w:tcW w:w="2431" w:type="pct"/>
                  <w:tcBorders>
                    <w:bottom w:val="single" w:color="auto" w:sz="8" w:space="0"/>
                  </w:tcBorders>
                  <w:noWrap w:val="0"/>
                  <w:vAlign w:val="center"/>
                </w:tcPr>
                <w:p w14:paraId="504800BE">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禁止清洁生产水平达不到国内先进水平的项目。</w:t>
                  </w:r>
                </w:p>
              </w:tc>
              <w:tc>
                <w:tcPr>
                  <w:tcW w:w="1669" w:type="pct"/>
                  <w:tcBorders>
                    <w:bottom w:val="single" w:color="auto" w:sz="8" w:space="0"/>
                  </w:tcBorders>
                  <w:noWrap w:val="0"/>
                  <w:vAlign w:val="center"/>
                </w:tcPr>
                <w:p w14:paraId="6975F981">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14:textFill>
                        <w14:solidFill>
                          <w14:schemeClr w14:val="tx1"/>
                        </w14:solidFill>
                      </w14:textFill>
                    </w:rPr>
                    <w:t>本项目清洁生产水平达到国内先进水平。</w:t>
                  </w:r>
                </w:p>
              </w:tc>
              <w:tc>
                <w:tcPr>
                  <w:tcW w:w="457" w:type="pct"/>
                  <w:tcBorders>
                    <w:bottom w:val="single" w:color="auto" w:sz="8" w:space="0"/>
                  </w:tcBorders>
                  <w:noWrap w:val="0"/>
                  <w:vAlign w:val="center"/>
                </w:tcPr>
                <w:p w14:paraId="7BDF9C8A">
                  <w:pPr>
                    <w:pStyle w:val="51"/>
                    <w:keepNext w:val="0"/>
                    <w:keepLines w:val="0"/>
                    <w:suppressLineNumbers w:val="0"/>
                    <w:bidi w:val="0"/>
                    <w:spacing w:before="0" w:beforeAutospacing="0" w:after="0" w:afterAutospacing="0"/>
                    <w:ind w:left="0" w:right="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不属于</w:t>
                  </w:r>
                </w:p>
              </w:tc>
            </w:tr>
          </w:tbl>
          <w:p w14:paraId="327DF6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本项目位于</w:t>
            </w:r>
            <w:r>
              <w:rPr>
                <w:rFonts w:hint="eastAsia"/>
                <w:color w:val="000000" w:themeColor="text1"/>
                <w:lang w:val="en-US" w:eastAsia="zh-CN"/>
                <w14:textFill>
                  <w14:solidFill>
                    <w14:schemeClr w14:val="tx1"/>
                  </w14:solidFill>
                </w14:textFill>
              </w:rPr>
              <w:t>河南省新乡市新乡县新乡县经济开发区兴隆路西段</w:t>
            </w:r>
            <w:r>
              <w:rPr>
                <w:rFonts w:hint="default"/>
                <w:color w:val="000000" w:themeColor="text1"/>
                <w14:textFill>
                  <w14:solidFill>
                    <w14:schemeClr w14:val="tx1"/>
                  </w14:solidFill>
                </w14:textFill>
              </w:rPr>
              <w:t>，</w:t>
            </w:r>
            <w:r>
              <w:rPr>
                <w:rFonts w:hint="default"/>
                <w:color w:val="000000" w:themeColor="text1"/>
                <w:highlight w:val="none"/>
                <w14:textFill>
                  <w14:solidFill>
                    <w14:schemeClr w14:val="tx1"/>
                  </w14:solidFill>
                </w14:textFill>
              </w:rPr>
              <w:t>本项目属于</w:t>
            </w:r>
            <w:r>
              <w:rPr>
                <w:rFonts w:hint="eastAsia"/>
                <w:color w:val="000000" w:themeColor="text1"/>
                <w:highlight w:val="none"/>
                <w:lang w:val="en-US" w:eastAsia="zh-CN"/>
                <w14:textFill>
                  <w14:solidFill>
                    <w14:schemeClr w14:val="tx1"/>
                  </w14:solidFill>
                </w14:textFill>
              </w:rPr>
              <w:t>锂离子电池制造</w:t>
            </w:r>
            <w:r>
              <w:rPr>
                <w:rFonts w:hint="default"/>
                <w:color w:val="000000" w:themeColor="text1"/>
                <w14:textFill>
                  <w14:solidFill>
                    <w14:schemeClr w14:val="tx1"/>
                  </w14:solidFill>
                </w14:textFill>
              </w:rPr>
              <w:t>，与该片区主导产业从产业特征、污染特征、行业建设要求等多方面对比来看，均无相互制约、相互冲突的因素存在，</w:t>
            </w:r>
            <w:r>
              <w:rPr>
                <w:rFonts w:hint="default"/>
                <w:color w:val="000000" w:themeColor="text1"/>
                <w:lang w:val="zh-CN"/>
                <w14:textFill>
                  <w14:solidFill>
                    <w14:schemeClr w14:val="tx1"/>
                  </w14:solidFill>
                </w14:textFill>
              </w:rPr>
              <w:t>且</w:t>
            </w:r>
            <w:r>
              <w:rPr>
                <w:rFonts w:hint="default"/>
                <w:color w:val="000000" w:themeColor="text1"/>
                <w14:textFill>
                  <w14:solidFill>
                    <w14:schemeClr w14:val="tx1"/>
                  </w14:solidFill>
                </w14:textFill>
              </w:rPr>
              <w:t>该项目不属于</w:t>
            </w:r>
            <w:r>
              <w:rPr>
                <w:rFonts w:hint="eastAsia"/>
                <w:color w:val="000000" w:themeColor="text1"/>
                <w:lang w:val="en-US" w:eastAsia="zh-CN"/>
                <w14:textFill>
                  <w14:solidFill>
                    <w14:schemeClr w14:val="tx1"/>
                  </w14:solidFill>
                </w14:textFill>
              </w:rPr>
              <w:t>新乡县</w:t>
            </w:r>
            <w:r>
              <w:rPr>
                <w:rFonts w:hint="eastAsia"/>
                <w:color w:val="000000" w:themeColor="text1"/>
                <w:szCs w:val="21"/>
                <w:u w:val="none"/>
                <w:lang w:eastAsia="zh-CN"/>
                <w14:textFill>
                  <w14:solidFill>
                    <w14:schemeClr w14:val="tx1"/>
                  </w14:solidFill>
                </w14:textFill>
              </w:rPr>
              <w:t>智能制造产业园区</w:t>
            </w:r>
            <w:r>
              <w:rPr>
                <w:rFonts w:hint="default"/>
                <w:color w:val="000000" w:themeColor="text1"/>
                <w14:textFill>
                  <w14:solidFill>
                    <w14:schemeClr w14:val="tx1"/>
                  </w14:solidFill>
                </w14:textFill>
              </w:rPr>
              <w:t>限制</w:t>
            </w:r>
            <w:r>
              <w:rPr>
                <w:rFonts w:hint="eastAsia"/>
                <w:color w:val="000000" w:themeColor="text1"/>
                <w14:textFill>
                  <w14:solidFill>
                    <w14:schemeClr w14:val="tx1"/>
                  </w14:solidFill>
                </w14:textFill>
              </w:rPr>
              <w:t>、</w:t>
            </w:r>
            <w:r>
              <w:rPr>
                <w:rFonts w:hint="default"/>
                <w:color w:val="000000" w:themeColor="text1"/>
                <w14:textFill>
                  <w14:solidFill>
                    <w14:schemeClr w14:val="tx1"/>
                  </w14:solidFill>
                </w14:textFill>
              </w:rPr>
              <w:t>禁止类项目，因此评价认为本项目与</w:t>
            </w:r>
            <w:r>
              <w:rPr>
                <w:rFonts w:hint="eastAsia"/>
                <w:color w:val="000000" w:themeColor="text1"/>
                <w:lang w:val="en-US" w:eastAsia="zh-CN"/>
                <w14:textFill>
                  <w14:solidFill>
                    <w14:schemeClr w14:val="tx1"/>
                  </w14:solidFill>
                </w14:textFill>
              </w:rPr>
              <w:t>新乡县</w:t>
            </w:r>
            <w:r>
              <w:rPr>
                <w:rFonts w:hint="eastAsia"/>
                <w:color w:val="000000" w:themeColor="text1"/>
                <w:szCs w:val="21"/>
                <w:u w:val="none"/>
                <w:lang w:eastAsia="zh-CN"/>
                <w14:textFill>
                  <w14:solidFill>
                    <w14:schemeClr w14:val="tx1"/>
                  </w14:solidFill>
                </w14:textFill>
              </w:rPr>
              <w:t>智能制造产业园区</w:t>
            </w:r>
            <w:r>
              <w:rPr>
                <w:rFonts w:hint="default"/>
                <w:color w:val="000000" w:themeColor="text1"/>
                <w14:textFill>
                  <w14:solidFill>
                    <w14:schemeClr w14:val="tx1"/>
                  </w14:solidFill>
                </w14:textFill>
              </w:rPr>
              <w:t>主导产业规划能够相容，符合</w:t>
            </w:r>
            <w:r>
              <w:rPr>
                <w:rFonts w:hint="eastAsia"/>
                <w:color w:val="000000" w:themeColor="text1"/>
                <w:lang w:val="en-US" w:eastAsia="zh-CN"/>
                <w14:textFill>
                  <w14:solidFill>
                    <w14:schemeClr w14:val="tx1"/>
                  </w14:solidFill>
                </w14:textFill>
              </w:rPr>
              <w:t>新乡县</w:t>
            </w:r>
            <w:r>
              <w:rPr>
                <w:rFonts w:hint="eastAsia"/>
                <w:color w:val="000000" w:themeColor="text1"/>
                <w:szCs w:val="21"/>
                <w:u w:val="none"/>
                <w:lang w:eastAsia="zh-CN"/>
                <w14:textFill>
                  <w14:solidFill>
                    <w14:schemeClr w14:val="tx1"/>
                  </w14:solidFill>
                </w14:textFill>
              </w:rPr>
              <w:t>智能制造产业园区</w:t>
            </w:r>
            <w:r>
              <w:rPr>
                <w:rFonts w:hint="default"/>
                <w:color w:val="000000" w:themeColor="text1"/>
                <w14:textFill>
                  <w14:solidFill>
                    <w14:schemeClr w14:val="tx1"/>
                  </w14:solidFill>
                </w14:textFill>
              </w:rPr>
              <w:t>准入条件。</w:t>
            </w:r>
          </w:p>
          <w:p w14:paraId="7C6CBD5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jc w:val="both"/>
              <w:textAlignment w:val="auto"/>
              <w:rPr>
                <w:rFonts w:hint="default"/>
                <w:b/>
                <w:bCs/>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2</w:t>
            </w:r>
            <w:r>
              <w:rPr>
                <w:rFonts w:hint="eastAsia"/>
                <w:b/>
                <w:bCs/>
                <w:color w:val="000000" w:themeColor="text1"/>
                <w14:textFill>
                  <w14:solidFill>
                    <w14:schemeClr w14:val="tx1"/>
                  </w14:solidFill>
                </w14:textFill>
              </w:rPr>
              <w:t>、本项目与《</w:t>
            </w:r>
            <w:r>
              <w:rPr>
                <w:rFonts w:hint="eastAsia"/>
                <w:b/>
                <w:bCs/>
                <w:color w:val="000000" w:themeColor="text1"/>
                <w:lang w:val="en-US" w:eastAsia="zh-CN"/>
                <w14:textFill>
                  <w14:solidFill>
                    <w14:schemeClr w14:val="tx1"/>
                  </w14:solidFill>
                </w14:textFill>
              </w:rPr>
              <w:t>新乡市</w:t>
            </w:r>
            <w:r>
              <w:rPr>
                <w:rFonts w:hint="eastAsia"/>
                <w:b/>
                <w:bCs/>
                <w:color w:val="000000" w:themeColor="text1"/>
                <w14:textFill>
                  <w14:solidFill>
                    <w14:schemeClr w14:val="tx1"/>
                  </w14:solidFill>
                </w14:textFill>
              </w:rPr>
              <w:t>生态环境</w:t>
            </w:r>
            <w:r>
              <w:rPr>
                <w:rFonts w:hint="eastAsia"/>
                <w:b/>
                <w:bCs/>
                <w:color w:val="000000" w:themeColor="text1"/>
                <w:lang w:val="en-US" w:eastAsia="zh-CN"/>
                <w14:textFill>
                  <w14:solidFill>
                    <w14:schemeClr w14:val="tx1"/>
                  </w14:solidFill>
                </w14:textFill>
              </w:rPr>
              <w:t>局新乡县分局</w:t>
            </w:r>
            <w:r>
              <w:rPr>
                <w:rFonts w:hint="eastAsia" w:ascii="Times New Roman" w:hAnsi="Times New Roman" w:eastAsia="宋体" w:cs="Times New Roman"/>
                <w:b/>
                <w:bCs/>
                <w:color w:val="000000" w:themeColor="text1"/>
                <w14:textFill>
                  <w14:solidFill>
                    <w14:schemeClr w14:val="tx1"/>
                  </w14:solidFill>
                </w14:textFill>
              </w:rPr>
              <w:t>关于</w:t>
            </w:r>
            <w:r>
              <w:rPr>
                <w:rFonts w:hint="eastAsia" w:ascii="Times New Roman" w:hAnsi="Times New Roman" w:eastAsia="宋体" w:cs="Times New Roman"/>
                <w:b/>
                <w:bCs/>
                <w:color w:val="000000" w:themeColor="text1"/>
                <w:lang w:val="en-US" w:eastAsia="zh-CN"/>
                <w14:textFill>
                  <w14:solidFill>
                    <w14:schemeClr w14:val="tx1"/>
                  </w14:solidFill>
                </w14:textFill>
              </w:rPr>
              <w:t>新乡县</w:t>
            </w:r>
            <w:r>
              <w:rPr>
                <w:rFonts w:hint="eastAsia" w:ascii="Times New Roman" w:hAnsi="Times New Roman" w:eastAsia="宋体" w:cs="Times New Roman"/>
                <w:b/>
                <w:bCs/>
                <w:color w:val="000000" w:themeColor="text1"/>
                <w:lang w:eastAsia="zh-CN"/>
                <w14:textFill>
                  <w14:solidFill>
                    <w14:schemeClr w14:val="tx1"/>
                  </w14:solidFill>
                </w14:textFill>
              </w:rPr>
              <w:t>智能制造产业园区</w:t>
            </w:r>
            <w:r>
              <w:rPr>
                <w:rFonts w:hint="eastAsia" w:ascii="Times New Roman" w:hAnsi="Times New Roman" w:eastAsia="宋体" w:cs="Times New Roman"/>
                <w:b/>
                <w:bCs/>
                <w:color w:val="000000" w:themeColor="text1"/>
                <w14:textFill>
                  <w14:solidFill>
                    <w14:schemeClr w14:val="tx1"/>
                  </w14:solidFill>
                </w14:textFill>
              </w:rPr>
              <w:t>总体发展规划（20</w:t>
            </w:r>
            <w:r>
              <w:rPr>
                <w:rFonts w:hint="eastAsia" w:ascii="Times New Roman" w:hAnsi="Times New Roman" w:eastAsia="宋体" w:cs="Times New Roman"/>
                <w:b/>
                <w:bCs/>
                <w:color w:val="000000" w:themeColor="text1"/>
                <w:lang w:val="en-US" w:eastAsia="zh-CN"/>
                <w14:textFill>
                  <w14:solidFill>
                    <w14:schemeClr w14:val="tx1"/>
                  </w14:solidFill>
                </w14:textFill>
              </w:rPr>
              <w:t>21-2035</w:t>
            </w:r>
            <w:r>
              <w:rPr>
                <w:rFonts w:hint="eastAsia" w:ascii="Times New Roman" w:hAnsi="Times New Roman" w:eastAsia="宋体" w:cs="Times New Roman"/>
                <w:b/>
                <w:bCs/>
                <w:color w:val="000000" w:themeColor="text1"/>
                <w14:textFill>
                  <w14:solidFill>
                    <w14:schemeClr w14:val="tx1"/>
                  </w14:solidFill>
                </w14:textFill>
              </w:rPr>
              <w:t>）环境</w:t>
            </w:r>
            <w:r>
              <w:rPr>
                <w:rFonts w:hint="eastAsia"/>
                <w:b/>
                <w:bCs/>
                <w:color w:val="000000" w:themeColor="text1"/>
                <w14:textFill>
                  <w14:solidFill>
                    <w14:schemeClr w14:val="tx1"/>
                  </w14:solidFill>
                </w14:textFill>
              </w:rPr>
              <w:t>影响报告书的审查意见》相符性分析</w:t>
            </w:r>
          </w:p>
          <w:p w14:paraId="2E26F41A">
            <w:pPr>
              <w:pStyle w:val="7"/>
              <w:keepNext w:val="0"/>
              <w:keepLines w:val="0"/>
              <w:suppressLineNumbers w:val="0"/>
              <w:spacing w:before="0" w:beforeAutospacing="0" w:after="0" w:afterAutospacing="0"/>
              <w:ind w:left="0" w:right="0"/>
              <w:rPr>
                <w:rFonts w:hint="eastAsia" w:eastAsia="宋体"/>
                <w:color w:val="000000" w:themeColor="text1"/>
                <w:lang w:eastAsia="zh-CN"/>
                <w14:textFill>
                  <w14:solidFill>
                    <w14:schemeClr w14:val="tx1"/>
                  </w14:solidFill>
                </w14:textFill>
              </w:rPr>
            </w:pPr>
            <w:r>
              <w:rPr>
                <w:rFonts w:hint="default"/>
                <w:color w:val="000000" w:themeColor="text1"/>
                <w14:textFill>
                  <w14:solidFill>
                    <w14:schemeClr w14:val="tx1"/>
                  </w14:solidFill>
                </w14:textFill>
              </w:rPr>
              <w:t xml:space="preserve">表 </w:t>
            </w:r>
            <w:r>
              <w:rPr>
                <w:rFonts w:hint="eastAsia"/>
                <w:color w:val="000000" w:themeColor="text1"/>
                <w:lang w:val="en-US" w:eastAsia="zh-CN"/>
                <w14:textFill>
                  <w14:solidFill>
                    <w14:schemeClr w14:val="tx1"/>
                  </w14:solidFill>
                </w14:textFill>
              </w:rPr>
              <w:t xml:space="preserve">3    </w:t>
            </w:r>
            <w:r>
              <w:rPr>
                <w:rFonts w:hint="eastAsia"/>
                <w:color w:val="000000" w:themeColor="text1"/>
                <w:lang w:eastAsia="zh-CN"/>
                <w14:textFill>
                  <w14:solidFill>
                    <w14:schemeClr w14:val="tx1"/>
                  </w14:solidFill>
                </w14:textFill>
              </w:rPr>
              <w:t>本项目与审查意见相符性分析</w:t>
            </w:r>
          </w:p>
          <w:tbl>
            <w:tblPr>
              <w:tblStyle w:val="23"/>
              <w:tblW w:w="49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85"/>
              <w:gridCol w:w="2540"/>
              <w:gridCol w:w="498"/>
            </w:tblGrid>
            <w:tr w14:paraId="4B5406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57" w:type="pct"/>
                  <w:tcBorders>
                    <w:top w:val="single" w:color="auto" w:sz="8" w:space="0"/>
                    <w:bottom w:val="single" w:color="auto" w:sz="8" w:space="0"/>
                  </w:tcBorders>
                  <w:noWrap w:val="0"/>
                  <w:vAlign w:val="center"/>
                </w:tcPr>
                <w:p w14:paraId="7513567F">
                  <w:pPr>
                    <w:pStyle w:val="51"/>
                    <w:keepNext w:val="0"/>
                    <w:keepLines w:val="0"/>
                    <w:suppressLineNumbers w:val="0"/>
                    <w:bidi w:val="0"/>
                    <w:spacing w:before="0" w:beforeAutospacing="0" w:after="0" w:afterAutospacing="0"/>
                    <w:ind w:left="0" w:right="0"/>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与本项目相关</w:t>
                  </w:r>
                  <w:r>
                    <w:rPr>
                      <w:rFonts w:hint="default"/>
                      <w:b/>
                      <w:bCs/>
                      <w:color w:val="000000" w:themeColor="text1"/>
                      <w14:textFill>
                        <w14:solidFill>
                          <w14:schemeClr w14:val="tx1"/>
                        </w14:solidFill>
                      </w14:textFill>
                    </w:rPr>
                    <w:t>审查意见要求</w:t>
                  </w:r>
                </w:p>
              </w:tc>
              <w:tc>
                <w:tcPr>
                  <w:tcW w:w="1623" w:type="pct"/>
                  <w:tcBorders>
                    <w:top w:val="single" w:color="auto" w:sz="8" w:space="0"/>
                    <w:bottom w:val="single" w:color="auto" w:sz="8" w:space="0"/>
                  </w:tcBorders>
                  <w:noWrap w:val="0"/>
                  <w:vAlign w:val="center"/>
                </w:tcPr>
                <w:p w14:paraId="6CDD3241">
                  <w:pPr>
                    <w:pStyle w:val="51"/>
                    <w:keepNext w:val="0"/>
                    <w:keepLines w:val="0"/>
                    <w:suppressLineNumbers w:val="0"/>
                    <w:bidi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本项目情况</w:t>
                  </w:r>
                </w:p>
              </w:tc>
              <w:tc>
                <w:tcPr>
                  <w:tcW w:w="318" w:type="pct"/>
                  <w:tcBorders>
                    <w:top w:val="single" w:color="auto" w:sz="8" w:space="0"/>
                    <w:bottom w:val="single" w:color="auto" w:sz="8" w:space="0"/>
                  </w:tcBorders>
                  <w:noWrap w:val="0"/>
                  <w:vAlign w:val="center"/>
                </w:tcPr>
                <w:p w14:paraId="24F9B6EA">
                  <w:pPr>
                    <w:pStyle w:val="51"/>
                    <w:keepNext w:val="0"/>
                    <w:keepLines w:val="0"/>
                    <w:suppressLineNumbers w:val="0"/>
                    <w:bidi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eastAsia"/>
                      <w:b/>
                      <w:bCs/>
                      <w:color w:val="000000" w:themeColor="text1"/>
                      <w:u w:val="none"/>
                      <w:lang w:val="en-US" w:eastAsia="zh-CN"/>
                      <w14:textFill>
                        <w14:solidFill>
                          <w14:schemeClr w14:val="tx1"/>
                        </w14:solidFill>
                      </w14:textFill>
                    </w:rPr>
                    <w:t>相符性</w:t>
                  </w:r>
                </w:p>
              </w:tc>
            </w:tr>
            <w:tr w14:paraId="02E250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57" w:type="pct"/>
                  <w:tcBorders>
                    <w:top w:val="single" w:color="auto" w:sz="8" w:space="0"/>
                  </w:tcBorders>
                  <w:noWrap w:val="0"/>
                  <w:vAlign w:val="center"/>
                </w:tcPr>
                <w:p w14:paraId="67B15654">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（一）合理用地布局</w:t>
                  </w:r>
                </w:p>
                <w:p w14:paraId="492C45D9">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优化用地布局，在开发过程中不应随意改变各用地功能区的使用功能，在新乡县国土空间总体规划调整之前，不得入驻与规划不相符的建设项目。园区布局应充分考虑人与环境、生产单元之间以及生产对基础设施和管理的要求，按照《报告书》要求，园区内现有化学原料及化学制品、化学药品原料药企业限制发展(不涉及挥发性有机溶剂的单纯复配、分装及升级改造项目除外)；近居住区一侧工业用地布置与居民区相容性较好的项目类型，减轻对周边居民区的影响；园区边界与邻近居民的200m区域范围内执行《声环境质量标准》(GB3096-2008)2类标准，防止园区工业对周边声环境造成不良影响。</w:t>
                  </w:r>
                </w:p>
              </w:tc>
              <w:tc>
                <w:tcPr>
                  <w:tcW w:w="1623" w:type="pct"/>
                  <w:tcBorders>
                    <w:top w:val="single" w:color="auto" w:sz="8" w:space="0"/>
                  </w:tcBorders>
                  <w:noWrap w:val="0"/>
                  <w:vAlign w:val="center"/>
                </w:tcPr>
                <w:p w14:paraId="0C71CCE0">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本项目位于新乡市新乡县智能制造产业园区，符合新乡县智能制造产业园区总体发展规划要求，本项目执行《声环境质量标准》(GB3096-2008)</w:t>
                  </w:r>
                  <w:r>
                    <w:rPr>
                      <w:rFonts w:hint="eastAsia" w:ascii="Times New Roman" w:cs="Times New Roman"/>
                      <w:color w:val="000000" w:themeColor="text1"/>
                      <w:sz w:val="21"/>
                      <w:szCs w:val="21"/>
                      <w:u w:val="none"/>
                      <w:lang w:val="en-US" w:eastAsia="zh-CN"/>
                      <w14:textFill>
                        <w14:solidFill>
                          <w14:schemeClr w14:val="tx1"/>
                        </w14:solidFill>
                      </w14:textFill>
                    </w:rPr>
                    <w:t>3</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类标准。</w:t>
                  </w:r>
                </w:p>
              </w:tc>
              <w:tc>
                <w:tcPr>
                  <w:tcW w:w="318" w:type="pct"/>
                  <w:tcBorders>
                    <w:top w:val="single" w:color="auto" w:sz="8" w:space="0"/>
                  </w:tcBorders>
                  <w:noWrap w:val="0"/>
                  <w:vAlign w:val="center"/>
                </w:tcPr>
                <w:p w14:paraId="6C7E9D80">
                  <w:pPr>
                    <w:pStyle w:val="51"/>
                    <w:keepNext w:val="0"/>
                    <w:keepLines w:val="0"/>
                    <w:suppressLineNumbers w:val="0"/>
                    <w:bidi w:val="0"/>
                    <w:spacing w:before="0" w:beforeAutospacing="0" w:after="0" w:afterAutospacing="0"/>
                    <w:ind w:left="0" w:right="0"/>
                    <w:jc w:val="center"/>
                    <w:rPr>
                      <w:rFonts w:hint="default"/>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相符</w:t>
                  </w:r>
                </w:p>
              </w:tc>
            </w:tr>
            <w:tr w14:paraId="6540F6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57" w:type="pct"/>
                  <w:noWrap w:val="0"/>
                  <w:vAlign w:val="center"/>
                </w:tcPr>
                <w:p w14:paraId="210855D6">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(二)优化产业结构</w:t>
                  </w:r>
                </w:p>
                <w:p w14:paraId="717826D2">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严格执行《报告书》提出的项目准入条件和负面清单。鼓励引进与园区产业定位及产业规划相符的项目入驻，与园区产业链相关的轻污染项目优先入园；禁止入驻钢铁、金属冶炼、制浆造纸、屠宰、水泥、平板玻璃、建筑陶瓷、化学原料及化学制品、化学药品原料药和生物发酵制药、皮革或毛皮鞣制加工、轮胎制造、再生橡胶制造、印染等不符合园区产业定位且污染重的项目；禁止入驻食品制造项目，限制现有食品制造企业发展；禁止建设生产和使用高VOCs含量的溶剂型涂料、油墨、胶粘剂等项目；禁止涉及含苯(系物)漆料项目入园，限制现有企业使用含苯(苯系物)漆料；禁止新增铸造行业产能；禁止入驻非集中供热性质的燃煤、燃重油渣油等锅炉或炉窑；禁止新、改、扩建“两高”项目(与主导产业相符的“两高”项目除外)；禁止新增铅、铬、镉、汞、砷等重点控制重金属污染物排放的项目入驻。</w:t>
                  </w:r>
                </w:p>
              </w:tc>
              <w:tc>
                <w:tcPr>
                  <w:tcW w:w="1623" w:type="pct"/>
                  <w:noWrap w:val="0"/>
                  <w:vAlign w:val="center"/>
                </w:tcPr>
                <w:p w14:paraId="4390C005">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本项目</w:t>
                  </w:r>
                  <w:r>
                    <w:rPr>
                      <w:rFonts w:hint="eastAsia" w:ascii="Times New Roman" w:cs="Times New Roman"/>
                      <w:color w:val="000000" w:themeColor="text1"/>
                      <w:sz w:val="21"/>
                      <w:szCs w:val="21"/>
                      <w:u w:val="none"/>
                      <w:lang w:val="en-US" w:eastAsia="zh-CN"/>
                      <w14:textFill>
                        <w14:solidFill>
                          <w14:schemeClr w14:val="tx1"/>
                        </w14:solidFill>
                      </w14:textFill>
                    </w:rPr>
                    <w:t>不涉及</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w:t>
                  </w:r>
                </w:p>
              </w:tc>
              <w:tc>
                <w:tcPr>
                  <w:tcW w:w="318" w:type="pct"/>
                  <w:noWrap w:val="0"/>
                  <w:vAlign w:val="center"/>
                </w:tcPr>
                <w:p w14:paraId="00EE2CB3">
                  <w:pPr>
                    <w:pStyle w:val="51"/>
                    <w:keepNext w:val="0"/>
                    <w:keepLines w:val="0"/>
                    <w:suppressLineNumbers w:val="0"/>
                    <w:bidi w:val="0"/>
                    <w:spacing w:before="0" w:beforeAutospacing="0" w:after="0" w:afterAutospacing="0"/>
                    <w:ind w:left="0" w:right="0"/>
                    <w:jc w:val="center"/>
                    <w:rPr>
                      <w:rFonts w:hint="default"/>
                      <w:color w:val="000000" w:themeColor="text1"/>
                      <w:sz w:val="21"/>
                      <w:szCs w:val="21"/>
                      <w:u w:val="none"/>
                      <w:lang w:val="pt-BR"/>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相符</w:t>
                  </w:r>
                </w:p>
              </w:tc>
            </w:tr>
            <w:tr w14:paraId="470959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57" w:type="pct"/>
                  <w:noWrap w:val="0"/>
                  <w:vAlign w:val="center"/>
                </w:tcPr>
                <w:p w14:paraId="6D303E95">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(三)尽快完善园区环保设施建设</w:t>
                  </w:r>
                </w:p>
                <w:p w14:paraId="492BD5AA">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按照“清污分流、雨污分流、中水回用、污水纳管率达100%”的要求，加快完善园区雨污分流管网、中水回用管网等基础设施建设，减少废水排放量，确保入区企业外排废水及生活污水通过规范化排污口经管网收集到新乡县综合污水处理厂集中处理。加快完善集中供热(供汽)设施建设，满足园区供热、供汽需求。</w:t>
                  </w:r>
                </w:p>
              </w:tc>
              <w:tc>
                <w:tcPr>
                  <w:tcW w:w="1623" w:type="pct"/>
                  <w:noWrap w:val="0"/>
                  <w:vAlign w:val="center"/>
                </w:tcPr>
                <w:p w14:paraId="1AB6EB37">
                  <w:pPr>
                    <w:pStyle w:val="51"/>
                    <w:keepNext w:val="0"/>
                    <w:keepLines w:val="0"/>
                    <w:suppressLineNumbers w:val="0"/>
                    <w:bidi w:val="0"/>
                    <w:spacing w:before="0" w:beforeAutospacing="0" w:after="0" w:afterAutospacing="0"/>
                    <w:ind w:left="0" w:right="0" w:firstLine="0" w:firstLineChars="0"/>
                    <w:jc w:val="both"/>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本项目</w:t>
                  </w:r>
                  <w:r>
                    <w:rPr>
                      <w:rFonts w:hint="eastAsia" w:ascii="Times New Roman" w:cs="Times New Roman"/>
                      <w:color w:val="000000" w:themeColor="text1"/>
                      <w:sz w:val="21"/>
                      <w:szCs w:val="21"/>
                      <w:u w:val="none"/>
                      <w:lang w:val="en-US" w:eastAsia="zh-CN"/>
                      <w14:textFill>
                        <w14:solidFill>
                          <w14:schemeClr w14:val="tx1"/>
                        </w14:solidFill>
                      </w14:textFill>
                    </w:rPr>
                    <w:t>不新增</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外排废水。</w:t>
                  </w:r>
                </w:p>
              </w:tc>
              <w:tc>
                <w:tcPr>
                  <w:tcW w:w="318" w:type="pct"/>
                  <w:noWrap w:val="0"/>
                  <w:vAlign w:val="center"/>
                </w:tcPr>
                <w:p w14:paraId="1E11DE0A">
                  <w:pPr>
                    <w:pStyle w:val="51"/>
                    <w:keepNext w:val="0"/>
                    <w:keepLines w:val="0"/>
                    <w:suppressLineNumbers w:val="0"/>
                    <w:bidi w:val="0"/>
                    <w:spacing w:before="0" w:beforeAutospacing="0" w:after="0" w:afterAutospacing="0"/>
                    <w:ind w:left="0" w:right="0"/>
                    <w:jc w:val="center"/>
                    <w:rPr>
                      <w:rFonts w:hint="default"/>
                      <w:color w:val="000000" w:themeColor="text1"/>
                      <w:sz w:val="21"/>
                      <w:szCs w:val="21"/>
                      <w:lang w:val="pt-BR"/>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相符</w:t>
                  </w:r>
                </w:p>
              </w:tc>
            </w:tr>
            <w:tr w14:paraId="6B76B2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57" w:type="pct"/>
                  <w:noWrap w:val="0"/>
                  <w:vAlign w:val="center"/>
                </w:tcPr>
                <w:p w14:paraId="3514C794">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(四)严格控制污染物排放</w:t>
                  </w:r>
                </w:p>
                <w:p w14:paraId="5BD6A4DD">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严格执行污染物排放总量控制制度，采取调整能源结构、加强污染治理等措施，严格控制烟粉尘、二氧化硫、氮氧化物、V0Cs等大气污染物的排放，大气污染物排放严格执行新的排放标准要求。园区所有废水应全部进入新乡县综合污水处理厂处理。定期对地下水质进行监测，发现问题及时采取有效防治措施，避免对地下水造成污染。</w:t>
                  </w:r>
                </w:p>
                <w:p w14:paraId="5E5E074A">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按照循环经济的要求，提高固体废物的综合利用率，一般工业固废回收或综合利用，外排固废应统一运至专用处置场安全处置，严禁企业随意弃置；危险废物要做到安全处置，危险固废的收集、贮存应满足《危险废物贮存污染控制标准》(GB18597-2001)及修改单的要求，并送有资质的危险废物处置单位处置，危险废物的转运应执行《危险废物转移管理办法》的有关规定。</w:t>
                  </w:r>
                </w:p>
              </w:tc>
              <w:tc>
                <w:tcPr>
                  <w:tcW w:w="1623" w:type="pct"/>
                  <w:noWrap w:val="0"/>
                  <w:vAlign w:val="center"/>
                </w:tcPr>
                <w:p w14:paraId="2C3BD361">
                  <w:pPr>
                    <w:pStyle w:val="51"/>
                    <w:keepNext w:val="0"/>
                    <w:keepLines w:val="0"/>
                    <w:suppressLineNumbers w:val="0"/>
                    <w:bidi w:val="0"/>
                    <w:spacing w:before="0" w:beforeAutospacing="0" w:after="0" w:afterAutospacing="0"/>
                    <w:ind w:left="0" w:right="0" w:firstLine="0" w:firstLineChars="0"/>
                    <w:jc w:val="both"/>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本项目</w:t>
                  </w:r>
                  <w:r>
                    <w:rPr>
                      <w:rFonts w:hint="eastAsia" w:ascii="Times New Roman" w:cs="Times New Roman"/>
                      <w:color w:val="000000" w:themeColor="text1"/>
                      <w:sz w:val="21"/>
                      <w:szCs w:val="21"/>
                      <w:u w:val="none"/>
                      <w:lang w:val="en-US" w:eastAsia="zh-CN"/>
                      <w14:textFill>
                        <w14:solidFill>
                          <w14:schemeClr w14:val="tx1"/>
                        </w14:solidFill>
                      </w14:textFill>
                    </w:rPr>
                    <w:t>不新增废气、废水污染物排放</w:t>
                  </w:r>
                  <w:r>
                    <w:rPr>
                      <w:rFonts w:hint="default" w:ascii="Times New Roman" w:hAnsi="Times New Roman" w:eastAsia="宋体" w:cs="Times New Roman"/>
                      <w:color w:val="000000" w:themeColor="text1"/>
                      <w:sz w:val="21"/>
                      <w:szCs w:val="21"/>
                      <w:u w:val="none"/>
                      <w:lang w:val="pt-BR" w:eastAsia="zh-CN"/>
                      <w14:textFill>
                        <w14:solidFill>
                          <w14:schemeClr w14:val="tx1"/>
                        </w14:solidFill>
                      </w14:textFill>
                    </w:rPr>
                    <w:t>。</w:t>
                  </w:r>
                  <w:r>
                    <w:rPr>
                      <w:rFonts w:hint="eastAsia" w:ascii="Times New Roman" w:cs="Times New Roman"/>
                      <w:color w:val="000000" w:themeColor="text1"/>
                      <w:sz w:val="21"/>
                      <w:szCs w:val="21"/>
                      <w:u w:val="none"/>
                      <w:lang w:val="en-US" w:eastAsia="zh-CN"/>
                      <w14:textFill>
                        <w14:solidFill>
                          <w14:schemeClr w14:val="tx1"/>
                        </w14:solidFill>
                      </w14:textFill>
                    </w:rPr>
                    <w:t>固体废物经收集后分区暂存于一般固废间或危废暂存间内。危险废物</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收集、贮存应满足《危险废物贮存污染控制标准》(GB18597-</w:t>
                  </w:r>
                  <w:r>
                    <w:rPr>
                      <w:rFonts w:hint="eastAsia" w:ascii="Times New Roman" w:cs="Times New Roman"/>
                      <w:color w:val="000000" w:themeColor="text1"/>
                      <w:sz w:val="21"/>
                      <w:szCs w:val="21"/>
                      <w:u w:val="none"/>
                      <w:lang w:val="en-US" w:eastAsia="zh-CN"/>
                      <w14:textFill>
                        <w14:solidFill>
                          <w14:schemeClr w14:val="tx1"/>
                        </w14:solidFill>
                      </w14:textFill>
                    </w:rPr>
                    <w:t>2023</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)的要求，并送有资质的危险废物处置单位处置，危险废物的转运应执行《危险废物转移管理办法》的有关规定。</w:t>
                  </w:r>
                </w:p>
              </w:tc>
              <w:tc>
                <w:tcPr>
                  <w:tcW w:w="318" w:type="pct"/>
                  <w:noWrap w:val="0"/>
                  <w:vAlign w:val="center"/>
                </w:tcPr>
                <w:p w14:paraId="5CF7CC1A">
                  <w:pPr>
                    <w:pStyle w:val="51"/>
                    <w:keepNext w:val="0"/>
                    <w:keepLines w:val="0"/>
                    <w:suppressLineNumbers w:val="0"/>
                    <w:bidi w:val="0"/>
                    <w:spacing w:before="0" w:beforeAutospacing="0" w:after="0" w:afterAutospacing="0"/>
                    <w:ind w:left="0" w:right="0"/>
                    <w:jc w:val="center"/>
                    <w:rPr>
                      <w:rFonts w:hint="default"/>
                      <w:color w:val="000000" w:themeColor="text1"/>
                      <w:sz w:val="21"/>
                      <w:szCs w:val="21"/>
                      <w:lang w:val="pt-BR"/>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相符</w:t>
                  </w:r>
                </w:p>
              </w:tc>
            </w:tr>
            <w:tr w14:paraId="7116CB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57" w:type="pct"/>
                  <w:noWrap w:val="0"/>
                  <w:vAlign w:val="center"/>
                </w:tcPr>
                <w:p w14:paraId="42471A76">
                  <w:pPr>
                    <w:pStyle w:val="51"/>
                    <w:keepNext w:val="0"/>
                    <w:keepLines w:val="0"/>
                    <w:suppressLineNumbers w:val="0"/>
                    <w:bidi w:val="0"/>
                    <w:spacing w:before="0" w:beforeAutospacing="0" w:after="0" w:afterAutospacing="0"/>
                    <w:ind w:left="0" w:right="0" w:firstLine="0" w:firstLineChars="0"/>
                    <w:jc w:val="both"/>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(五)大力发展循环经济</w:t>
                  </w:r>
                </w:p>
                <w:p w14:paraId="0B416510">
                  <w:pPr>
                    <w:pStyle w:val="51"/>
                    <w:keepNext w:val="0"/>
                    <w:keepLines w:val="0"/>
                    <w:suppressLineNumbers w:val="0"/>
                    <w:bidi w:val="0"/>
                    <w:spacing w:before="0" w:beforeAutospacing="0" w:after="0" w:afterAutospacing="0"/>
                    <w:ind w:left="0" w:right="0" w:firstLine="0" w:firstLineChars="0"/>
                    <w:jc w:val="both"/>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14:textFill>
                        <w14:solidFill>
                          <w14:schemeClr w14:val="tx1"/>
                        </w14:solidFill>
                      </w14:textFill>
                    </w:rPr>
                    <w:t>按照“减量化、再利用、资源化”的原则，鼓励、支持园区和企业提高资源综合利用率，积极进行产业升级和技术改进，加大智能化、绿色化和信息化改造，完善配套设施，提升园区环境</w:t>
                  </w:r>
                  <w:r>
                    <w:rPr>
                      <w:rFonts w:hint="eastAsia"/>
                      <w:color w:val="000000" w:themeColor="text1"/>
                      <w:sz w:val="21"/>
                      <w:szCs w:val="21"/>
                      <w:lang w:eastAsia="zh-CN"/>
                      <w14:textFill>
                        <w14:solidFill>
                          <w14:schemeClr w14:val="tx1"/>
                        </w14:solidFill>
                      </w14:textFill>
                    </w:rPr>
                    <w:t>，</w:t>
                  </w:r>
                  <w:r>
                    <w:rPr>
                      <w:rFonts w:hint="eastAsia"/>
                      <w:color w:val="000000" w:themeColor="text1"/>
                      <w:sz w:val="21"/>
                      <w:szCs w:val="21"/>
                      <w14:textFill>
                        <w14:solidFill>
                          <w14:schemeClr w14:val="tx1"/>
                        </w14:solidFill>
                      </w14:textFill>
                    </w:rPr>
                    <w:t>将新乡县智能制造产业园区打造成中原地区智能装备制造基地</w:t>
                  </w:r>
                  <w:r>
                    <w:rPr>
                      <w:rFonts w:hint="eastAsia"/>
                      <w:color w:val="000000" w:themeColor="text1"/>
                      <w:sz w:val="21"/>
                      <w:szCs w:val="21"/>
                      <w:lang w:eastAsia="zh-CN"/>
                      <w14:textFill>
                        <w14:solidFill>
                          <w14:schemeClr w14:val="tx1"/>
                        </w14:solidFill>
                      </w14:textFill>
                    </w:rPr>
                    <w:t>。</w:t>
                  </w:r>
                </w:p>
              </w:tc>
              <w:tc>
                <w:tcPr>
                  <w:tcW w:w="1623" w:type="pct"/>
                  <w:noWrap w:val="0"/>
                  <w:vAlign w:val="center"/>
                </w:tcPr>
                <w:p w14:paraId="32EB42E1">
                  <w:pPr>
                    <w:pStyle w:val="51"/>
                    <w:keepNext w:val="0"/>
                    <w:keepLines w:val="0"/>
                    <w:suppressLineNumbers w:val="0"/>
                    <w:bidi w:val="0"/>
                    <w:spacing w:before="0" w:beforeAutospacing="0" w:after="0" w:afterAutospacing="0"/>
                    <w:ind w:left="0" w:right="0"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本项目不涉及。</w:t>
                  </w:r>
                </w:p>
              </w:tc>
              <w:tc>
                <w:tcPr>
                  <w:tcW w:w="318" w:type="pct"/>
                  <w:noWrap w:val="0"/>
                  <w:vAlign w:val="center"/>
                </w:tcPr>
                <w:p w14:paraId="566EEA2B">
                  <w:pPr>
                    <w:pStyle w:val="51"/>
                    <w:keepNext w:val="0"/>
                    <w:keepLines w:val="0"/>
                    <w:suppressLineNumbers w:val="0"/>
                    <w:bidi w:val="0"/>
                    <w:spacing w:before="0" w:beforeAutospacing="0" w:after="0" w:afterAutospacing="0"/>
                    <w:ind w:left="0" w:right="0"/>
                    <w:jc w:val="center"/>
                    <w:rPr>
                      <w:rFonts w:hint="default"/>
                      <w:color w:val="000000" w:themeColor="text1"/>
                      <w:sz w:val="21"/>
                      <w:szCs w:val="21"/>
                      <w:highlight w:val="none"/>
                      <w:lang w:val="pt-BR"/>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相符</w:t>
                  </w:r>
                </w:p>
              </w:tc>
            </w:tr>
            <w:tr w14:paraId="343201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57" w:type="pct"/>
                  <w:tcBorders>
                    <w:bottom w:val="single" w:color="auto" w:sz="8" w:space="0"/>
                  </w:tcBorders>
                  <w:noWrap w:val="0"/>
                  <w:vAlign w:val="center"/>
                </w:tcPr>
                <w:p w14:paraId="393A972A">
                  <w:pPr>
                    <w:pStyle w:val="51"/>
                    <w:keepNext w:val="0"/>
                    <w:keepLines w:val="0"/>
                    <w:suppressLineNumbers w:val="0"/>
                    <w:bidi w:val="0"/>
                    <w:spacing w:before="0" w:beforeAutospacing="0" w:after="0" w:afterAutospacing="0"/>
                    <w:ind w:left="0" w:right="0" w:firstLine="0" w:firstLineChars="0"/>
                    <w:jc w:val="both"/>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(六)建立环境风险防控和应急处置体系</w:t>
                  </w:r>
                </w:p>
                <w:p w14:paraId="4A4E8450">
                  <w:pPr>
                    <w:pStyle w:val="51"/>
                    <w:keepNext w:val="0"/>
                    <w:keepLines w:val="0"/>
                    <w:suppressLineNumbers w:val="0"/>
                    <w:bidi w:val="0"/>
                    <w:spacing w:before="0" w:beforeAutospacing="0" w:after="0" w:afterAutospacing="0"/>
                    <w:ind w:left="0" w:right="0" w:firstLine="0" w:firstLineChars="0"/>
                    <w:jc w:val="both"/>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加强环境安全组织领导，成立环境事故应急管理机构，落实环境安全责任制</w:t>
                  </w:r>
                  <w:r>
                    <w:rPr>
                      <w:rFonts w:hint="eastAsia"/>
                      <w:color w:val="000000" w:themeColor="text1"/>
                      <w:sz w:val="21"/>
                      <w:szCs w:val="21"/>
                      <w:lang w:eastAsia="zh-CN"/>
                      <w14:textFill>
                        <w14:solidFill>
                          <w14:schemeClr w14:val="tx1"/>
                        </w14:solidFill>
                      </w14:textFill>
                    </w:rPr>
                    <w:t>；</w:t>
                  </w:r>
                  <w:r>
                    <w:rPr>
                      <w:rFonts w:hint="eastAsia"/>
                      <w:color w:val="000000" w:themeColor="text1"/>
                      <w:sz w:val="21"/>
                      <w:szCs w:val="21"/>
                      <w14:textFill>
                        <w14:solidFill>
                          <w14:schemeClr w14:val="tx1"/>
                        </w14:solidFill>
                      </w14:textFill>
                    </w:rPr>
                    <w:t>加强环境风险预警体系建设，健全环境风险单位信息库，严格危险化学品管理</w:t>
                  </w:r>
                  <w:r>
                    <w:rPr>
                      <w:rFonts w:hint="eastAsia"/>
                      <w:color w:val="000000" w:themeColor="text1"/>
                      <w:sz w:val="21"/>
                      <w:szCs w:val="21"/>
                      <w:lang w:eastAsia="zh-CN"/>
                      <w14:textFill>
                        <w14:solidFill>
                          <w14:schemeClr w14:val="tx1"/>
                        </w14:solidFill>
                      </w14:textFill>
                    </w:rPr>
                    <w:t>；</w:t>
                  </w:r>
                  <w:r>
                    <w:rPr>
                      <w:rFonts w:hint="eastAsia"/>
                      <w:color w:val="000000" w:themeColor="text1"/>
                      <w:sz w:val="21"/>
                      <w:szCs w:val="21"/>
                      <w14:textFill>
                        <w14:solidFill>
                          <w14:schemeClr w14:val="tx1"/>
                        </w14:solidFill>
                      </w14:textFill>
                    </w:rPr>
                    <w:t>健全环境风险防控工程，建立企业、产业园区和周边水系环境风险防控体系</w:t>
                  </w:r>
                  <w:r>
                    <w:rPr>
                      <w:rFonts w:hint="eastAsia"/>
                      <w:color w:val="000000" w:themeColor="text1"/>
                      <w:sz w:val="21"/>
                      <w:szCs w:val="21"/>
                      <w:lang w:eastAsia="zh-CN"/>
                      <w14:textFill>
                        <w14:solidFill>
                          <w14:schemeClr w14:val="tx1"/>
                        </w14:solidFill>
                      </w14:textFill>
                    </w:rPr>
                    <w:t>；</w:t>
                  </w:r>
                  <w:r>
                    <w:rPr>
                      <w:rFonts w:hint="eastAsia"/>
                      <w:color w:val="000000" w:themeColor="text1"/>
                      <w:sz w:val="21"/>
                      <w:szCs w:val="21"/>
                      <w14:textFill>
                        <w14:solidFill>
                          <w14:schemeClr w14:val="tx1"/>
                        </w14:solidFill>
                      </w14:textFill>
                    </w:rPr>
                    <w:t>制定科学有效的园区级综合环境应急预案，不断完善各类突发环境事件应急预案，有计划地组织应急培训和演练，全面提升园区风险防控和事故应急处置能力。</w:t>
                  </w:r>
                </w:p>
              </w:tc>
              <w:tc>
                <w:tcPr>
                  <w:tcW w:w="1623" w:type="pct"/>
                  <w:tcBorders>
                    <w:bottom w:val="single" w:color="auto" w:sz="8" w:space="0"/>
                  </w:tcBorders>
                  <w:noWrap w:val="0"/>
                  <w:vAlign w:val="center"/>
                </w:tcPr>
                <w:p w14:paraId="365925B7">
                  <w:pPr>
                    <w:pStyle w:val="51"/>
                    <w:keepNext w:val="0"/>
                    <w:keepLines w:val="0"/>
                    <w:suppressLineNumbers w:val="0"/>
                    <w:bidi w:val="0"/>
                    <w:spacing w:before="0" w:beforeAutospacing="0" w:after="0" w:afterAutospacing="0"/>
                    <w:ind w:left="0" w:right="0" w:firstLine="0" w:firstLineChars="0"/>
                    <w:jc w:val="both"/>
                    <w:rPr>
                      <w:rFonts w:hint="default"/>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本项目</w:t>
                  </w:r>
                  <w:r>
                    <w:rPr>
                      <w:rFonts w:hint="default" w:ascii="Times New Roman" w:hAnsi="Times New Roman" w:eastAsia="宋体"/>
                      <w:color w:val="000000" w:themeColor="text1"/>
                      <w:sz w:val="21"/>
                      <w:szCs w:val="21"/>
                      <w14:textFill>
                        <w14:solidFill>
                          <w14:schemeClr w14:val="tx1"/>
                        </w14:solidFill>
                      </w14:textFill>
                    </w:rPr>
                    <w:t>建成后结合园区突发环境事件应急预案修订环境突发事件应急预案，加强演练。</w:t>
                  </w:r>
                </w:p>
              </w:tc>
              <w:tc>
                <w:tcPr>
                  <w:tcW w:w="318" w:type="pct"/>
                  <w:tcBorders>
                    <w:bottom w:val="single" w:color="auto" w:sz="8" w:space="0"/>
                  </w:tcBorders>
                  <w:noWrap w:val="0"/>
                  <w:vAlign w:val="center"/>
                </w:tcPr>
                <w:p w14:paraId="5A5048E8">
                  <w:pPr>
                    <w:pStyle w:val="51"/>
                    <w:keepNext w:val="0"/>
                    <w:keepLines w:val="0"/>
                    <w:suppressLineNumbers w:val="0"/>
                    <w:bidi w:val="0"/>
                    <w:spacing w:before="0" w:beforeAutospacing="0" w:after="0" w:afterAutospacing="0"/>
                    <w:ind w:left="0" w:right="0"/>
                    <w:jc w:val="center"/>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相符</w:t>
                  </w:r>
                </w:p>
              </w:tc>
            </w:tr>
          </w:tbl>
          <w:p w14:paraId="1CB129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color w:val="000000" w:themeColor="text1"/>
                <w:sz w:val="21"/>
                <w:szCs w:val="21"/>
                <w:lang w:val="en-US" w:eastAsia="zh-CN"/>
                <w14:textFill>
                  <w14:solidFill>
                    <w14:schemeClr w14:val="tx1"/>
                  </w14:solidFill>
                </w14:textFill>
              </w:rPr>
            </w:pPr>
            <w:r>
              <w:rPr>
                <w:rFonts w:hint="default"/>
                <w:color w:val="000000" w:themeColor="text1"/>
                <w:sz w:val="24"/>
                <w:szCs w:val="24"/>
                <w14:textFill>
                  <w14:solidFill>
                    <w14:schemeClr w14:val="tx1"/>
                  </w14:solidFill>
                </w14:textFill>
              </w:rPr>
              <w:t>由上表可知，本项目建设</w:t>
            </w:r>
            <w:r>
              <w:rPr>
                <w:rFonts w:hint="eastAsia"/>
                <w:color w:val="000000" w:themeColor="text1"/>
                <w:sz w:val="24"/>
                <w:szCs w:val="24"/>
                <w:lang w:val="en-US" w:eastAsia="zh-CN"/>
                <w14:textFill>
                  <w14:solidFill>
                    <w14:schemeClr w14:val="tx1"/>
                  </w14:solidFill>
                </w14:textFill>
              </w:rPr>
              <w:t>符合</w:t>
            </w:r>
            <w:r>
              <w:rPr>
                <w:rFonts w:hint="default"/>
                <w:color w:val="000000" w:themeColor="text1"/>
                <w:sz w:val="24"/>
                <w:szCs w:val="24"/>
                <w14:textFill>
                  <w14:solidFill>
                    <w14:schemeClr w14:val="tx1"/>
                  </w14:solidFill>
                </w14:textFill>
              </w:rPr>
              <w:t>园区产业布局</w:t>
            </w:r>
            <w:r>
              <w:rPr>
                <w:rFonts w:hint="eastAsia"/>
                <w:color w:val="000000" w:themeColor="text1"/>
                <w:sz w:val="24"/>
                <w:szCs w:val="24"/>
                <w:lang w:val="en-US" w:eastAsia="zh-CN"/>
                <w14:textFill>
                  <w14:solidFill>
                    <w14:schemeClr w14:val="tx1"/>
                  </w14:solidFill>
                </w14:textFill>
              </w:rPr>
              <w:t>及</w:t>
            </w:r>
            <w:r>
              <w:rPr>
                <w:rFonts w:hint="default"/>
                <w:color w:val="000000" w:themeColor="text1"/>
                <w:sz w:val="24"/>
                <w:szCs w:val="24"/>
                <w14:textFill>
                  <w14:solidFill>
                    <w14:schemeClr w14:val="tx1"/>
                  </w14:solidFill>
                </w14:textFill>
              </w:rPr>
              <w:t>《审查意见》要求。</w:t>
            </w:r>
          </w:p>
        </w:tc>
      </w:tr>
      <w:tr w14:paraId="7C5C58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92" w:type="dxa"/>
          <w:trHeight w:val="13803" w:hRule="atLeast"/>
          <w:jc w:val="center"/>
        </w:trPr>
        <w:tc>
          <w:tcPr>
            <w:tcW w:w="700" w:type="dxa"/>
            <w:gridSpan w:val="2"/>
            <w:noWrap w:val="0"/>
            <w:vAlign w:val="center"/>
          </w:tcPr>
          <w:p w14:paraId="5E10E40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440" w:lineRule="exact"/>
              <w:ind w:left="0" w:right="0"/>
              <w:jc w:val="center"/>
              <w:textAlignment w:val="auto"/>
              <w:rPr>
                <w:rFonts w:hint="default"/>
                <w:kern w:val="0"/>
                <w:sz w:val="24"/>
              </w:rPr>
            </w:pPr>
            <w:r>
              <w:rPr>
                <w:rFonts w:hint="default" w:hAnsi="宋体"/>
                <w:kern w:val="0"/>
                <w:sz w:val="24"/>
              </w:rPr>
              <w:t>其他符合性分析</w:t>
            </w:r>
          </w:p>
        </w:tc>
        <w:tc>
          <w:tcPr>
            <w:tcW w:w="9054" w:type="dxa"/>
            <w:gridSpan w:val="4"/>
            <w:noWrap w:val="0"/>
            <w:vAlign w:val="top"/>
          </w:tcPr>
          <w:p w14:paraId="5B10AB5A">
            <w:pPr>
              <w:keepNext w:val="0"/>
              <w:keepLines w:val="0"/>
              <w:suppressLineNumbers w:val="0"/>
              <w:spacing w:before="0" w:beforeAutospacing="0" w:after="0" w:afterAutospacing="0" w:line="440" w:lineRule="exact"/>
              <w:ind w:left="0" w:right="0" w:firstLine="482" w:firstLineChars="200"/>
              <w:jc w:val="both"/>
              <w:textAlignment w:val="baseline"/>
              <w:rPr>
                <w:rFonts w:hint="eastAsia" w:ascii="宋体" w:hAnsi="宋体"/>
                <w:b/>
                <w:bCs/>
                <w:color w:val="000000"/>
                <w:sz w:val="24"/>
              </w:rPr>
            </w:pPr>
            <w:r>
              <w:rPr>
                <w:rFonts w:hint="default" w:ascii="Times New Roman" w:hAnsi="Times New Roman" w:cs="Times New Roman"/>
                <w:b/>
                <w:bCs/>
                <w:color w:val="000000"/>
                <w:sz w:val="24"/>
              </w:rPr>
              <w:t>1</w:t>
            </w:r>
            <w:r>
              <w:rPr>
                <w:rFonts w:hint="eastAsia" w:ascii="宋体" w:hAnsi="宋体"/>
                <w:b/>
                <w:bCs/>
                <w:color w:val="000000"/>
                <w:sz w:val="24"/>
              </w:rPr>
              <w:t>、“三线一单”符合性分析</w:t>
            </w:r>
          </w:p>
          <w:p w14:paraId="374A68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baseline"/>
              <w:rPr>
                <w:rFonts w:hint="eastAsia" w:ascii="宋体" w:hAnsi="宋体"/>
                <w:b/>
                <w:bCs/>
                <w:color w:val="000000"/>
                <w:sz w:val="24"/>
              </w:rPr>
            </w:pPr>
            <w:r>
              <w:rPr>
                <w:rFonts w:hint="eastAsia" w:ascii="宋体" w:hAnsi="宋体"/>
                <w:color w:val="000000"/>
                <w:sz w:val="24"/>
              </w:rPr>
              <w:t>根据《关于以改善环境质量为核心加强环境影响评价管理的通知》(环环评</w:t>
            </w:r>
            <w:r>
              <w:rPr>
                <w:rFonts w:hint="default" w:ascii="Times New Roman" w:hAnsi="Times New Roman" w:cs="Times New Roman"/>
                <w:color w:val="000000"/>
                <w:sz w:val="24"/>
              </w:rPr>
              <w:t>[2016]150</w:t>
            </w:r>
            <w:r>
              <w:rPr>
                <w:rFonts w:hint="eastAsia" w:ascii="宋体" w:hAnsi="宋体"/>
                <w:color w:val="000000"/>
                <w:sz w:val="24"/>
              </w:rPr>
              <w:t>号)要求，落实“生态保护红线、环境质量底线、资源利用上线和环境准入负面清单”（以下简称“三线一单”）约束，现分析如下</w:t>
            </w:r>
            <w:r>
              <w:rPr>
                <w:rFonts w:hint="eastAsia" w:ascii="宋体" w:hAnsi="宋体"/>
                <w:color w:val="000000"/>
                <w:sz w:val="24"/>
                <w:lang w:eastAsia="zh-CN"/>
              </w:rPr>
              <w:t>：</w:t>
            </w:r>
          </w:p>
          <w:p w14:paraId="0FD3A1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jc w:val="both"/>
              <w:textAlignment w:val="baseline"/>
              <w:rPr>
                <w:rFonts w:hint="eastAsia" w:ascii="宋体" w:hAnsi="宋体" w:eastAsia="宋体"/>
                <w:b/>
                <w:bCs/>
                <w:color w:val="000000"/>
                <w:sz w:val="24"/>
                <w:lang w:eastAsia="zh-CN"/>
              </w:rPr>
            </w:pPr>
            <w:r>
              <w:rPr>
                <w:rFonts w:hint="eastAsia" w:ascii="宋体" w:hAnsi="宋体"/>
                <w:b/>
                <w:bCs/>
                <w:color w:val="000000"/>
                <w:sz w:val="24"/>
              </w:rPr>
              <w:t>（</w:t>
            </w:r>
            <w:r>
              <w:rPr>
                <w:rFonts w:hint="default" w:ascii="Times New Roman" w:hAnsi="Times New Roman" w:cs="Times New Roman"/>
                <w:b/>
                <w:bCs/>
                <w:color w:val="000000"/>
                <w:sz w:val="24"/>
              </w:rPr>
              <w:t>1</w:t>
            </w:r>
            <w:r>
              <w:rPr>
                <w:rFonts w:hint="eastAsia" w:ascii="宋体" w:hAnsi="宋体"/>
                <w:b/>
                <w:bCs/>
                <w:color w:val="000000"/>
                <w:sz w:val="24"/>
              </w:rPr>
              <w:t>）</w:t>
            </w:r>
            <w:r>
              <w:rPr>
                <w:rFonts w:hint="eastAsia" w:ascii="宋体" w:hAnsi="宋体"/>
                <w:b/>
                <w:bCs/>
                <w:color w:val="000000"/>
                <w:sz w:val="24"/>
                <w:lang w:eastAsia="zh-CN"/>
              </w:rPr>
              <w:t>生态保护红线相符性分析</w:t>
            </w:r>
          </w:p>
          <w:p w14:paraId="2BC822C5">
            <w:pPr>
              <w:keepNext w:val="0"/>
              <w:keepLines w:val="0"/>
              <w:suppressLineNumbers w:val="0"/>
              <w:spacing w:before="0" w:beforeAutospacing="0" w:after="0" w:afterAutospacing="0" w:line="440" w:lineRule="exact"/>
              <w:ind w:left="0" w:right="0" w:firstLine="480" w:firstLineChars="200"/>
              <w:jc w:val="both"/>
              <w:textAlignment w:val="baseline"/>
              <w:rPr>
                <w:rFonts w:hint="eastAsia" w:ascii="宋体" w:hAnsi="宋体"/>
                <w:color w:val="000000" w:themeColor="text1"/>
                <w:sz w:val="24"/>
                <w:highlight w:val="none"/>
                <w:lang w:val="en-US" w:eastAsia="zh-CN"/>
                <w14:textFill>
                  <w14:solidFill>
                    <w14:schemeClr w14:val="tx1"/>
                  </w14:solidFill>
                </w14:textFill>
              </w:rPr>
            </w:pPr>
            <w:r>
              <w:rPr>
                <w:rFonts w:hint="default" w:ascii="宋体" w:hAnsi="宋体"/>
                <w:color w:val="000000" w:themeColor="text1"/>
                <w:sz w:val="24"/>
                <w14:textFill>
                  <w14:solidFill>
                    <w14:schemeClr w14:val="tx1"/>
                  </w14:solidFill>
                </w14:textFill>
              </w:rPr>
              <w:t>本项目</w:t>
            </w:r>
            <w:r>
              <w:rPr>
                <w:rFonts w:hint="eastAsia" w:ascii="宋体" w:hAnsi="宋体"/>
                <w:color w:val="000000" w:themeColor="text1"/>
                <w:sz w:val="24"/>
                <w:lang w:eastAsia="zh-CN"/>
                <w14:textFill>
                  <w14:solidFill>
                    <w14:schemeClr w14:val="tx1"/>
                  </w14:solidFill>
                </w14:textFill>
              </w:rPr>
              <w:t>厂址</w:t>
            </w:r>
            <w:r>
              <w:rPr>
                <w:rFonts w:hint="default" w:ascii="宋体" w:hAnsi="宋体"/>
                <w:color w:val="000000" w:themeColor="text1"/>
                <w:sz w:val="24"/>
                <w14:textFill>
                  <w14:solidFill>
                    <w14:schemeClr w14:val="tx1"/>
                  </w14:solidFill>
                </w14:textFill>
              </w:rPr>
              <w:t>位于</w:t>
            </w:r>
            <w:r>
              <w:rPr>
                <w:rFonts w:hint="eastAsia" w:ascii="宋体" w:hAnsi="宋体" w:cs="宋体"/>
                <w:color w:val="auto"/>
                <w:sz w:val="24"/>
                <w:szCs w:val="24"/>
                <w:lang w:val="en-US" w:eastAsia="zh-CN"/>
              </w:rPr>
              <w:t>河南省新乡市新乡县经济开发区兴隆路西段</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color w:val="000000"/>
                <w:sz w:val="24"/>
              </w:rPr>
              <w:t>不</w:t>
            </w:r>
            <w:r>
              <w:rPr>
                <w:rFonts w:hint="eastAsia"/>
                <w:color w:val="000000"/>
                <w:sz w:val="24"/>
              </w:rPr>
              <w:t>在当地饮用水源、风景区、自然保护区等生态保护区内，</w:t>
            </w:r>
            <w:r>
              <w:rPr>
                <w:rFonts w:hint="eastAsia" w:ascii="宋体" w:hAnsi="宋体"/>
                <w:color w:val="auto"/>
                <w:sz w:val="24"/>
                <w:highlight w:val="none"/>
              </w:rPr>
              <w:t>经查阅《新乡市生态</w:t>
            </w:r>
            <w:r>
              <w:rPr>
                <w:rFonts w:hint="eastAsia" w:ascii="宋体" w:hAnsi="宋体"/>
                <w:color w:val="auto"/>
                <w:sz w:val="24"/>
                <w:highlight w:val="none"/>
                <w:lang w:val="en-US" w:eastAsia="zh-CN"/>
              </w:rPr>
              <w:t>保护红线分布</w:t>
            </w:r>
            <w:r>
              <w:rPr>
                <w:rFonts w:hint="eastAsia" w:ascii="宋体" w:hAnsi="宋体"/>
                <w:color w:val="auto"/>
                <w:sz w:val="24"/>
                <w:highlight w:val="none"/>
              </w:rPr>
              <w:t>图》，本项目所</w:t>
            </w:r>
            <w:r>
              <w:rPr>
                <w:rFonts w:hint="eastAsia" w:ascii="宋体" w:hAnsi="宋体"/>
                <w:color w:val="000000" w:themeColor="text1"/>
                <w:sz w:val="24"/>
                <w:highlight w:val="none"/>
                <w14:textFill>
                  <w14:solidFill>
                    <w14:schemeClr w14:val="tx1"/>
                  </w14:solidFill>
                </w14:textFill>
              </w:rPr>
              <w:t>在地</w:t>
            </w:r>
            <w:r>
              <w:rPr>
                <w:rFonts w:hint="eastAsia" w:ascii="宋体" w:hAnsi="宋体"/>
                <w:color w:val="000000" w:themeColor="text1"/>
                <w:sz w:val="24"/>
                <w:highlight w:val="none"/>
                <w:lang w:val="en-US" w:eastAsia="zh-CN"/>
                <w14:textFill>
                  <w14:solidFill>
                    <w14:schemeClr w14:val="tx1"/>
                  </w14:solidFill>
                </w14:textFill>
              </w:rPr>
              <w:t>不在</w:t>
            </w:r>
            <w:r>
              <w:rPr>
                <w:rFonts w:hint="eastAsia" w:ascii="宋体" w:hAnsi="宋体"/>
                <w:color w:val="000000" w:themeColor="text1"/>
                <w:sz w:val="24"/>
                <w:highlight w:val="none"/>
                <w:lang w:eastAsia="zh-CN"/>
                <w14:textFill>
                  <w14:solidFill>
                    <w14:schemeClr w14:val="tx1"/>
                  </w14:solidFill>
                </w14:textFill>
              </w:rPr>
              <w:t>生态保护红线</w:t>
            </w:r>
            <w:r>
              <w:rPr>
                <w:rFonts w:hint="eastAsia" w:ascii="宋体" w:hAnsi="宋体"/>
                <w:color w:val="000000" w:themeColor="text1"/>
                <w:sz w:val="24"/>
                <w:highlight w:val="none"/>
                <w:lang w:val="en-US" w:eastAsia="zh-CN"/>
                <w14:textFill>
                  <w14:solidFill>
                    <w14:schemeClr w14:val="tx1"/>
                  </w14:solidFill>
                </w14:textFill>
              </w:rPr>
              <w:t>范围内</w:t>
            </w:r>
            <w:r>
              <w:rPr>
                <w:rFonts w:hint="eastAsia" w:ascii="宋体" w:hAnsi="宋体"/>
                <w:color w:val="000000" w:themeColor="text1"/>
                <w:sz w:val="24"/>
                <w:highlight w:val="none"/>
                <w:lang w:eastAsia="zh-CN"/>
                <w14:textFill>
                  <w14:solidFill>
                    <w14:schemeClr w14:val="tx1"/>
                  </w14:solidFill>
                </w14:textFill>
              </w:rPr>
              <w:t>。</w:t>
            </w:r>
          </w:p>
          <w:p w14:paraId="21331BE7">
            <w:pPr>
              <w:keepNext w:val="0"/>
              <w:keepLines w:val="0"/>
              <w:suppressLineNumbers w:val="0"/>
              <w:spacing w:before="0" w:beforeAutospacing="0" w:after="0" w:afterAutospacing="0" w:line="440" w:lineRule="exact"/>
              <w:ind w:left="0" w:right="0" w:firstLine="482" w:firstLineChars="200"/>
              <w:jc w:val="both"/>
              <w:textAlignment w:val="baseline"/>
              <w:rPr>
                <w:rFonts w:hint="eastAsia" w:ascii="宋体" w:hAnsi="宋体"/>
                <w:b/>
                <w:color w:val="000000"/>
                <w:sz w:val="24"/>
              </w:rPr>
            </w:pPr>
            <w:r>
              <w:rPr>
                <w:rFonts w:hint="eastAsia" w:ascii="宋体" w:hAnsi="宋体"/>
                <w:b/>
                <w:color w:val="000000"/>
                <w:sz w:val="24"/>
              </w:rPr>
              <w:t>（</w:t>
            </w:r>
            <w:r>
              <w:rPr>
                <w:rFonts w:hint="default" w:ascii="Times New Roman" w:hAnsi="Times New Roman" w:cs="Times New Roman"/>
                <w:b/>
                <w:color w:val="000000"/>
                <w:sz w:val="24"/>
              </w:rPr>
              <w:t>2</w:t>
            </w:r>
            <w:r>
              <w:rPr>
                <w:rFonts w:hint="eastAsia" w:ascii="宋体" w:hAnsi="宋体"/>
                <w:b/>
                <w:color w:val="000000"/>
                <w:sz w:val="24"/>
              </w:rPr>
              <w:t>）环境质量底线相符性分析</w:t>
            </w:r>
          </w:p>
          <w:p w14:paraId="2BFD083E">
            <w:pPr>
              <w:keepNext w:val="0"/>
              <w:keepLines w:val="0"/>
              <w:suppressLineNumbers w:val="0"/>
              <w:spacing w:before="0" w:beforeAutospacing="0" w:after="0" w:afterAutospacing="0" w:line="440" w:lineRule="exact"/>
              <w:ind w:left="0" w:right="0" w:firstLine="480" w:firstLineChars="200"/>
              <w:jc w:val="both"/>
              <w:textAlignment w:val="baseline"/>
              <w:rPr>
                <w:rFonts w:hint="default" w:ascii="Times New Roman" w:hAnsi="Times New Roman" w:eastAsia="宋体" w:cs="Times New Roman"/>
                <w:color w:val="000000" w:themeColor="text1"/>
                <w:sz w:val="24"/>
                <w:szCs w:val="24"/>
                <w:highlight w:val="yellow"/>
                <w:lang w:val="en-US" w:eastAsia="zh-CN"/>
                <w14:textFill>
                  <w14:solidFill>
                    <w14:schemeClr w14:val="tx1"/>
                  </w14:solidFill>
                </w14:textFill>
              </w:rPr>
            </w:pPr>
            <w:r>
              <w:rPr>
                <w:rFonts w:hint="default" w:ascii="Times New Roman" w:hAnsi="Times New Roman" w:eastAsia="宋体" w:cs="Times New Roman"/>
                <w:color w:val="auto"/>
                <w:sz w:val="24"/>
                <w:szCs w:val="24"/>
                <w:highlight w:val="none"/>
                <w:lang w:val="en-US" w:eastAsia="zh-CN"/>
              </w:rPr>
              <w:t>项目厂址位于</w:t>
            </w:r>
            <w:r>
              <w:rPr>
                <w:rFonts w:hint="default" w:ascii="Times New Roman" w:hAnsi="Times New Roman" w:cs="Times New Roman"/>
                <w:color w:val="auto"/>
                <w:sz w:val="24"/>
                <w:szCs w:val="24"/>
                <w:highlight w:val="none"/>
                <w:lang w:val="en-US" w:eastAsia="zh-CN"/>
              </w:rPr>
              <w:t>河南省新乡市新乡县经济开发区兴隆路西段</w:t>
            </w:r>
            <w:r>
              <w:rPr>
                <w:rFonts w:hint="default" w:ascii="Times New Roman" w:hAnsi="Times New Roman" w:eastAsia="宋体" w:cs="Times New Roman"/>
                <w:color w:val="auto"/>
                <w:sz w:val="24"/>
                <w:szCs w:val="24"/>
                <w:highlight w:val="none"/>
                <w:lang w:val="en-US" w:eastAsia="zh-CN"/>
              </w:rPr>
              <w:t>，区域环境空气为二类功能区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纳污</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水体为</w:t>
            </w:r>
            <w:r>
              <w:rPr>
                <w:rFonts w:hint="eastAsia" w:cs="Times New Roman"/>
                <w:color w:val="000000" w:themeColor="text1"/>
                <w:sz w:val="24"/>
                <w:szCs w:val="24"/>
                <w:highlight w:val="none"/>
                <w:lang w:val="en-US" w:eastAsia="zh-CN"/>
                <w14:textFill>
                  <w14:solidFill>
                    <w14:schemeClr w14:val="tx1"/>
                  </w14:solidFill>
                </w14:textFill>
              </w:rPr>
              <w:t>东</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孟姜女河</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，水体功能类别为</w:t>
            </w:r>
            <w:r>
              <w:rPr>
                <w:rFonts w:hint="default" w:ascii="Times New Roman" w:hAnsi="Times New Roman" w:eastAsia="微软雅黑" w:cs="Times New Roman"/>
                <w:color w:val="000000" w:themeColor="text1"/>
                <w:sz w:val="24"/>
                <w:szCs w:val="24"/>
                <w:highlight w:val="none"/>
                <w:lang w:val="en-US" w:eastAsia="zh-CN"/>
                <w14:textFill>
                  <w14:solidFill>
                    <w14:schemeClr w14:val="tx1"/>
                  </w14:solidFill>
                </w14:textFill>
              </w:rPr>
              <w:t>Ⅲ</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类；噪声区划为</w:t>
            </w:r>
            <w:r>
              <w:rPr>
                <w:rFonts w:hint="eastAsia" w:cs="Times New Roman"/>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类声功能区。</w:t>
            </w:r>
            <w:r>
              <w:rPr>
                <w:rFonts w:hint="default" w:ascii="Times New Roman" w:hAnsi="Times New Roman" w:eastAsia="宋体" w:cs="Times New Roman"/>
                <w:color w:val="auto"/>
                <w:sz w:val="24"/>
                <w:szCs w:val="24"/>
                <w:highlight w:val="none"/>
                <w:lang w:val="en-US" w:eastAsia="zh-CN"/>
              </w:rPr>
              <w:t>本项目建成后，废气、废水、噪声都能够实现达标排放，固废均进行了无害化处置或资源化利用。</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w:t>
            </w:r>
            <w:r>
              <w:rPr>
                <w:rFonts w:hint="eastAsia" w:cs="Times New Roman"/>
                <w:color w:val="000000" w:themeColor="text1"/>
                <w:sz w:val="24"/>
                <w:szCs w:val="24"/>
                <w:highlight w:val="none"/>
                <w:lang w:val="en-US" w:eastAsia="zh-CN"/>
                <w14:textFill>
                  <w14:solidFill>
                    <w14:schemeClr w14:val="tx1"/>
                  </w14:solidFill>
                </w14:textFill>
              </w:rPr>
              <w:t>不</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新增废气</w:t>
            </w:r>
            <w:r>
              <w:rPr>
                <w:rFonts w:hint="eastAsia" w:cs="Times New Roman"/>
                <w:color w:val="000000" w:themeColor="text1"/>
                <w:sz w:val="24"/>
                <w:szCs w:val="24"/>
                <w:highlight w:val="none"/>
                <w:lang w:val="en-US" w:eastAsia="zh-CN"/>
                <w14:textFill>
                  <w14:solidFill>
                    <w14:schemeClr w14:val="tx1"/>
                  </w14:solidFill>
                </w14:textFill>
              </w:rPr>
              <w:t>、废水</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污染物。不会对区域环境质量底线造成冲击，满足环境质量底线的要求。</w:t>
            </w:r>
          </w:p>
          <w:p w14:paraId="220865C3">
            <w:pPr>
              <w:keepNext w:val="0"/>
              <w:keepLines w:val="0"/>
              <w:suppressLineNumbers w:val="0"/>
              <w:spacing w:before="0" w:beforeAutospacing="0" w:after="0" w:afterAutospacing="0" w:line="440" w:lineRule="exact"/>
              <w:ind w:left="0" w:right="0" w:firstLine="482" w:firstLineChars="200"/>
              <w:jc w:val="both"/>
              <w:textAlignment w:val="baseline"/>
              <w:rPr>
                <w:rFonts w:hint="eastAsia" w:ascii="宋体" w:hAnsi="宋体"/>
                <w:b/>
                <w:color w:val="000000"/>
                <w:sz w:val="24"/>
              </w:rPr>
            </w:pPr>
            <w:r>
              <w:rPr>
                <w:rFonts w:hint="eastAsia" w:ascii="宋体" w:hAnsi="宋体"/>
                <w:b/>
                <w:color w:val="000000"/>
                <w:sz w:val="24"/>
              </w:rPr>
              <w:t>（</w:t>
            </w:r>
            <w:r>
              <w:rPr>
                <w:rFonts w:hint="default" w:ascii="Times New Roman" w:hAnsi="Times New Roman" w:cs="Times New Roman"/>
                <w:b/>
                <w:color w:val="000000"/>
                <w:sz w:val="24"/>
              </w:rPr>
              <w:t>3</w:t>
            </w:r>
            <w:r>
              <w:rPr>
                <w:rFonts w:hint="eastAsia" w:ascii="宋体" w:hAnsi="宋体"/>
                <w:b/>
                <w:color w:val="000000"/>
                <w:sz w:val="24"/>
              </w:rPr>
              <w:t>）资源利用上线相符性分析</w:t>
            </w:r>
          </w:p>
          <w:p w14:paraId="3571D2F2">
            <w:pPr>
              <w:keepNext w:val="0"/>
              <w:keepLines w:val="0"/>
              <w:suppressLineNumbers w:val="0"/>
              <w:spacing w:before="0" w:beforeAutospacing="0" w:after="0" w:afterAutospacing="0" w:line="440" w:lineRule="exact"/>
              <w:ind w:left="0" w:right="0" w:firstLine="480" w:firstLineChars="200"/>
              <w:jc w:val="both"/>
              <w:textAlignment w:val="baseline"/>
              <w:rPr>
                <w:rFonts w:hint="eastAsia" w:ascii="宋体" w:hAnsi="宋体"/>
                <w:b/>
                <w:bCs/>
                <w:sz w:val="24"/>
                <w:highlight w:val="none"/>
              </w:rPr>
            </w:pPr>
            <w:r>
              <w:rPr>
                <w:rFonts w:hint="eastAsia" w:ascii="宋体" w:hAnsi="宋体"/>
                <w:color w:val="auto"/>
                <w:sz w:val="24"/>
                <w:highlight w:val="none"/>
              </w:rPr>
              <w:t>本项目</w:t>
            </w:r>
            <w:r>
              <w:rPr>
                <w:rFonts w:hint="eastAsia" w:ascii="宋体" w:hAnsi="宋体"/>
                <w:color w:val="auto"/>
                <w:sz w:val="24"/>
                <w:highlight w:val="none"/>
                <w:lang w:val="en-US" w:eastAsia="zh-CN"/>
              </w:rPr>
              <w:t>依托现有场地进行建设</w:t>
            </w:r>
            <w:r>
              <w:rPr>
                <w:rFonts w:hint="eastAsia" w:ascii="宋体" w:hAnsi="宋体"/>
                <w:color w:val="auto"/>
                <w:sz w:val="24"/>
                <w:highlight w:val="none"/>
              </w:rPr>
              <w:t>，</w:t>
            </w:r>
            <w:r>
              <w:rPr>
                <w:rFonts w:hint="eastAsia" w:ascii="宋体" w:hAnsi="宋体"/>
                <w:color w:val="auto"/>
                <w:sz w:val="24"/>
                <w:highlight w:val="none"/>
                <w:lang w:eastAsia="zh-CN"/>
              </w:rPr>
              <w:t>不占用新的土地资源</w:t>
            </w:r>
            <w:r>
              <w:rPr>
                <w:rFonts w:hint="eastAsia" w:ascii="宋体" w:hAnsi="宋体"/>
                <w:color w:val="auto"/>
                <w:sz w:val="24"/>
                <w:highlight w:val="none"/>
              </w:rPr>
              <w:t>。</w:t>
            </w:r>
            <w:r>
              <w:rPr>
                <w:rFonts w:hint="default" w:ascii="宋体" w:hAnsi="宋体"/>
                <w:color w:val="000000"/>
                <w:sz w:val="24"/>
                <w:highlight w:val="none"/>
              </w:rPr>
              <w:t>本项目</w:t>
            </w:r>
            <w:r>
              <w:rPr>
                <w:rFonts w:hint="eastAsia" w:ascii="宋体" w:hAnsi="宋体"/>
                <w:color w:val="000000"/>
                <w:sz w:val="24"/>
                <w:highlight w:val="none"/>
              </w:rPr>
              <w:t>属于</w:t>
            </w:r>
            <w:r>
              <w:rPr>
                <w:rFonts w:hint="eastAsia" w:ascii="宋体" w:hAnsi="宋体"/>
                <w:color w:val="000000"/>
                <w:sz w:val="24"/>
                <w:highlight w:val="none"/>
                <w:lang w:val="en-US" w:eastAsia="zh-CN"/>
              </w:rPr>
              <w:t>锂离子电池制造</w:t>
            </w:r>
            <w:r>
              <w:rPr>
                <w:rFonts w:hint="eastAsia" w:ascii="宋体" w:hAnsi="宋体"/>
                <w:color w:val="000000"/>
                <w:sz w:val="24"/>
                <w:highlight w:val="none"/>
                <w:lang w:eastAsia="zh-CN"/>
              </w:rPr>
              <w:t>，</w:t>
            </w:r>
            <w:r>
              <w:rPr>
                <w:rFonts w:hint="eastAsia" w:ascii="宋体" w:hAnsi="宋体"/>
                <w:color w:val="auto"/>
                <w:sz w:val="24"/>
                <w:highlight w:val="none"/>
              </w:rPr>
              <w:t>不属于高耗水工业行业</w:t>
            </w:r>
            <w:r>
              <w:rPr>
                <w:rFonts w:hint="eastAsia" w:ascii="宋体" w:hAnsi="宋体"/>
                <w:color w:val="auto"/>
                <w:sz w:val="24"/>
                <w:highlight w:val="none"/>
                <w:lang w:eastAsia="zh-CN"/>
              </w:rPr>
              <w:t>。</w:t>
            </w:r>
            <w:r>
              <w:rPr>
                <w:rFonts w:hint="eastAsia" w:ascii="宋体" w:hAnsi="宋体"/>
                <w:color w:val="auto"/>
                <w:sz w:val="24"/>
                <w:highlight w:val="none"/>
                <w:lang w:val="en-US" w:eastAsia="zh-CN"/>
              </w:rPr>
              <w:t>项目主要用水为市政统一供水，不使用地下水资源。项目用电依托供电系统。项目废物均得到资源化利用。</w:t>
            </w:r>
            <w:r>
              <w:rPr>
                <w:rFonts w:hint="eastAsia" w:ascii="宋体" w:hAnsi="宋体"/>
                <w:color w:val="auto"/>
                <w:sz w:val="24"/>
                <w:highlight w:val="none"/>
              </w:rPr>
              <w:t>营运期通过内部管理</w:t>
            </w:r>
            <w:r>
              <w:rPr>
                <w:rFonts w:hint="eastAsia" w:ascii="宋体" w:hAnsi="宋体"/>
                <w:color w:val="000000"/>
                <w:sz w:val="24"/>
                <w:highlight w:val="none"/>
              </w:rPr>
              <w:t>、设备选择、原辅材料的选用和管理、废物回收利用、污染治理等多方面采取合理可行的防治措施，以“节能、降耗、减污”为目标，有效地控制污染，实现废物资源化。故本项目不会对区域资源利用造成负面影响。</w:t>
            </w:r>
            <w:r>
              <w:rPr>
                <w:rFonts w:hint="default" w:ascii="宋体" w:hAnsi="宋体"/>
                <w:color w:val="000000"/>
                <w:sz w:val="24"/>
                <w:highlight w:val="none"/>
              </w:rPr>
              <w:t>项目资源利用不会突破区域的资源利用上线。</w:t>
            </w:r>
          </w:p>
          <w:p w14:paraId="2D38523E">
            <w:pPr>
              <w:keepNext w:val="0"/>
              <w:keepLines w:val="0"/>
              <w:suppressLineNumbers w:val="0"/>
              <w:spacing w:before="0" w:beforeAutospacing="0" w:after="0" w:afterAutospacing="0" w:line="440" w:lineRule="exact"/>
              <w:ind w:left="0" w:right="0" w:firstLine="482" w:firstLineChars="200"/>
              <w:jc w:val="both"/>
              <w:textAlignment w:val="baseline"/>
              <w:rPr>
                <w:rFonts w:hint="default" w:ascii="Times New Roman" w:hAnsi="Times New Roman" w:eastAsia="宋体" w:cs="Times New Roman"/>
                <w:b/>
                <w:bCs/>
                <w:sz w:val="24"/>
                <w:szCs w:val="24"/>
              </w:rPr>
            </w:pPr>
            <w:r>
              <w:rPr>
                <w:rFonts w:hint="eastAsia" w:ascii="宋体" w:hAnsi="宋体"/>
                <w:b/>
                <w:bCs/>
                <w:sz w:val="24"/>
                <w:highlight w:val="none"/>
              </w:rPr>
              <w:t>（</w:t>
            </w:r>
            <w:r>
              <w:rPr>
                <w:rFonts w:hint="default" w:ascii="Times New Roman" w:hAnsi="Times New Roman" w:cs="Times New Roman"/>
                <w:b/>
                <w:bCs/>
                <w:sz w:val="24"/>
                <w:highlight w:val="none"/>
              </w:rPr>
              <w:t>4</w:t>
            </w:r>
            <w:r>
              <w:rPr>
                <w:rFonts w:hint="eastAsia" w:ascii="宋体" w:hAnsi="宋体"/>
                <w:b/>
                <w:bCs/>
                <w:sz w:val="24"/>
                <w:highlight w:val="none"/>
              </w:rPr>
              <w:t>）生态环境准入清单</w:t>
            </w:r>
          </w:p>
          <w:p w14:paraId="682E9CF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440" w:lineRule="exact"/>
              <w:ind w:left="0" w:right="0" w:firstLine="480" w:firstLineChars="200"/>
              <w:jc w:val="both"/>
              <w:textAlignment w:val="baseline"/>
              <w:rPr>
                <w:rFonts w:hint="default"/>
                <w:bCs/>
                <w:color w:val="000000"/>
                <w:sz w:val="24"/>
              </w:rPr>
            </w:pPr>
            <w:r>
              <w:rPr>
                <w:rFonts w:hint="eastAsia" w:cs="Times New Roman"/>
                <w:bCs/>
                <w:color w:val="000000"/>
                <w:sz w:val="24"/>
                <w:highlight w:val="none"/>
                <w:lang w:val="en-US" w:eastAsia="zh-CN"/>
              </w:rPr>
              <w:t>本项目与</w:t>
            </w:r>
            <w:r>
              <w:rPr>
                <w:rFonts w:hint="eastAsia"/>
                <w:bCs/>
                <w:color w:val="000000"/>
                <w:sz w:val="24"/>
                <w:lang w:eastAsia="zh-CN"/>
              </w:rPr>
              <w:t>《</w:t>
            </w:r>
            <w:r>
              <w:rPr>
                <w:rFonts w:hint="default"/>
                <w:bCs/>
                <w:color w:val="000000"/>
                <w:sz w:val="24"/>
              </w:rPr>
              <w:t>河南省生态环境分区管控总体要求</w:t>
            </w:r>
            <w:r>
              <w:rPr>
                <w:rFonts w:hint="eastAsia"/>
                <w:bCs/>
                <w:color w:val="000000"/>
                <w:sz w:val="24"/>
                <w:lang w:eastAsia="zh-CN"/>
              </w:rPr>
              <w:t>》（</w:t>
            </w:r>
            <w:r>
              <w:rPr>
                <w:rFonts w:hint="eastAsia"/>
                <w:bCs/>
                <w:color w:val="000000"/>
                <w:sz w:val="24"/>
                <w:lang w:val="en-US" w:eastAsia="zh-CN"/>
              </w:rPr>
              <w:t>2023年版</w:t>
            </w:r>
            <w:r>
              <w:rPr>
                <w:rFonts w:hint="eastAsia"/>
                <w:bCs/>
                <w:color w:val="000000"/>
                <w:sz w:val="24"/>
                <w:lang w:eastAsia="zh-CN"/>
              </w:rPr>
              <w:t>）</w:t>
            </w:r>
            <w:r>
              <w:rPr>
                <w:rFonts w:hint="eastAsia"/>
                <w:bCs/>
                <w:color w:val="000000"/>
                <w:sz w:val="24"/>
                <w:highlight w:val="none"/>
                <w:lang w:val="en-US" w:eastAsia="zh-CN"/>
              </w:rPr>
              <w:t>相</w:t>
            </w:r>
            <w:r>
              <w:rPr>
                <w:rFonts w:hint="eastAsia"/>
                <w:bCs/>
                <w:color w:val="000000"/>
                <w:sz w:val="24"/>
                <w:lang w:val="en-US" w:eastAsia="zh-CN"/>
              </w:rPr>
              <w:t>符性进行分析，</w:t>
            </w:r>
            <w:r>
              <w:rPr>
                <w:rFonts w:hint="default"/>
                <w:bCs/>
                <w:color w:val="000000"/>
                <w:sz w:val="24"/>
              </w:rPr>
              <w:t>见下表。</w:t>
            </w:r>
          </w:p>
          <w:p w14:paraId="0EE9BC4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baseline"/>
              <w:rPr>
                <w:rFonts w:hint="default"/>
                <w:bCs/>
                <w:color w:val="000000"/>
                <w:sz w:val="24"/>
              </w:rPr>
            </w:pPr>
            <w:r>
              <w:rPr>
                <w:rFonts w:hint="default"/>
                <w:sz w:val="24"/>
              </w:rPr>
              <mc:AlternateContent>
                <mc:Choice Requires="wps">
                  <w:drawing>
                    <wp:anchor distT="0" distB="0" distL="114300" distR="114300" simplePos="0" relativeHeight="251661312" behindDoc="0" locked="0" layoutInCell="1" allowOverlap="1">
                      <wp:simplePos x="0" y="0"/>
                      <wp:positionH relativeFrom="column">
                        <wp:posOffset>3378835</wp:posOffset>
                      </wp:positionH>
                      <wp:positionV relativeFrom="paragraph">
                        <wp:posOffset>354330</wp:posOffset>
                      </wp:positionV>
                      <wp:extent cx="857885" cy="398145"/>
                      <wp:effectExtent l="91440" t="12700" r="22225" b="579755"/>
                      <wp:wrapNone/>
                      <wp:docPr id="4" name="圆角矩形标注 4"/>
                      <wp:cNvGraphicFramePr/>
                      <a:graphic xmlns:a="http://schemas.openxmlformats.org/drawingml/2006/main">
                        <a:graphicData uri="http://schemas.microsoft.com/office/word/2010/wordprocessingShape">
                          <wps:wsp>
                            <wps:cNvSpPr/>
                            <wps:spPr>
                              <a:xfrm>
                                <a:off x="4772660" y="5982970"/>
                                <a:ext cx="857885" cy="398145"/>
                              </a:xfrm>
                              <a:prstGeom prst="wedgeRoundRectCallout">
                                <a:avLst>
                                  <a:gd name="adj1" fmla="val -59178"/>
                                  <a:gd name="adj2" fmla="val 190829"/>
                                  <a:gd name="adj3" fmla="val 16667"/>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D5B90B0">
                                  <w:pPr>
                                    <w:jc w:val="center"/>
                                    <w:rPr>
                                      <w:rFonts w:hint="default" w:eastAsia="宋体"/>
                                      <w:lang w:val="en-US" w:eastAsia="zh-CN"/>
                                    </w:rPr>
                                  </w:pPr>
                                  <w:r>
                                    <w:rPr>
                                      <w:rFonts w:hint="eastAsia"/>
                                      <w:color w:val="000000" w:themeColor="text1"/>
                                      <w:lang w:val="en-US" w:eastAsia="zh-CN"/>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66.05pt;margin-top:27.9pt;height:31.35pt;width:67.55pt;z-index:251661312;v-text-anchor:middle;mso-width-relative:page;mso-height-relative:page;" fillcolor="#FFFFFF [3212]" filled="t" stroked="t" coordsize="21600,21600" o:gfxdata="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NEYab/XAAAACgEA&#10;AA8AAAAAAAAAAQAgAAAAIgAAAGRycy9kb3ducmV2LnhtbFBLAQIUABQAAAAIAIdO4kAhZYPTxgIA&#10;AIcFAAAOAAAAAAAAAAEAIAAAACYBAABkcnMvZTJvRG9jLnhtbFBLBQYAAAAABgAGAFkBAABeBgAA&#10;AAA=&#10;" adj="-1982,52019,14400">
                      <v:fill on="t" focussize="0,0"/>
                      <v:stroke weight="2pt" color="#000000 [3213]" joinstyle="round"/>
                      <v:imagedata o:title=""/>
                      <o:lock v:ext="edit" aspectratio="f"/>
                      <v:textbox>
                        <w:txbxContent>
                          <w:p w14:paraId="7D5B90B0">
                            <w:pPr>
                              <w:jc w:val="center"/>
                              <w:rPr>
                                <w:rFonts w:hint="default" w:eastAsia="宋体"/>
                                <w:lang w:val="en-US" w:eastAsia="zh-CN"/>
                              </w:rPr>
                            </w:pPr>
                            <w:r>
                              <w:rPr>
                                <w:rFonts w:hint="eastAsia"/>
                                <w:color w:val="000000" w:themeColor="text1"/>
                                <w:lang w:val="en-US" w:eastAsia="zh-CN"/>
                                <w14:textFill>
                                  <w14:solidFill>
                                    <w14:schemeClr w14:val="tx1"/>
                                  </w14:solidFill>
                                </w14:textFill>
                              </w:rPr>
                              <w:t>本项目</w:t>
                            </w:r>
                          </w:p>
                        </w:txbxContent>
                      </v:textbox>
                    </v:shape>
                  </w:pict>
                </mc:Fallback>
              </mc:AlternateContent>
            </w:r>
            <w:r>
              <w:rPr>
                <w:rFonts w:hint="default"/>
              </w:rPr>
              <w:drawing>
                <wp:inline distT="0" distB="0" distL="114300" distR="114300">
                  <wp:extent cx="5608955" cy="2821940"/>
                  <wp:effectExtent l="0" t="0" r="10795" b="16510"/>
                  <wp:docPr id="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pic:cNvPicPr>
                            <a:picLocks noChangeAspect="1"/>
                          </pic:cNvPicPr>
                        </pic:nvPicPr>
                        <pic:blipFill>
                          <a:blip r:embed="rId14"/>
                          <a:stretch>
                            <a:fillRect/>
                          </a:stretch>
                        </pic:blipFill>
                        <pic:spPr>
                          <a:xfrm>
                            <a:off x="0" y="0"/>
                            <a:ext cx="5608955" cy="2821940"/>
                          </a:xfrm>
                          <a:prstGeom prst="rect">
                            <a:avLst/>
                          </a:prstGeom>
                          <a:noFill/>
                          <a:ln>
                            <a:noFill/>
                          </a:ln>
                        </pic:spPr>
                      </pic:pic>
                    </a:graphicData>
                  </a:graphic>
                </wp:inline>
              </w:drawing>
            </w:r>
          </w:p>
          <w:p w14:paraId="7A600F72">
            <w:pPr>
              <w:keepNext w:val="0"/>
              <w:keepLines w:val="0"/>
              <w:suppressLineNumbers w:val="0"/>
              <w:spacing w:before="0" w:beforeAutospacing="0" w:after="0" w:afterAutospacing="0" w:line="440" w:lineRule="exact"/>
              <w:ind w:left="0" w:right="0" w:firstLine="482" w:firstLineChars="200"/>
              <w:jc w:val="center"/>
              <w:textAlignment w:val="baseline"/>
              <w:rPr>
                <w:rFonts w:hint="default" w:ascii="宋体" w:hAnsi="宋体"/>
                <w:b/>
                <w:bCs/>
                <w:color w:val="auto"/>
                <w:szCs w:val="21"/>
              </w:rPr>
            </w:pPr>
            <w:r>
              <w:rPr>
                <w:rFonts w:hint="default" w:ascii="宋体" w:hAnsi="宋体"/>
                <w:b/>
                <w:bCs/>
                <w:color w:val="auto"/>
                <w:szCs w:val="21"/>
              </w:rPr>
              <w:t>图</w:t>
            </w:r>
            <w:r>
              <w:rPr>
                <w:rFonts w:hint="eastAsia" w:cs="Times New Roman"/>
                <w:b/>
                <w:bCs/>
                <w:color w:val="auto"/>
                <w:szCs w:val="21"/>
                <w:lang w:val="en-US" w:eastAsia="zh-CN"/>
              </w:rPr>
              <w:t>1</w:t>
            </w:r>
            <w:r>
              <w:rPr>
                <w:rFonts w:hint="eastAsia" w:ascii="Times New Roman" w:hAnsi="Times New Roman" w:cs="Times New Roman"/>
                <w:b/>
                <w:bCs/>
                <w:color w:val="auto"/>
                <w:szCs w:val="21"/>
                <w:lang w:val="en-US" w:eastAsia="zh-CN"/>
              </w:rPr>
              <w:t xml:space="preserve"> </w:t>
            </w:r>
            <w:r>
              <w:rPr>
                <w:rFonts w:hint="default" w:ascii="Times New Roman" w:hAnsi="Times New Roman" w:cs="Times New Roman"/>
                <w:b/>
                <w:bCs/>
                <w:color w:val="auto"/>
                <w:szCs w:val="21"/>
              </w:rPr>
              <w:t xml:space="preserve"> </w:t>
            </w:r>
            <w:r>
              <w:rPr>
                <w:rFonts w:hint="default" w:ascii="宋体" w:hAnsi="宋体"/>
                <w:b/>
                <w:bCs/>
                <w:color w:val="auto"/>
                <w:szCs w:val="21"/>
              </w:rPr>
              <w:t xml:space="preserve"> </w:t>
            </w:r>
            <w:r>
              <w:rPr>
                <w:rFonts w:hint="default" w:ascii="Times New Roman" w:hAnsi="Times New Roman" w:eastAsia="宋体" w:cs="Times New Roman"/>
                <w:b/>
                <w:bCs/>
                <w:sz w:val="24"/>
                <w:szCs w:val="24"/>
              </w:rPr>
              <w:t>河南省三线一单综合信息应用平台研判分析图</w:t>
            </w:r>
          </w:p>
          <w:p w14:paraId="28ECDA1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440" w:lineRule="exact"/>
              <w:ind w:left="0" w:right="0" w:firstLine="480" w:firstLineChars="200"/>
              <w:textAlignment w:val="baseline"/>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cs="Times New Roman"/>
                <w:bCs/>
                <w:color w:val="000000"/>
                <w:sz w:val="24"/>
                <w:highlight w:val="none"/>
                <w:lang w:val="en-US" w:eastAsia="zh-CN"/>
              </w:rPr>
              <w:t>根据图1，本项目位于</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重点管控单元（环境管控单元名称：</w:t>
            </w:r>
            <w:r>
              <w:rPr>
                <w:rFonts w:hint="eastAsia" w:ascii="宋体" w:hAnsi="宋体" w:eastAsia="宋体" w:cs="宋体"/>
                <w:i w:val="0"/>
                <w:iCs w:val="0"/>
                <w:caps w:val="0"/>
                <w:color w:val="000000" w:themeColor="text1"/>
                <w:spacing w:val="0"/>
                <w:sz w:val="24"/>
                <w:szCs w:val="24"/>
                <w14:textFill>
                  <w14:solidFill>
                    <w14:schemeClr w14:val="tx1"/>
                  </w14:solidFill>
                </w14:textFill>
              </w:rPr>
              <w:t>新乡县</w:t>
            </w:r>
            <w:r>
              <w:rPr>
                <w:rFonts w:hint="eastAsia" w:ascii="宋体" w:hAnsi="宋体" w:cs="宋体"/>
                <w:i w:val="0"/>
                <w:iCs w:val="0"/>
                <w:caps w:val="0"/>
                <w:color w:val="000000" w:themeColor="text1"/>
                <w:spacing w:val="0"/>
                <w:sz w:val="24"/>
                <w:szCs w:val="24"/>
                <w:lang w:val="en-US" w:eastAsia="zh-CN"/>
                <w14:textFill>
                  <w14:solidFill>
                    <w14:schemeClr w14:val="tx1"/>
                  </w14:solidFill>
                </w14:textFill>
              </w:rPr>
              <w:t>城镇重点单元</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，环境管控单元编码：ZH4107212000</w:t>
            </w:r>
            <w:r>
              <w:rPr>
                <w:rFonts w:hint="eastAsia" w:cs="Times New Roman"/>
                <w:color w:val="000000" w:themeColor="text1"/>
                <w:sz w:val="24"/>
                <w:szCs w:val="24"/>
                <w:highlight w:val="none"/>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w:t>
            </w:r>
          </w:p>
          <w:p w14:paraId="2520F9CB">
            <w:pPr>
              <w:keepNext w:val="0"/>
              <w:keepLines w:val="0"/>
              <w:suppressLineNumbers w:val="0"/>
              <w:spacing w:before="0" w:beforeAutospacing="0" w:after="0" w:afterAutospacing="0" w:line="440" w:lineRule="exact"/>
              <w:ind w:left="0" w:right="0" w:firstLine="480" w:firstLineChars="200"/>
              <w:textAlignment w:val="baseline"/>
              <w:rPr>
                <w:rFonts w:hint="eastAsia" w:cs="Times New Roman"/>
                <w:bCs/>
                <w:color w:val="000000"/>
                <w:sz w:val="24"/>
                <w:highlight w:val="none"/>
                <w:lang w:val="en-US" w:eastAsia="zh-CN"/>
              </w:rPr>
            </w:pPr>
            <w:r>
              <w:rPr>
                <w:rFonts w:hint="eastAsia" w:cs="Times New Roman"/>
                <w:bCs/>
                <w:color w:val="000000"/>
                <w:sz w:val="24"/>
                <w:highlight w:val="none"/>
                <w:lang w:val="en-US" w:eastAsia="zh-CN"/>
              </w:rPr>
              <w:t>本项目与</w:t>
            </w:r>
            <w:r>
              <w:rPr>
                <w:rFonts w:hint="eastAsia"/>
                <w:bCs/>
                <w:color w:val="000000"/>
                <w:sz w:val="24"/>
                <w:lang w:eastAsia="zh-CN"/>
              </w:rPr>
              <w:t>《</w:t>
            </w:r>
            <w:r>
              <w:rPr>
                <w:rFonts w:hint="default"/>
                <w:bCs/>
                <w:color w:val="000000"/>
                <w:sz w:val="24"/>
              </w:rPr>
              <w:t>河南省生态环境分区管控总体要求</w:t>
            </w:r>
            <w:r>
              <w:rPr>
                <w:rFonts w:hint="eastAsia"/>
                <w:bCs/>
                <w:color w:val="000000"/>
                <w:sz w:val="24"/>
                <w:lang w:eastAsia="zh-CN"/>
              </w:rPr>
              <w:t>》（</w:t>
            </w:r>
            <w:r>
              <w:rPr>
                <w:rFonts w:hint="eastAsia"/>
                <w:bCs/>
                <w:color w:val="000000"/>
                <w:sz w:val="24"/>
                <w:lang w:val="en-US" w:eastAsia="zh-CN"/>
              </w:rPr>
              <w:t>2023年版</w:t>
            </w:r>
            <w:r>
              <w:rPr>
                <w:rFonts w:hint="eastAsia"/>
                <w:bCs/>
                <w:color w:val="000000"/>
                <w:sz w:val="24"/>
                <w:lang w:eastAsia="zh-CN"/>
              </w:rPr>
              <w:t>）</w:t>
            </w:r>
            <w:r>
              <w:rPr>
                <w:rFonts w:hint="default"/>
                <w:bCs/>
                <w:color w:val="000000"/>
                <w:sz w:val="24"/>
              </w:rPr>
              <w:t>相符性分析见下表。</w:t>
            </w:r>
          </w:p>
          <w:p w14:paraId="09CE8A5B">
            <w:pPr>
              <w:keepNext w:val="0"/>
              <w:keepLines w:val="0"/>
              <w:suppressLineNumbers w:val="0"/>
              <w:spacing w:before="0" w:beforeAutospacing="0" w:after="0" w:afterAutospacing="0" w:line="440" w:lineRule="exact"/>
              <w:ind w:left="0" w:right="0"/>
              <w:jc w:val="center"/>
              <w:textAlignment w:val="baseline"/>
              <w:rPr>
                <w:rFonts w:hint="default" w:ascii="宋体" w:hAnsi="宋体" w:eastAsia="宋体"/>
                <w:b/>
                <w:bCs/>
                <w:color w:val="000000"/>
                <w:sz w:val="24"/>
                <w:highlight w:val="none"/>
                <w:lang w:val="en-US" w:eastAsia="zh-CN"/>
              </w:rPr>
            </w:pPr>
            <w:r>
              <w:rPr>
                <w:rFonts w:hint="default" w:ascii="宋体" w:hAnsi="宋体"/>
                <w:b/>
                <w:bCs/>
                <w:color w:val="000000"/>
                <w:sz w:val="24"/>
                <w:highlight w:val="none"/>
              </w:rPr>
              <w:t>表</w:t>
            </w:r>
            <w:r>
              <w:rPr>
                <w:rFonts w:hint="eastAsia" w:cs="Times New Roman"/>
                <w:b/>
                <w:bCs/>
                <w:color w:val="000000"/>
                <w:sz w:val="24"/>
                <w:highlight w:val="none"/>
                <w:lang w:val="en-US" w:eastAsia="zh-CN"/>
              </w:rPr>
              <w:t>4</w:t>
            </w:r>
            <w:r>
              <w:rPr>
                <w:rFonts w:hint="default" w:ascii="Times New Roman" w:hAnsi="Times New Roman" w:cs="Times New Roman"/>
                <w:b/>
                <w:bCs/>
                <w:color w:val="000000"/>
                <w:sz w:val="24"/>
                <w:highlight w:val="none"/>
                <w:lang w:val="en-US" w:eastAsia="zh-CN"/>
              </w:rPr>
              <w:t xml:space="preserve"> </w:t>
            </w:r>
            <w:r>
              <w:rPr>
                <w:rFonts w:hint="eastAsia" w:ascii="宋体" w:hAnsi="宋体"/>
                <w:b/>
                <w:bCs/>
                <w:color w:val="000000"/>
                <w:sz w:val="24"/>
                <w:highlight w:val="none"/>
                <w:lang w:val="en-US" w:eastAsia="zh-CN"/>
              </w:rPr>
              <w:t xml:space="preserve"> </w:t>
            </w:r>
            <w:r>
              <w:rPr>
                <w:rFonts w:hint="eastAsia" w:cs="Times New Roman"/>
                <w:b/>
                <w:bCs w:val="0"/>
                <w:color w:val="000000"/>
                <w:sz w:val="24"/>
                <w:highlight w:val="none"/>
                <w:shd w:val="clear" w:color="auto" w:fill="auto"/>
                <w:lang w:val="en-US" w:eastAsia="zh-CN"/>
              </w:rPr>
              <w:t>本项目与</w:t>
            </w:r>
            <w:r>
              <w:rPr>
                <w:rFonts w:hint="default" w:ascii="Times New Roman" w:hAnsi="Times New Roman" w:eastAsia="宋体" w:cs="Times New Roman"/>
                <w:b/>
                <w:bCs w:val="0"/>
                <w:color w:val="000000"/>
                <w:sz w:val="24"/>
                <w:lang w:eastAsia="zh-CN"/>
              </w:rPr>
              <w:t>河南省生态环境分区管控总体</w:t>
            </w:r>
            <w:r>
              <w:rPr>
                <w:rFonts w:hint="default" w:ascii="Times New Roman" w:hAnsi="Times New Roman" w:eastAsia="宋体" w:cs="Times New Roman"/>
                <w:b/>
                <w:bCs w:val="0"/>
                <w:color w:val="000000"/>
                <w:sz w:val="24"/>
              </w:rPr>
              <w:t>要求符合性分析</w:t>
            </w:r>
          </w:p>
          <w:tbl>
            <w:tblPr>
              <w:tblStyle w:val="23"/>
              <w:tblW w:w="4997" w:type="pct"/>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65"/>
              <w:gridCol w:w="836"/>
              <w:gridCol w:w="4771"/>
              <w:gridCol w:w="1759"/>
              <w:gridCol w:w="635"/>
            </w:tblGrid>
            <w:tr w14:paraId="740E91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8" w:type="pct"/>
                  <w:tcBorders>
                    <w:top w:val="single" w:color="auto" w:sz="8" w:space="0"/>
                    <w:bottom w:val="single" w:color="auto" w:sz="8" w:space="0"/>
                  </w:tcBorders>
                  <w:noWrap w:val="0"/>
                  <w:vAlign w:val="center"/>
                </w:tcPr>
                <w:p w14:paraId="6EBC1412">
                  <w:pPr>
                    <w:pStyle w:val="51"/>
                    <w:keepNext w:val="0"/>
                    <w:keepLines w:val="0"/>
                    <w:suppressLineNumbers w:val="0"/>
                    <w:spacing w:before="0" w:beforeLines="0" w:beforeAutospacing="0" w:after="0" w:afterLines="0" w:afterAutospacing="0" w:line="240" w:lineRule="auto"/>
                    <w:ind w:left="0" w:right="0" w:firstLine="0" w:firstLineChars="0"/>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环境管控单元分区</w:t>
                  </w:r>
                </w:p>
              </w:tc>
              <w:tc>
                <w:tcPr>
                  <w:tcW w:w="461" w:type="pct"/>
                  <w:tcBorders>
                    <w:top w:val="single" w:color="auto" w:sz="8" w:space="0"/>
                    <w:bottom w:val="single" w:color="auto" w:sz="8" w:space="0"/>
                  </w:tcBorders>
                  <w:noWrap w:val="0"/>
                  <w:vAlign w:val="center"/>
                </w:tcPr>
                <w:p w14:paraId="51FA7BF2">
                  <w:pPr>
                    <w:pStyle w:val="51"/>
                    <w:keepNext w:val="0"/>
                    <w:keepLines w:val="0"/>
                    <w:suppressLineNumbers w:val="0"/>
                    <w:spacing w:before="0" w:beforeLines="0" w:beforeAutospacing="0" w:after="0" w:afterLines="0" w:afterAutospacing="0" w:line="240" w:lineRule="auto"/>
                    <w:ind w:left="0" w:right="0" w:firstLine="0" w:firstLineChars="0"/>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管控类型</w:t>
                  </w:r>
                </w:p>
              </w:tc>
              <w:tc>
                <w:tcPr>
                  <w:tcW w:w="2631" w:type="pct"/>
                  <w:tcBorders>
                    <w:top w:val="single" w:color="auto" w:sz="8" w:space="0"/>
                    <w:bottom w:val="single" w:color="auto" w:sz="8" w:space="0"/>
                  </w:tcBorders>
                  <w:noWrap w:val="0"/>
                  <w:vAlign w:val="center"/>
                </w:tcPr>
                <w:p w14:paraId="7F503ABF">
                  <w:pPr>
                    <w:pStyle w:val="51"/>
                    <w:keepNext w:val="0"/>
                    <w:keepLines w:val="0"/>
                    <w:suppressLineNumbers w:val="0"/>
                    <w:spacing w:before="0" w:beforeLines="0" w:beforeAutospacing="0" w:after="0" w:afterLines="0" w:afterAutospacing="0" w:line="240" w:lineRule="auto"/>
                    <w:ind w:left="0" w:right="0" w:firstLine="0" w:firstLineChars="0"/>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入准要求</w:t>
                  </w:r>
                </w:p>
              </w:tc>
              <w:tc>
                <w:tcPr>
                  <w:tcW w:w="970" w:type="pct"/>
                  <w:tcBorders>
                    <w:top w:val="single" w:color="auto" w:sz="8" w:space="0"/>
                    <w:bottom w:val="single" w:color="auto" w:sz="8" w:space="0"/>
                  </w:tcBorders>
                  <w:noWrap w:val="0"/>
                  <w:vAlign w:val="center"/>
                </w:tcPr>
                <w:p w14:paraId="76D915D1">
                  <w:pPr>
                    <w:pStyle w:val="51"/>
                    <w:keepNext w:val="0"/>
                    <w:keepLines w:val="0"/>
                    <w:suppressLineNumbers w:val="0"/>
                    <w:spacing w:before="0" w:beforeLines="0" w:beforeAutospacing="0" w:after="0" w:afterLines="0" w:afterAutospacing="0" w:line="240" w:lineRule="auto"/>
                    <w:ind w:left="0" w:right="0" w:firstLine="0" w:firstLineChars="0"/>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本项目情况</w:t>
                  </w:r>
                </w:p>
              </w:tc>
              <w:tc>
                <w:tcPr>
                  <w:tcW w:w="348" w:type="pct"/>
                  <w:tcBorders>
                    <w:top w:val="single" w:color="auto" w:sz="8" w:space="0"/>
                    <w:bottom w:val="single" w:color="auto" w:sz="8" w:space="0"/>
                  </w:tcBorders>
                  <w:noWrap w:val="0"/>
                  <w:vAlign w:val="center"/>
                </w:tcPr>
                <w:p w14:paraId="57A62ED3">
                  <w:pPr>
                    <w:pStyle w:val="51"/>
                    <w:keepNext w:val="0"/>
                    <w:keepLines w:val="0"/>
                    <w:suppressLineNumbers w:val="0"/>
                    <w:spacing w:before="0" w:beforeLines="0" w:beforeAutospacing="0" w:after="0" w:afterLines="0" w:afterAutospacing="0" w:line="240" w:lineRule="auto"/>
                    <w:ind w:left="0" w:right="0" w:firstLine="0" w:firstLineChars="0"/>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相符性</w:t>
                  </w:r>
                </w:p>
              </w:tc>
            </w:tr>
            <w:tr w14:paraId="6E5EE6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5"/>
                  <w:tcBorders>
                    <w:top w:val="single" w:color="auto" w:sz="8" w:space="0"/>
                    <w:tl2br w:val="nil"/>
                    <w:tr2bl w:val="nil"/>
                  </w:tcBorders>
                  <w:noWrap w:val="0"/>
                  <w:vAlign w:val="center"/>
                </w:tcPr>
                <w:p w14:paraId="0E09B0D5">
                  <w:pPr>
                    <w:pStyle w:val="51"/>
                    <w:keepNext w:val="0"/>
                    <w:keepLines w:val="0"/>
                    <w:suppressLineNumbers w:val="0"/>
                    <w:spacing w:before="0" w:beforeLines="0" w:beforeAutospacing="0" w:after="0" w:afterLines="0" w:afterAutospacing="0" w:line="240" w:lineRule="auto"/>
                    <w:ind w:left="0" w:right="0" w:firstLine="0" w:firstLineChars="0"/>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一、全省生态环境总体准入清单要求</w:t>
                  </w:r>
                </w:p>
              </w:tc>
            </w:tr>
            <w:tr w14:paraId="6945A3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93" w:hRule="atLeast"/>
              </w:trPr>
              <w:tc>
                <w:tcPr>
                  <w:tcW w:w="588" w:type="pct"/>
                  <w:vMerge w:val="restart"/>
                  <w:tcBorders>
                    <w:tl2br w:val="nil"/>
                    <w:tr2bl w:val="nil"/>
                  </w:tcBorders>
                  <w:noWrap w:val="0"/>
                  <w:vAlign w:val="center"/>
                </w:tcPr>
                <w:p w14:paraId="50677CA1">
                  <w:pPr>
                    <w:pStyle w:val="5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000000" w:themeColor="text1"/>
                      <w:sz w:val="21"/>
                      <w:szCs w:val="21"/>
                      <w14:textFill>
                        <w14:solidFill>
                          <w14:schemeClr w14:val="tx1"/>
                        </w14:solidFill>
                      </w14:textFill>
                    </w:rPr>
                  </w:pPr>
                  <w:r>
                    <w:rPr>
                      <w:rFonts w:hint="eastAsia" w:ascii="Times New Roman"/>
                      <w:color w:val="000000" w:themeColor="text1"/>
                      <w:sz w:val="21"/>
                      <w:szCs w:val="21"/>
                      <w:lang w:val="en-US" w:eastAsia="zh-CN"/>
                      <w14:textFill>
                        <w14:solidFill>
                          <w14:schemeClr w14:val="tx1"/>
                        </w14:solidFill>
                      </w14:textFill>
                    </w:rPr>
                    <w:t>重点管控</w:t>
                  </w:r>
                  <w:r>
                    <w:rPr>
                      <w:rFonts w:hint="eastAsia" w:ascii="Times New Roman"/>
                      <w:color w:val="000000" w:themeColor="text1"/>
                      <w:sz w:val="21"/>
                      <w:szCs w:val="21"/>
                      <w14:textFill>
                        <w14:solidFill>
                          <w14:schemeClr w14:val="tx1"/>
                        </w14:solidFill>
                      </w14:textFill>
                    </w:rPr>
                    <w:t>单元</w:t>
                  </w:r>
                </w:p>
              </w:tc>
              <w:tc>
                <w:tcPr>
                  <w:tcW w:w="461" w:type="pct"/>
                  <w:tcBorders>
                    <w:tl2br w:val="nil"/>
                    <w:tr2bl w:val="nil"/>
                  </w:tcBorders>
                  <w:noWrap w:val="0"/>
                  <w:vAlign w:val="center"/>
                </w:tcPr>
                <w:p w14:paraId="7BD5000B">
                  <w:pPr>
                    <w:pStyle w:val="5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000000" w:themeColor="text1"/>
                      <w:sz w:val="21"/>
                      <w:szCs w:val="21"/>
                      <w14:textFill>
                        <w14:solidFill>
                          <w14:schemeClr w14:val="tx1"/>
                        </w14:solidFill>
                      </w14:textFill>
                    </w:rPr>
                  </w:pPr>
                  <w:r>
                    <w:rPr>
                      <w:rFonts w:hint="default" w:ascii="Times New Roman"/>
                      <w:color w:val="000000" w:themeColor="text1"/>
                      <w:sz w:val="21"/>
                      <w:szCs w:val="21"/>
                      <w14:textFill>
                        <w14:solidFill>
                          <w14:schemeClr w14:val="tx1"/>
                        </w14:solidFill>
                      </w14:textFill>
                    </w:rPr>
                    <w:t>空间布局约束</w:t>
                  </w:r>
                </w:p>
              </w:tc>
              <w:tc>
                <w:tcPr>
                  <w:tcW w:w="2631" w:type="pct"/>
                  <w:tcBorders>
                    <w:tl2br w:val="nil"/>
                    <w:tr2bl w:val="nil"/>
                  </w:tcBorders>
                  <w:noWrap w:val="0"/>
                  <w:vAlign w:val="center"/>
                </w:tcPr>
                <w:p w14:paraId="510E216A">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1.根据国家产业政策、区域定位及环境特征等，建立差别化的产业准入要求，鼓励建设符合规划环评的项目。</w:t>
                  </w:r>
                </w:p>
                <w:p w14:paraId="29DECF2F">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4.强化环境准入约束，坚决遏制“两高一低”项目盲目发展，对不符合规定的项目坚决停批停建。</w:t>
                  </w:r>
                </w:p>
                <w:p w14:paraId="7A9B4466">
                  <w:pPr>
                    <w:keepNext w:val="0"/>
                    <w:keepLines w:val="0"/>
                    <w:widowControl/>
                    <w:suppressLineNumbers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5.涉及产能置换的项目，被置换产能及其配套设施关停后，新建项目方可投产。</w:t>
                  </w:r>
                </w:p>
                <w:p w14:paraId="19A3020B">
                  <w:pPr>
                    <w:keepNext w:val="0"/>
                    <w:keepLines w:val="0"/>
                    <w:widowControl/>
                    <w:suppressLineNumbers w:val="0"/>
                    <w:spacing w:before="0" w:beforeAutospacing="0" w:after="0" w:afterAutospacing="0"/>
                    <w:ind w:left="0" w:leftChars="0" w:right="0" w:rightChars="0"/>
                    <w:jc w:val="both"/>
                    <w:rPr>
                      <w:rFonts w:hint="default"/>
                      <w:color w:val="000000" w:themeColor="text1"/>
                      <w:sz w:val="21"/>
                      <w:szCs w:val="21"/>
                      <w14:textFill>
                        <w14:solidFill>
                          <w14:schemeClr w14:val="tx1"/>
                        </w14:solidFill>
                      </w14:textFill>
                    </w:rPr>
                  </w:pPr>
                  <w:r>
                    <w:rPr>
                      <w:rFonts w:hint="default" w:ascii="Times New Roman" w:hAnsi="Times New Roman" w:eastAsia="宋体" w:cs="Times New Roman"/>
                      <w:color w:val="000000"/>
                      <w:kern w:val="0"/>
                      <w:sz w:val="21"/>
                      <w:szCs w:val="21"/>
                      <w:lang w:val="en-US" w:eastAsia="zh-CN" w:bidi="ar"/>
                    </w:rPr>
                    <w:t>7.将土壤环境要求纳入国土空间规划，根据土壤污染状况和风险合理规划土地用途。对列入建设用地土壤污染风险管控和修复名录的地块，不得作为住宅、公共管理与公共服务用地；不得办理土地征收、回购、收购、土地供应以及改变土地用途等手续。</w:t>
                  </w:r>
                </w:p>
              </w:tc>
              <w:tc>
                <w:tcPr>
                  <w:tcW w:w="970" w:type="pct"/>
                  <w:tcBorders>
                    <w:tl2br w:val="nil"/>
                    <w:tr2bl w:val="nil"/>
                  </w:tcBorders>
                  <w:noWrap w:val="0"/>
                  <w:vAlign w:val="center"/>
                </w:tcPr>
                <w:p w14:paraId="336D0923">
                  <w:pPr>
                    <w:keepNext w:val="0"/>
                    <w:keepLines w:val="0"/>
                    <w:pageBreakBefore w:val="0"/>
                    <w:widowControl w:val="0"/>
                    <w:suppressLineNumbers w:val="0"/>
                    <w:kinsoku/>
                    <w:wordWrap/>
                    <w:topLinePunct w:val="0"/>
                    <w:autoSpaceDE/>
                    <w:autoSpaceDN/>
                    <w:bidi w:val="0"/>
                    <w:adjustRightInd w:val="0"/>
                    <w:snapToGrid w:val="0"/>
                    <w:spacing w:before="0" w:beforeAutospacing="0" w:after="0" w:afterAutospacing="0"/>
                    <w:ind w:left="0" w:right="0"/>
                    <w:jc w:val="both"/>
                    <w:textAlignment w:val="center"/>
                    <w:outlineLvl w:val="9"/>
                    <w:rPr>
                      <w:rFonts w:hint="eastAsia"/>
                      <w:color w:val="000000"/>
                      <w:sz w:val="21"/>
                      <w:szCs w:val="21"/>
                      <w:lang w:eastAsia="zh-CN"/>
                    </w:rPr>
                  </w:pPr>
                  <w:r>
                    <w:rPr>
                      <w:rFonts w:hint="eastAsia"/>
                      <w:color w:val="000000"/>
                      <w:sz w:val="21"/>
                      <w:szCs w:val="21"/>
                      <w:lang w:val="en-US" w:eastAsia="zh-CN"/>
                    </w:rPr>
                    <w:t>1、</w:t>
                  </w:r>
                  <w:r>
                    <w:rPr>
                      <w:rFonts w:hint="eastAsia"/>
                      <w:color w:val="000000"/>
                      <w:sz w:val="21"/>
                      <w:szCs w:val="21"/>
                      <w:lang w:eastAsia="zh-CN"/>
                    </w:rPr>
                    <w:t>本项目为</w:t>
                  </w:r>
                  <w:r>
                    <w:rPr>
                      <w:rFonts w:hint="eastAsia"/>
                      <w:color w:val="000000"/>
                      <w:sz w:val="21"/>
                      <w:szCs w:val="21"/>
                      <w:lang w:val="en-US" w:eastAsia="zh-CN"/>
                    </w:rPr>
                    <w:t>锂离子电池制造</w:t>
                  </w:r>
                  <w:r>
                    <w:rPr>
                      <w:rFonts w:hint="default"/>
                      <w:color w:val="000000"/>
                      <w:sz w:val="21"/>
                      <w:szCs w:val="21"/>
                      <w:lang w:eastAsia="zh-CN"/>
                    </w:rPr>
                    <w:t>，</w:t>
                  </w:r>
                  <w:r>
                    <w:rPr>
                      <w:rFonts w:hint="eastAsia"/>
                      <w:color w:val="000000"/>
                      <w:sz w:val="21"/>
                      <w:szCs w:val="21"/>
                      <w:lang w:val="en-US" w:eastAsia="zh-CN"/>
                    </w:rPr>
                    <w:t>符合国家产业政策要求</w:t>
                  </w:r>
                  <w:r>
                    <w:rPr>
                      <w:rFonts w:hint="eastAsia"/>
                      <w:color w:val="000000"/>
                      <w:sz w:val="21"/>
                      <w:szCs w:val="21"/>
                      <w:lang w:eastAsia="zh-CN"/>
                    </w:rPr>
                    <w:t>；</w:t>
                  </w:r>
                </w:p>
                <w:p w14:paraId="03EE5FF1">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both"/>
                    <w:textAlignment w:val="auto"/>
                    <w:outlineLvl w:val="9"/>
                    <w:rPr>
                      <w:rFonts w:hint="eastAsia"/>
                      <w:sz w:val="21"/>
                      <w:szCs w:val="21"/>
                      <w:lang w:eastAsia="zh-CN"/>
                    </w:rPr>
                  </w:pPr>
                  <w:r>
                    <w:rPr>
                      <w:rFonts w:hint="eastAsia" w:eastAsia="宋体" w:cs="Times New Roman"/>
                      <w:b w:val="0"/>
                      <w:bCs w:val="0"/>
                      <w:color w:val="auto"/>
                      <w:kern w:val="2"/>
                      <w:sz w:val="21"/>
                      <w:szCs w:val="21"/>
                      <w:lang w:val="en-US" w:eastAsia="zh-CN" w:bidi="ar-SA"/>
                    </w:rPr>
                    <w:t>2、</w:t>
                  </w:r>
                  <w:r>
                    <w:rPr>
                      <w:rFonts w:hint="eastAsia" w:ascii="Times New Roman" w:hAnsi="Times New Roman" w:eastAsia="宋体" w:cs="Times New Roman"/>
                      <w:b w:val="0"/>
                      <w:bCs w:val="0"/>
                      <w:color w:val="auto"/>
                      <w:kern w:val="2"/>
                      <w:sz w:val="21"/>
                      <w:szCs w:val="21"/>
                      <w:lang w:val="en-US" w:eastAsia="zh-CN" w:bidi="ar-SA"/>
                    </w:rPr>
                    <w:t>本项目不属于“两高一低”项目，不属于产能置换项目；</w:t>
                  </w:r>
                </w:p>
                <w:p w14:paraId="2B616538">
                  <w:pPr>
                    <w:keepNext w:val="0"/>
                    <w:keepLines w:val="0"/>
                    <w:pageBreakBefore w:val="0"/>
                    <w:widowControl w:val="0"/>
                    <w:suppressLineNumbers w:val="0"/>
                    <w:kinsoku/>
                    <w:wordWrap/>
                    <w:topLinePunct w:val="0"/>
                    <w:autoSpaceDE/>
                    <w:autoSpaceDN/>
                    <w:bidi w:val="0"/>
                    <w:spacing w:before="0" w:beforeAutospacing="0" w:after="0" w:afterAutospacing="0"/>
                    <w:ind w:left="0" w:right="0"/>
                    <w:jc w:val="both"/>
                    <w:outlineLvl w:val="9"/>
                    <w:rPr>
                      <w:rFonts w:hint="default" w:ascii="Times New Roman"/>
                      <w:color w:val="000000" w:themeColor="text1"/>
                      <w:sz w:val="21"/>
                      <w:szCs w:val="21"/>
                      <w14:textFill>
                        <w14:solidFill>
                          <w14:schemeClr w14:val="tx1"/>
                        </w14:solidFill>
                      </w14:textFill>
                    </w:rPr>
                  </w:pPr>
                  <w:r>
                    <w:rPr>
                      <w:rFonts w:hint="eastAsia"/>
                      <w:sz w:val="21"/>
                      <w:szCs w:val="21"/>
                      <w:lang w:val="en-US" w:eastAsia="zh-CN"/>
                    </w:rPr>
                    <w:t>3、</w:t>
                  </w:r>
                  <w:r>
                    <w:rPr>
                      <w:rFonts w:hint="eastAsia" w:ascii="Times New Roman" w:hAnsi="Times New Roman" w:eastAsia="宋体" w:cs="Times New Roman"/>
                      <w:b w:val="0"/>
                      <w:bCs w:val="0"/>
                      <w:color w:val="auto"/>
                      <w:kern w:val="2"/>
                      <w:sz w:val="21"/>
                      <w:szCs w:val="21"/>
                      <w:lang w:val="en-US" w:eastAsia="zh-CN" w:bidi="ar-SA"/>
                    </w:rPr>
                    <w:t>本项目位于</w:t>
                  </w:r>
                  <w:r>
                    <w:rPr>
                      <w:rFonts w:hint="default" w:ascii="Times New Roman" w:hAnsi="Times New Roman" w:cs="Times New Roman"/>
                      <w:color w:val="auto"/>
                      <w:sz w:val="21"/>
                      <w:szCs w:val="21"/>
                      <w:lang w:val="en-US" w:eastAsia="zh-CN"/>
                    </w:rPr>
                    <w:t>河南省新乡市新乡县</w:t>
                  </w:r>
                  <w:r>
                    <w:rPr>
                      <w:rFonts w:hint="eastAsia" w:ascii="Times New Roman" w:hAnsi="Times New Roman" w:cs="Times New Roman"/>
                      <w:color w:val="auto"/>
                      <w:sz w:val="21"/>
                      <w:szCs w:val="21"/>
                      <w:lang w:val="en-US" w:eastAsia="zh-CN"/>
                    </w:rPr>
                    <w:t>经济开发区兴隆路西段</w:t>
                  </w:r>
                  <w:r>
                    <w:rPr>
                      <w:rFonts w:hint="eastAsia" w:ascii="Times New Roman" w:hAnsi="Times New Roman" w:eastAsia="宋体" w:cs="Times New Roman"/>
                      <w:b w:val="0"/>
                      <w:bCs w:val="0"/>
                      <w:color w:val="auto"/>
                      <w:kern w:val="2"/>
                      <w:sz w:val="21"/>
                      <w:szCs w:val="21"/>
                      <w:lang w:val="en-US" w:eastAsia="zh-CN" w:bidi="ar-SA"/>
                    </w:rPr>
                    <w:t>，不属于建设用地土壤污染风险管控和修复名录的地块。</w:t>
                  </w:r>
                </w:p>
              </w:tc>
              <w:tc>
                <w:tcPr>
                  <w:tcW w:w="348" w:type="pct"/>
                  <w:tcBorders>
                    <w:tl2br w:val="nil"/>
                    <w:tr2bl w:val="nil"/>
                  </w:tcBorders>
                  <w:noWrap w:val="0"/>
                  <w:vAlign w:val="center"/>
                </w:tcPr>
                <w:p w14:paraId="43BF4D93">
                  <w:pPr>
                    <w:pStyle w:val="5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000000" w:themeColor="text1"/>
                      <w:sz w:val="21"/>
                      <w:szCs w:val="21"/>
                      <w14:textFill>
                        <w14:solidFill>
                          <w14:schemeClr w14:val="tx1"/>
                        </w14:solidFill>
                      </w14:textFill>
                    </w:rPr>
                  </w:pPr>
                  <w:r>
                    <w:rPr>
                      <w:rFonts w:hint="default" w:ascii="Times New Roman"/>
                      <w:color w:val="000000" w:themeColor="text1"/>
                      <w:sz w:val="21"/>
                      <w:szCs w:val="21"/>
                      <w14:textFill>
                        <w14:solidFill>
                          <w14:schemeClr w14:val="tx1"/>
                        </w14:solidFill>
                      </w14:textFill>
                    </w:rPr>
                    <w:t>相符</w:t>
                  </w:r>
                </w:p>
              </w:tc>
            </w:tr>
            <w:tr w14:paraId="208B65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8" w:type="pct"/>
                  <w:vMerge w:val="continue"/>
                  <w:tcBorders>
                    <w:tl2br w:val="nil"/>
                    <w:tr2bl w:val="nil"/>
                  </w:tcBorders>
                  <w:noWrap w:val="0"/>
                  <w:vAlign w:val="center"/>
                </w:tcPr>
                <w:p w14:paraId="67A41AF9">
                  <w:pPr>
                    <w:pStyle w:val="51"/>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000000" w:themeColor="text1"/>
                      <w:sz w:val="21"/>
                      <w:szCs w:val="21"/>
                      <w:lang w:val="en-US" w:eastAsia="zh-CN"/>
                      <w14:textFill>
                        <w14:solidFill>
                          <w14:schemeClr w14:val="tx1"/>
                        </w14:solidFill>
                      </w14:textFill>
                    </w:rPr>
                  </w:pPr>
                </w:p>
              </w:tc>
              <w:tc>
                <w:tcPr>
                  <w:tcW w:w="461" w:type="pct"/>
                  <w:tcBorders>
                    <w:tl2br w:val="nil"/>
                    <w:tr2bl w:val="nil"/>
                  </w:tcBorders>
                  <w:noWrap w:val="0"/>
                  <w:vAlign w:val="center"/>
                </w:tcPr>
                <w:p w14:paraId="2931FEBF">
                  <w:pPr>
                    <w:pStyle w:val="5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000000" w:themeColor="text1"/>
                      <w:sz w:val="21"/>
                      <w:szCs w:val="21"/>
                      <w:lang w:val="en-US" w:eastAsia="zh-CN"/>
                      <w14:textFill>
                        <w14:solidFill>
                          <w14:schemeClr w14:val="tx1"/>
                        </w14:solidFill>
                      </w14:textFill>
                    </w:rPr>
                  </w:pPr>
                  <w:r>
                    <w:rPr>
                      <w:rFonts w:hint="eastAsia" w:ascii="Times New Roman"/>
                      <w:color w:val="000000" w:themeColor="text1"/>
                      <w:sz w:val="21"/>
                      <w:szCs w:val="21"/>
                      <w:lang w:val="en-US" w:eastAsia="zh-CN"/>
                      <w14:textFill>
                        <w14:solidFill>
                          <w14:schemeClr w14:val="tx1"/>
                        </w14:solidFill>
                      </w14:textFill>
                    </w:rPr>
                    <w:t>污染物排放管控</w:t>
                  </w:r>
                </w:p>
              </w:tc>
              <w:tc>
                <w:tcPr>
                  <w:tcW w:w="2631" w:type="pct"/>
                  <w:tcBorders>
                    <w:tl2br w:val="nil"/>
                    <w:tr2bl w:val="nil"/>
                  </w:tcBorders>
                  <w:noWrap w:val="0"/>
                  <w:vAlign w:val="center"/>
                </w:tcPr>
                <w:p w14:paraId="6EE11B4B">
                  <w:pPr>
                    <w:keepNext w:val="0"/>
                    <w:keepLines w:val="0"/>
                    <w:suppressLineNumbers w:val="0"/>
                    <w:adjustRightInd w:val="0"/>
                    <w:snapToGrid w:val="0"/>
                    <w:spacing w:before="0" w:beforeAutospacing="0" w:after="0" w:afterAutospacing="0" w:line="240" w:lineRule="auto"/>
                    <w:ind w:left="0" w:right="0"/>
                    <w:jc w:val="both"/>
                    <w:textAlignment w:val="baseline"/>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w:t>
                  </w:r>
                  <w:r>
                    <w:rPr>
                      <w:rFonts w:hint="default" w:ascii="Times New Roman" w:hAnsi="Times New Roman" w:cs="Times New Roman"/>
                      <w:color w:val="000000"/>
                      <w:sz w:val="21"/>
                      <w:szCs w:val="21"/>
                      <w:lang w:val="en-US" w:eastAsia="zh-CN"/>
                    </w:rPr>
                    <w:t>、</w:t>
                  </w:r>
                  <w:r>
                    <w:rPr>
                      <w:rFonts w:hint="default" w:ascii="Times New Roman" w:hAnsi="Times New Roman" w:eastAsia="宋体" w:cs="Times New Roman"/>
                      <w:color w:val="000000"/>
                      <w:sz w:val="21"/>
                      <w:szCs w:val="21"/>
                      <w:lang w:val="en-US" w:eastAsia="zh-CN"/>
                    </w:rPr>
                    <w:t>重点行业建设项目应满足区域、流域控制单元环境质量改善目标管理要求。</w:t>
                  </w:r>
                </w:p>
                <w:p w14:paraId="36D5AE08">
                  <w:pPr>
                    <w:keepNext w:val="0"/>
                    <w:keepLines w:val="0"/>
                    <w:suppressLineNumbers w:val="0"/>
                    <w:adjustRightInd w:val="0"/>
                    <w:snapToGrid w:val="0"/>
                    <w:spacing w:before="0" w:beforeAutospacing="0" w:after="0" w:afterAutospacing="0" w:line="240" w:lineRule="auto"/>
                    <w:ind w:left="0" w:right="0"/>
                    <w:jc w:val="both"/>
                    <w:textAlignment w:val="baseline"/>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w:t>
                  </w:r>
                  <w:r>
                    <w:rPr>
                      <w:rFonts w:hint="default" w:ascii="Times New Roman" w:hAnsi="Times New Roman" w:cs="Times New Roman"/>
                      <w:color w:val="000000"/>
                      <w:sz w:val="21"/>
                      <w:szCs w:val="21"/>
                      <w:lang w:val="en-US" w:eastAsia="zh-CN"/>
                    </w:rPr>
                    <w:t>、</w:t>
                  </w:r>
                  <w:r>
                    <w:rPr>
                      <w:rFonts w:hint="default" w:ascii="Times New Roman" w:hAnsi="Times New Roman" w:eastAsia="宋体" w:cs="Times New Roman"/>
                      <w:color w:val="000000"/>
                      <w:sz w:val="21"/>
                      <w:szCs w:val="21"/>
                      <w:lang w:val="en-US" w:eastAsia="zh-CN"/>
                    </w:rPr>
                    <w:t>强化项目环评及“三同时”管理。新建、扩建“两高”项目应采用先进的工艺技术和装备，单位产品污染物排放强度应达到清洁生产先进水平，其中，国家、省绩效分级重点行业新建、扩建项目达到A级水平，改建项目达到B级以上水平。</w:t>
                  </w:r>
                </w:p>
                <w:p w14:paraId="33E9CDCB">
                  <w:pPr>
                    <w:keepNext w:val="0"/>
                    <w:keepLines w:val="0"/>
                    <w:suppressLineNumbers w:val="0"/>
                    <w:adjustRightInd w:val="0"/>
                    <w:snapToGrid w:val="0"/>
                    <w:spacing w:before="0" w:beforeAutospacing="0" w:after="0" w:afterAutospacing="0" w:line="240" w:lineRule="auto"/>
                    <w:ind w:left="0" w:right="0"/>
                    <w:jc w:val="both"/>
                    <w:textAlignment w:val="baseline"/>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4</w:t>
                  </w:r>
                  <w:r>
                    <w:rPr>
                      <w:rFonts w:hint="default" w:ascii="Times New Roman" w:hAnsi="Times New Roman" w:cs="Times New Roman"/>
                      <w:color w:val="000000"/>
                      <w:sz w:val="21"/>
                      <w:szCs w:val="21"/>
                      <w:lang w:val="en-US" w:eastAsia="zh-CN"/>
                    </w:rPr>
                    <w:t>、</w:t>
                  </w:r>
                  <w:r>
                    <w:rPr>
                      <w:rFonts w:hint="default" w:ascii="Times New Roman" w:hAnsi="Times New Roman" w:eastAsia="宋体" w:cs="Times New Roman"/>
                      <w:color w:val="000000"/>
                      <w:sz w:val="21"/>
                      <w:szCs w:val="21"/>
                      <w:lang w:val="en-US" w:eastAsia="zh-CN"/>
                    </w:rPr>
                    <w:t>深入推进低挥发性有机物含量原辅材料源头替代，全面推广使用低挥发性有机物含量的涂料、油墨、胶粘剂、清洗剂等</w:t>
                  </w:r>
                  <w:r>
                    <w:rPr>
                      <w:rFonts w:hint="default" w:ascii="Times New Roman" w:hAnsi="Times New Roman" w:eastAsia="宋体" w:cs="Times New Roman"/>
                      <w:color w:val="000000"/>
                      <w:sz w:val="21"/>
                      <w:szCs w:val="21"/>
                      <w:highlight w:val="none"/>
                      <w:lang w:val="en-US" w:eastAsia="zh-CN"/>
                    </w:rPr>
                    <w:t>新兴原辅材料</w:t>
                  </w:r>
                  <w:r>
                    <w:rPr>
                      <w:rFonts w:hint="default" w:ascii="Times New Roman" w:hAnsi="Times New Roman" w:eastAsia="宋体" w:cs="Times New Roman"/>
                      <w:color w:val="000000"/>
                      <w:sz w:val="21"/>
                      <w:szCs w:val="21"/>
                      <w:lang w:val="en-US" w:eastAsia="zh-CN"/>
                    </w:rPr>
                    <w:t>。</w:t>
                  </w:r>
                </w:p>
                <w:p w14:paraId="053C91CB">
                  <w:pPr>
                    <w:keepNext w:val="0"/>
                    <w:keepLines w:val="0"/>
                    <w:widowControl/>
                    <w:suppressLineNumbers w:val="0"/>
                    <w:spacing w:before="0" w:beforeAutospacing="0" w:after="0" w:afterAutospacing="0"/>
                    <w:ind w:left="0" w:right="0"/>
                    <w:jc w:val="both"/>
                    <w:rPr>
                      <w:rFonts w:hint="default" w:ascii="Times New Roman" w:hAnsi="Times New Roman" w:cs="Times New Roman"/>
                      <w:b w:val="0"/>
                      <w:bCs w:val="0"/>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sz w:val="21"/>
                      <w:szCs w:val="21"/>
                      <w:lang w:val="en-US" w:eastAsia="zh-CN"/>
                    </w:rPr>
                    <w:t>7</w:t>
                  </w:r>
                  <w:r>
                    <w:rPr>
                      <w:rFonts w:hint="default" w:ascii="Times New Roman" w:hAnsi="Times New Roman" w:cs="Times New Roman"/>
                      <w:color w:val="000000"/>
                      <w:sz w:val="21"/>
                      <w:szCs w:val="21"/>
                      <w:lang w:val="en-US" w:eastAsia="zh-CN"/>
                    </w:rPr>
                    <w:t>、</w:t>
                  </w:r>
                  <w:r>
                    <w:rPr>
                      <w:rFonts w:hint="default" w:ascii="Times New Roman" w:hAnsi="Times New Roman" w:eastAsia="宋体" w:cs="Times New Roman"/>
                      <w:color w:val="000000"/>
                      <w:sz w:val="21"/>
                      <w:szCs w:val="21"/>
                      <w:lang w:val="en-US" w:eastAsia="zh-CN"/>
                    </w:rPr>
                    <w:t>鼓励企业采用先进治理技术，打造行业噪声污染治理示范典型。排放噪声的工业企业应切实采取减振降噪措施，加强厂区内固定设备、运输工具、货物装卸等噪声源管理，同时避免突发噪声扰民。</w:t>
                  </w:r>
                </w:p>
              </w:tc>
              <w:tc>
                <w:tcPr>
                  <w:tcW w:w="970" w:type="pct"/>
                  <w:tcBorders>
                    <w:tl2br w:val="nil"/>
                    <w:tr2bl w:val="nil"/>
                  </w:tcBorders>
                  <w:noWrap w:val="0"/>
                  <w:vAlign w:val="center"/>
                </w:tcPr>
                <w:p w14:paraId="003B02C2">
                  <w:pPr>
                    <w:pStyle w:val="51"/>
                    <w:keepNext w:val="0"/>
                    <w:keepLines w:val="0"/>
                    <w:suppressLineNumbers w:val="0"/>
                    <w:spacing w:before="0" w:beforeLines="0" w:beforeAutospacing="0" w:after="0" w:afterLines="0" w:afterAutospacing="0" w:line="240" w:lineRule="auto"/>
                    <w:ind w:left="0" w:right="0" w:firstLine="0" w:firstLineChars="0"/>
                    <w:jc w:val="both"/>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1、本项目为</w:t>
                  </w:r>
                  <w:r>
                    <w:rPr>
                      <w:rFonts w:hint="eastAsia" w:ascii="Times New Roman" w:cs="Times New Roman"/>
                      <w:color w:val="000000" w:themeColor="text1"/>
                      <w:sz w:val="21"/>
                      <w:szCs w:val="21"/>
                      <w:lang w:val="en-US" w:eastAsia="zh-CN"/>
                      <w14:textFill>
                        <w14:solidFill>
                          <w14:schemeClr w14:val="tx1"/>
                        </w14:solidFill>
                      </w14:textFill>
                    </w:rPr>
                    <w:t>锂离子电池制造</w:t>
                  </w:r>
                  <w:r>
                    <w:rPr>
                      <w:rFonts w:hint="default" w:ascii="Times New Roman" w:hAnsi="Times New Roman" w:cs="Times New Roman"/>
                      <w:color w:val="000000" w:themeColor="text1"/>
                      <w:sz w:val="21"/>
                      <w:szCs w:val="21"/>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废气</w:t>
                  </w:r>
                  <w:r>
                    <w:rPr>
                      <w:rFonts w:hint="eastAsia" w:ascii="Times New Roman" w:cs="Times New Roman"/>
                      <w:color w:val="000000" w:themeColor="text1"/>
                      <w:sz w:val="21"/>
                      <w:szCs w:val="21"/>
                      <w:highlight w:val="none"/>
                      <w:lang w:val="en-US" w:eastAsia="zh-CN"/>
                      <w14:textFill>
                        <w14:solidFill>
                          <w14:schemeClr w14:val="tx1"/>
                        </w14:solidFill>
                      </w14:textFill>
                    </w:rPr>
                    <w:t>排放</w:t>
                  </w:r>
                  <w:r>
                    <w:rPr>
                      <w:rFonts w:hint="default" w:ascii="Times New Roman" w:hAnsi="Times New Roman" w:cs="Times New Roman"/>
                      <w:color w:val="000000" w:themeColor="text1"/>
                      <w:sz w:val="21"/>
                      <w:szCs w:val="21"/>
                      <w:lang w:val="en-US" w:eastAsia="zh-CN"/>
                      <w14:textFill>
                        <w14:solidFill>
                          <w14:schemeClr w14:val="tx1"/>
                        </w14:solidFill>
                      </w14:textFill>
                    </w:rPr>
                    <w:t>满足区域、流域控制单元环境质量改善目标管理要求。</w:t>
                  </w:r>
                </w:p>
                <w:p w14:paraId="1416AE5D">
                  <w:pPr>
                    <w:pStyle w:val="51"/>
                    <w:keepNext w:val="0"/>
                    <w:keepLines w:val="0"/>
                    <w:suppressLineNumbers w:val="0"/>
                    <w:spacing w:before="0" w:beforeLines="0" w:beforeAutospacing="0" w:after="0" w:afterLines="0" w:afterAutospacing="0" w:line="240" w:lineRule="auto"/>
                    <w:ind w:left="0" w:right="0" w:firstLine="0" w:firstLineChars="0"/>
                    <w:jc w:val="both"/>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2、本项目不属于“两高”项目，本项目为</w:t>
                  </w:r>
                  <w:r>
                    <w:rPr>
                      <w:rFonts w:hint="eastAsia" w:ascii="Times New Roman" w:cs="Times New Roman"/>
                      <w:color w:val="000000" w:themeColor="text1"/>
                      <w:sz w:val="21"/>
                      <w:szCs w:val="21"/>
                      <w:lang w:val="en-US" w:eastAsia="zh-CN"/>
                      <w14:textFill>
                        <w14:solidFill>
                          <w14:schemeClr w14:val="tx1"/>
                        </w14:solidFill>
                      </w14:textFill>
                    </w:rPr>
                    <w:t>改</w:t>
                  </w:r>
                  <w:r>
                    <w:rPr>
                      <w:rFonts w:hint="default" w:ascii="Times New Roman" w:hAnsi="Times New Roman" w:cs="Times New Roman"/>
                      <w:color w:val="000000" w:themeColor="text1"/>
                      <w:sz w:val="21"/>
                      <w:szCs w:val="21"/>
                      <w:lang w:val="en-US" w:eastAsia="zh-CN"/>
                      <w14:textFill>
                        <w14:solidFill>
                          <w14:schemeClr w14:val="tx1"/>
                        </w14:solidFill>
                      </w14:textFill>
                    </w:rPr>
                    <w:t>建项目，</w:t>
                  </w:r>
                  <w:r>
                    <w:rPr>
                      <w:rFonts w:hint="eastAsia"/>
                      <w:sz w:val="21"/>
                      <w:szCs w:val="21"/>
                    </w:rPr>
                    <w:t>按照</w:t>
                  </w:r>
                  <w:r>
                    <w:rPr>
                      <w:rFonts w:hint="default" w:ascii="Times New Roman" w:hAnsi="Times New Roman" w:cs="Times New Roman"/>
                      <w:color w:val="000000" w:themeColor="text1"/>
                      <w:sz w:val="21"/>
                      <w:szCs w:val="21"/>
                      <w:highlight w:val="none"/>
                      <w14:textFill>
                        <w14:solidFill>
                          <w14:schemeClr w14:val="tx1"/>
                        </w14:solidFill>
                      </w14:textFill>
                    </w:rPr>
                    <w:t>《</w:t>
                  </w:r>
                  <w:r>
                    <w:rPr>
                      <w:rFonts w:hint="eastAsia" w:ascii="Times New Roman" w:cs="Times New Roman"/>
                      <w:color w:val="000000" w:themeColor="text1"/>
                      <w:sz w:val="21"/>
                      <w:szCs w:val="21"/>
                      <w:highlight w:val="none"/>
                      <w:lang w:val="en-US" w:eastAsia="zh-CN"/>
                      <w14:textFill>
                        <w14:solidFill>
                          <w14:schemeClr w14:val="tx1"/>
                        </w14:solidFill>
                      </w14:textFill>
                    </w:rPr>
                    <w:t>河南省</w:t>
                  </w:r>
                  <w:r>
                    <w:rPr>
                      <w:rFonts w:hint="default" w:ascii="Times New Roman" w:hAnsi="Times New Roman" w:cs="Times New Roman"/>
                      <w:color w:val="000000" w:themeColor="text1"/>
                      <w:sz w:val="21"/>
                      <w:szCs w:val="21"/>
                      <w:highlight w:val="none"/>
                      <w14:textFill>
                        <w14:solidFill>
                          <w14:schemeClr w14:val="tx1"/>
                        </w14:solidFill>
                      </w14:textFill>
                    </w:rPr>
                    <w:t>重污染天气重点</w:t>
                  </w:r>
                  <w:r>
                    <w:rPr>
                      <w:rFonts w:hint="default" w:ascii="Times New Roman" w:hAnsi="Times New Roman" w:cs="Times New Roman"/>
                      <w:color w:val="000000" w:themeColor="text1"/>
                      <w:sz w:val="21"/>
                      <w:szCs w:val="21"/>
                      <w14:textFill>
                        <w14:solidFill>
                          <w14:schemeClr w14:val="tx1"/>
                        </w14:solidFill>
                      </w14:textFill>
                    </w:rPr>
                    <w:t>行业应急减排措施制定技术指南（20</w:t>
                  </w:r>
                  <w:r>
                    <w:rPr>
                      <w:rFonts w:hint="eastAsia" w:ascii="Times New Roman" w:cs="Times New Roman"/>
                      <w:color w:val="000000" w:themeColor="text1"/>
                      <w:sz w:val="21"/>
                      <w:szCs w:val="21"/>
                      <w:lang w:val="en-US" w:eastAsia="zh-CN"/>
                      <w14:textFill>
                        <w14:solidFill>
                          <w14:schemeClr w14:val="tx1"/>
                        </w14:solidFill>
                      </w14:textFill>
                    </w:rPr>
                    <w:t>24</w:t>
                  </w:r>
                  <w:r>
                    <w:rPr>
                      <w:rFonts w:hint="default" w:ascii="Times New Roman" w:hAnsi="Times New Roman" w:cs="Times New Roman"/>
                      <w:color w:val="000000" w:themeColor="text1"/>
                      <w:sz w:val="21"/>
                      <w:szCs w:val="21"/>
                      <w14:textFill>
                        <w14:solidFill>
                          <w14:schemeClr w14:val="tx1"/>
                        </w14:solidFill>
                      </w14:textFill>
                    </w:rPr>
                    <w:t>年修订版）》中</w:t>
                  </w:r>
                  <w:r>
                    <w:rPr>
                      <w:rFonts w:hint="eastAsia" w:ascii="Times New Roman" w:cs="Times New Roman"/>
                      <w:color w:val="000000" w:themeColor="text1"/>
                      <w:sz w:val="21"/>
                      <w:szCs w:val="21"/>
                      <w:lang w:val="en-US" w:eastAsia="zh-CN"/>
                      <w14:textFill>
                        <w14:solidFill>
                          <w14:schemeClr w14:val="tx1"/>
                        </w14:solidFill>
                      </w14:textFill>
                    </w:rPr>
                    <w:t>电池制造</w:t>
                  </w:r>
                  <w:r>
                    <w:rPr>
                      <w:rFonts w:hint="default" w:ascii="Times New Roman" w:hAnsi="Times New Roman" w:cs="Times New Roman"/>
                      <w:color w:val="000000" w:themeColor="text1"/>
                      <w:sz w:val="21"/>
                      <w:szCs w:val="21"/>
                      <w14:textFill>
                        <w14:solidFill>
                          <w14:schemeClr w14:val="tx1"/>
                        </w14:solidFill>
                      </w14:textFill>
                    </w:rPr>
                    <w:t>A级水平进</w:t>
                  </w:r>
                  <w:r>
                    <w:rPr>
                      <w:rFonts w:hint="eastAsia"/>
                      <w:color w:val="000000" w:themeColor="text1"/>
                      <w:sz w:val="21"/>
                      <w:szCs w:val="21"/>
                      <w14:textFill>
                        <w14:solidFill>
                          <w14:schemeClr w14:val="tx1"/>
                        </w14:solidFill>
                      </w14:textFill>
                    </w:rPr>
                    <w:t>行建设</w:t>
                  </w:r>
                  <w:r>
                    <w:rPr>
                      <w:rFonts w:hint="default" w:ascii="Times New Roman" w:hAnsi="Times New Roman" w:cs="Times New Roman"/>
                      <w:color w:val="000000" w:themeColor="text1"/>
                      <w:sz w:val="21"/>
                      <w:szCs w:val="21"/>
                      <w:highlight w:val="none"/>
                      <w14:textFill>
                        <w14:solidFill>
                          <w14:schemeClr w14:val="tx1"/>
                        </w14:solidFill>
                      </w14:textFill>
                    </w:rPr>
                    <w:t>。</w:t>
                  </w:r>
                </w:p>
                <w:p w14:paraId="2A2EB03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4、本项目</w:t>
                  </w:r>
                  <w:r>
                    <w:rPr>
                      <w:rFonts w:hint="eastAsia" w:cs="Times New Roman"/>
                      <w:color w:val="000000" w:themeColor="text1"/>
                      <w:sz w:val="21"/>
                      <w:szCs w:val="21"/>
                      <w:lang w:val="en-US" w:eastAsia="zh-CN"/>
                      <w14:textFill>
                        <w14:solidFill>
                          <w14:schemeClr w14:val="tx1"/>
                        </w14:solidFill>
                      </w14:textFill>
                    </w:rPr>
                    <w:t>不</w:t>
                  </w:r>
                  <w:r>
                    <w:rPr>
                      <w:rFonts w:hint="default" w:ascii="Times New Roman" w:hAnsi="Times New Roman" w:cs="Times New Roman"/>
                      <w:color w:val="000000" w:themeColor="text1"/>
                      <w:sz w:val="21"/>
                      <w:szCs w:val="21"/>
                      <w:lang w:val="en-US" w:eastAsia="zh-CN"/>
                      <w14:textFill>
                        <w14:solidFill>
                          <w14:schemeClr w14:val="tx1"/>
                        </w14:solidFill>
                      </w14:textFill>
                    </w:rPr>
                    <w:t>使用</w:t>
                  </w:r>
                  <w:r>
                    <w:rPr>
                      <w:rFonts w:hint="eastAsia" w:cs="Times New Roman"/>
                      <w:color w:val="000000" w:themeColor="text1"/>
                      <w:sz w:val="21"/>
                      <w:szCs w:val="21"/>
                      <w:lang w:val="en-US" w:eastAsia="zh-CN"/>
                      <w14:textFill>
                        <w14:solidFill>
                          <w14:schemeClr w14:val="tx1"/>
                        </w14:solidFill>
                      </w14:textFill>
                    </w:rPr>
                    <w:t>挥发性有机物原料</w:t>
                  </w:r>
                  <w:r>
                    <w:rPr>
                      <w:rFonts w:hint="default" w:ascii="Times New Roman" w:hAnsi="Times New Roman" w:eastAsia="宋体" w:cs="Times New Roman"/>
                      <w:sz w:val="21"/>
                      <w:szCs w:val="21"/>
                      <w:lang w:val="en-US" w:eastAsia="zh-CN"/>
                    </w:rPr>
                    <w:t>。</w:t>
                  </w:r>
                </w:p>
                <w:p w14:paraId="62DAA39F">
                  <w:pPr>
                    <w:pStyle w:val="51"/>
                    <w:keepNext w:val="0"/>
                    <w:keepLines w:val="0"/>
                    <w:suppressLineNumbers w:val="0"/>
                    <w:spacing w:before="0" w:beforeLines="0" w:beforeAutospacing="0" w:after="0" w:afterLines="0" w:afterAutospacing="0" w:line="240" w:lineRule="auto"/>
                    <w:ind w:left="0" w:right="0" w:firstLine="0" w:firstLineChars="0"/>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7、企业加强噪声源管理，采取减振降噪措施，可有效治理噪声污染，避免突发扰民。</w:t>
                  </w:r>
                </w:p>
              </w:tc>
              <w:tc>
                <w:tcPr>
                  <w:tcW w:w="348" w:type="pct"/>
                  <w:tcBorders>
                    <w:tl2br w:val="nil"/>
                    <w:tr2bl w:val="nil"/>
                  </w:tcBorders>
                  <w:noWrap w:val="0"/>
                  <w:vAlign w:val="center"/>
                </w:tcPr>
                <w:p w14:paraId="07EA2E0F">
                  <w:pPr>
                    <w:pStyle w:val="5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color w:val="000000" w:themeColor="text1"/>
                      <w:sz w:val="21"/>
                      <w:szCs w:val="21"/>
                      <w:lang w:val="en-US" w:eastAsia="zh-CN"/>
                      <w14:textFill>
                        <w14:solidFill>
                          <w14:schemeClr w14:val="tx1"/>
                        </w14:solidFill>
                      </w14:textFill>
                    </w:rPr>
                  </w:pPr>
                  <w:r>
                    <w:rPr>
                      <w:rFonts w:hint="eastAsia" w:ascii="Times New Roman"/>
                      <w:color w:val="000000" w:themeColor="text1"/>
                      <w:sz w:val="21"/>
                      <w:szCs w:val="21"/>
                      <w:lang w:val="en-US" w:eastAsia="zh-CN"/>
                      <w14:textFill>
                        <w14:solidFill>
                          <w14:schemeClr w14:val="tx1"/>
                        </w14:solidFill>
                      </w14:textFill>
                    </w:rPr>
                    <w:t>相符</w:t>
                  </w:r>
                </w:p>
              </w:tc>
            </w:tr>
            <w:tr w14:paraId="647DE0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8" w:type="pct"/>
                  <w:vMerge w:val="continue"/>
                  <w:tcBorders>
                    <w:tl2br w:val="nil"/>
                    <w:tr2bl w:val="nil"/>
                  </w:tcBorders>
                  <w:noWrap w:val="0"/>
                  <w:vAlign w:val="center"/>
                </w:tcPr>
                <w:p w14:paraId="47A4731B">
                  <w:pPr>
                    <w:pStyle w:val="51"/>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000000" w:themeColor="text1"/>
                      <w:sz w:val="21"/>
                      <w:szCs w:val="21"/>
                      <w:lang w:val="en-US" w:eastAsia="zh-CN"/>
                      <w14:textFill>
                        <w14:solidFill>
                          <w14:schemeClr w14:val="tx1"/>
                        </w14:solidFill>
                      </w14:textFill>
                    </w:rPr>
                  </w:pPr>
                </w:p>
              </w:tc>
              <w:tc>
                <w:tcPr>
                  <w:tcW w:w="461" w:type="pct"/>
                  <w:tcBorders>
                    <w:tl2br w:val="nil"/>
                    <w:tr2bl w:val="nil"/>
                  </w:tcBorders>
                  <w:noWrap w:val="0"/>
                  <w:vAlign w:val="center"/>
                </w:tcPr>
                <w:p w14:paraId="43681C9E">
                  <w:pPr>
                    <w:keepNext w:val="0"/>
                    <w:keepLines w:val="0"/>
                    <w:suppressLineNumbers w:val="0"/>
                    <w:adjustRightInd w:val="0"/>
                    <w:snapToGrid w:val="0"/>
                    <w:spacing w:before="0" w:beforeAutospacing="0" w:after="0" w:afterAutospacing="0" w:line="240" w:lineRule="auto"/>
                    <w:ind w:left="0" w:leftChars="0" w:right="0" w:rightChars="0"/>
                    <w:jc w:val="center"/>
                    <w:textAlignment w:val="baseline"/>
                    <w:rPr>
                      <w:rFonts w:hint="eastAsia" w:ascii="Times New Roman"/>
                      <w:color w:val="000000" w:themeColor="text1"/>
                      <w:sz w:val="21"/>
                      <w:szCs w:val="21"/>
                      <w:lang w:val="en-US" w:eastAsia="zh-CN"/>
                      <w14:textFill>
                        <w14:solidFill>
                          <w14:schemeClr w14:val="tx1"/>
                        </w14:solidFill>
                      </w14:textFill>
                    </w:rPr>
                  </w:pPr>
                  <w:r>
                    <w:rPr>
                      <w:rFonts w:hint="eastAsia" w:eastAsia="宋体"/>
                      <w:color w:val="000000"/>
                      <w:sz w:val="21"/>
                      <w:szCs w:val="21"/>
                      <w:lang w:val="en-US" w:eastAsia="zh-CN"/>
                    </w:rPr>
                    <w:t>资源利用效率</w:t>
                  </w:r>
                </w:p>
              </w:tc>
              <w:tc>
                <w:tcPr>
                  <w:tcW w:w="2631" w:type="pct"/>
                  <w:tcBorders>
                    <w:tl2br w:val="nil"/>
                    <w:tr2bl w:val="nil"/>
                  </w:tcBorders>
                  <w:noWrap w:val="0"/>
                  <w:vAlign w:val="center"/>
                </w:tcPr>
                <w:p w14:paraId="51A66A78">
                  <w:pPr>
                    <w:keepNext w:val="0"/>
                    <w:keepLines w:val="0"/>
                    <w:suppressLineNumbers w:val="0"/>
                    <w:adjustRightInd w:val="0"/>
                    <w:snapToGrid w:val="0"/>
                    <w:spacing w:before="0" w:beforeAutospacing="0" w:after="0" w:afterAutospacing="0" w:line="240" w:lineRule="auto"/>
                    <w:ind w:left="0" w:leftChars="0" w:right="0" w:rightChars="0"/>
                    <w:jc w:val="both"/>
                    <w:textAlignment w:val="baseline"/>
                    <w:rPr>
                      <w:rFonts w:hint="eastAsia" w:eastAsia="宋体"/>
                      <w:color w:val="000000"/>
                      <w:sz w:val="21"/>
                      <w:szCs w:val="21"/>
                      <w:lang w:val="en-US" w:eastAsia="zh-CN"/>
                    </w:rPr>
                  </w:pPr>
                  <w:r>
                    <w:rPr>
                      <w:rFonts w:hint="eastAsia" w:eastAsia="宋体"/>
                      <w:color w:val="000000"/>
                      <w:sz w:val="21"/>
                      <w:szCs w:val="21"/>
                      <w:lang w:val="en-US" w:eastAsia="zh-CN"/>
                    </w:rPr>
                    <w:t>2</w:t>
                  </w:r>
                  <w:r>
                    <w:rPr>
                      <w:rFonts w:hint="eastAsia"/>
                      <w:color w:val="000000"/>
                      <w:sz w:val="21"/>
                      <w:szCs w:val="21"/>
                      <w:lang w:val="en-US" w:eastAsia="zh-CN"/>
                    </w:rPr>
                    <w:t>、</w:t>
                  </w:r>
                  <w:r>
                    <w:rPr>
                      <w:rFonts w:hint="eastAsia" w:eastAsia="宋体"/>
                      <w:color w:val="000000"/>
                      <w:sz w:val="21"/>
                      <w:szCs w:val="21"/>
                      <w:lang w:val="en-US" w:eastAsia="zh-CN"/>
                    </w:rPr>
                    <w:t>新建、扩建“两高”项目单位产品物耗、能耗、水耗等达到清洁生产先进水平。</w:t>
                  </w:r>
                </w:p>
              </w:tc>
              <w:tc>
                <w:tcPr>
                  <w:tcW w:w="970" w:type="pct"/>
                  <w:tcBorders>
                    <w:tl2br w:val="nil"/>
                    <w:tr2bl w:val="nil"/>
                  </w:tcBorders>
                  <w:noWrap w:val="0"/>
                  <w:vAlign w:val="center"/>
                </w:tcPr>
                <w:p w14:paraId="00E8F7D1">
                  <w:pPr>
                    <w:pStyle w:val="51"/>
                    <w:keepNext w:val="0"/>
                    <w:keepLines w:val="0"/>
                    <w:suppressLineNumbers w:val="0"/>
                    <w:spacing w:before="0" w:beforeLines="0" w:beforeAutospacing="0" w:after="0" w:afterLines="0" w:afterAutospacing="0" w:line="240" w:lineRule="auto"/>
                    <w:ind w:left="0" w:right="0" w:firstLine="0" w:firstLineChars="0"/>
                    <w:jc w:val="both"/>
                    <w:rPr>
                      <w:rFonts w:hint="eastAsia" w:ascii="Times New Roman" w:eastAsia="宋体"/>
                      <w:color w:val="000000" w:themeColor="text1"/>
                      <w:sz w:val="21"/>
                      <w:szCs w:val="21"/>
                      <w:lang w:val="en-US" w:eastAsia="zh-CN"/>
                      <w14:textFill>
                        <w14:solidFill>
                          <w14:schemeClr w14:val="tx1"/>
                        </w14:solidFill>
                      </w14:textFill>
                    </w:rPr>
                  </w:pPr>
                  <w:r>
                    <w:rPr>
                      <w:rFonts w:hint="eastAsia" w:ascii="Times New Roman"/>
                      <w:color w:val="000000" w:themeColor="text1"/>
                      <w:sz w:val="21"/>
                      <w:szCs w:val="21"/>
                      <w:lang w:val="en-US" w:eastAsia="zh-CN"/>
                      <w14:textFill>
                        <w14:solidFill>
                          <w14:schemeClr w14:val="tx1"/>
                        </w14:solidFill>
                      </w14:textFill>
                    </w:rPr>
                    <w:t>本项目</w:t>
                  </w:r>
                  <w:r>
                    <w:rPr>
                      <w:rFonts w:hint="eastAsia" w:hAnsi="宋体"/>
                      <w:color w:val="000000"/>
                      <w:sz w:val="21"/>
                      <w:szCs w:val="21"/>
                      <w:lang w:eastAsia="zh-CN"/>
                    </w:rPr>
                    <w:t>不属于“两高”项目。</w:t>
                  </w:r>
                </w:p>
              </w:tc>
              <w:tc>
                <w:tcPr>
                  <w:tcW w:w="348" w:type="pct"/>
                  <w:tcBorders>
                    <w:tl2br w:val="nil"/>
                    <w:tr2bl w:val="nil"/>
                  </w:tcBorders>
                  <w:noWrap w:val="0"/>
                  <w:vAlign w:val="center"/>
                </w:tcPr>
                <w:p w14:paraId="3F920B6F">
                  <w:pPr>
                    <w:pStyle w:val="5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color w:val="000000" w:themeColor="text1"/>
                      <w:sz w:val="21"/>
                      <w:szCs w:val="21"/>
                      <w:lang w:val="en-US" w:eastAsia="zh-CN"/>
                      <w14:textFill>
                        <w14:solidFill>
                          <w14:schemeClr w14:val="tx1"/>
                        </w14:solidFill>
                      </w14:textFill>
                    </w:rPr>
                  </w:pPr>
                  <w:r>
                    <w:rPr>
                      <w:rFonts w:hint="eastAsia" w:ascii="Times New Roman"/>
                      <w:color w:val="000000" w:themeColor="text1"/>
                      <w:sz w:val="21"/>
                      <w:szCs w:val="21"/>
                      <w:lang w:val="en-US" w:eastAsia="zh-CN"/>
                      <w14:textFill>
                        <w14:solidFill>
                          <w14:schemeClr w14:val="tx1"/>
                        </w14:solidFill>
                      </w14:textFill>
                    </w:rPr>
                    <w:t>相符</w:t>
                  </w:r>
                </w:p>
              </w:tc>
            </w:tr>
            <w:tr w14:paraId="02D178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5"/>
                  <w:tcBorders>
                    <w:tl2br w:val="nil"/>
                    <w:tr2bl w:val="nil"/>
                  </w:tcBorders>
                  <w:noWrap w:val="0"/>
                  <w:vAlign w:val="center"/>
                </w:tcPr>
                <w:p w14:paraId="726E4590">
                  <w:pPr>
                    <w:pStyle w:val="5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二、重点区域生态环境管控要求</w:t>
                  </w:r>
                </w:p>
              </w:tc>
            </w:tr>
            <w:tr w14:paraId="65E393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21" w:hRule="atLeast"/>
              </w:trPr>
              <w:tc>
                <w:tcPr>
                  <w:tcW w:w="588" w:type="pct"/>
                  <w:vMerge w:val="restart"/>
                  <w:noWrap w:val="0"/>
                  <w:vAlign w:val="center"/>
                </w:tcPr>
                <w:p w14:paraId="182E5906">
                  <w:pPr>
                    <w:pStyle w:val="51"/>
                    <w:keepNext w:val="0"/>
                    <w:keepLines w:val="0"/>
                    <w:suppressLineNumbers w:val="0"/>
                    <w:spacing w:before="0" w:beforeLines="0" w:beforeAutospacing="0" w:after="0" w:afterLines="0" w:afterAutospacing="0" w:line="240" w:lineRule="auto"/>
                    <w:ind w:left="0" w:right="0" w:firstLine="0" w:firstLineChars="0"/>
                    <w:jc w:val="both"/>
                    <w:rPr>
                      <w:rFonts w:hint="default" w:ascii="Times New Roman"/>
                      <w:color w:val="000000" w:themeColor="text1"/>
                      <w:sz w:val="21"/>
                      <w:szCs w:val="21"/>
                      <w14:textFill>
                        <w14:solidFill>
                          <w14:schemeClr w14:val="tx1"/>
                        </w14:solidFill>
                      </w14:textFill>
                    </w:rPr>
                  </w:pPr>
                  <w:r>
                    <w:rPr>
                      <w:rFonts w:hint="default" w:ascii="Times New Roman"/>
                      <w:color w:val="000000" w:themeColor="text1"/>
                      <w:sz w:val="21"/>
                      <w:szCs w:val="21"/>
                      <w14:textFill>
                        <w14:solidFill>
                          <w14:schemeClr w14:val="tx1"/>
                        </w14:solidFill>
                      </w14:textFill>
                    </w:rPr>
                    <w:t>京津冀及周边地区（郑州、开封、洛阳、平顶山、安阳、鹤壁、新乡、焦作、濮阳、许昌、漯河、三门峡、商丘、周口市以及济源示范区）</w:t>
                  </w:r>
                </w:p>
              </w:tc>
              <w:tc>
                <w:tcPr>
                  <w:tcW w:w="461" w:type="pct"/>
                  <w:noWrap w:val="0"/>
                  <w:vAlign w:val="center"/>
                </w:tcPr>
                <w:p w14:paraId="0C0B4EC5">
                  <w:pPr>
                    <w:pStyle w:val="5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000000" w:themeColor="text1"/>
                      <w:sz w:val="21"/>
                      <w:szCs w:val="21"/>
                      <w14:textFill>
                        <w14:solidFill>
                          <w14:schemeClr w14:val="tx1"/>
                        </w14:solidFill>
                      </w14:textFill>
                    </w:rPr>
                  </w:pPr>
                  <w:r>
                    <w:rPr>
                      <w:rFonts w:hint="default" w:ascii="Times New Roman"/>
                      <w:color w:val="000000" w:themeColor="text1"/>
                      <w:sz w:val="21"/>
                      <w:szCs w:val="21"/>
                      <w14:textFill>
                        <w14:solidFill>
                          <w14:schemeClr w14:val="tx1"/>
                        </w14:solidFill>
                      </w14:textFill>
                    </w:rPr>
                    <w:t>空间布局约束</w:t>
                  </w:r>
                </w:p>
              </w:tc>
              <w:tc>
                <w:tcPr>
                  <w:tcW w:w="2631" w:type="pct"/>
                  <w:noWrap w:val="0"/>
                  <w:vAlign w:val="center"/>
                </w:tcPr>
                <w:p w14:paraId="66854896">
                  <w:pPr>
                    <w:pStyle w:val="51"/>
                    <w:keepNext w:val="0"/>
                    <w:keepLines w:val="0"/>
                    <w:suppressLineNumbers w:val="0"/>
                    <w:spacing w:before="0" w:beforeLines="0" w:beforeAutospacing="0" w:after="0" w:afterLines="0" w:afterAutospacing="0" w:line="240" w:lineRule="auto"/>
                    <w:ind w:left="0" w:right="0" w:firstLine="0" w:firstLineChars="0"/>
                    <w:jc w:val="both"/>
                    <w:rPr>
                      <w:rFonts w:hint="default" w:ascii="Times New Roman"/>
                      <w:color w:val="000000" w:themeColor="text1"/>
                      <w:sz w:val="21"/>
                      <w:szCs w:val="21"/>
                      <w:lang w:val="en-US" w:eastAsia="zh-CN"/>
                      <w14:textFill>
                        <w14:solidFill>
                          <w14:schemeClr w14:val="tx1"/>
                        </w14:solidFill>
                      </w14:textFill>
                    </w:rPr>
                  </w:pPr>
                  <w:r>
                    <w:rPr>
                      <w:rFonts w:hint="default" w:ascii="Times New Roman"/>
                      <w:color w:val="000000" w:themeColor="text1"/>
                      <w:sz w:val="21"/>
                      <w:szCs w:val="21"/>
                      <w:lang w:val="en-US" w:eastAsia="zh-CN"/>
                      <w14:textFill>
                        <w14:solidFill>
                          <w14:schemeClr w14:val="tx1"/>
                        </w14:solidFill>
                      </w14:textFill>
                    </w:rPr>
                    <w:t>1、坚决遏制“两高”项目盲目发展，落实《中共河南省委 河南省人民政府关于深入打好污染防治攻坚战的实施意见》中关于空间布局约束的相关要求。</w:t>
                  </w:r>
                </w:p>
                <w:p w14:paraId="6AA61F4F">
                  <w:pPr>
                    <w:pStyle w:val="51"/>
                    <w:keepNext w:val="0"/>
                    <w:keepLines w:val="0"/>
                    <w:suppressLineNumbers w:val="0"/>
                    <w:spacing w:before="0" w:beforeLines="0" w:beforeAutospacing="0" w:after="0" w:afterLines="0" w:afterAutospacing="0" w:line="240" w:lineRule="auto"/>
                    <w:ind w:left="0" w:right="0" w:firstLine="0" w:firstLineChars="0"/>
                    <w:jc w:val="both"/>
                    <w:rPr>
                      <w:rFonts w:hint="default" w:ascii="Times New Roman"/>
                      <w:color w:val="000000" w:themeColor="text1"/>
                      <w:sz w:val="21"/>
                      <w:szCs w:val="21"/>
                      <w14:textFill>
                        <w14:solidFill>
                          <w14:schemeClr w14:val="tx1"/>
                        </w14:solidFill>
                      </w14:textFill>
                    </w:rPr>
                  </w:pPr>
                  <w:r>
                    <w:rPr>
                      <w:rFonts w:hint="default" w:ascii="Times New Roman"/>
                      <w:color w:val="000000" w:themeColor="text1"/>
                      <w:sz w:val="21"/>
                      <w:szCs w:val="21"/>
                      <w:lang w:val="en-US" w:eastAsia="zh-CN"/>
                      <w14:textFill>
                        <w14:solidFill>
                          <w14:schemeClr w14:val="tx1"/>
                        </w14:solidFill>
                      </w14:textFill>
                    </w:rPr>
                    <w:t>4、优化危险化学品生产布局，禁止在化工园区外新建、扩建危险化学品生产项目。新建危险化学品生产项目必须进入通过认定的一般或较低安全风险的化工园区（与其他行业生产装置配套建设的项目除外）。</w:t>
                  </w:r>
                </w:p>
              </w:tc>
              <w:tc>
                <w:tcPr>
                  <w:tcW w:w="970" w:type="pct"/>
                  <w:noWrap w:val="0"/>
                  <w:vAlign w:val="center"/>
                </w:tcPr>
                <w:p w14:paraId="3D74E484">
                  <w:pPr>
                    <w:pStyle w:val="51"/>
                    <w:keepNext w:val="0"/>
                    <w:keepLines w:val="0"/>
                    <w:suppressLineNumbers w:val="0"/>
                    <w:spacing w:before="0" w:beforeLines="0" w:beforeAutospacing="0" w:after="0" w:afterLines="0" w:afterAutospacing="0" w:line="240" w:lineRule="auto"/>
                    <w:ind w:left="0" w:right="0" w:firstLine="0" w:firstLineChars="0"/>
                    <w:jc w:val="both"/>
                    <w:rPr>
                      <w:rFonts w:hint="default" w:ascii="Times New Roman"/>
                      <w:color w:val="000000" w:themeColor="text1"/>
                      <w:sz w:val="21"/>
                      <w:szCs w:val="21"/>
                      <w14:textFill>
                        <w14:solidFill>
                          <w14:schemeClr w14:val="tx1"/>
                        </w14:solidFill>
                      </w14:textFill>
                    </w:rPr>
                  </w:pPr>
                  <w:r>
                    <w:rPr>
                      <w:rFonts w:hint="eastAsia" w:ascii="Times New Roman"/>
                      <w:color w:val="000000" w:themeColor="text1"/>
                      <w:sz w:val="21"/>
                      <w:szCs w:val="21"/>
                      <w:lang w:val="en-US" w:eastAsia="zh-CN"/>
                      <w14:textFill>
                        <w14:solidFill>
                          <w14:schemeClr w14:val="tx1"/>
                        </w14:solidFill>
                      </w14:textFill>
                    </w:rPr>
                    <w:t>1、</w:t>
                  </w:r>
                  <w:r>
                    <w:rPr>
                      <w:rFonts w:hint="default" w:ascii="Times New Roman"/>
                      <w:color w:val="000000" w:themeColor="text1"/>
                      <w:sz w:val="21"/>
                      <w:szCs w:val="21"/>
                      <w14:textFill>
                        <w14:solidFill>
                          <w14:schemeClr w14:val="tx1"/>
                        </w14:solidFill>
                      </w14:textFill>
                    </w:rPr>
                    <w:t>本项目</w:t>
                  </w:r>
                  <w:r>
                    <w:rPr>
                      <w:rFonts w:hint="eastAsia" w:ascii="Times New Roman"/>
                      <w:color w:val="000000" w:themeColor="text1"/>
                      <w:sz w:val="21"/>
                      <w:szCs w:val="21"/>
                      <w:lang w:val="en-US" w:eastAsia="zh-CN"/>
                      <w14:textFill>
                        <w14:solidFill>
                          <w14:schemeClr w14:val="tx1"/>
                        </w14:solidFill>
                      </w14:textFill>
                    </w:rPr>
                    <w:t>为锂离子电池制造，</w:t>
                  </w:r>
                  <w:r>
                    <w:rPr>
                      <w:rFonts w:hint="default" w:ascii="Times New Roman"/>
                      <w:color w:val="000000" w:themeColor="text1"/>
                      <w:sz w:val="21"/>
                      <w:szCs w:val="21"/>
                      <w14:textFill>
                        <w14:solidFill>
                          <w14:schemeClr w14:val="tx1"/>
                        </w14:solidFill>
                      </w14:textFill>
                    </w:rPr>
                    <w:t>不属于“两高”项目。</w:t>
                  </w:r>
                </w:p>
                <w:p w14:paraId="0F51B0FC">
                  <w:pPr>
                    <w:keepNext w:val="0"/>
                    <w:keepLines w:val="0"/>
                    <w:suppressLineNumbers w:val="0"/>
                    <w:spacing w:before="0" w:beforeAutospacing="0" w:after="0" w:afterAutospacing="0"/>
                    <w:ind w:left="0" w:right="0"/>
                    <w:rPr>
                      <w:rFonts w:hint="default" w:eastAsia="宋体"/>
                      <w:lang w:val="en-US" w:eastAsia="zh-CN"/>
                    </w:rPr>
                  </w:pPr>
                  <w:r>
                    <w:rPr>
                      <w:rFonts w:hint="eastAsia"/>
                      <w:color w:val="000000" w:themeColor="text1"/>
                      <w:sz w:val="21"/>
                      <w:szCs w:val="21"/>
                      <w:lang w:val="en-US" w:eastAsia="zh-CN"/>
                      <w14:textFill>
                        <w14:solidFill>
                          <w14:schemeClr w14:val="tx1"/>
                        </w14:solidFill>
                      </w14:textFill>
                    </w:rPr>
                    <w:t>2、本项目不属于危险化学品生产项目。</w:t>
                  </w:r>
                </w:p>
              </w:tc>
              <w:tc>
                <w:tcPr>
                  <w:tcW w:w="348" w:type="pct"/>
                  <w:noWrap w:val="0"/>
                  <w:vAlign w:val="center"/>
                </w:tcPr>
                <w:p w14:paraId="29FBBE83">
                  <w:pPr>
                    <w:pStyle w:val="5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000000" w:themeColor="text1"/>
                      <w:sz w:val="21"/>
                      <w:szCs w:val="21"/>
                      <w14:textFill>
                        <w14:solidFill>
                          <w14:schemeClr w14:val="tx1"/>
                        </w14:solidFill>
                      </w14:textFill>
                    </w:rPr>
                  </w:pPr>
                  <w:r>
                    <w:rPr>
                      <w:rFonts w:hint="default" w:ascii="Times New Roman"/>
                      <w:color w:val="000000" w:themeColor="text1"/>
                      <w:sz w:val="21"/>
                      <w:szCs w:val="21"/>
                      <w14:textFill>
                        <w14:solidFill>
                          <w14:schemeClr w14:val="tx1"/>
                        </w14:solidFill>
                      </w14:textFill>
                    </w:rPr>
                    <w:t>相符</w:t>
                  </w:r>
                </w:p>
              </w:tc>
            </w:tr>
            <w:tr w14:paraId="692FA6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8" w:type="pct"/>
                  <w:vMerge w:val="continue"/>
                  <w:noWrap w:val="0"/>
                  <w:vAlign w:val="center"/>
                </w:tcPr>
                <w:p w14:paraId="50D86F18">
                  <w:pPr>
                    <w:pStyle w:val="5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000000" w:themeColor="text1"/>
                      <w:sz w:val="21"/>
                      <w:szCs w:val="21"/>
                      <w14:textFill>
                        <w14:solidFill>
                          <w14:schemeClr w14:val="tx1"/>
                        </w14:solidFill>
                      </w14:textFill>
                    </w:rPr>
                  </w:pPr>
                </w:p>
              </w:tc>
              <w:tc>
                <w:tcPr>
                  <w:tcW w:w="461" w:type="pct"/>
                  <w:noWrap w:val="0"/>
                  <w:vAlign w:val="center"/>
                </w:tcPr>
                <w:p w14:paraId="0FB181E0">
                  <w:pPr>
                    <w:pStyle w:val="5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000000" w:themeColor="text1"/>
                      <w:sz w:val="21"/>
                      <w:szCs w:val="21"/>
                      <w14:textFill>
                        <w14:solidFill>
                          <w14:schemeClr w14:val="tx1"/>
                        </w14:solidFill>
                      </w14:textFill>
                    </w:rPr>
                  </w:pPr>
                  <w:r>
                    <w:rPr>
                      <w:rFonts w:hint="default" w:ascii="Times New Roman"/>
                      <w:color w:val="000000" w:themeColor="text1"/>
                      <w:sz w:val="21"/>
                      <w:szCs w:val="21"/>
                      <w14:textFill>
                        <w14:solidFill>
                          <w14:schemeClr w14:val="tx1"/>
                        </w14:solidFill>
                      </w14:textFill>
                    </w:rPr>
                    <w:t>污染物排放管控</w:t>
                  </w:r>
                </w:p>
              </w:tc>
              <w:tc>
                <w:tcPr>
                  <w:tcW w:w="2631" w:type="pct"/>
                  <w:noWrap w:val="0"/>
                  <w:vAlign w:val="center"/>
                </w:tcPr>
                <w:p w14:paraId="720A02E2">
                  <w:pPr>
                    <w:pStyle w:val="51"/>
                    <w:keepNext w:val="0"/>
                    <w:keepLines w:val="0"/>
                    <w:suppressLineNumbers w:val="0"/>
                    <w:spacing w:before="0" w:beforeLines="0" w:beforeAutospacing="0" w:after="0" w:afterLines="0" w:afterAutospacing="0" w:line="240" w:lineRule="auto"/>
                    <w:ind w:left="0" w:right="0" w:firstLine="0" w:firstLineChars="0"/>
                    <w:jc w:val="both"/>
                    <w:rPr>
                      <w:rFonts w:hint="default" w:ascii="Times New Roman"/>
                      <w:color w:val="000000" w:themeColor="text1"/>
                      <w:sz w:val="21"/>
                      <w:szCs w:val="21"/>
                      <w:lang w:val="en-US" w:eastAsia="zh-CN"/>
                      <w14:textFill>
                        <w14:solidFill>
                          <w14:schemeClr w14:val="tx1"/>
                        </w14:solidFill>
                      </w14:textFill>
                    </w:rPr>
                  </w:pPr>
                  <w:r>
                    <w:rPr>
                      <w:rFonts w:hint="default" w:ascii="Times New Roman"/>
                      <w:color w:val="000000" w:themeColor="text1"/>
                      <w:sz w:val="21"/>
                      <w:szCs w:val="21"/>
                      <w:lang w:val="en-US" w:eastAsia="zh-CN"/>
                      <w14:textFill>
                        <w14:solidFill>
                          <w14:schemeClr w14:val="tx1"/>
                        </w14:solidFill>
                      </w14:textFill>
                    </w:rPr>
                    <w:t>1、落实超低排放要求、无组织排放特别控制要求。</w:t>
                  </w:r>
                </w:p>
                <w:p w14:paraId="0973738F">
                  <w:pPr>
                    <w:pStyle w:val="51"/>
                    <w:keepNext w:val="0"/>
                    <w:keepLines w:val="0"/>
                    <w:suppressLineNumbers w:val="0"/>
                    <w:spacing w:before="0" w:beforeLines="0" w:beforeAutospacing="0" w:after="0" w:afterLines="0" w:afterAutospacing="0" w:line="240" w:lineRule="auto"/>
                    <w:ind w:left="0" w:right="0" w:firstLine="0" w:firstLineChars="0"/>
                    <w:jc w:val="both"/>
                    <w:rPr>
                      <w:rFonts w:hint="default" w:ascii="Times New Roman"/>
                      <w:color w:val="000000" w:themeColor="text1"/>
                      <w:sz w:val="21"/>
                      <w:szCs w:val="21"/>
                      <w14:textFill>
                        <w14:solidFill>
                          <w14:schemeClr w14:val="tx1"/>
                        </w14:solidFill>
                      </w14:textFill>
                    </w:rPr>
                  </w:pPr>
                  <w:r>
                    <w:rPr>
                      <w:rFonts w:hint="default" w:ascii="Times New Roman"/>
                      <w:color w:val="000000" w:themeColor="text1"/>
                      <w:sz w:val="21"/>
                      <w:szCs w:val="21"/>
                      <w:lang w:val="en-US" w:eastAsia="zh-CN"/>
                      <w14:textFill>
                        <w14:solidFill>
                          <w14:schemeClr w14:val="tx1"/>
                        </w14:solidFill>
                      </w14:textFill>
                    </w:rPr>
                    <w:t>2、聚焦夏秋季臭氧污染，推进挥发性有机物和氮氧化物协同减排。以石化、化工、涂装、医药、包装印刷、油品储运销等行业领域为重点，推进挥发性有机物综合治理，实施原辅材料和产品源头替代工程。</w:t>
                  </w:r>
                </w:p>
              </w:tc>
              <w:tc>
                <w:tcPr>
                  <w:tcW w:w="970" w:type="pct"/>
                  <w:noWrap w:val="0"/>
                  <w:vAlign w:val="center"/>
                </w:tcPr>
                <w:p w14:paraId="6D9D4F02">
                  <w:pPr>
                    <w:pStyle w:val="51"/>
                    <w:keepNext w:val="0"/>
                    <w:keepLines w:val="0"/>
                    <w:suppressLineNumbers w:val="0"/>
                    <w:spacing w:before="0" w:beforeLines="0" w:beforeAutospacing="0" w:after="0" w:afterLines="0" w:afterAutospacing="0" w:line="240" w:lineRule="auto"/>
                    <w:ind w:left="0" w:right="0" w:firstLine="0" w:firstLineChars="0"/>
                    <w:jc w:val="both"/>
                    <w:rPr>
                      <w:rFonts w:hint="default" w:ascii="Times New Roman" w:eastAsia="宋体"/>
                      <w:color w:val="000000" w:themeColor="text1"/>
                      <w:sz w:val="21"/>
                      <w:szCs w:val="21"/>
                      <w:lang w:val="en-US" w:eastAsia="zh-CN"/>
                      <w14:textFill>
                        <w14:solidFill>
                          <w14:schemeClr w14:val="tx1"/>
                        </w14:solidFill>
                      </w14:textFill>
                    </w:rPr>
                  </w:pPr>
                  <w:r>
                    <w:rPr>
                      <w:rFonts w:hint="default" w:ascii="Times New Roman"/>
                      <w:color w:val="000000" w:themeColor="text1"/>
                      <w:sz w:val="21"/>
                      <w:szCs w:val="21"/>
                      <w14:textFill>
                        <w14:solidFill>
                          <w14:schemeClr w14:val="tx1"/>
                        </w14:solidFill>
                      </w14:textFill>
                    </w:rPr>
                    <w:t>本项目符合超低排放要求、无组织排放特别控制要求</w:t>
                  </w:r>
                  <w:r>
                    <w:rPr>
                      <w:rFonts w:hint="eastAsia" w:ascii="Times New Roman"/>
                      <w:color w:val="000000" w:themeColor="text1"/>
                      <w:sz w:val="21"/>
                      <w:szCs w:val="21"/>
                      <w:lang w:val="en-US" w:eastAsia="zh-CN"/>
                      <w14:textFill>
                        <w14:solidFill>
                          <w14:schemeClr w14:val="tx1"/>
                        </w14:solidFill>
                      </w14:textFill>
                    </w:rPr>
                    <w:t>。</w:t>
                  </w:r>
                </w:p>
              </w:tc>
              <w:tc>
                <w:tcPr>
                  <w:tcW w:w="348" w:type="pct"/>
                  <w:noWrap w:val="0"/>
                  <w:vAlign w:val="center"/>
                </w:tcPr>
                <w:p w14:paraId="64926EF4">
                  <w:pPr>
                    <w:pStyle w:val="5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000000" w:themeColor="text1"/>
                      <w:sz w:val="21"/>
                      <w:szCs w:val="21"/>
                      <w14:textFill>
                        <w14:solidFill>
                          <w14:schemeClr w14:val="tx1"/>
                        </w14:solidFill>
                      </w14:textFill>
                    </w:rPr>
                  </w:pPr>
                  <w:r>
                    <w:rPr>
                      <w:rFonts w:hint="default" w:ascii="Times New Roman"/>
                      <w:color w:val="000000" w:themeColor="text1"/>
                      <w:sz w:val="21"/>
                      <w:szCs w:val="21"/>
                      <w14:textFill>
                        <w14:solidFill>
                          <w14:schemeClr w14:val="tx1"/>
                        </w14:solidFill>
                      </w14:textFill>
                    </w:rPr>
                    <w:t>相符</w:t>
                  </w:r>
                </w:p>
              </w:tc>
            </w:tr>
            <w:tr w14:paraId="73CA61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88" w:type="pct"/>
                  <w:vMerge w:val="continue"/>
                  <w:noWrap w:val="0"/>
                  <w:vAlign w:val="center"/>
                </w:tcPr>
                <w:p w14:paraId="645B00B8">
                  <w:pPr>
                    <w:pStyle w:val="5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000000" w:themeColor="text1"/>
                      <w:sz w:val="21"/>
                      <w:szCs w:val="21"/>
                      <w14:textFill>
                        <w14:solidFill>
                          <w14:schemeClr w14:val="tx1"/>
                        </w14:solidFill>
                      </w14:textFill>
                    </w:rPr>
                  </w:pPr>
                </w:p>
              </w:tc>
              <w:tc>
                <w:tcPr>
                  <w:tcW w:w="461" w:type="pct"/>
                  <w:noWrap w:val="0"/>
                  <w:vAlign w:val="center"/>
                </w:tcPr>
                <w:p w14:paraId="2839D2EB">
                  <w:pPr>
                    <w:keepNext w:val="0"/>
                    <w:keepLines w:val="0"/>
                    <w:suppressLineNumbers w:val="0"/>
                    <w:adjustRightInd w:val="0"/>
                    <w:snapToGrid w:val="0"/>
                    <w:spacing w:before="0" w:beforeAutospacing="0" w:after="0" w:afterAutospacing="0" w:line="240" w:lineRule="auto"/>
                    <w:ind w:left="0" w:leftChars="0" w:right="0" w:rightChars="0"/>
                    <w:jc w:val="center"/>
                    <w:textAlignment w:val="baseline"/>
                    <w:rPr>
                      <w:rFonts w:hint="default" w:ascii="Times New Roman"/>
                      <w:color w:val="000000" w:themeColor="text1"/>
                      <w:sz w:val="21"/>
                      <w:szCs w:val="21"/>
                      <w14:textFill>
                        <w14:solidFill>
                          <w14:schemeClr w14:val="tx1"/>
                        </w14:solidFill>
                      </w14:textFill>
                    </w:rPr>
                  </w:pPr>
                  <w:r>
                    <w:rPr>
                      <w:rFonts w:hint="default"/>
                      <w:color w:val="000000"/>
                      <w:sz w:val="21"/>
                      <w:szCs w:val="21"/>
                      <w:highlight w:val="none"/>
                      <w:lang w:val="en-US" w:eastAsia="zh-CN"/>
                    </w:rPr>
                    <w:t>环境风险防控</w:t>
                  </w:r>
                </w:p>
              </w:tc>
              <w:tc>
                <w:tcPr>
                  <w:tcW w:w="2631" w:type="pct"/>
                  <w:noWrap w:val="0"/>
                  <w:vAlign w:val="center"/>
                </w:tcPr>
                <w:p w14:paraId="230414A7">
                  <w:pPr>
                    <w:keepNext w:val="0"/>
                    <w:keepLines w:val="0"/>
                    <w:suppressLineNumbers w:val="0"/>
                    <w:adjustRightInd w:val="0"/>
                    <w:snapToGrid w:val="0"/>
                    <w:spacing w:before="0" w:beforeAutospacing="0" w:after="0" w:afterAutospacing="0" w:line="240" w:lineRule="auto"/>
                    <w:ind w:left="0" w:leftChars="0" w:right="0" w:rightChars="0"/>
                    <w:jc w:val="left"/>
                    <w:textAlignment w:val="baseline"/>
                    <w:rPr>
                      <w:rFonts w:hint="default" w:ascii="Times New Roman"/>
                      <w:color w:val="000000" w:themeColor="text1"/>
                      <w:sz w:val="21"/>
                      <w:szCs w:val="21"/>
                      <w:lang w:val="en-US" w:eastAsia="zh-CN"/>
                      <w14:textFill>
                        <w14:solidFill>
                          <w14:schemeClr w14:val="tx1"/>
                        </w14:solidFill>
                      </w14:textFill>
                    </w:rPr>
                  </w:pPr>
                  <w:r>
                    <w:rPr>
                      <w:rFonts w:hint="default"/>
                      <w:color w:val="000000"/>
                      <w:sz w:val="21"/>
                      <w:szCs w:val="21"/>
                      <w:highlight w:val="none"/>
                      <w:lang w:val="en-US" w:eastAsia="zh-CN"/>
                    </w:rPr>
                    <w:t>1</w:t>
                  </w:r>
                  <w:r>
                    <w:rPr>
                      <w:rFonts w:hint="eastAsia"/>
                      <w:color w:val="000000"/>
                      <w:sz w:val="21"/>
                      <w:szCs w:val="21"/>
                      <w:highlight w:val="none"/>
                      <w:lang w:val="en-US" w:eastAsia="zh-CN"/>
                    </w:rPr>
                    <w:t>、</w:t>
                  </w:r>
                  <w:r>
                    <w:rPr>
                      <w:rFonts w:hint="default"/>
                      <w:color w:val="000000"/>
                      <w:sz w:val="21"/>
                      <w:szCs w:val="21"/>
                      <w:highlight w:val="none"/>
                      <w:lang w:val="en-US" w:eastAsia="zh-CN"/>
                    </w:rPr>
                    <w:t>对无法实现低VOC</w:t>
                  </w:r>
                  <w:r>
                    <w:rPr>
                      <w:rFonts w:hint="eastAsia"/>
                      <w:color w:val="000000"/>
                      <w:sz w:val="21"/>
                      <w:szCs w:val="21"/>
                      <w:highlight w:val="none"/>
                      <w:vertAlign w:val="subscript"/>
                      <w:lang w:val="en-US" w:eastAsia="zh-CN"/>
                    </w:rPr>
                    <w:t>S</w:t>
                  </w:r>
                  <w:r>
                    <w:rPr>
                      <w:rFonts w:hint="default"/>
                      <w:color w:val="000000"/>
                      <w:sz w:val="21"/>
                      <w:szCs w:val="21"/>
                      <w:highlight w:val="none"/>
                      <w:lang w:val="en-US" w:eastAsia="zh-CN"/>
                    </w:rPr>
                    <w:t>原辅材料替代的工序，在保证安全情况下，应在密闭设备、密闭空间作业或安装二次密闭设施。</w:t>
                  </w:r>
                </w:p>
              </w:tc>
              <w:tc>
                <w:tcPr>
                  <w:tcW w:w="970" w:type="pct"/>
                  <w:noWrap w:val="0"/>
                  <w:vAlign w:val="center"/>
                </w:tcPr>
                <w:p w14:paraId="037F14C2">
                  <w:pPr>
                    <w:pStyle w:val="51"/>
                    <w:keepNext w:val="0"/>
                    <w:keepLines w:val="0"/>
                    <w:suppressLineNumbers w:val="0"/>
                    <w:spacing w:before="0" w:beforeLines="0" w:beforeAutospacing="0" w:after="0" w:afterLines="0" w:afterAutospacing="0" w:line="240" w:lineRule="auto"/>
                    <w:ind w:left="0" w:right="0" w:firstLine="0" w:firstLineChars="0"/>
                    <w:jc w:val="both"/>
                    <w:rPr>
                      <w:rFonts w:hint="eastAsia" w:ascii="Times New Roman" w:eastAsia="宋体"/>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本项目</w:t>
                  </w:r>
                  <w:r>
                    <w:rPr>
                      <w:rFonts w:hint="eastAsia" w:ascii="Times New Roman" w:cs="Times New Roman"/>
                      <w:color w:val="000000" w:themeColor="text1"/>
                      <w:sz w:val="21"/>
                      <w:szCs w:val="21"/>
                      <w:highlight w:val="none"/>
                      <w:lang w:val="en-US" w:eastAsia="zh-CN"/>
                      <w14:textFill>
                        <w14:solidFill>
                          <w14:schemeClr w14:val="tx1"/>
                        </w14:solidFill>
                      </w14:textFill>
                    </w:rPr>
                    <w:t>不使用含VOCs原辅料</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348" w:type="pct"/>
                  <w:noWrap w:val="0"/>
                  <w:vAlign w:val="center"/>
                </w:tcPr>
                <w:p w14:paraId="7B7DE22F">
                  <w:pPr>
                    <w:pStyle w:val="5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000000" w:themeColor="text1"/>
                      <w:sz w:val="21"/>
                      <w:szCs w:val="21"/>
                      <w14:textFill>
                        <w14:solidFill>
                          <w14:schemeClr w14:val="tx1"/>
                        </w14:solidFill>
                      </w14:textFill>
                    </w:rPr>
                  </w:pPr>
                  <w:r>
                    <w:rPr>
                      <w:rFonts w:hint="default" w:ascii="Times New Roman"/>
                      <w:color w:val="000000" w:themeColor="text1"/>
                      <w:sz w:val="21"/>
                      <w:szCs w:val="21"/>
                      <w14:textFill>
                        <w14:solidFill>
                          <w14:schemeClr w14:val="tx1"/>
                        </w14:solidFill>
                      </w14:textFill>
                    </w:rPr>
                    <w:t>相符</w:t>
                  </w:r>
                </w:p>
              </w:tc>
            </w:tr>
            <w:tr w14:paraId="5D0429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5"/>
                  <w:noWrap w:val="0"/>
                  <w:vAlign w:val="center"/>
                </w:tcPr>
                <w:p w14:paraId="40454353">
                  <w:pPr>
                    <w:pStyle w:val="5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000000" w:themeColor="text1"/>
                      <w:sz w:val="21"/>
                      <w:szCs w:val="21"/>
                      <w:lang w:val="en-US" w:eastAsia="zh-CN"/>
                      <w14:textFill>
                        <w14:solidFill>
                          <w14:schemeClr w14:val="tx1"/>
                        </w14:solidFill>
                      </w14:textFill>
                    </w:rPr>
                  </w:pPr>
                  <w:r>
                    <w:rPr>
                      <w:rFonts w:hint="eastAsia" w:ascii="Times New Roman"/>
                      <w:color w:val="000000" w:themeColor="text1"/>
                      <w:sz w:val="21"/>
                      <w:szCs w:val="21"/>
                      <w:lang w:val="en-US" w:eastAsia="zh-CN"/>
                      <w14:textFill>
                        <w14:solidFill>
                          <w14:schemeClr w14:val="tx1"/>
                        </w14:solidFill>
                      </w14:textFill>
                    </w:rPr>
                    <w:t>三、重点流域生态环境管控要求</w:t>
                  </w:r>
                </w:p>
              </w:tc>
            </w:tr>
            <w:tr w14:paraId="6C9AC3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88" w:type="pct"/>
                  <w:vMerge w:val="restart"/>
                  <w:noWrap w:val="0"/>
                  <w:vAlign w:val="center"/>
                </w:tcPr>
                <w:p w14:paraId="4D35D923">
                  <w:pPr>
                    <w:pStyle w:val="5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000000" w:themeColor="text1"/>
                      <w:sz w:val="21"/>
                      <w:szCs w:val="21"/>
                      <w:lang w:val="en-US" w:eastAsia="zh-CN"/>
                      <w14:textFill>
                        <w14:solidFill>
                          <w14:schemeClr w14:val="tx1"/>
                        </w14:solidFill>
                      </w14:textFill>
                    </w:rPr>
                  </w:pPr>
                  <w:r>
                    <w:rPr>
                      <w:rFonts w:hint="eastAsia" w:ascii="Times New Roman"/>
                      <w:color w:val="000000" w:themeColor="text1"/>
                      <w:sz w:val="21"/>
                      <w:szCs w:val="21"/>
                      <w:lang w:val="en-US" w:eastAsia="zh-CN"/>
                      <w14:textFill>
                        <w14:solidFill>
                          <w14:schemeClr w14:val="tx1"/>
                        </w14:solidFill>
                      </w14:textFill>
                    </w:rPr>
                    <w:t>省辖海河流域</w:t>
                  </w:r>
                </w:p>
              </w:tc>
              <w:tc>
                <w:tcPr>
                  <w:tcW w:w="461" w:type="pct"/>
                  <w:noWrap w:val="0"/>
                  <w:vAlign w:val="center"/>
                </w:tcPr>
                <w:p w14:paraId="7423CCA2">
                  <w:pPr>
                    <w:keepNext w:val="0"/>
                    <w:keepLines w:val="0"/>
                    <w:suppressLineNumbers w:val="0"/>
                    <w:adjustRightInd w:val="0"/>
                    <w:snapToGrid w:val="0"/>
                    <w:spacing w:before="0" w:beforeAutospacing="0" w:after="0" w:afterAutospacing="0" w:line="240" w:lineRule="auto"/>
                    <w:ind w:left="0" w:leftChars="0" w:right="0" w:rightChars="0"/>
                    <w:jc w:val="center"/>
                    <w:textAlignment w:val="baseline"/>
                    <w:rPr>
                      <w:rFonts w:hint="default"/>
                      <w:color w:val="000000"/>
                      <w:sz w:val="21"/>
                      <w:szCs w:val="21"/>
                      <w:highlight w:val="none"/>
                      <w:lang w:val="en-US" w:eastAsia="zh-CN"/>
                    </w:rPr>
                  </w:pPr>
                  <w:r>
                    <w:rPr>
                      <w:rFonts w:hint="eastAsia"/>
                      <w:color w:val="000000"/>
                      <w:sz w:val="21"/>
                      <w:szCs w:val="21"/>
                      <w:highlight w:val="none"/>
                      <w:lang w:val="en-US" w:eastAsia="zh-CN"/>
                    </w:rPr>
                    <w:t>空间布局约束</w:t>
                  </w:r>
                </w:p>
              </w:tc>
              <w:tc>
                <w:tcPr>
                  <w:tcW w:w="2631" w:type="pct"/>
                  <w:noWrap w:val="0"/>
                  <w:vAlign w:val="center"/>
                </w:tcPr>
                <w:p w14:paraId="6FF7397F">
                  <w:pPr>
                    <w:keepNext w:val="0"/>
                    <w:keepLines w:val="0"/>
                    <w:widowControl/>
                    <w:suppressLineNumbers w:val="0"/>
                    <w:spacing w:before="0" w:beforeAutospacing="0" w:after="0" w:afterAutospacing="0"/>
                    <w:ind w:left="0" w:right="0"/>
                    <w:jc w:val="both"/>
                    <w:rPr>
                      <w:rFonts w:hint="default"/>
                      <w:color w:val="000000"/>
                      <w:sz w:val="21"/>
                      <w:szCs w:val="21"/>
                      <w:highlight w:val="none"/>
                      <w:lang w:val="en-US" w:eastAsia="zh-CN"/>
                    </w:rPr>
                  </w:pPr>
                  <w:r>
                    <w:rPr>
                      <w:rFonts w:hint="default" w:ascii="Times New Roman" w:hAnsi="Times New Roman" w:eastAsia="宋体" w:cs="Times New Roman"/>
                      <w:color w:val="000000"/>
                      <w:kern w:val="0"/>
                      <w:sz w:val="21"/>
                      <w:szCs w:val="21"/>
                      <w:lang w:val="en-US" w:eastAsia="zh-CN" w:bidi="ar"/>
                    </w:rPr>
                    <w:t>1.严格限制造纸、印染等高耗水、重污染产业发展。</w:t>
                  </w:r>
                </w:p>
              </w:tc>
              <w:tc>
                <w:tcPr>
                  <w:tcW w:w="970" w:type="pct"/>
                  <w:noWrap w:val="0"/>
                  <w:vAlign w:val="center"/>
                </w:tcPr>
                <w:p w14:paraId="4D8C8D91">
                  <w:pPr>
                    <w:pStyle w:val="51"/>
                    <w:keepNext w:val="0"/>
                    <w:keepLines w:val="0"/>
                    <w:suppressLineNumbers w:val="0"/>
                    <w:spacing w:before="0" w:beforeLines="0" w:beforeAutospacing="0" w:after="0" w:afterLines="0" w:afterAutospacing="0" w:line="240" w:lineRule="auto"/>
                    <w:ind w:left="0" w:right="0" w:firstLine="0" w:firstLineChars="0"/>
                    <w:jc w:val="both"/>
                    <w:rPr>
                      <w:rFonts w:hint="default" w:ascii="Times New Roman"/>
                      <w:color w:val="000000" w:themeColor="text1"/>
                      <w:sz w:val="21"/>
                      <w:szCs w:val="21"/>
                      <w:highlight w:val="none"/>
                      <w:lang w:val="en-US" w:eastAsia="zh-CN"/>
                      <w14:textFill>
                        <w14:solidFill>
                          <w14:schemeClr w14:val="tx1"/>
                        </w14:solidFill>
                      </w14:textFill>
                    </w:rPr>
                  </w:pPr>
                  <w:r>
                    <w:rPr>
                      <w:rFonts w:hint="eastAsia" w:ascii="Times New Roman"/>
                      <w:color w:val="000000" w:themeColor="text1"/>
                      <w:sz w:val="21"/>
                      <w:szCs w:val="21"/>
                      <w:highlight w:val="none"/>
                      <w:lang w:val="en-US" w:eastAsia="zh-CN"/>
                      <w14:textFill>
                        <w14:solidFill>
                          <w14:schemeClr w14:val="tx1"/>
                        </w14:solidFill>
                      </w14:textFill>
                    </w:rPr>
                    <w:t>本项目为锂离子电池制造，不属于高耗水、重污染产业。</w:t>
                  </w:r>
                </w:p>
              </w:tc>
              <w:tc>
                <w:tcPr>
                  <w:tcW w:w="348" w:type="pct"/>
                  <w:noWrap w:val="0"/>
                  <w:vAlign w:val="center"/>
                </w:tcPr>
                <w:p w14:paraId="5672DDA4">
                  <w:pPr>
                    <w:pStyle w:val="5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color w:val="000000" w:themeColor="text1"/>
                      <w:sz w:val="21"/>
                      <w:szCs w:val="21"/>
                      <w:lang w:val="en-US" w:eastAsia="zh-CN"/>
                      <w14:textFill>
                        <w14:solidFill>
                          <w14:schemeClr w14:val="tx1"/>
                        </w14:solidFill>
                      </w14:textFill>
                    </w:rPr>
                  </w:pPr>
                  <w:r>
                    <w:rPr>
                      <w:rFonts w:hint="eastAsia" w:ascii="Times New Roman"/>
                      <w:color w:val="000000" w:themeColor="text1"/>
                      <w:sz w:val="21"/>
                      <w:szCs w:val="21"/>
                      <w:lang w:val="en-US" w:eastAsia="zh-CN"/>
                      <w14:textFill>
                        <w14:solidFill>
                          <w14:schemeClr w14:val="tx1"/>
                        </w14:solidFill>
                      </w14:textFill>
                    </w:rPr>
                    <w:t>相符</w:t>
                  </w:r>
                </w:p>
              </w:tc>
            </w:tr>
            <w:tr w14:paraId="0699FF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5" w:hRule="atLeast"/>
              </w:trPr>
              <w:tc>
                <w:tcPr>
                  <w:tcW w:w="588" w:type="pct"/>
                  <w:vMerge w:val="continue"/>
                  <w:tcBorders>
                    <w:bottom w:val="single" w:color="auto" w:sz="8" w:space="0"/>
                  </w:tcBorders>
                  <w:noWrap w:val="0"/>
                  <w:vAlign w:val="center"/>
                </w:tcPr>
                <w:p w14:paraId="6FE3DC33">
                  <w:pPr>
                    <w:pStyle w:val="51"/>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000000" w:themeColor="text1"/>
                      <w:sz w:val="21"/>
                      <w:szCs w:val="21"/>
                      <w:lang w:val="en-US" w:eastAsia="zh-CN"/>
                      <w14:textFill>
                        <w14:solidFill>
                          <w14:schemeClr w14:val="tx1"/>
                        </w14:solidFill>
                      </w14:textFill>
                    </w:rPr>
                  </w:pPr>
                </w:p>
              </w:tc>
              <w:tc>
                <w:tcPr>
                  <w:tcW w:w="461" w:type="pct"/>
                  <w:tcBorders>
                    <w:bottom w:val="single" w:color="auto" w:sz="8" w:space="0"/>
                  </w:tcBorders>
                  <w:noWrap w:val="0"/>
                  <w:vAlign w:val="center"/>
                </w:tcPr>
                <w:p w14:paraId="2E54D070">
                  <w:pPr>
                    <w:keepNext w:val="0"/>
                    <w:keepLines w:val="0"/>
                    <w:suppressLineNumbers w:val="0"/>
                    <w:adjustRightInd w:val="0"/>
                    <w:snapToGrid w:val="0"/>
                    <w:spacing w:before="0" w:beforeAutospacing="0" w:after="0" w:afterAutospacing="0" w:line="240" w:lineRule="auto"/>
                    <w:ind w:left="0" w:leftChars="0" w:right="0" w:rightChars="0"/>
                    <w:jc w:val="center"/>
                    <w:textAlignment w:val="baseline"/>
                    <w:rPr>
                      <w:rFonts w:hint="eastAsia"/>
                      <w:color w:val="000000"/>
                      <w:sz w:val="21"/>
                      <w:szCs w:val="21"/>
                      <w:highlight w:val="none"/>
                      <w:lang w:val="en-US" w:eastAsia="zh-CN"/>
                    </w:rPr>
                  </w:pPr>
                  <w:r>
                    <w:rPr>
                      <w:rFonts w:hint="eastAsia"/>
                      <w:color w:val="000000"/>
                      <w:sz w:val="21"/>
                      <w:szCs w:val="21"/>
                      <w:highlight w:val="none"/>
                      <w:lang w:val="en-US" w:eastAsia="zh-CN"/>
                    </w:rPr>
                    <w:t>环境风险防控</w:t>
                  </w:r>
                </w:p>
              </w:tc>
              <w:tc>
                <w:tcPr>
                  <w:tcW w:w="2631" w:type="pct"/>
                  <w:tcBorders>
                    <w:bottom w:val="single" w:color="auto" w:sz="8" w:space="0"/>
                  </w:tcBorders>
                  <w:noWrap w:val="0"/>
                  <w:vAlign w:val="center"/>
                </w:tcPr>
                <w:p w14:paraId="4CAC7307">
                  <w:pPr>
                    <w:keepNext w:val="0"/>
                    <w:keepLines w:val="0"/>
                    <w:widowControl/>
                    <w:suppressLineNumbers w:val="0"/>
                    <w:spacing w:before="0" w:beforeAutospacing="0" w:after="0" w:afterAutospacing="0"/>
                    <w:ind w:left="0" w:right="0"/>
                    <w:jc w:val="left"/>
                    <w:rPr>
                      <w:rFonts w:hint="default"/>
                      <w:color w:val="000000"/>
                      <w:sz w:val="21"/>
                      <w:szCs w:val="21"/>
                      <w:highlight w:val="none"/>
                      <w:lang w:val="en-US" w:eastAsia="zh-CN"/>
                    </w:rPr>
                  </w:pPr>
                  <w:r>
                    <w:rPr>
                      <w:rFonts w:hint="default" w:ascii="Times New Roman" w:hAnsi="Times New Roman" w:eastAsia="宋体" w:cs="Times New Roman"/>
                      <w:color w:val="000000"/>
                      <w:kern w:val="0"/>
                      <w:sz w:val="21"/>
                      <w:szCs w:val="21"/>
                      <w:lang w:val="en-US" w:eastAsia="zh-CN" w:bidi="ar"/>
                    </w:rPr>
                    <w:t>加强水环境风险源日常管理，以化工园区污水处理厂和化工、制药、造纸等主要排污企业为重点，加强日常监测监控。</w:t>
                  </w:r>
                </w:p>
              </w:tc>
              <w:tc>
                <w:tcPr>
                  <w:tcW w:w="970" w:type="pct"/>
                  <w:tcBorders>
                    <w:bottom w:val="single" w:color="auto" w:sz="8" w:space="0"/>
                  </w:tcBorders>
                  <w:noWrap w:val="0"/>
                  <w:vAlign w:val="center"/>
                </w:tcPr>
                <w:p w14:paraId="505D0528">
                  <w:pPr>
                    <w:pStyle w:val="51"/>
                    <w:keepNext w:val="0"/>
                    <w:keepLines w:val="0"/>
                    <w:suppressLineNumbers w:val="0"/>
                    <w:spacing w:before="0" w:beforeLines="0" w:beforeAutospacing="0" w:after="0" w:afterLines="0" w:afterAutospacing="0" w:line="240" w:lineRule="auto"/>
                    <w:ind w:left="0" w:right="0" w:firstLine="0" w:firstLineChars="0"/>
                    <w:jc w:val="both"/>
                    <w:rPr>
                      <w:rFonts w:hint="default" w:ascii="Times New Roman"/>
                      <w:color w:val="000000" w:themeColor="text1"/>
                      <w:sz w:val="21"/>
                      <w:szCs w:val="21"/>
                      <w:highlight w:val="none"/>
                      <w:lang w:val="en-US" w:eastAsia="zh-CN"/>
                      <w14:textFill>
                        <w14:solidFill>
                          <w14:schemeClr w14:val="tx1"/>
                        </w14:solidFill>
                      </w14:textFill>
                    </w:rPr>
                  </w:pPr>
                  <w:r>
                    <w:rPr>
                      <w:rFonts w:hint="eastAsia" w:ascii="Times New Roman"/>
                      <w:color w:val="000000" w:themeColor="text1"/>
                      <w:sz w:val="21"/>
                      <w:szCs w:val="21"/>
                      <w:highlight w:val="none"/>
                      <w:lang w:val="en-US" w:eastAsia="zh-CN"/>
                      <w14:textFill>
                        <w14:solidFill>
                          <w14:schemeClr w14:val="tx1"/>
                        </w14:solidFill>
                      </w14:textFill>
                    </w:rPr>
                    <w:t>本项目为不属于水重点排污企业。</w:t>
                  </w:r>
                </w:p>
              </w:tc>
              <w:tc>
                <w:tcPr>
                  <w:tcW w:w="348" w:type="pct"/>
                  <w:tcBorders>
                    <w:bottom w:val="single" w:color="auto" w:sz="8" w:space="0"/>
                  </w:tcBorders>
                  <w:noWrap w:val="0"/>
                  <w:vAlign w:val="center"/>
                </w:tcPr>
                <w:p w14:paraId="2A2AF025">
                  <w:pPr>
                    <w:pStyle w:val="5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color w:val="000000" w:themeColor="text1"/>
                      <w:sz w:val="21"/>
                      <w:szCs w:val="21"/>
                      <w:lang w:val="en-US" w:eastAsia="zh-CN"/>
                      <w14:textFill>
                        <w14:solidFill>
                          <w14:schemeClr w14:val="tx1"/>
                        </w14:solidFill>
                      </w14:textFill>
                    </w:rPr>
                  </w:pPr>
                  <w:r>
                    <w:rPr>
                      <w:rFonts w:hint="eastAsia" w:ascii="Times New Roman"/>
                      <w:color w:val="000000" w:themeColor="text1"/>
                      <w:sz w:val="21"/>
                      <w:szCs w:val="21"/>
                      <w:lang w:val="en-US" w:eastAsia="zh-CN"/>
                      <w14:textFill>
                        <w14:solidFill>
                          <w14:schemeClr w14:val="tx1"/>
                        </w14:solidFill>
                      </w14:textFill>
                    </w:rPr>
                    <w:t>相符</w:t>
                  </w:r>
                </w:p>
              </w:tc>
            </w:tr>
          </w:tbl>
          <w:p w14:paraId="604BCB5D">
            <w:pPr>
              <w:keepNext w:val="0"/>
              <w:keepLines w:val="0"/>
              <w:suppressLineNumbers w:val="0"/>
              <w:spacing w:before="0" w:beforeAutospacing="0" w:after="0" w:afterAutospacing="0" w:line="440" w:lineRule="exact"/>
              <w:ind w:left="0" w:right="0" w:firstLine="480" w:firstLineChars="200"/>
              <w:jc w:val="both"/>
              <w:textAlignment w:val="baseline"/>
              <w:rPr>
                <w:rFonts w:hint="eastAsia" w:ascii="宋体" w:hAnsi="宋体"/>
                <w:bCs/>
                <w:color w:val="000000"/>
                <w:sz w:val="24"/>
              </w:rPr>
            </w:pPr>
            <w:r>
              <w:rPr>
                <w:rFonts w:hint="eastAsia" w:ascii="宋体" w:hAnsi="宋体"/>
                <w:bCs/>
                <w:color w:val="000000"/>
                <w:sz w:val="24"/>
              </w:rPr>
              <w:t>由上表可知，本项目符合</w:t>
            </w:r>
            <w:r>
              <w:rPr>
                <w:rFonts w:hint="eastAsia"/>
                <w:bCs/>
                <w:color w:val="000000"/>
                <w:sz w:val="24"/>
                <w:lang w:eastAsia="zh-CN"/>
              </w:rPr>
              <w:t>《</w:t>
            </w:r>
            <w:r>
              <w:rPr>
                <w:rFonts w:hint="default"/>
                <w:bCs/>
                <w:color w:val="000000"/>
                <w:sz w:val="24"/>
              </w:rPr>
              <w:t>河南省生态环境分区管控总体要求</w:t>
            </w:r>
            <w:r>
              <w:rPr>
                <w:rFonts w:hint="eastAsia"/>
                <w:bCs/>
                <w:color w:val="000000"/>
                <w:sz w:val="24"/>
                <w:lang w:eastAsia="zh-CN"/>
              </w:rPr>
              <w:t>》（</w:t>
            </w:r>
            <w:r>
              <w:rPr>
                <w:rFonts w:hint="eastAsia"/>
                <w:bCs/>
                <w:color w:val="000000"/>
                <w:sz w:val="24"/>
                <w:lang w:val="en-US" w:eastAsia="zh-CN"/>
              </w:rPr>
              <w:t>2023年版</w:t>
            </w:r>
            <w:r>
              <w:rPr>
                <w:rFonts w:hint="eastAsia"/>
                <w:bCs/>
                <w:color w:val="000000"/>
                <w:sz w:val="24"/>
                <w:lang w:eastAsia="zh-CN"/>
              </w:rPr>
              <w:t>）</w:t>
            </w:r>
            <w:r>
              <w:rPr>
                <w:rFonts w:hint="eastAsia" w:ascii="宋体" w:hAnsi="宋体"/>
                <w:bCs/>
                <w:color w:val="000000"/>
                <w:sz w:val="24"/>
              </w:rPr>
              <w:t>中相关内容的要求。</w:t>
            </w:r>
          </w:p>
          <w:p w14:paraId="5B517A7C">
            <w:pPr>
              <w:keepNext w:val="0"/>
              <w:keepLines w:val="0"/>
              <w:suppressLineNumbers w:val="0"/>
              <w:spacing w:before="0" w:beforeAutospacing="0" w:after="0" w:afterAutospacing="0" w:line="440" w:lineRule="exact"/>
              <w:ind w:left="0" w:right="0" w:firstLine="480" w:firstLineChars="200"/>
              <w:jc w:val="both"/>
              <w:textAlignment w:val="baseline"/>
              <w:rPr>
                <w:rFonts w:hint="eastAsia" w:ascii="宋体" w:hAnsi="宋体"/>
                <w:b/>
                <w:bCs w:val="0"/>
                <w:color w:val="000000"/>
                <w:sz w:val="24"/>
              </w:rPr>
            </w:pPr>
            <w:r>
              <w:rPr>
                <w:rFonts w:hint="eastAsia" w:ascii="宋体" w:hAnsi="宋体"/>
                <w:bCs/>
                <w:color w:val="000000"/>
                <w:sz w:val="24"/>
              </w:rPr>
              <w:t>本项目与《新乡市“三线一单”生态环境准入清单》（</w:t>
            </w:r>
            <w:r>
              <w:rPr>
                <w:rFonts w:hint="default" w:ascii="Times New Roman" w:hAnsi="Times New Roman" w:cs="Times New Roman"/>
                <w:bCs/>
                <w:color w:val="000000"/>
                <w:sz w:val="24"/>
                <w:lang w:val="en-US" w:eastAsia="zh-CN"/>
              </w:rPr>
              <w:t>2023</w:t>
            </w:r>
            <w:r>
              <w:rPr>
                <w:rFonts w:hint="eastAsia" w:ascii="宋体" w:hAnsi="宋体"/>
                <w:bCs/>
                <w:color w:val="000000"/>
                <w:sz w:val="24"/>
                <w:lang w:val="en-US" w:eastAsia="zh-CN"/>
              </w:rPr>
              <w:t>年版</w:t>
            </w:r>
            <w:r>
              <w:rPr>
                <w:rFonts w:hint="eastAsia" w:ascii="宋体" w:hAnsi="宋体"/>
                <w:bCs/>
                <w:color w:val="000000"/>
                <w:sz w:val="24"/>
              </w:rPr>
              <w:t>）中</w:t>
            </w:r>
            <w:r>
              <w:rPr>
                <w:rFonts w:hint="eastAsia" w:ascii="宋体" w:hAnsi="宋体"/>
                <w:bCs/>
                <w:color w:val="000000"/>
                <w:sz w:val="24"/>
                <w:lang w:val="en-US" w:eastAsia="zh-CN"/>
              </w:rPr>
              <w:t>相关内容</w:t>
            </w:r>
            <w:r>
              <w:rPr>
                <w:rFonts w:hint="eastAsia" w:ascii="宋体" w:hAnsi="宋体"/>
                <w:bCs/>
                <w:color w:val="000000"/>
                <w:sz w:val="24"/>
              </w:rPr>
              <w:t>相符性分析见下表。</w:t>
            </w:r>
          </w:p>
          <w:p w14:paraId="6EC61133">
            <w:pPr>
              <w:keepNext w:val="0"/>
              <w:keepLines w:val="0"/>
              <w:suppressLineNumbers w:val="0"/>
              <w:spacing w:before="0" w:beforeAutospacing="0" w:after="0" w:afterAutospacing="0" w:line="440" w:lineRule="exact"/>
              <w:ind w:left="0" w:right="0"/>
              <w:jc w:val="center"/>
              <w:textAlignment w:val="baseline"/>
              <w:rPr>
                <w:rFonts w:hint="eastAsia" w:ascii="宋体" w:hAnsi="宋体"/>
                <w:bCs/>
                <w:color w:val="auto"/>
                <w:sz w:val="24"/>
              </w:rPr>
            </w:pPr>
            <w:r>
              <w:rPr>
                <w:rFonts w:hint="eastAsia" w:ascii="宋体" w:hAnsi="宋体"/>
                <w:b/>
                <w:bCs w:val="0"/>
                <w:color w:val="auto"/>
                <w:sz w:val="24"/>
              </w:rPr>
              <w:t>表</w:t>
            </w:r>
            <w:r>
              <w:rPr>
                <w:rFonts w:hint="eastAsia" w:cs="Times New Roman"/>
                <w:b/>
                <w:bCs w:val="0"/>
                <w:color w:val="auto"/>
                <w:sz w:val="24"/>
                <w:lang w:val="en-US" w:eastAsia="zh-CN"/>
              </w:rPr>
              <w:t>5</w:t>
            </w:r>
            <w:r>
              <w:rPr>
                <w:rFonts w:hint="eastAsia" w:ascii="宋体" w:hAnsi="宋体"/>
                <w:b/>
                <w:bCs w:val="0"/>
                <w:color w:val="auto"/>
                <w:sz w:val="24"/>
              </w:rPr>
              <w:t xml:space="preserve">  本项目与</w:t>
            </w:r>
            <w:r>
              <w:rPr>
                <w:rFonts w:hint="eastAsia" w:ascii="宋体" w:hAnsi="宋体"/>
                <w:b/>
                <w:bCs w:val="0"/>
                <w:color w:val="auto"/>
                <w:sz w:val="24"/>
                <w:lang w:eastAsia="zh-CN"/>
              </w:rPr>
              <w:t>新乡市三线一单生态环境</w:t>
            </w:r>
            <w:r>
              <w:rPr>
                <w:rFonts w:hint="eastAsia" w:ascii="宋体" w:hAnsi="宋体"/>
                <w:b/>
                <w:bCs w:val="0"/>
                <w:color w:val="auto"/>
                <w:sz w:val="24"/>
              </w:rPr>
              <w:t>准入要求符合性分析</w:t>
            </w:r>
          </w:p>
          <w:tbl>
            <w:tblPr>
              <w:tblStyle w:val="24"/>
              <w:tblW w:w="8939"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71"/>
              <w:gridCol w:w="173"/>
              <w:gridCol w:w="633"/>
              <w:gridCol w:w="544"/>
              <w:gridCol w:w="2897"/>
              <w:gridCol w:w="108"/>
              <w:gridCol w:w="1539"/>
              <w:gridCol w:w="101"/>
              <w:gridCol w:w="783"/>
              <w:gridCol w:w="90"/>
            </w:tblGrid>
            <w:tr w14:paraId="21A81A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19" w:type="dxa"/>
                <w:trHeight w:val="397" w:hRule="atLeast"/>
              </w:trPr>
              <w:tc>
                <w:tcPr>
                  <w:tcW w:w="961" w:type="dxa"/>
                  <w:gridSpan w:val="2"/>
                  <w:tcBorders>
                    <w:top w:val="single" w:color="auto" w:sz="8" w:space="0"/>
                    <w:bottom w:val="single" w:color="auto" w:sz="8" w:space="0"/>
                  </w:tcBorders>
                  <w:noWrap w:val="0"/>
                  <w:vAlign w:val="center"/>
                </w:tcPr>
                <w:p w14:paraId="2EC62D78">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bCs/>
                      <w:sz w:val="21"/>
                      <w:szCs w:val="21"/>
                      <w:vertAlign w:val="baseline"/>
                    </w:rPr>
                  </w:pPr>
                  <w:r>
                    <w:rPr>
                      <w:rFonts w:hint="default" w:ascii="Times New Roman" w:hAnsi="Times New Roman" w:eastAsia="宋体" w:cs="Times New Roman"/>
                      <w:b/>
                      <w:bCs/>
                      <w:sz w:val="21"/>
                      <w:szCs w:val="21"/>
                      <w:vertAlign w:val="baseline"/>
                      <w:lang w:eastAsia="zh-CN"/>
                    </w:rPr>
                    <w:t>纬度</w:t>
                  </w:r>
                </w:p>
              </w:tc>
              <w:tc>
                <w:tcPr>
                  <w:tcW w:w="4925" w:type="dxa"/>
                  <w:gridSpan w:val="3"/>
                  <w:tcBorders>
                    <w:top w:val="single" w:color="auto" w:sz="8" w:space="0"/>
                    <w:bottom w:val="single" w:color="auto" w:sz="8" w:space="0"/>
                  </w:tcBorders>
                  <w:noWrap w:val="0"/>
                  <w:vAlign w:val="center"/>
                </w:tcPr>
                <w:p w14:paraId="32871070">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bCs/>
                      <w:sz w:val="21"/>
                      <w:szCs w:val="21"/>
                      <w:vertAlign w:val="baseline"/>
                      <w:lang w:eastAsia="zh-CN"/>
                    </w:rPr>
                  </w:pPr>
                  <w:r>
                    <w:rPr>
                      <w:rFonts w:hint="default" w:ascii="Times New Roman" w:hAnsi="Times New Roman" w:eastAsia="宋体" w:cs="Times New Roman"/>
                      <w:b/>
                      <w:bCs/>
                      <w:sz w:val="21"/>
                      <w:szCs w:val="21"/>
                      <w:vertAlign w:val="baseline"/>
                      <w:lang w:eastAsia="zh-CN"/>
                    </w:rPr>
                    <w:t>管控要求</w:t>
                  </w:r>
                </w:p>
              </w:tc>
              <w:tc>
                <w:tcPr>
                  <w:tcW w:w="1917" w:type="dxa"/>
                  <w:gridSpan w:val="2"/>
                  <w:tcBorders>
                    <w:top w:val="single" w:color="auto" w:sz="8" w:space="0"/>
                    <w:bottom w:val="single" w:color="auto" w:sz="8" w:space="0"/>
                  </w:tcBorders>
                  <w:noWrap w:val="0"/>
                  <w:vAlign w:val="center"/>
                </w:tcPr>
                <w:p w14:paraId="7C39946A">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bCs/>
                      <w:sz w:val="21"/>
                      <w:szCs w:val="21"/>
                      <w:vertAlign w:val="baseline"/>
                      <w:lang w:eastAsia="zh-CN"/>
                    </w:rPr>
                  </w:pPr>
                  <w:r>
                    <w:rPr>
                      <w:rFonts w:hint="default" w:ascii="Times New Roman" w:hAnsi="Times New Roman" w:eastAsia="宋体" w:cs="Times New Roman"/>
                      <w:b/>
                      <w:bCs/>
                      <w:sz w:val="21"/>
                      <w:szCs w:val="21"/>
                      <w:vertAlign w:val="baseline"/>
                      <w:lang w:eastAsia="zh-CN"/>
                    </w:rPr>
                    <w:t>本项目情况</w:t>
                  </w:r>
                </w:p>
              </w:tc>
              <w:tc>
                <w:tcPr>
                  <w:tcW w:w="1017" w:type="dxa"/>
                  <w:gridSpan w:val="2"/>
                  <w:tcBorders>
                    <w:top w:val="single" w:color="auto" w:sz="8" w:space="0"/>
                    <w:bottom w:val="single" w:color="auto" w:sz="8" w:space="0"/>
                  </w:tcBorders>
                  <w:noWrap w:val="0"/>
                  <w:vAlign w:val="center"/>
                </w:tcPr>
                <w:p w14:paraId="6899AE30">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bCs/>
                      <w:sz w:val="21"/>
                      <w:szCs w:val="21"/>
                      <w:vertAlign w:val="baseline"/>
                      <w:lang w:eastAsia="zh-CN"/>
                    </w:rPr>
                  </w:pPr>
                  <w:r>
                    <w:rPr>
                      <w:rFonts w:hint="default" w:ascii="Times New Roman" w:hAnsi="Times New Roman" w:eastAsia="宋体" w:cs="Times New Roman"/>
                      <w:b/>
                      <w:bCs/>
                      <w:sz w:val="21"/>
                      <w:szCs w:val="21"/>
                      <w:vertAlign w:val="baseline"/>
                      <w:lang w:eastAsia="zh-CN"/>
                    </w:rPr>
                    <w:t>相符性</w:t>
                  </w:r>
                </w:p>
              </w:tc>
            </w:tr>
            <w:tr w14:paraId="3BFB3C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19" w:type="dxa"/>
                <w:trHeight w:val="397" w:hRule="atLeast"/>
              </w:trPr>
              <w:tc>
                <w:tcPr>
                  <w:tcW w:w="8820" w:type="dxa"/>
                  <w:gridSpan w:val="9"/>
                  <w:tcBorders>
                    <w:top w:val="single" w:color="auto" w:sz="8" w:space="0"/>
                  </w:tcBorders>
                  <w:noWrap w:val="0"/>
                  <w:vAlign w:val="center"/>
                </w:tcPr>
                <w:p w14:paraId="5A82DC76">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（一）全市生态环境总体准入要求</w:t>
                  </w:r>
                </w:p>
              </w:tc>
            </w:tr>
            <w:tr w14:paraId="69944F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19" w:type="dxa"/>
                <w:trHeight w:val="90" w:hRule="atLeast"/>
              </w:trPr>
              <w:tc>
                <w:tcPr>
                  <w:tcW w:w="961" w:type="dxa"/>
                  <w:gridSpan w:val="2"/>
                  <w:noWrap w:val="0"/>
                  <w:vAlign w:val="center"/>
                </w:tcPr>
                <w:p w14:paraId="6EF761B1">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空间布局约束</w:t>
                  </w:r>
                </w:p>
              </w:tc>
              <w:tc>
                <w:tcPr>
                  <w:tcW w:w="4925" w:type="dxa"/>
                  <w:gridSpan w:val="3"/>
                  <w:noWrap w:val="0"/>
                  <w:vAlign w:val="center"/>
                </w:tcPr>
                <w:p w14:paraId="29C18EED">
                  <w:pPr>
                    <w:keepNext w:val="0"/>
                    <w:keepLines w:val="0"/>
                    <w:pageBreakBefore w:val="0"/>
                    <w:widowControl/>
                    <w:suppressLineNumbers w:val="0"/>
                    <w:kinsoku/>
                    <w:wordWrap/>
                    <w:topLinePunct w:val="0"/>
                    <w:autoSpaceDE/>
                    <w:autoSpaceDN/>
                    <w:bidi w:val="0"/>
                    <w:adjustRightInd/>
                    <w:spacing w:before="0" w:beforeAutospacing="0" w:after="0" w:afterAutospacing="0"/>
                    <w:ind w:left="0" w:right="0" w:firstLine="0"/>
                    <w:jc w:val="both"/>
                    <w:textAlignment w:val="auto"/>
                    <w:outlineLvl w:val="9"/>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000000"/>
                      <w:kern w:val="0"/>
                      <w:sz w:val="21"/>
                      <w:szCs w:val="21"/>
                      <w:lang w:val="en-US" w:eastAsia="zh-CN" w:bidi="ar"/>
                    </w:rPr>
                    <w:t>8.禁止建设生产和使用高挥发性有机物含量的溶剂型涂料、油墨、胶粘剂等项目。按照“可替尽替、应代尽代”的原则，开展汽车制造、工业涂装、家具制造、包装印刷、钢结构制造、工程机械等行业溶剂型涂料、油墨、胶粘剂、清洗剂使用低 VOCs 含量原辅材料替代。</w:t>
                  </w:r>
                </w:p>
              </w:tc>
              <w:tc>
                <w:tcPr>
                  <w:tcW w:w="1917" w:type="dxa"/>
                  <w:gridSpan w:val="2"/>
                  <w:noWrap w:val="0"/>
                  <w:vAlign w:val="center"/>
                </w:tcPr>
                <w:p w14:paraId="623D9B3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ascii="Times New Roman" w:hAnsi="Times New Roman" w:eastAsia="宋体" w:cs="Times New Roman"/>
                      <w:sz w:val="21"/>
                      <w:szCs w:val="21"/>
                      <w:vertAlign w:val="baseline"/>
                      <w:lang w:eastAsia="zh-CN"/>
                    </w:rPr>
                  </w:pPr>
                  <w:r>
                    <w:rPr>
                      <w:rFonts w:hint="default" w:ascii="Times New Roman" w:hAnsi="Times New Roman" w:cs="Times New Roman"/>
                      <w:color w:val="000000" w:themeColor="text1"/>
                      <w:sz w:val="21"/>
                      <w:szCs w:val="21"/>
                      <w:lang w:val="en-US" w:eastAsia="zh-CN"/>
                      <w14:textFill>
                        <w14:solidFill>
                          <w14:schemeClr w14:val="tx1"/>
                        </w14:solidFill>
                      </w14:textFill>
                    </w:rPr>
                    <w:t>本项目</w:t>
                  </w:r>
                  <w:r>
                    <w:rPr>
                      <w:rFonts w:hint="eastAsia" w:cs="Times New Roman"/>
                      <w:color w:val="000000" w:themeColor="text1"/>
                      <w:sz w:val="21"/>
                      <w:szCs w:val="21"/>
                      <w:lang w:val="en-US" w:eastAsia="zh-CN"/>
                      <w14:textFill>
                        <w14:solidFill>
                          <w14:schemeClr w14:val="tx1"/>
                        </w14:solidFill>
                      </w14:textFill>
                    </w:rPr>
                    <w:t>不属于</w:t>
                  </w:r>
                  <w:r>
                    <w:rPr>
                      <w:rFonts w:hint="default" w:ascii="Times New Roman" w:hAnsi="Times New Roman" w:eastAsia="宋体" w:cs="Times New Roman"/>
                      <w:color w:val="000000"/>
                      <w:kern w:val="0"/>
                      <w:sz w:val="21"/>
                      <w:szCs w:val="21"/>
                      <w:lang w:val="en-US" w:eastAsia="zh-CN" w:bidi="ar"/>
                    </w:rPr>
                    <w:t>生产和使用高挥发性有机物含量的溶剂型涂料、油墨、胶粘剂等项目</w:t>
                  </w:r>
                  <w:r>
                    <w:rPr>
                      <w:rFonts w:hint="default" w:ascii="Times New Roman" w:hAnsi="Times New Roman" w:eastAsia="宋体" w:cs="Times New Roman"/>
                      <w:sz w:val="21"/>
                      <w:szCs w:val="21"/>
                      <w:lang w:val="en-US" w:eastAsia="zh-CN"/>
                    </w:rPr>
                    <w:t>。</w:t>
                  </w:r>
                </w:p>
              </w:tc>
              <w:tc>
                <w:tcPr>
                  <w:tcW w:w="1017" w:type="dxa"/>
                  <w:gridSpan w:val="2"/>
                  <w:noWrap w:val="0"/>
                  <w:vAlign w:val="center"/>
                </w:tcPr>
                <w:p w14:paraId="02D4DA28">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sz w:val="21"/>
                      <w:szCs w:val="21"/>
                      <w:vertAlign w:val="baseline"/>
                    </w:rPr>
                  </w:pPr>
                  <w:r>
                    <w:rPr>
                      <w:rFonts w:hint="default" w:ascii="Times New Roman" w:hAnsi="Times New Roman" w:eastAsia="宋体" w:cs="Times New Roman"/>
                      <w:b w:val="0"/>
                      <w:bCs w:val="0"/>
                      <w:sz w:val="21"/>
                      <w:szCs w:val="21"/>
                      <w:vertAlign w:val="baseline"/>
                    </w:rPr>
                    <w:t>符合</w:t>
                  </w:r>
                </w:p>
              </w:tc>
            </w:tr>
            <w:tr w14:paraId="67939D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19" w:type="dxa"/>
                <w:trHeight w:val="397" w:hRule="atLeast"/>
              </w:trPr>
              <w:tc>
                <w:tcPr>
                  <w:tcW w:w="961" w:type="dxa"/>
                  <w:gridSpan w:val="2"/>
                  <w:vMerge w:val="restart"/>
                  <w:noWrap w:val="0"/>
                  <w:vAlign w:val="center"/>
                </w:tcPr>
                <w:p w14:paraId="2958C378">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r>
                    <w:rPr>
                      <w:rFonts w:hint="eastAsia" w:eastAsia="宋体" w:cs="Times New Roman"/>
                      <w:b w:val="0"/>
                      <w:bCs w:val="0"/>
                      <w:sz w:val="21"/>
                      <w:szCs w:val="21"/>
                      <w:vertAlign w:val="baseline"/>
                      <w:lang w:eastAsia="zh-CN"/>
                    </w:rPr>
                    <w:t>污染物排放管控</w:t>
                  </w:r>
                </w:p>
              </w:tc>
              <w:tc>
                <w:tcPr>
                  <w:tcW w:w="4925" w:type="dxa"/>
                  <w:gridSpan w:val="3"/>
                  <w:noWrap w:val="0"/>
                  <w:vAlign w:val="center"/>
                </w:tcPr>
                <w:p w14:paraId="7270711A">
                  <w:pPr>
                    <w:keepNext w:val="0"/>
                    <w:keepLines w:val="0"/>
                    <w:pageBreakBefore w:val="0"/>
                    <w:widowControl/>
                    <w:suppressLineNumbers w:val="0"/>
                    <w:kinsoku/>
                    <w:wordWrap/>
                    <w:topLinePunct w:val="0"/>
                    <w:autoSpaceDE/>
                    <w:autoSpaceDN/>
                    <w:bidi w:val="0"/>
                    <w:adjustRightInd/>
                    <w:spacing w:before="0" w:beforeAutospacing="0" w:after="0" w:afterAutospacing="0"/>
                    <w:ind w:left="0" w:right="0" w:firstLine="0"/>
                    <w:jc w:val="both"/>
                    <w:textAlignment w:val="auto"/>
                    <w:outlineLvl w:val="9"/>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000000"/>
                      <w:kern w:val="0"/>
                      <w:sz w:val="21"/>
                      <w:szCs w:val="21"/>
                      <w:lang w:val="en-US" w:eastAsia="zh-CN" w:bidi="ar"/>
                    </w:rPr>
                    <w:t xml:space="preserve">1.新、改、扩建项目主要污染物排放要求满足当地总量减排要求。 </w:t>
                  </w:r>
                </w:p>
              </w:tc>
              <w:tc>
                <w:tcPr>
                  <w:tcW w:w="1917" w:type="dxa"/>
                  <w:gridSpan w:val="2"/>
                  <w:noWrap w:val="0"/>
                  <w:vAlign w:val="center"/>
                </w:tcPr>
                <w:p w14:paraId="426B6C3D">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both"/>
                    <w:textAlignment w:val="auto"/>
                    <w:outlineLvl w:val="9"/>
                    <w:rPr>
                      <w:rFonts w:hint="eastAsia" w:ascii="Times New Roman" w:hAnsi="Times New Roman" w:eastAsia="宋体" w:cs="Times New Roman"/>
                      <w:sz w:val="21"/>
                      <w:szCs w:val="21"/>
                      <w:vertAlign w:val="baseline"/>
                      <w:lang w:eastAsia="zh-CN"/>
                    </w:rPr>
                  </w:pPr>
                  <w:r>
                    <w:rPr>
                      <w:rFonts w:hint="eastAsia" w:eastAsia="宋体" w:cs="Times New Roman"/>
                      <w:b w:val="0"/>
                      <w:bCs w:val="0"/>
                      <w:sz w:val="21"/>
                      <w:szCs w:val="21"/>
                      <w:vertAlign w:val="baseline"/>
                      <w:lang w:eastAsia="zh-CN"/>
                    </w:rPr>
                    <w:t>本项目为</w:t>
                  </w:r>
                  <w:r>
                    <w:rPr>
                      <w:rFonts w:hint="eastAsia" w:cs="Times New Roman"/>
                      <w:b w:val="0"/>
                      <w:bCs w:val="0"/>
                      <w:sz w:val="21"/>
                      <w:szCs w:val="21"/>
                      <w:vertAlign w:val="baseline"/>
                      <w:lang w:val="en-US" w:eastAsia="zh-CN"/>
                    </w:rPr>
                    <w:t>改</w:t>
                  </w:r>
                  <w:r>
                    <w:rPr>
                      <w:rFonts w:hint="eastAsia" w:cs="Times New Roman"/>
                      <w:b w:val="0"/>
                      <w:bCs w:val="0"/>
                      <w:sz w:val="21"/>
                      <w:szCs w:val="21"/>
                      <w:vertAlign w:val="baseline"/>
                      <w:lang w:eastAsia="zh-CN"/>
                    </w:rPr>
                    <w:t>建</w:t>
                  </w:r>
                  <w:r>
                    <w:rPr>
                      <w:rFonts w:hint="eastAsia" w:eastAsia="宋体" w:cs="Times New Roman"/>
                      <w:b w:val="0"/>
                      <w:bCs w:val="0"/>
                      <w:sz w:val="21"/>
                      <w:szCs w:val="21"/>
                      <w:vertAlign w:val="baseline"/>
                      <w:lang w:eastAsia="zh-CN"/>
                    </w:rPr>
                    <w:t>项目，</w:t>
                  </w:r>
                  <w:r>
                    <w:rPr>
                      <w:rFonts w:hint="eastAsia" w:cs="Times New Roman"/>
                      <w:b w:val="0"/>
                      <w:bCs w:val="0"/>
                      <w:sz w:val="21"/>
                      <w:szCs w:val="21"/>
                      <w:vertAlign w:val="baseline"/>
                      <w:lang w:val="en-US" w:eastAsia="zh-CN"/>
                    </w:rPr>
                    <w:t>不新增废气废水</w:t>
                  </w:r>
                  <w:r>
                    <w:rPr>
                      <w:rFonts w:hint="eastAsia" w:eastAsia="宋体" w:cs="Times New Roman"/>
                      <w:b w:val="0"/>
                      <w:bCs w:val="0"/>
                      <w:sz w:val="21"/>
                      <w:szCs w:val="21"/>
                      <w:vertAlign w:val="baseline"/>
                      <w:lang w:eastAsia="zh-CN"/>
                    </w:rPr>
                    <w:t>污染物排放</w:t>
                  </w:r>
                  <w:r>
                    <w:rPr>
                      <w:rFonts w:hint="eastAsia" w:cs="Times New Roman"/>
                      <w:b w:val="0"/>
                      <w:bCs w:val="0"/>
                      <w:sz w:val="21"/>
                      <w:szCs w:val="21"/>
                      <w:vertAlign w:val="baseline"/>
                      <w:lang w:eastAsia="zh-CN"/>
                    </w:rPr>
                    <w:t>。</w:t>
                  </w:r>
                </w:p>
              </w:tc>
              <w:tc>
                <w:tcPr>
                  <w:tcW w:w="1017" w:type="dxa"/>
                  <w:gridSpan w:val="2"/>
                  <w:noWrap w:val="0"/>
                  <w:vAlign w:val="center"/>
                </w:tcPr>
                <w:p w14:paraId="4EAA48DF">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rPr>
                  </w:pPr>
                  <w:r>
                    <w:rPr>
                      <w:rFonts w:hint="default" w:ascii="Times New Roman" w:hAnsi="Times New Roman" w:eastAsia="宋体" w:cs="Times New Roman"/>
                      <w:b w:val="0"/>
                      <w:bCs w:val="0"/>
                      <w:sz w:val="21"/>
                      <w:szCs w:val="21"/>
                      <w:vertAlign w:val="baseline"/>
                    </w:rPr>
                    <w:t>符合</w:t>
                  </w:r>
                </w:p>
              </w:tc>
            </w:tr>
            <w:tr w14:paraId="23F9EE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19" w:type="dxa"/>
                <w:trHeight w:val="90" w:hRule="atLeast"/>
              </w:trPr>
              <w:tc>
                <w:tcPr>
                  <w:tcW w:w="961" w:type="dxa"/>
                  <w:gridSpan w:val="2"/>
                  <w:vMerge w:val="continue"/>
                  <w:noWrap w:val="0"/>
                  <w:vAlign w:val="center"/>
                </w:tcPr>
                <w:p w14:paraId="53720819">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p>
              </w:tc>
              <w:tc>
                <w:tcPr>
                  <w:tcW w:w="4925" w:type="dxa"/>
                  <w:gridSpan w:val="3"/>
                  <w:noWrap w:val="0"/>
                  <w:vAlign w:val="center"/>
                </w:tcPr>
                <w:p w14:paraId="5E7B62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jc w:val="both"/>
                    <w:textAlignment w:val="auto"/>
                    <w:outlineLvl w:val="9"/>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 xml:space="preserve">8.国家、省绩效分级重点行业以及涉及锅炉炉窑的其他行业，新建、扩建项目污染物排放限值、污染治理措施、无组织排放控制水平、运输方式等达到 A 级绩效水平，改建项目污染物排放限值、污染治理措施、无组织排放控制水平、运输方式等达到 B 级以上绩效水平。 </w:t>
                  </w:r>
                </w:p>
              </w:tc>
              <w:tc>
                <w:tcPr>
                  <w:tcW w:w="1917" w:type="dxa"/>
                  <w:gridSpan w:val="2"/>
                  <w:noWrap w:val="0"/>
                  <w:vAlign w:val="center"/>
                </w:tcPr>
                <w:p w14:paraId="43DEAB9E">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both"/>
                    <w:textAlignment w:val="auto"/>
                    <w:outlineLvl w:val="9"/>
                    <w:rPr>
                      <w:rFonts w:hint="default" w:ascii="Times New Roman" w:hAnsi="Times New Roman" w:eastAsia="宋体" w:cs="Times New Roman"/>
                      <w:sz w:val="21"/>
                      <w:szCs w:val="21"/>
                      <w:vertAlign w:val="baseline"/>
                      <w:lang w:val="en-US" w:eastAsia="zh-CN"/>
                    </w:rPr>
                  </w:pPr>
                  <w:r>
                    <w:rPr>
                      <w:rFonts w:hint="eastAsia" w:eastAsia="宋体" w:cs="Times New Roman"/>
                      <w:sz w:val="21"/>
                      <w:szCs w:val="21"/>
                      <w:vertAlign w:val="baseline"/>
                      <w:lang w:eastAsia="zh-CN"/>
                    </w:rPr>
                    <w:t>本项目为</w:t>
                  </w:r>
                  <w:r>
                    <w:rPr>
                      <w:rFonts w:hint="eastAsia" w:cs="Times New Roman"/>
                      <w:sz w:val="21"/>
                      <w:szCs w:val="21"/>
                      <w:vertAlign w:val="baseline"/>
                      <w:lang w:val="en-US" w:eastAsia="zh-CN"/>
                    </w:rPr>
                    <w:t>改</w:t>
                  </w:r>
                  <w:r>
                    <w:rPr>
                      <w:rFonts w:hint="eastAsia" w:cs="Times New Roman"/>
                      <w:sz w:val="21"/>
                      <w:szCs w:val="21"/>
                      <w:vertAlign w:val="baseline"/>
                      <w:lang w:eastAsia="zh-CN"/>
                    </w:rPr>
                    <w:t>建</w:t>
                  </w:r>
                  <w:r>
                    <w:rPr>
                      <w:rFonts w:hint="eastAsia" w:eastAsia="宋体" w:cs="Times New Roman"/>
                      <w:sz w:val="21"/>
                      <w:szCs w:val="21"/>
                      <w:vertAlign w:val="baseline"/>
                      <w:lang w:eastAsia="zh-CN"/>
                    </w:rPr>
                    <w:t>项目，</w:t>
                  </w:r>
                  <w:r>
                    <w:rPr>
                      <w:rFonts w:hint="eastAsia"/>
                      <w:sz w:val="21"/>
                      <w:szCs w:val="21"/>
                    </w:rPr>
                    <w:t>按照</w:t>
                  </w:r>
                  <w:r>
                    <w:rPr>
                      <w:rFonts w:hint="default"/>
                      <w:color w:val="000000" w:themeColor="text1"/>
                      <w:sz w:val="21"/>
                      <w:szCs w:val="21"/>
                      <w14:textFill>
                        <w14:solidFill>
                          <w14:schemeClr w14:val="tx1"/>
                        </w14:solidFill>
                      </w14:textFill>
                    </w:rPr>
                    <w:t>《</w:t>
                  </w:r>
                  <w:r>
                    <w:rPr>
                      <w:rFonts w:hint="default"/>
                      <w:color w:val="000000" w:themeColor="text1"/>
                      <w:sz w:val="21"/>
                      <w:szCs w:val="21"/>
                      <w:lang w:val="en-US" w:eastAsia="zh-CN"/>
                      <w14:textFill>
                        <w14:solidFill>
                          <w14:schemeClr w14:val="tx1"/>
                        </w14:solidFill>
                      </w14:textFill>
                    </w:rPr>
                    <w:t>河南省</w:t>
                  </w:r>
                  <w:r>
                    <w:rPr>
                      <w:rFonts w:hint="default"/>
                      <w:color w:val="000000" w:themeColor="text1"/>
                      <w:sz w:val="21"/>
                      <w:szCs w:val="21"/>
                      <w14:textFill>
                        <w14:solidFill>
                          <w14:schemeClr w14:val="tx1"/>
                        </w14:solidFill>
                      </w14:textFill>
                    </w:rPr>
                    <w:t>重污染天气重点行业应急减排措施制定技术指南（20</w:t>
                  </w:r>
                  <w:r>
                    <w:rPr>
                      <w:rFonts w:hint="default"/>
                      <w:color w:val="000000" w:themeColor="text1"/>
                      <w:sz w:val="21"/>
                      <w:szCs w:val="21"/>
                      <w:lang w:val="en-US" w:eastAsia="zh-CN"/>
                      <w14:textFill>
                        <w14:solidFill>
                          <w14:schemeClr w14:val="tx1"/>
                        </w14:solidFill>
                      </w14:textFill>
                    </w:rPr>
                    <w:t>24</w:t>
                  </w:r>
                  <w:r>
                    <w:rPr>
                      <w:rFonts w:hint="default"/>
                      <w:color w:val="000000" w:themeColor="text1"/>
                      <w:sz w:val="21"/>
                      <w:szCs w:val="21"/>
                      <w14:textFill>
                        <w14:solidFill>
                          <w14:schemeClr w14:val="tx1"/>
                        </w14:solidFill>
                      </w14:textFill>
                    </w:rPr>
                    <w:t>年修订版）》中</w:t>
                  </w:r>
                  <w:r>
                    <w:rPr>
                      <w:rFonts w:hint="eastAsia"/>
                      <w:color w:val="000000" w:themeColor="text1"/>
                      <w:sz w:val="21"/>
                      <w:szCs w:val="21"/>
                      <w:lang w:val="en-US" w:eastAsia="zh-CN"/>
                      <w14:textFill>
                        <w14:solidFill>
                          <w14:schemeClr w14:val="tx1"/>
                        </w14:solidFill>
                      </w14:textFill>
                    </w:rPr>
                    <w:t>电池</w:t>
                  </w:r>
                  <w:r>
                    <w:rPr>
                      <w:rFonts w:hint="default"/>
                      <w:color w:val="000000" w:themeColor="text1"/>
                      <w:sz w:val="21"/>
                      <w:szCs w:val="21"/>
                      <w14:textFill>
                        <w14:solidFill>
                          <w14:schemeClr w14:val="tx1"/>
                        </w14:solidFill>
                      </w14:textFill>
                    </w:rPr>
                    <w:t>A级水平进行建设</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1017" w:type="dxa"/>
                  <w:gridSpan w:val="2"/>
                  <w:noWrap w:val="0"/>
                  <w:vAlign w:val="center"/>
                </w:tcPr>
                <w:p w14:paraId="3919C3A3">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eastAsia" w:ascii="Times New Roman" w:hAnsi="Times New Roman" w:eastAsia="宋体" w:cs="Times New Roman"/>
                      <w:b w:val="0"/>
                      <w:bCs w:val="0"/>
                      <w:sz w:val="21"/>
                      <w:szCs w:val="21"/>
                      <w:vertAlign w:val="baseline"/>
                      <w:lang w:eastAsia="zh-CN"/>
                    </w:rPr>
                  </w:pPr>
                  <w:r>
                    <w:rPr>
                      <w:rFonts w:hint="eastAsia" w:eastAsia="宋体" w:cs="Times New Roman"/>
                      <w:b w:val="0"/>
                      <w:bCs w:val="0"/>
                      <w:sz w:val="21"/>
                      <w:szCs w:val="21"/>
                      <w:vertAlign w:val="baseline"/>
                      <w:lang w:eastAsia="zh-CN"/>
                    </w:rPr>
                    <w:t>符合</w:t>
                  </w:r>
                </w:p>
              </w:tc>
            </w:tr>
            <w:tr w14:paraId="447197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19" w:type="dxa"/>
                <w:trHeight w:val="1059" w:hRule="atLeast"/>
              </w:trPr>
              <w:tc>
                <w:tcPr>
                  <w:tcW w:w="961" w:type="dxa"/>
                  <w:gridSpan w:val="2"/>
                  <w:noWrap w:val="0"/>
                  <w:vAlign w:val="center"/>
                </w:tcPr>
                <w:p w14:paraId="1B2E166D">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资源开发效率要求</w:t>
                  </w:r>
                </w:p>
              </w:tc>
              <w:tc>
                <w:tcPr>
                  <w:tcW w:w="4925" w:type="dxa"/>
                  <w:gridSpan w:val="3"/>
                  <w:noWrap w:val="0"/>
                  <w:vAlign w:val="center"/>
                </w:tcPr>
                <w:p w14:paraId="597A5C77">
                  <w:pPr>
                    <w:keepNext w:val="0"/>
                    <w:keepLines w:val="0"/>
                    <w:pageBreakBefore w:val="0"/>
                    <w:widowControl/>
                    <w:suppressLineNumbers w:val="0"/>
                    <w:kinsoku/>
                    <w:wordWrap/>
                    <w:topLinePunct w:val="0"/>
                    <w:autoSpaceDE/>
                    <w:autoSpaceDN/>
                    <w:bidi w:val="0"/>
                    <w:adjustRightInd/>
                    <w:spacing w:before="0" w:beforeAutospacing="0" w:after="0" w:afterAutospacing="0"/>
                    <w:ind w:left="0" w:right="0" w:firstLine="0"/>
                    <w:jc w:val="both"/>
                    <w:textAlignment w:val="auto"/>
                    <w:outlineLvl w:val="9"/>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3.开展高耗水工业行业节水技术改造，大力推广工业水循环利用，推进节水型企业、节水型工业园区建设。</w:t>
                  </w:r>
                </w:p>
              </w:tc>
              <w:tc>
                <w:tcPr>
                  <w:tcW w:w="1917" w:type="dxa"/>
                  <w:gridSpan w:val="2"/>
                  <w:noWrap w:val="0"/>
                  <w:vAlign w:val="center"/>
                </w:tcPr>
                <w:p w14:paraId="4D4694ED">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both"/>
                    <w:textAlignment w:val="auto"/>
                    <w:outlineLvl w:val="9"/>
                    <w:rPr>
                      <w:rFonts w:hint="eastAsia" w:ascii="Times New Roman" w:hAnsi="Times New Roman" w:eastAsia="宋体" w:cs="Times New Roman"/>
                      <w:sz w:val="21"/>
                      <w:szCs w:val="21"/>
                      <w:vertAlign w:val="baseline"/>
                      <w:lang w:eastAsia="zh-CN"/>
                    </w:rPr>
                  </w:pPr>
                  <w:r>
                    <w:rPr>
                      <w:rFonts w:hint="eastAsia" w:eastAsia="宋体" w:cs="Times New Roman"/>
                      <w:b w:val="0"/>
                      <w:bCs w:val="0"/>
                      <w:sz w:val="21"/>
                      <w:szCs w:val="21"/>
                      <w:vertAlign w:val="baseline"/>
                      <w:lang w:eastAsia="zh-CN"/>
                    </w:rPr>
                    <w:t>本项目不属于高耗水行业</w:t>
                  </w:r>
                  <w:r>
                    <w:rPr>
                      <w:rFonts w:hint="eastAsia" w:cs="Times New Roman"/>
                      <w:b w:val="0"/>
                      <w:bCs w:val="0"/>
                      <w:sz w:val="21"/>
                      <w:szCs w:val="21"/>
                      <w:vertAlign w:val="baseline"/>
                      <w:lang w:eastAsia="zh-CN"/>
                    </w:rPr>
                    <w:t>。</w:t>
                  </w:r>
                </w:p>
              </w:tc>
              <w:tc>
                <w:tcPr>
                  <w:tcW w:w="1017" w:type="dxa"/>
                  <w:gridSpan w:val="2"/>
                  <w:noWrap w:val="0"/>
                  <w:vAlign w:val="center"/>
                </w:tcPr>
                <w:p w14:paraId="07AC7F60">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eastAsia" w:ascii="Times New Roman" w:hAnsi="Times New Roman" w:eastAsia="宋体" w:cs="Times New Roman"/>
                      <w:b w:val="0"/>
                      <w:bCs w:val="0"/>
                      <w:sz w:val="21"/>
                      <w:szCs w:val="21"/>
                      <w:vertAlign w:val="baseline"/>
                      <w:lang w:eastAsia="zh-CN"/>
                    </w:rPr>
                  </w:pPr>
                  <w:r>
                    <w:rPr>
                      <w:rFonts w:hint="eastAsia" w:eastAsia="宋体" w:cs="Times New Roman"/>
                      <w:b w:val="0"/>
                      <w:bCs w:val="0"/>
                      <w:sz w:val="21"/>
                      <w:szCs w:val="21"/>
                      <w:vertAlign w:val="baseline"/>
                      <w:lang w:eastAsia="zh-CN"/>
                    </w:rPr>
                    <w:t>符合</w:t>
                  </w:r>
                </w:p>
              </w:tc>
            </w:tr>
            <w:tr w14:paraId="084202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19" w:type="dxa"/>
                <w:trHeight w:val="397" w:hRule="atLeast"/>
              </w:trPr>
              <w:tc>
                <w:tcPr>
                  <w:tcW w:w="8820" w:type="dxa"/>
                  <w:gridSpan w:val="9"/>
                  <w:noWrap w:val="0"/>
                  <w:vAlign w:val="center"/>
                </w:tcPr>
                <w:p w14:paraId="2CAEC160">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（二）各县区分区管控单元生态环境准入清单</w:t>
                  </w:r>
                </w:p>
              </w:tc>
            </w:tr>
            <w:tr w14:paraId="5C020D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8" w:type="dxa"/>
                  <w:noWrap w:val="0"/>
                  <w:vAlign w:val="center"/>
                </w:tcPr>
                <w:p w14:paraId="1C10C801">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环境管控单元名称</w:t>
                  </w:r>
                </w:p>
              </w:tc>
              <w:tc>
                <w:tcPr>
                  <w:tcW w:w="865" w:type="dxa"/>
                  <w:gridSpan w:val="2"/>
                  <w:noWrap w:val="0"/>
                  <w:vAlign w:val="center"/>
                </w:tcPr>
                <w:p w14:paraId="0EA001AF">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管控单元分类</w:t>
                  </w:r>
                </w:p>
              </w:tc>
              <w:tc>
                <w:tcPr>
                  <w:tcW w:w="4344" w:type="dxa"/>
                  <w:gridSpan w:val="3"/>
                  <w:noWrap w:val="0"/>
                  <w:vAlign w:val="center"/>
                </w:tcPr>
                <w:p w14:paraId="037312C5">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管控要求</w:t>
                  </w:r>
                </w:p>
              </w:tc>
              <w:tc>
                <w:tcPr>
                  <w:tcW w:w="1917" w:type="dxa"/>
                  <w:gridSpan w:val="2"/>
                  <w:noWrap w:val="0"/>
                  <w:vAlign w:val="center"/>
                </w:tcPr>
                <w:p w14:paraId="3B6EAEF6">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本项目情况</w:t>
                  </w:r>
                </w:p>
              </w:tc>
              <w:tc>
                <w:tcPr>
                  <w:tcW w:w="1025" w:type="dxa"/>
                  <w:gridSpan w:val="2"/>
                  <w:noWrap w:val="0"/>
                  <w:vAlign w:val="center"/>
                </w:tcPr>
                <w:p w14:paraId="1E603060">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相符性</w:t>
                  </w:r>
                </w:p>
              </w:tc>
            </w:tr>
            <w:tr w14:paraId="084021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8" w:type="dxa"/>
                  <w:vMerge w:val="restart"/>
                  <w:noWrap w:val="0"/>
                  <w:vAlign w:val="center"/>
                </w:tcPr>
                <w:p w14:paraId="7C75711E">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eastAsia" w:cs="Times New Roman"/>
                      <w:b w:val="0"/>
                      <w:bCs w:val="0"/>
                      <w:sz w:val="21"/>
                      <w:szCs w:val="21"/>
                      <w:vertAlign w:val="baseline"/>
                      <w:lang w:val="en-US" w:eastAsia="zh-CN"/>
                    </w:rPr>
                    <w:t>新乡县城镇重点单元（</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ZH410721</w:t>
                  </w:r>
                  <w:r>
                    <w:rPr>
                      <w:rFonts w:hint="eastAsia" w:cs="Times New Roman"/>
                      <w:color w:val="000000" w:themeColor="text1"/>
                      <w:sz w:val="21"/>
                      <w:szCs w:val="21"/>
                      <w:highlight w:val="none"/>
                      <w:lang w:val="en-US" w:eastAsia="zh-CN"/>
                      <w14:textFill>
                        <w14:solidFill>
                          <w14:schemeClr w14:val="tx1"/>
                        </w14:solidFill>
                      </w14:textFill>
                    </w:rPr>
                    <w:t>20003</w:t>
                  </w:r>
                  <w:r>
                    <w:rPr>
                      <w:rFonts w:hint="eastAsia" w:cs="Times New Roman"/>
                      <w:b w:val="0"/>
                      <w:bCs w:val="0"/>
                      <w:sz w:val="21"/>
                      <w:szCs w:val="21"/>
                      <w:vertAlign w:val="baseline"/>
                      <w:lang w:val="en-US" w:eastAsia="zh-CN"/>
                    </w:rPr>
                    <w:t>）</w:t>
                  </w:r>
                </w:p>
              </w:tc>
              <w:tc>
                <w:tcPr>
                  <w:tcW w:w="865" w:type="dxa"/>
                  <w:gridSpan w:val="2"/>
                  <w:vMerge w:val="restart"/>
                  <w:noWrap w:val="0"/>
                  <w:vAlign w:val="center"/>
                </w:tcPr>
                <w:p w14:paraId="21AA8E80">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cs="Times New Roman"/>
                      <w:b w:val="0"/>
                      <w:bCs w:val="0"/>
                      <w:sz w:val="21"/>
                      <w:szCs w:val="21"/>
                      <w:highlight w:val="none"/>
                      <w:vertAlign w:val="baseline"/>
                      <w:lang w:val="en-US" w:eastAsia="zh-CN"/>
                    </w:rPr>
                  </w:pPr>
                  <w:r>
                    <w:rPr>
                      <w:rFonts w:hint="eastAsia" w:cs="Times New Roman"/>
                      <w:b w:val="0"/>
                      <w:bCs w:val="0"/>
                      <w:sz w:val="21"/>
                      <w:szCs w:val="21"/>
                      <w:highlight w:val="none"/>
                      <w:vertAlign w:val="baseline"/>
                      <w:lang w:val="en-US" w:eastAsia="zh-CN"/>
                    </w:rPr>
                    <w:t>重点管控单元3（新乡县七里营镇）</w:t>
                  </w:r>
                </w:p>
              </w:tc>
              <w:tc>
                <w:tcPr>
                  <w:tcW w:w="565" w:type="dxa"/>
                  <w:noWrap w:val="0"/>
                  <w:vAlign w:val="center"/>
                </w:tcPr>
                <w:p w14:paraId="7BA2D5A0">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highlight w:val="none"/>
                      <w:vertAlign w:val="baseline"/>
                      <w:lang w:eastAsia="zh-CN"/>
                    </w:rPr>
                  </w:pPr>
                  <w:r>
                    <w:rPr>
                      <w:rFonts w:hint="eastAsia" w:cs="Times New Roman"/>
                      <w:b w:val="0"/>
                      <w:bCs w:val="0"/>
                      <w:sz w:val="21"/>
                      <w:szCs w:val="21"/>
                      <w:highlight w:val="none"/>
                      <w:vertAlign w:val="baseline"/>
                      <w:lang w:eastAsia="zh-CN"/>
                    </w:rPr>
                    <w:t>空间布局约束</w:t>
                  </w:r>
                </w:p>
              </w:tc>
              <w:tc>
                <w:tcPr>
                  <w:tcW w:w="3779" w:type="dxa"/>
                  <w:gridSpan w:val="2"/>
                  <w:noWrap w:val="0"/>
                  <w:vAlign w:val="center"/>
                </w:tcPr>
                <w:p w14:paraId="58232AC6">
                  <w:pPr>
                    <w:keepNext w:val="0"/>
                    <w:keepLines w:val="0"/>
                    <w:widowControl/>
                    <w:suppressLineNumbers w:val="0"/>
                    <w:spacing w:before="0" w:beforeAutospacing="0" w:after="0" w:afterAutospacing="0"/>
                    <w:ind w:left="0" w:right="0"/>
                    <w:jc w:val="both"/>
                    <w:rPr>
                      <w:rFonts w:hint="eastAsia"/>
                      <w:sz w:val="21"/>
                      <w:szCs w:val="21"/>
                    </w:rPr>
                  </w:pPr>
                  <w:r>
                    <w:rPr>
                      <w:rFonts w:hint="eastAsia"/>
                      <w:sz w:val="21"/>
                      <w:szCs w:val="21"/>
                    </w:rPr>
                    <w:t>1、在居民住宅区等人口密集区域和医院、学校、幼儿园、养老院等其他需要特殊保护的区域及其周边，不得新建、改建和扩建石化、焦化、制药、油漆、塑料、橡胶、造纸、饲料等易产生恶臭气体的生产项目或者从事其他产生恶臭气体的生产经营活动。已建成的，应当逐步搬迁或者升级改造。</w:t>
                  </w:r>
                </w:p>
                <w:p w14:paraId="1B9E83CC">
                  <w:pPr>
                    <w:keepNext w:val="0"/>
                    <w:keepLines w:val="0"/>
                    <w:widowControl/>
                    <w:suppressLineNumbers w:val="0"/>
                    <w:spacing w:before="0" w:beforeAutospacing="0" w:after="0" w:afterAutospacing="0"/>
                    <w:ind w:left="0" w:right="0"/>
                    <w:jc w:val="both"/>
                    <w:rPr>
                      <w:rFonts w:hint="eastAsia"/>
                      <w:sz w:val="21"/>
                      <w:szCs w:val="21"/>
                    </w:rPr>
                  </w:pPr>
                  <w:r>
                    <w:rPr>
                      <w:rFonts w:hint="eastAsia"/>
                      <w:sz w:val="21"/>
                      <w:szCs w:val="21"/>
                    </w:rPr>
                    <w:t>2、禁止新建、改建及扩建高排放、高污染项目，包括钢铁、有色、水泥、化工、平板玻璃、建筑陶瓷等行业及其他排放重金属、持久性有机污染物的工业项目等。</w:t>
                  </w:r>
                </w:p>
                <w:p w14:paraId="1C19BBB6">
                  <w:pPr>
                    <w:keepNext w:val="0"/>
                    <w:keepLines w:val="0"/>
                    <w:widowControl/>
                    <w:suppressLineNumbers w:val="0"/>
                    <w:spacing w:before="0" w:beforeAutospacing="0" w:after="0" w:afterAutospacing="0"/>
                    <w:ind w:left="0" w:right="0"/>
                    <w:jc w:val="both"/>
                    <w:rPr>
                      <w:rFonts w:hint="eastAsia"/>
                      <w:sz w:val="21"/>
                      <w:szCs w:val="21"/>
                    </w:rPr>
                  </w:pPr>
                  <w:r>
                    <w:rPr>
                      <w:rFonts w:hint="eastAsia"/>
                      <w:sz w:val="21"/>
                      <w:szCs w:val="21"/>
                    </w:rPr>
                    <w:t>3、对列入疑似污染地块名单的地块，未经土壤污染状况调查确定为未污染地块的，不得进入用地程序，自然资源部门不得核发建设工程规划许可证。</w:t>
                  </w:r>
                </w:p>
                <w:p w14:paraId="6A86FF1F">
                  <w:pPr>
                    <w:keepNext w:val="0"/>
                    <w:keepLines w:val="0"/>
                    <w:widowControl/>
                    <w:suppressLineNumbers w:val="0"/>
                    <w:spacing w:before="0" w:beforeAutospacing="0" w:after="0" w:afterAutospacing="0"/>
                    <w:ind w:left="0" w:right="0"/>
                    <w:jc w:val="both"/>
                    <w:rPr>
                      <w:rFonts w:hint="eastAsia" w:ascii="宋体" w:hAnsi="宋体" w:eastAsia="宋体" w:cs="宋体"/>
                      <w:color w:val="000000"/>
                      <w:kern w:val="0"/>
                      <w:sz w:val="21"/>
                      <w:szCs w:val="21"/>
                      <w:lang w:val="en-US" w:eastAsia="zh-CN" w:bidi="ar"/>
                    </w:rPr>
                  </w:pPr>
                  <w:r>
                    <w:rPr>
                      <w:rFonts w:hint="eastAsia"/>
                      <w:sz w:val="21"/>
                      <w:szCs w:val="21"/>
                    </w:rPr>
                    <w:t>4、禁止新、改、扩建“两高”项目。</w:t>
                  </w:r>
                </w:p>
              </w:tc>
              <w:tc>
                <w:tcPr>
                  <w:tcW w:w="1917" w:type="dxa"/>
                  <w:gridSpan w:val="2"/>
                  <w:noWrap w:val="0"/>
                  <w:vAlign w:val="center"/>
                </w:tcPr>
                <w:p w14:paraId="2791BEA2">
                  <w:pPr>
                    <w:pStyle w:val="64"/>
                    <w:keepNext w:val="0"/>
                    <w:keepLines w:val="0"/>
                    <w:suppressLineNumbers w:val="0"/>
                    <w:spacing w:before="0" w:beforeLines="0" w:beforeAutospacing="0" w:after="0" w:afterLines="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1、本项目属于锂离子电池制造、电子专用材料制造，不属于易产生恶臭气体的生产项目</w:t>
                  </w:r>
                </w:p>
                <w:p w14:paraId="4B032284">
                  <w:pPr>
                    <w:pStyle w:val="64"/>
                    <w:keepNext w:val="0"/>
                    <w:keepLines w:val="0"/>
                    <w:suppressLineNumbers w:val="0"/>
                    <w:spacing w:before="0" w:beforeLines="0" w:beforeAutospacing="0" w:after="0" w:afterLines="0" w:afterAutospacing="0"/>
                    <w:ind w:left="0" w:right="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2、本项目为</w:t>
                  </w:r>
                  <w:r>
                    <w:rPr>
                      <w:rFonts w:hint="eastAsia" w:ascii="Times New Roman" w:hAnsi="Times New Roman" w:eastAsia="宋体" w:cs="Times New Roman"/>
                      <w:sz w:val="21"/>
                      <w:szCs w:val="21"/>
                      <w:lang w:val="en-US" w:eastAsia="zh-CN"/>
                    </w:rPr>
                    <w:t>改</w:t>
                  </w:r>
                  <w:r>
                    <w:rPr>
                      <w:rFonts w:hint="default" w:ascii="Times New Roman" w:hAnsi="Times New Roman" w:eastAsia="宋体" w:cs="Times New Roman"/>
                      <w:sz w:val="21"/>
                      <w:szCs w:val="21"/>
                    </w:rPr>
                    <w:t>建项目，不属于高排放、高污染项目</w:t>
                  </w:r>
                </w:p>
                <w:p w14:paraId="41812CC7">
                  <w:pPr>
                    <w:pStyle w:val="64"/>
                    <w:keepNext w:val="0"/>
                    <w:keepLines w:val="0"/>
                    <w:suppressLineNumbers w:val="0"/>
                    <w:spacing w:before="0" w:beforeLines="0" w:beforeAutospacing="0" w:after="0" w:afterLines="0" w:afterAutospacing="0"/>
                    <w:ind w:left="0" w:right="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3、项目所在地未列入疑似污染地块名单</w:t>
                  </w:r>
                </w:p>
                <w:p w14:paraId="66BC4A78">
                  <w:pPr>
                    <w:pStyle w:val="2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0"/>
                    <w:jc w:val="left"/>
                    <w:textAlignment w:val="auto"/>
                    <w:rPr>
                      <w:rFonts w:hint="default"/>
                      <w:sz w:val="21"/>
                      <w:szCs w:val="21"/>
                      <w:lang w:val="en-US" w:eastAsia="zh-CN"/>
                    </w:rPr>
                  </w:pPr>
                  <w:r>
                    <w:rPr>
                      <w:rFonts w:hint="default" w:ascii="Times New Roman" w:hAnsi="Times New Roman" w:eastAsia="宋体" w:cs="Times New Roman"/>
                      <w:szCs w:val="21"/>
                    </w:rPr>
                    <w:t>4、本项目不属于“两高”项目</w:t>
                  </w:r>
                </w:p>
              </w:tc>
              <w:tc>
                <w:tcPr>
                  <w:tcW w:w="1025" w:type="dxa"/>
                  <w:gridSpan w:val="2"/>
                  <w:noWrap w:val="0"/>
                  <w:vAlign w:val="center"/>
                </w:tcPr>
                <w:p w14:paraId="4083BB2A">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eastAsia"/>
                      <w:color w:val="000000"/>
                      <w:sz w:val="21"/>
                      <w:szCs w:val="21"/>
                    </w:rPr>
                    <w:t>符合</w:t>
                  </w:r>
                </w:p>
              </w:tc>
            </w:tr>
            <w:tr w14:paraId="5E58C1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4" w:hRule="atLeast"/>
              </w:trPr>
              <w:tc>
                <w:tcPr>
                  <w:tcW w:w="788" w:type="dxa"/>
                  <w:vMerge w:val="continue"/>
                  <w:noWrap w:val="0"/>
                  <w:vAlign w:val="center"/>
                </w:tcPr>
                <w:p w14:paraId="02485514">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eastAsia" w:cs="Times New Roman"/>
                      <w:b w:val="0"/>
                      <w:bCs w:val="0"/>
                      <w:sz w:val="21"/>
                      <w:szCs w:val="21"/>
                      <w:vertAlign w:val="baseline"/>
                      <w:lang w:val="en-US" w:eastAsia="zh-CN"/>
                    </w:rPr>
                  </w:pPr>
                </w:p>
              </w:tc>
              <w:tc>
                <w:tcPr>
                  <w:tcW w:w="865" w:type="dxa"/>
                  <w:gridSpan w:val="2"/>
                  <w:vMerge w:val="continue"/>
                  <w:noWrap w:val="0"/>
                  <w:vAlign w:val="center"/>
                </w:tcPr>
                <w:p w14:paraId="38208AE5">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eastAsia" w:cs="Times New Roman"/>
                      <w:b w:val="0"/>
                      <w:bCs w:val="0"/>
                      <w:sz w:val="21"/>
                      <w:szCs w:val="21"/>
                      <w:highlight w:val="none"/>
                      <w:vertAlign w:val="baseline"/>
                      <w:lang w:val="en-US" w:eastAsia="zh-CN"/>
                    </w:rPr>
                  </w:pPr>
                </w:p>
              </w:tc>
              <w:tc>
                <w:tcPr>
                  <w:tcW w:w="565" w:type="dxa"/>
                  <w:noWrap w:val="0"/>
                  <w:vAlign w:val="center"/>
                </w:tcPr>
                <w:p w14:paraId="68E87590">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cs="Times New Roman"/>
                      <w:b w:val="0"/>
                      <w:bCs w:val="0"/>
                      <w:sz w:val="21"/>
                      <w:szCs w:val="21"/>
                      <w:highlight w:val="none"/>
                      <w:vertAlign w:val="baseline"/>
                      <w:lang w:val="en-US" w:eastAsia="zh-CN"/>
                    </w:rPr>
                  </w:pPr>
                  <w:r>
                    <w:rPr>
                      <w:rFonts w:hint="eastAsia" w:cs="Times New Roman"/>
                      <w:b w:val="0"/>
                      <w:bCs w:val="0"/>
                      <w:sz w:val="21"/>
                      <w:szCs w:val="21"/>
                      <w:highlight w:val="none"/>
                      <w:vertAlign w:val="baseline"/>
                      <w:lang w:val="en-US" w:eastAsia="zh-CN"/>
                    </w:rPr>
                    <w:t>污染物排放管控</w:t>
                  </w:r>
                </w:p>
              </w:tc>
              <w:tc>
                <w:tcPr>
                  <w:tcW w:w="3779" w:type="dxa"/>
                  <w:gridSpan w:val="2"/>
                  <w:noWrap w:val="0"/>
                  <w:vAlign w:val="center"/>
                </w:tcPr>
                <w:p w14:paraId="6D516663">
                  <w:pPr>
                    <w:pStyle w:val="64"/>
                    <w:keepNext w:val="0"/>
                    <w:keepLines w:val="0"/>
                    <w:suppressLineNumbers w:val="0"/>
                    <w:spacing w:before="0" w:beforeLines="0" w:beforeAutospacing="0" w:after="0" w:afterLines="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1、二氧化硫、氮氧化物、颗粒物、VOCs全面执行大气污染物特别排放限值。</w:t>
                  </w:r>
                </w:p>
                <w:p w14:paraId="3DA5EA0C">
                  <w:pPr>
                    <w:pStyle w:val="64"/>
                    <w:keepNext w:val="0"/>
                    <w:keepLines w:val="0"/>
                    <w:suppressLineNumbers w:val="0"/>
                    <w:spacing w:before="0" w:beforeLines="0" w:beforeAutospacing="0" w:after="0" w:afterLines="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2、加强柴油车NOx排放监管，严格实施非道路移动机械排放标准，推进重点场所清洁能源机械替代。</w:t>
                  </w:r>
                </w:p>
                <w:p w14:paraId="249DA7B0">
                  <w:pPr>
                    <w:pStyle w:val="64"/>
                    <w:keepNext w:val="0"/>
                    <w:keepLines w:val="0"/>
                    <w:suppressLineNumbers w:val="0"/>
                    <w:spacing w:before="0" w:beforeLines="0" w:beforeAutospacing="0" w:after="0" w:afterLines="0" w:afterAutospacing="0"/>
                    <w:ind w:left="0" w:right="0"/>
                    <w:jc w:val="both"/>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sz w:val="21"/>
                      <w:szCs w:val="21"/>
                    </w:rPr>
                    <w:t>3、禁止含重金属废水进入城市生活污水处理厂。</w:t>
                  </w:r>
                </w:p>
              </w:tc>
              <w:tc>
                <w:tcPr>
                  <w:tcW w:w="1917" w:type="dxa"/>
                  <w:gridSpan w:val="2"/>
                  <w:noWrap w:val="0"/>
                  <w:vAlign w:val="center"/>
                </w:tcPr>
                <w:p w14:paraId="7FEEF3BD">
                  <w:pPr>
                    <w:pStyle w:val="64"/>
                    <w:keepNext w:val="0"/>
                    <w:keepLines w:val="0"/>
                    <w:suppressLineNumbers w:val="0"/>
                    <w:spacing w:before="0" w:beforeLines="0" w:beforeAutospacing="0" w:after="0" w:afterLines="0" w:afterAutospacing="0"/>
                    <w:ind w:left="0" w:right="0"/>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1、本项目</w:t>
                  </w:r>
                  <w:r>
                    <w:rPr>
                      <w:rFonts w:hint="eastAsia" w:ascii="Times New Roman" w:hAnsi="Times New Roman" w:eastAsia="宋体" w:cs="Times New Roman"/>
                      <w:sz w:val="21"/>
                      <w:szCs w:val="21"/>
                      <w:lang w:val="en-US" w:eastAsia="zh-CN"/>
                    </w:rPr>
                    <w:t>不新增废气、废水污染物。</w:t>
                  </w:r>
                </w:p>
                <w:p w14:paraId="76F31BDE">
                  <w:pPr>
                    <w:pStyle w:val="64"/>
                    <w:keepNext w:val="0"/>
                    <w:keepLines w:val="0"/>
                    <w:suppressLineNumbers w:val="0"/>
                    <w:spacing w:before="0" w:beforeLines="0" w:beforeAutospacing="0" w:after="0" w:afterLines="0" w:afterAutospacing="0"/>
                    <w:ind w:left="0" w:right="0"/>
                    <w:jc w:val="both"/>
                    <w:rPr>
                      <w:rFonts w:hint="eastAsia" w:ascii="Times New Roman" w:hAnsi="Times New Roman" w:eastAsia="宋体" w:cs="Times New Roman"/>
                      <w:sz w:val="21"/>
                      <w:szCs w:val="21"/>
                      <w:lang w:eastAsia="zh-CN"/>
                    </w:rPr>
                  </w:pPr>
                  <w:r>
                    <w:rPr>
                      <w:rFonts w:hint="default" w:ascii="Times New Roman" w:hAnsi="Times New Roman" w:eastAsia="宋体" w:cs="Times New Roman"/>
                      <w:sz w:val="21"/>
                      <w:szCs w:val="21"/>
                    </w:rPr>
                    <w:t>2、本项目建成后将严格实施非道路移动机械排放标准，推进重点场所清洁能源机械替代</w:t>
                  </w:r>
                  <w:r>
                    <w:rPr>
                      <w:rFonts w:hint="eastAsia" w:ascii="Times New Roman" w:hAnsi="Times New Roman" w:eastAsia="宋体" w:cs="Times New Roman"/>
                      <w:sz w:val="21"/>
                      <w:szCs w:val="21"/>
                      <w:lang w:eastAsia="zh-CN"/>
                    </w:rPr>
                    <w:t>。</w:t>
                  </w:r>
                </w:p>
                <w:p w14:paraId="3A1220B0">
                  <w:pPr>
                    <w:pStyle w:val="64"/>
                    <w:keepNext w:val="0"/>
                    <w:keepLines w:val="0"/>
                    <w:suppressLineNumbers w:val="0"/>
                    <w:spacing w:before="0" w:beforeLines="0" w:beforeAutospacing="0" w:after="0" w:afterLines="0" w:afterAutospacing="0"/>
                    <w:ind w:left="0" w:right="0"/>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3、</w:t>
                  </w:r>
                  <w:r>
                    <w:rPr>
                      <w:rFonts w:hint="eastAsia" w:ascii="Times New Roman" w:hAnsi="Times New Roman" w:eastAsia="宋体" w:cs="Times New Roman"/>
                      <w:sz w:val="21"/>
                      <w:szCs w:val="21"/>
                      <w:lang w:val="en-US" w:eastAsia="zh-CN"/>
                    </w:rPr>
                    <w:t>本项目不新增废水，</w:t>
                  </w:r>
                  <w:r>
                    <w:rPr>
                      <w:rFonts w:hint="default" w:ascii="Times New Roman" w:hAnsi="Times New Roman" w:eastAsia="宋体" w:cs="Times New Roman"/>
                      <w:sz w:val="21"/>
                      <w:szCs w:val="21"/>
                      <w:highlight w:val="none"/>
                    </w:rPr>
                    <w:t>项目生产废水</w:t>
                  </w:r>
                  <w:r>
                    <w:rPr>
                      <w:rFonts w:hint="eastAsia" w:ascii="Times New Roman" w:hAnsi="Times New Roman" w:eastAsia="宋体" w:cs="Times New Roman"/>
                      <w:sz w:val="21"/>
                      <w:szCs w:val="21"/>
                      <w:highlight w:val="none"/>
                      <w:lang w:val="en-US" w:eastAsia="zh-CN"/>
                    </w:rPr>
                    <w:t>经沉淀池沉淀后同生活污水一并</w:t>
                  </w:r>
                  <w:r>
                    <w:rPr>
                      <w:rFonts w:hint="default" w:ascii="Times New Roman" w:hAnsi="Times New Roman" w:eastAsia="宋体" w:cs="Times New Roman"/>
                      <w:sz w:val="21"/>
                      <w:szCs w:val="21"/>
                      <w:highlight w:val="none"/>
                    </w:rPr>
                    <w:t>由厂内污水处理</w:t>
                  </w:r>
                  <w:r>
                    <w:rPr>
                      <w:rFonts w:hint="eastAsia" w:ascii="Times New Roman" w:hAnsi="Times New Roman" w:eastAsia="宋体" w:cs="Times New Roman"/>
                      <w:sz w:val="21"/>
                      <w:szCs w:val="21"/>
                      <w:highlight w:val="none"/>
                      <w:lang w:val="en-US" w:eastAsia="zh-CN"/>
                    </w:rPr>
                    <w:t>站</w:t>
                  </w:r>
                  <w:r>
                    <w:rPr>
                      <w:rFonts w:hint="default" w:ascii="Times New Roman" w:hAnsi="Times New Roman" w:eastAsia="宋体" w:cs="Times New Roman"/>
                      <w:sz w:val="21"/>
                      <w:szCs w:val="21"/>
                      <w:highlight w:val="none"/>
                    </w:rPr>
                    <w:t>处理后，经管网进入新乡县综合</w:t>
                  </w:r>
                  <w:r>
                    <w:rPr>
                      <w:rFonts w:hint="default" w:ascii="Times New Roman" w:hAnsi="Times New Roman" w:eastAsia="宋体" w:cs="Times New Roman"/>
                      <w:sz w:val="21"/>
                      <w:szCs w:val="21"/>
                    </w:rPr>
                    <w:t>污水处理厂</w:t>
                  </w:r>
                </w:p>
              </w:tc>
              <w:tc>
                <w:tcPr>
                  <w:tcW w:w="1025" w:type="dxa"/>
                  <w:gridSpan w:val="2"/>
                  <w:noWrap w:val="0"/>
                  <w:vAlign w:val="center"/>
                </w:tcPr>
                <w:p w14:paraId="32D9D34A">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eastAsia"/>
                      <w:color w:val="000000"/>
                      <w:sz w:val="21"/>
                      <w:szCs w:val="21"/>
                    </w:rPr>
                  </w:pPr>
                  <w:r>
                    <w:rPr>
                      <w:rFonts w:hint="eastAsia"/>
                      <w:color w:val="000000"/>
                      <w:sz w:val="21"/>
                      <w:szCs w:val="21"/>
                    </w:rPr>
                    <w:t>符合</w:t>
                  </w:r>
                </w:p>
              </w:tc>
            </w:tr>
            <w:tr w14:paraId="26A1DB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4" w:hRule="atLeast"/>
              </w:trPr>
              <w:tc>
                <w:tcPr>
                  <w:tcW w:w="788" w:type="dxa"/>
                  <w:vMerge w:val="continue"/>
                  <w:noWrap w:val="0"/>
                  <w:vAlign w:val="center"/>
                </w:tcPr>
                <w:p w14:paraId="2F092B53">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eastAsia" w:cs="Times New Roman"/>
                      <w:b w:val="0"/>
                      <w:bCs w:val="0"/>
                      <w:sz w:val="21"/>
                      <w:szCs w:val="21"/>
                      <w:vertAlign w:val="baseline"/>
                      <w:lang w:val="en-US" w:eastAsia="zh-CN"/>
                    </w:rPr>
                  </w:pPr>
                </w:p>
              </w:tc>
              <w:tc>
                <w:tcPr>
                  <w:tcW w:w="865" w:type="dxa"/>
                  <w:gridSpan w:val="2"/>
                  <w:vMerge w:val="continue"/>
                  <w:noWrap w:val="0"/>
                  <w:vAlign w:val="center"/>
                </w:tcPr>
                <w:p w14:paraId="04A95C5E">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eastAsia" w:cs="Times New Roman"/>
                      <w:b w:val="0"/>
                      <w:bCs w:val="0"/>
                      <w:sz w:val="21"/>
                      <w:szCs w:val="21"/>
                      <w:highlight w:val="none"/>
                      <w:vertAlign w:val="baseline"/>
                      <w:lang w:val="en-US" w:eastAsia="zh-CN"/>
                    </w:rPr>
                  </w:pPr>
                </w:p>
              </w:tc>
              <w:tc>
                <w:tcPr>
                  <w:tcW w:w="565" w:type="dxa"/>
                  <w:noWrap w:val="0"/>
                  <w:vAlign w:val="center"/>
                </w:tcPr>
                <w:p w14:paraId="44E0440A">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cs="Times New Roman"/>
                      <w:b w:val="0"/>
                      <w:bCs w:val="0"/>
                      <w:sz w:val="21"/>
                      <w:szCs w:val="21"/>
                      <w:highlight w:val="none"/>
                      <w:vertAlign w:val="baseline"/>
                      <w:lang w:val="en-US" w:eastAsia="zh-CN"/>
                    </w:rPr>
                  </w:pPr>
                  <w:r>
                    <w:rPr>
                      <w:rFonts w:hint="eastAsia" w:cs="Times New Roman"/>
                      <w:b w:val="0"/>
                      <w:bCs w:val="0"/>
                      <w:sz w:val="21"/>
                      <w:szCs w:val="21"/>
                      <w:highlight w:val="none"/>
                      <w:vertAlign w:val="baseline"/>
                      <w:lang w:val="en-US" w:eastAsia="zh-CN"/>
                    </w:rPr>
                    <w:t>环境风险防控</w:t>
                  </w:r>
                </w:p>
              </w:tc>
              <w:tc>
                <w:tcPr>
                  <w:tcW w:w="3779" w:type="dxa"/>
                  <w:gridSpan w:val="2"/>
                  <w:noWrap w:val="0"/>
                  <w:vAlign w:val="center"/>
                </w:tcPr>
                <w:p w14:paraId="3A0B9ECC">
                  <w:pPr>
                    <w:keepNext w:val="0"/>
                    <w:keepLines w:val="0"/>
                    <w:suppressLineNumbers w:val="0"/>
                    <w:adjustRightInd w:val="0"/>
                    <w:snapToGrid w:val="0"/>
                    <w:spacing w:before="0" w:beforeAutospacing="0" w:after="0" w:afterAutospacing="0" w:line="240" w:lineRule="auto"/>
                    <w:ind w:left="0" w:right="0" w:firstLine="0" w:firstLineChars="0"/>
                    <w:textAlignment w:val="baseline"/>
                    <w:rPr>
                      <w:rFonts w:hint="default" w:ascii="Times New Roman" w:hAnsi="Times New Roman" w:eastAsia="宋体" w:cs="Times New Roman"/>
                      <w:color w:val="000000"/>
                      <w:kern w:val="0"/>
                      <w:sz w:val="21"/>
                      <w:szCs w:val="21"/>
                      <w:lang w:val="en-US" w:eastAsia="zh-CN" w:bidi="ar"/>
                    </w:rPr>
                  </w:pPr>
                  <w:r>
                    <w:rPr>
                      <w:rFonts w:hint="default"/>
                      <w:sz w:val="21"/>
                      <w:szCs w:val="21"/>
                    </w:rPr>
                    <w:t>高关注地块划分污染风险等级，纳入优先管控名录。</w:t>
                  </w:r>
                </w:p>
              </w:tc>
              <w:tc>
                <w:tcPr>
                  <w:tcW w:w="1917" w:type="dxa"/>
                  <w:gridSpan w:val="2"/>
                  <w:noWrap w:val="0"/>
                  <w:vAlign w:val="center"/>
                </w:tcPr>
                <w:p w14:paraId="66F08F43">
                  <w:pPr>
                    <w:keepNext w:val="0"/>
                    <w:keepLines w:val="0"/>
                    <w:suppressLineNumbers w:val="0"/>
                    <w:adjustRightInd w:val="0"/>
                    <w:snapToGrid w:val="0"/>
                    <w:spacing w:before="0" w:beforeAutospacing="0" w:after="0" w:afterAutospacing="0" w:line="240" w:lineRule="auto"/>
                    <w:ind w:left="0" w:right="0" w:firstLine="0" w:firstLineChars="0"/>
                    <w:textAlignment w:val="baseline"/>
                    <w:rPr>
                      <w:rFonts w:hint="default" w:cs="Times New Roman"/>
                      <w:sz w:val="21"/>
                      <w:szCs w:val="21"/>
                      <w:lang w:val="en-US" w:eastAsia="zh-CN"/>
                    </w:rPr>
                  </w:pPr>
                  <w:r>
                    <w:rPr>
                      <w:rFonts w:hint="default"/>
                      <w:sz w:val="21"/>
                      <w:szCs w:val="21"/>
                    </w:rPr>
                    <w:t>本项目不涉及</w:t>
                  </w:r>
                </w:p>
              </w:tc>
              <w:tc>
                <w:tcPr>
                  <w:tcW w:w="1025" w:type="dxa"/>
                  <w:gridSpan w:val="2"/>
                  <w:noWrap w:val="0"/>
                  <w:vAlign w:val="center"/>
                </w:tcPr>
                <w:p w14:paraId="21954714">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eastAsia"/>
                      <w:color w:val="000000"/>
                      <w:sz w:val="21"/>
                      <w:szCs w:val="21"/>
                    </w:rPr>
                  </w:pPr>
                  <w:r>
                    <w:rPr>
                      <w:rFonts w:hint="eastAsia"/>
                      <w:color w:val="000000"/>
                      <w:sz w:val="21"/>
                      <w:szCs w:val="21"/>
                    </w:rPr>
                    <w:t>符合</w:t>
                  </w:r>
                </w:p>
              </w:tc>
            </w:tr>
            <w:tr w14:paraId="540535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8" w:type="dxa"/>
                  <w:vMerge w:val="continue"/>
                  <w:tcBorders>
                    <w:bottom w:val="single" w:color="auto" w:sz="8" w:space="0"/>
                  </w:tcBorders>
                  <w:noWrap w:val="0"/>
                  <w:vAlign w:val="center"/>
                </w:tcPr>
                <w:p w14:paraId="57B22547">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p>
              </w:tc>
              <w:tc>
                <w:tcPr>
                  <w:tcW w:w="865" w:type="dxa"/>
                  <w:gridSpan w:val="2"/>
                  <w:vMerge w:val="continue"/>
                  <w:tcBorders>
                    <w:bottom w:val="single" w:color="auto" w:sz="8" w:space="0"/>
                  </w:tcBorders>
                  <w:noWrap w:val="0"/>
                  <w:vAlign w:val="center"/>
                </w:tcPr>
                <w:p w14:paraId="65705AA6">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eastAsia" w:cs="Times New Roman"/>
                      <w:b w:val="0"/>
                      <w:bCs w:val="0"/>
                      <w:sz w:val="21"/>
                      <w:szCs w:val="21"/>
                      <w:vertAlign w:val="baseline"/>
                      <w:lang w:eastAsia="zh-CN"/>
                    </w:rPr>
                  </w:pPr>
                </w:p>
              </w:tc>
              <w:tc>
                <w:tcPr>
                  <w:tcW w:w="565" w:type="dxa"/>
                  <w:tcBorders>
                    <w:bottom w:val="single" w:color="auto" w:sz="8" w:space="0"/>
                  </w:tcBorders>
                  <w:noWrap w:val="0"/>
                  <w:vAlign w:val="center"/>
                </w:tcPr>
                <w:p w14:paraId="0F6D0073">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eastAsia" w:cs="Times New Roman"/>
                      <w:b w:val="0"/>
                      <w:bCs w:val="0"/>
                      <w:sz w:val="21"/>
                      <w:szCs w:val="21"/>
                      <w:vertAlign w:val="baseline"/>
                      <w:lang w:val="en-US" w:eastAsia="zh-CN"/>
                    </w:rPr>
                    <w:t>资源利用效率要求</w:t>
                  </w:r>
                </w:p>
              </w:tc>
              <w:tc>
                <w:tcPr>
                  <w:tcW w:w="3779" w:type="dxa"/>
                  <w:gridSpan w:val="2"/>
                  <w:tcBorders>
                    <w:bottom w:val="single" w:color="auto" w:sz="8" w:space="0"/>
                  </w:tcBorders>
                  <w:noWrap w:val="0"/>
                  <w:vAlign w:val="center"/>
                </w:tcPr>
                <w:p w14:paraId="56A14FF8">
                  <w:pPr>
                    <w:pStyle w:val="82"/>
                    <w:keepNext w:val="0"/>
                    <w:keepLines w:val="0"/>
                    <w:suppressLineNumbers w:val="0"/>
                    <w:spacing w:before="0" w:beforeAutospacing="0" w:after="0" w:afterAutospacing="0"/>
                    <w:ind w:left="0" w:right="0" w:firstLine="0" w:firstLineChars="0"/>
                    <w:jc w:val="both"/>
                    <w:rPr>
                      <w:rFonts w:hint="default" w:ascii="Times New Roman" w:hAnsi="Times New Roman" w:eastAsia="宋体" w:cs="Times New Roman"/>
                      <w:color w:val="000000"/>
                      <w:kern w:val="0"/>
                      <w:sz w:val="21"/>
                      <w:szCs w:val="21"/>
                      <w:lang w:val="en-US" w:eastAsia="zh-CN" w:bidi="ar"/>
                    </w:rPr>
                  </w:pPr>
                  <w:r>
                    <w:rPr>
                      <w:rFonts w:hint="default" w:eastAsia="宋体"/>
                      <w:snapToGrid w:val="0"/>
                      <w:color w:val="auto"/>
                      <w:sz w:val="21"/>
                      <w:szCs w:val="21"/>
                    </w:rPr>
                    <w:t>进一步优化能源结构，加快集中供热、供气及配套管网建设。不得新改扩建分散燃煤设施。</w:t>
                  </w:r>
                </w:p>
              </w:tc>
              <w:tc>
                <w:tcPr>
                  <w:tcW w:w="1917" w:type="dxa"/>
                  <w:gridSpan w:val="2"/>
                  <w:tcBorders>
                    <w:bottom w:val="single" w:color="auto" w:sz="8" w:space="0"/>
                  </w:tcBorders>
                  <w:noWrap w:val="0"/>
                  <w:vAlign w:val="center"/>
                </w:tcPr>
                <w:p w14:paraId="5241DA85">
                  <w:pPr>
                    <w:keepNext w:val="0"/>
                    <w:keepLines w:val="0"/>
                    <w:suppressLineNumbers w:val="0"/>
                    <w:adjustRightInd w:val="0"/>
                    <w:snapToGrid w:val="0"/>
                    <w:spacing w:before="0" w:beforeAutospacing="0" w:after="0" w:afterAutospacing="0" w:line="240" w:lineRule="auto"/>
                    <w:ind w:left="0" w:right="0" w:firstLine="0" w:firstLineChars="0"/>
                    <w:textAlignment w:val="baseline"/>
                    <w:rPr>
                      <w:rFonts w:hint="default" w:ascii="Times New Roman" w:hAnsi="Times New Roman" w:cs="Times New Roman"/>
                      <w:color w:val="000000"/>
                      <w:kern w:val="0"/>
                      <w:sz w:val="21"/>
                      <w:szCs w:val="21"/>
                      <w:lang w:val="en-US" w:eastAsia="zh-CN" w:bidi="ar"/>
                    </w:rPr>
                  </w:pPr>
                  <w:r>
                    <w:rPr>
                      <w:rFonts w:hint="default"/>
                      <w:sz w:val="21"/>
                      <w:szCs w:val="21"/>
                    </w:rPr>
                    <w:t>本项目使用的能源：电、水，均由市政管网提供；不涉及燃煤设施</w:t>
                  </w:r>
                </w:p>
              </w:tc>
              <w:tc>
                <w:tcPr>
                  <w:tcW w:w="1025" w:type="dxa"/>
                  <w:gridSpan w:val="2"/>
                  <w:tcBorders>
                    <w:bottom w:val="single" w:color="auto" w:sz="8" w:space="0"/>
                  </w:tcBorders>
                  <w:noWrap w:val="0"/>
                  <w:vAlign w:val="center"/>
                </w:tcPr>
                <w:p w14:paraId="7B18BA3B">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eastAsia"/>
                      <w:color w:val="000000"/>
                      <w:sz w:val="21"/>
                      <w:szCs w:val="21"/>
                    </w:rPr>
                    <w:t>符合</w:t>
                  </w:r>
                </w:p>
              </w:tc>
            </w:tr>
          </w:tbl>
          <w:p w14:paraId="71D384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baseline"/>
              <w:rPr>
                <w:rFonts w:hint="default" w:ascii="Times New Roman" w:hAnsi="Times New Roman" w:cs="Times New Roman"/>
                <w:b/>
                <w:sz w:val="24"/>
              </w:rPr>
            </w:pPr>
            <w:r>
              <w:rPr>
                <w:rFonts w:hint="eastAsia" w:ascii="宋体" w:hAnsi="宋体"/>
                <w:bCs/>
                <w:color w:val="000000"/>
                <w:sz w:val="24"/>
                <w:lang w:val="en-US" w:eastAsia="zh-CN"/>
              </w:rPr>
              <w:t>由上表可知，本项目符合</w:t>
            </w:r>
            <w:r>
              <w:rPr>
                <w:rFonts w:hint="eastAsia" w:ascii="Times New Roman" w:hAnsi="Times New Roman" w:cs="Times New Roman"/>
                <w:b w:val="0"/>
                <w:bCs/>
                <w:sz w:val="24"/>
                <w:lang w:val="en-US" w:eastAsia="zh-CN"/>
              </w:rPr>
              <w:t>《新乡市“三线一单”生态环境准入清单》（</w:t>
            </w:r>
            <w:r>
              <w:rPr>
                <w:rFonts w:hint="eastAsia" w:cs="Times New Roman"/>
                <w:b w:val="0"/>
                <w:bCs/>
                <w:sz w:val="24"/>
                <w:lang w:val="en-US" w:eastAsia="zh-CN"/>
              </w:rPr>
              <w:t>2023年版</w:t>
            </w:r>
            <w:r>
              <w:rPr>
                <w:rFonts w:hint="eastAsia" w:ascii="Times New Roman" w:hAnsi="Times New Roman" w:cs="Times New Roman"/>
                <w:b w:val="0"/>
                <w:bCs/>
                <w:sz w:val="24"/>
                <w:lang w:val="en-US" w:eastAsia="zh-CN"/>
              </w:rPr>
              <w:t>）</w:t>
            </w:r>
            <w:r>
              <w:rPr>
                <w:rFonts w:hint="eastAsia" w:ascii="宋体" w:hAnsi="宋体"/>
                <w:bCs/>
                <w:color w:val="000000"/>
                <w:sz w:val="24"/>
                <w:lang w:val="en-US" w:eastAsia="zh-CN"/>
              </w:rPr>
              <w:t>中的相关内容的要求。</w:t>
            </w:r>
          </w:p>
          <w:p w14:paraId="0F7D8208">
            <w:pPr>
              <w:keepNext w:val="0"/>
              <w:keepLines w:val="0"/>
              <w:suppressLineNumbers w:val="0"/>
              <w:spacing w:before="0" w:beforeAutospacing="0" w:after="0" w:afterAutospacing="0" w:line="440" w:lineRule="exact"/>
              <w:ind w:left="0" w:right="0" w:firstLine="482" w:firstLineChars="200"/>
              <w:jc w:val="both"/>
              <w:textAlignment w:val="baseline"/>
              <w:rPr>
                <w:rFonts w:hint="eastAsia" w:ascii="宋体" w:hAnsi="宋体"/>
                <w:b/>
                <w:sz w:val="24"/>
              </w:rPr>
            </w:pPr>
            <w:r>
              <w:rPr>
                <w:rFonts w:hint="default" w:ascii="Times New Roman" w:hAnsi="Times New Roman" w:cs="Times New Roman"/>
                <w:b/>
                <w:sz w:val="24"/>
              </w:rPr>
              <w:t>2</w:t>
            </w:r>
            <w:r>
              <w:rPr>
                <w:rFonts w:hint="eastAsia" w:ascii="宋体" w:hAnsi="宋体"/>
                <w:b/>
                <w:sz w:val="24"/>
              </w:rPr>
              <w:t>、本项目与分类管理名录对照分析</w:t>
            </w:r>
          </w:p>
          <w:p w14:paraId="7407DF72">
            <w:pPr>
              <w:keepNext w:val="0"/>
              <w:keepLines w:val="0"/>
              <w:suppressLineNumbers w:val="0"/>
              <w:spacing w:before="0" w:beforeAutospacing="0" w:after="0" w:afterAutospacing="0" w:line="440" w:lineRule="exact"/>
              <w:ind w:left="0" w:right="0" w:firstLine="480" w:firstLineChars="200"/>
              <w:jc w:val="both"/>
              <w:rPr>
                <w:rFonts w:hint="default" w:ascii="Times New Roman" w:hAnsi="Times New Roman" w:cs="Times New Roman"/>
                <w:color w:val="000000"/>
                <w:sz w:val="24"/>
              </w:rPr>
            </w:pPr>
            <w:r>
              <w:rPr>
                <w:rFonts w:hint="default" w:ascii="Times New Roman" w:hAnsi="Times New Roman" w:cs="Times New Roman"/>
                <w:color w:val="000000"/>
                <w:sz w:val="24"/>
              </w:rPr>
              <w:t>经</w:t>
            </w:r>
            <w:r>
              <w:rPr>
                <w:rFonts w:hint="default" w:ascii="Times New Roman" w:hAnsi="Times New Roman" w:cs="Times New Roman"/>
                <w:color w:val="000000"/>
                <w:sz w:val="24"/>
                <w:highlight w:val="none"/>
              </w:rPr>
              <w:t>查阅《建设项目环境影响评价分类管理名录》（2021年版），本项目锂离子电池制造属于三十五、电气机械和器材制造业的第77类：电池制造384。名录规定：铅蓄电池制造；太阳能电池片生产；有电镀工艺的；年用溶剂型涂料（含稀释剂）10吨及以上的应编制报告书。其他（仅分割、焊接、组装的除外；年用非溶剂型低VOCs含量涂料10吨以下的除外）应编制报告表。本项目</w:t>
            </w:r>
            <w:r>
              <w:rPr>
                <w:rFonts w:hint="eastAsia" w:cs="Times New Roman"/>
                <w:color w:val="000000"/>
                <w:sz w:val="24"/>
                <w:highlight w:val="none"/>
                <w:lang w:val="en-US" w:eastAsia="zh-CN"/>
              </w:rPr>
              <w:t>对设备进行升级改造，且不属于分割、焊接、组装，项目</w:t>
            </w:r>
            <w:r>
              <w:rPr>
                <w:rFonts w:hint="default" w:ascii="Times New Roman" w:hAnsi="Times New Roman" w:cs="Times New Roman"/>
                <w:color w:val="000000"/>
                <w:sz w:val="24"/>
              </w:rPr>
              <w:t>产品为锂离子电池，应编制环境影响报告表。</w:t>
            </w:r>
          </w:p>
          <w:p w14:paraId="2E22097F">
            <w:pPr>
              <w:keepNext w:val="0"/>
              <w:keepLines w:val="0"/>
              <w:suppressLineNumbers w:val="0"/>
              <w:spacing w:before="0" w:beforeAutospacing="0" w:after="0" w:afterAutospacing="0" w:line="440" w:lineRule="exact"/>
              <w:ind w:left="0" w:right="0" w:firstLine="482" w:firstLineChars="200"/>
              <w:jc w:val="both"/>
              <w:rPr>
                <w:rFonts w:hint="default" w:ascii="宋体" w:hAnsi="宋体"/>
                <w:b/>
                <w:bCs/>
                <w:color w:val="000000"/>
                <w:sz w:val="24"/>
              </w:rPr>
            </w:pPr>
            <w:r>
              <w:rPr>
                <w:rFonts w:hint="default" w:ascii="Times New Roman" w:hAnsi="Times New Roman" w:cs="Times New Roman"/>
                <w:b/>
                <w:bCs/>
                <w:color w:val="000000"/>
                <w:sz w:val="24"/>
              </w:rPr>
              <w:t>3</w:t>
            </w:r>
            <w:r>
              <w:rPr>
                <w:rFonts w:hint="eastAsia" w:ascii="宋体" w:hAnsi="宋体"/>
                <w:b/>
                <w:bCs/>
                <w:color w:val="000000"/>
                <w:sz w:val="24"/>
              </w:rPr>
              <w:t>、项目建设与产业政策及备案相符性分析</w:t>
            </w:r>
          </w:p>
          <w:p w14:paraId="50B5EB3A">
            <w:pPr>
              <w:keepNext w:val="0"/>
              <w:keepLines w:val="0"/>
              <w:suppressLineNumbers w:val="0"/>
              <w:spacing w:before="0" w:beforeAutospacing="0" w:after="0" w:afterAutospacing="0" w:line="440" w:lineRule="exact"/>
              <w:ind w:left="0" w:right="0" w:firstLine="480" w:firstLineChars="200"/>
              <w:jc w:val="both"/>
              <w:rPr>
                <w:rFonts w:hint="default" w:ascii="宋体" w:hAnsi="宋体"/>
                <w:b/>
                <w:bCs/>
                <w:color w:val="000000"/>
                <w:sz w:val="24"/>
                <w:highlight w:val="none"/>
              </w:rPr>
            </w:pPr>
            <w:r>
              <w:rPr>
                <w:rFonts w:hint="default" w:ascii="宋体" w:hAnsi="宋体"/>
                <w:sz w:val="24"/>
                <w:highlight w:val="none"/>
              </w:rPr>
              <w:t>本项目已在</w:t>
            </w:r>
            <w:r>
              <w:rPr>
                <w:rFonts w:hint="eastAsia" w:ascii="宋体" w:hAnsi="宋体"/>
                <w:sz w:val="24"/>
                <w:highlight w:val="none"/>
                <w:lang w:val="en-US" w:eastAsia="zh-CN"/>
              </w:rPr>
              <w:t>新乡县发展和改革委员会</w:t>
            </w:r>
            <w:r>
              <w:rPr>
                <w:rFonts w:hint="default" w:ascii="宋体" w:hAnsi="宋体"/>
                <w:sz w:val="24"/>
                <w:highlight w:val="none"/>
              </w:rPr>
              <w:t>备案，项目代码</w:t>
            </w:r>
            <w:r>
              <w:rPr>
                <w:rFonts w:hint="eastAsia" w:cs="Times New Roman"/>
                <w:color w:val="auto"/>
                <w:sz w:val="24"/>
                <w:szCs w:val="24"/>
                <w:highlight w:val="none"/>
                <w:lang w:val="en-US" w:eastAsia="zh-CN"/>
              </w:rPr>
              <w:t>2510-410721-04-02-164289</w:t>
            </w:r>
            <w:r>
              <w:rPr>
                <w:rFonts w:hint="default" w:ascii="宋体" w:hAnsi="宋体"/>
                <w:sz w:val="24"/>
                <w:highlight w:val="none"/>
              </w:rPr>
              <w:t>。经查阅《产业结构调整指导目录》（</w:t>
            </w:r>
            <w:r>
              <w:rPr>
                <w:rFonts w:hint="default" w:ascii="Times New Roman" w:hAnsi="Times New Roman" w:cs="Times New Roman"/>
                <w:sz w:val="24"/>
                <w:highlight w:val="none"/>
              </w:rPr>
              <w:t>2024</w:t>
            </w:r>
            <w:r>
              <w:rPr>
                <w:rFonts w:hint="default" w:ascii="宋体" w:hAnsi="宋体"/>
                <w:sz w:val="24"/>
                <w:highlight w:val="none"/>
              </w:rPr>
              <w:t>年本），该项目属于“</w:t>
            </w:r>
            <w:r>
              <w:rPr>
                <w:rFonts w:hint="eastAsia" w:ascii="宋体" w:hAnsi="宋体"/>
                <w:sz w:val="24"/>
                <w:highlight w:val="none"/>
                <w:lang w:val="en-US" w:eastAsia="zh-CN"/>
              </w:rPr>
              <w:t>鼓励类</w:t>
            </w:r>
            <w:r>
              <w:rPr>
                <w:rFonts w:hint="default" w:ascii="宋体" w:hAnsi="宋体"/>
                <w:sz w:val="24"/>
                <w:highlight w:val="none"/>
              </w:rPr>
              <w:t>”，符合国家产业政策要求。</w:t>
            </w:r>
            <w:r>
              <w:rPr>
                <w:rFonts w:hint="default" w:ascii="宋体" w:hAnsi="宋体"/>
                <w:color w:val="000000"/>
                <w:sz w:val="24"/>
                <w:highlight w:val="none"/>
              </w:rPr>
              <w:t>本项目情况与产业政策一致性分析见表</w:t>
            </w:r>
            <w:r>
              <w:rPr>
                <w:rFonts w:hint="eastAsia" w:cs="Times New Roman"/>
                <w:color w:val="000000"/>
                <w:sz w:val="24"/>
                <w:highlight w:val="none"/>
                <w:lang w:val="en-US" w:eastAsia="zh-CN"/>
              </w:rPr>
              <w:t>6</w:t>
            </w:r>
            <w:r>
              <w:rPr>
                <w:rFonts w:hint="default" w:ascii="宋体" w:hAnsi="宋体"/>
                <w:color w:val="000000"/>
                <w:sz w:val="24"/>
                <w:highlight w:val="none"/>
              </w:rPr>
              <w:t>。</w:t>
            </w:r>
          </w:p>
          <w:p w14:paraId="5AC5D337">
            <w:pPr>
              <w:keepNext w:val="0"/>
              <w:keepLines w:val="0"/>
              <w:suppressLineNumbers w:val="0"/>
              <w:spacing w:before="0" w:beforeAutospacing="0" w:after="0" w:afterAutospacing="0" w:line="440" w:lineRule="exact"/>
              <w:ind w:left="0" w:right="0"/>
              <w:jc w:val="center"/>
              <w:textAlignment w:val="baseline"/>
              <w:rPr>
                <w:rFonts w:hint="default" w:eastAsia="黑体"/>
                <w:color w:val="000000"/>
                <w:sz w:val="24"/>
              </w:rPr>
            </w:pPr>
            <w:r>
              <w:rPr>
                <w:rFonts w:hint="default" w:ascii="宋体" w:hAnsi="宋体"/>
                <w:b/>
                <w:bCs/>
                <w:color w:val="000000"/>
                <w:sz w:val="24"/>
              </w:rPr>
              <w:t>表</w:t>
            </w:r>
            <w:r>
              <w:rPr>
                <w:rFonts w:hint="eastAsia" w:cs="Times New Roman"/>
                <w:b/>
                <w:bCs/>
                <w:color w:val="000000"/>
                <w:sz w:val="24"/>
                <w:lang w:val="en-US" w:eastAsia="zh-CN"/>
              </w:rPr>
              <w:t>6</w:t>
            </w:r>
            <w:r>
              <w:rPr>
                <w:rFonts w:hint="eastAsia" w:ascii="宋体" w:hAnsi="宋体"/>
                <w:b/>
                <w:bCs/>
                <w:color w:val="000000"/>
                <w:sz w:val="24"/>
                <w:lang w:val="en-US" w:eastAsia="zh-CN"/>
              </w:rPr>
              <w:t xml:space="preserve">  </w:t>
            </w:r>
            <w:r>
              <w:rPr>
                <w:rFonts w:hint="default" w:ascii="宋体" w:hAnsi="宋体"/>
                <w:b/>
                <w:bCs/>
                <w:color w:val="000000"/>
                <w:sz w:val="24"/>
              </w:rPr>
              <w:t>项目与产业政策一致性分析</w:t>
            </w:r>
          </w:p>
          <w:tbl>
            <w:tblPr>
              <w:tblStyle w:val="23"/>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06"/>
              <w:gridCol w:w="2864"/>
              <w:gridCol w:w="2148"/>
              <w:gridCol w:w="1149"/>
            </w:tblGrid>
            <w:tr w14:paraId="47F55E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32" w:type="dxa"/>
                  <w:tcBorders>
                    <w:top w:val="single" w:color="auto" w:sz="8" w:space="0"/>
                    <w:bottom w:val="single" w:color="auto" w:sz="8" w:space="0"/>
                  </w:tcBorders>
                  <w:noWrap w:val="0"/>
                  <w:vAlign w:val="center"/>
                </w:tcPr>
                <w:p w14:paraId="7146EF04">
                  <w:pPr>
                    <w:keepNext w:val="0"/>
                    <w:keepLines w:val="0"/>
                    <w:suppressLineNumbers w:val="0"/>
                    <w:adjustRightInd w:val="0"/>
                    <w:snapToGrid w:val="0"/>
                    <w:spacing w:before="0" w:beforeAutospacing="0" w:after="0" w:afterAutospacing="0"/>
                    <w:ind w:left="0" w:right="0"/>
                    <w:jc w:val="center"/>
                    <w:rPr>
                      <w:rFonts w:hint="default" w:ascii="宋体" w:hAnsi="宋体"/>
                      <w:b/>
                      <w:color w:val="000000"/>
                      <w:sz w:val="21"/>
                      <w:szCs w:val="21"/>
                    </w:rPr>
                  </w:pPr>
                  <w:r>
                    <w:rPr>
                      <w:rFonts w:hint="default" w:ascii="宋体" w:hAnsi="宋体"/>
                      <w:b/>
                      <w:color w:val="000000"/>
                      <w:sz w:val="21"/>
                      <w:szCs w:val="21"/>
                    </w:rPr>
                    <w:t>类 别</w:t>
                  </w:r>
                </w:p>
              </w:tc>
              <w:tc>
                <w:tcPr>
                  <w:tcW w:w="2791" w:type="dxa"/>
                  <w:tcBorders>
                    <w:top w:val="single" w:color="auto" w:sz="8" w:space="0"/>
                    <w:bottom w:val="single" w:color="auto" w:sz="8" w:space="0"/>
                  </w:tcBorders>
                  <w:noWrap w:val="0"/>
                  <w:vAlign w:val="center"/>
                </w:tcPr>
                <w:p w14:paraId="001DB1D8">
                  <w:pPr>
                    <w:keepNext w:val="0"/>
                    <w:keepLines w:val="0"/>
                    <w:suppressLineNumbers w:val="0"/>
                    <w:adjustRightInd w:val="0"/>
                    <w:snapToGrid w:val="0"/>
                    <w:spacing w:before="0" w:beforeAutospacing="0" w:after="0" w:afterAutospacing="0"/>
                    <w:ind w:left="0" w:right="0"/>
                    <w:jc w:val="center"/>
                    <w:rPr>
                      <w:rFonts w:hint="default" w:ascii="宋体" w:hAnsi="宋体"/>
                      <w:b/>
                      <w:color w:val="000000"/>
                      <w:sz w:val="21"/>
                      <w:szCs w:val="21"/>
                    </w:rPr>
                  </w:pPr>
                  <w:r>
                    <w:rPr>
                      <w:rFonts w:hint="default" w:ascii="宋体" w:hAnsi="宋体"/>
                      <w:b/>
                      <w:color w:val="000000"/>
                      <w:sz w:val="21"/>
                      <w:szCs w:val="21"/>
                    </w:rPr>
                    <w:t>内 容</w:t>
                  </w:r>
                </w:p>
              </w:tc>
              <w:tc>
                <w:tcPr>
                  <w:tcW w:w="2093" w:type="dxa"/>
                  <w:tcBorders>
                    <w:top w:val="single" w:color="auto" w:sz="8" w:space="0"/>
                    <w:bottom w:val="single" w:color="auto" w:sz="8" w:space="0"/>
                  </w:tcBorders>
                  <w:noWrap w:val="0"/>
                  <w:vAlign w:val="center"/>
                </w:tcPr>
                <w:p w14:paraId="28A9A41F">
                  <w:pPr>
                    <w:keepNext w:val="0"/>
                    <w:keepLines w:val="0"/>
                    <w:suppressLineNumbers w:val="0"/>
                    <w:adjustRightInd w:val="0"/>
                    <w:snapToGrid w:val="0"/>
                    <w:spacing w:before="0" w:beforeAutospacing="0" w:after="0" w:afterAutospacing="0"/>
                    <w:ind w:left="0" w:right="0"/>
                    <w:jc w:val="center"/>
                    <w:rPr>
                      <w:rFonts w:hint="default" w:ascii="宋体" w:hAnsi="宋体"/>
                      <w:b/>
                      <w:color w:val="000000"/>
                      <w:sz w:val="21"/>
                      <w:szCs w:val="21"/>
                    </w:rPr>
                  </w:pPr>
                  <w:r>
                    <w:rPr>
                      <w:rFonts w:hint="default" w:ascii="宋体" w:hAnsi="宋体"/>
                      <w:b/>
                      <w:color w:val="000000"/>
                      <w:sz w:val="21"/>
                      <w:szCs w:val="21"/>
                    </w:rPr>
                    <w:t>本项目情况</w:t>
                  </w:r>
                </w:p>
              </w:tc>
              <w:tc>
                <w:tcPr>
                  <w:tcW w:w="1120" w:type="dxa"/>
                  <w:tcBorders>
                    <w:top w:val="single" w:color="auto" w:sz="8" w:space="0"/>
                    <w:bottom w:val="single" w:color="auto" w:sz="8" w:space="0"/>
                  </w:tcBorders>
                  <w:noWrap w:val="0"/>
                  <w:vAlign w:val="center"/>
                </w:tcPr>
                <w:p w14:paraId="2BBEDDE0">
                  <w:pPr>
                    <w:keepNext w:val="0"/>
                    <w:keepLines w:val="0"/>
                    <w:suppressLineNumbers w:val="0"/>
                    <w:adjustRightInd w:val="0"/>
                    <w:snapToGrid w:val="0"/>
                    <w:spacing w:before="0" w:beforeAutospacing="0" w:after="0" w:afterAutospacing="0"/>
                    <w:ind w:left="0" w:right="0"/>
                    <w:jc w:val="center"/>
                    <w:rPr>
                      <w:rFonts w:hint="default" w:ascii="宋体" w:hAnsi="宋体"/>
                      <w:b/>
                      <w:color w:val="000000"/>
                      <w:sz w:val="21"/>
                      <w:szCs w:val="21"/>
                    </w:rPr>
                  </w:pPr>
                  <w:r>
                    <w:rPr>
                      <w:rFonts w:hint="default" w:ascii="宋体" w:hAnsi="宋体"/>
                      <w:b/>
                      <w:color w:val="000000"/>
                      <w:sz w:val="21"/>
                      <w:szCs w:val="21"/>
                    </w:rPr>
                    <w:t>相符性</w:t>
                  </w:r>
                </w:p>
              </w:tc>
            </w:tr>
            <w:tr w14:paraId="040230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32" w:type="dxa"/>
                  <w:tcBorders>
                    <w:top w:val="single" w:color="auto" w:sz="8" w:space="0"/>
                    <w:tl2br w:val="nil"/>
                    <w:tr2bl w:val="nil"/>
                  </w:tcBorders>
                  <w:noWrap w:val="0"/>
                  <w:vAlign w:val="center"/>
                </w:tcPr>
                <w:p w14:paraId="4AB00D1A">
                  <w:pPr>
                    <w:keepNext w:val="0"/>
                    <w:keepLines w:val="0"/>
                    <w:suppressLineNumbers w:val="0"/>
                    <w:adjustRightInd w:val="0"/>
                    <w:snapToGrid w:val="0"/>
                    <w:spacing w:before="0" w:beforeAutospacing="0" w:after="0" w:afterAutospacing="0"/>
                    <w:ind w:left="0" w:right="0"/>
                    <w:jc w:val="center"/>
                    <w:rPr>
                      <w:rFonts w:hint="default" w:ascii="宋体" w:hAnsi="宋体"/>
                      <w:color w:val="auto"/>
                      <w:sz w:val="21"/>
                      <w:szCs w:val="21"/>
                    </w:rPr>
                  </w:pPr>
                  <w:r>
                    <w:rPr>
                      <w:rFonts w:hint="eastAsia" w:ascii="宋体" w:hAnsi="宋体"/>
                      <w:color w:val="auto"/>
                      <w:sz w:val="21"/>
                      <w:szCs w:val="21"/>
                    </w:rPr>
                    <w:t>鼓励类</w:t>
                  </w:r>
                </w:p>
              </w:tc>
              <w:tc>
                <w:tcPr>
                  <w:tcW w:w="2791" w:type="dxa"/>
                  <w:tcBorders>
                    <w:top w:val="single" w:color="auto" w:sz="8" w:space="0"/>
                    <w:tl2br w:val="nil"/>
                    <w:tr2bl w:val="nil"/>
                  </w:tcBorders>
                  <w:noWrap w:val="0"/>
                  <w:vAlign w:val="center"/>
                </w:tcPr>
                <w:p w14:paraId="4BA4DDEF">
                  <w:pPr>
                    <w:keepNext w:val="0"/>
                    <w:keepLines w:val="0"/>
                    <w:widowControl/>
                    <w:suppressLineNumbers w:val="0"/>
                    <w:spacing w:before="0" w:beforeAutospacing="0" w:after="0" w:afterAutospacing="0"/>
                    <w:ind w:left="0" w:right="0"/>
                    <w:jc w:val="left"/>
                    <w:rPr>
                      <w:rFonts w:hint="default" w:eastAsia="宋体"/>
                      <w:b/>
                      <w:bCs/>
                      <w:color w:val="0000FF"/>
                      <w:sz w:val="21"/>
                      <w:szCs w:val="21"/>
                      <w:lang w:val="en-US" w:eastAsia="zh-CN"/>
                    </w:rPr>
                  </w:pPr>
                  <w:r>
                    <w:rPr>
                      <w:rFonts w:hint="default" w:ascii="Times New Roman" w:hAnsi="Times New Roman" w:eastAsia="宋体" w:cs="Times New Roman"/>
                      <w:color w:val="000000"/>
                      <w:kern w:val="0"/>
                      <w:sz w:val="21"/>
                      <w:szCs w:val="21"/>
                      <w:lang w:val="en-US" w:eastAsia="zh-CN" w:bidi="ar"/>
                    </w:rPr>
                    <w:t>新型锂原电池（锂二硫化铁、锂亚硫酰氯等），锂离子电池、半固态和全固态锂电池、燃料电池、钠离子电池、液流电</w:t>
                  </w:r>
                  <w:r>
                    <w:rPr>
                      <w:rFonts w:hint="default" w:ascii="Times New Roman" w:hAnsi="Times New Roman" w:eastAsia="宋体" w:cs="Times New Roman"/>
                      <w:color w:val="000000"/>
                      <w:kern w:val="0"/>
                      <w:sz w:val="21"/>
                      <w:szCs w:val="21"/>
                      <w:highlight w:val="none"/>
                      <w:lang w:val="en-US" w:eastAsia="zh-CN" w:bidi="ar"/>
                    </w:rPr>
                    <w:t>池、新型结构（双极性、铅布水平、卷绕式、管式等）密封铅蓄电池、铅碳电</w:t>
                  </w:r>
                  <w:r>
                    <w:rPr>
                      <w:rFonts w:hint="default" w:ascii="Times New Roman" w:hAnsi="Times New Roman" w:eastAsia="宋体" w:cs="Times New Roman"/>
                      <w:color w:val="000000"/>
                      <w:kern w:val="0"/>
                      <w:sz w:val="21"/>
                      <w:szCs w:val="21"/>
                      <w:lang w:val="en-US" w:eastAsia="zh-CN" w:bidi="ar"/>
                    </w:rPr>
                    <w:t>池等新型电池和超级电容器，锂离子电池用三元和多元、磷酸铁锂等正极材料、中间相炭微球和硅碳等负极材料、单层与三层复合锂离子电池隔膜、氟代碳酸乙烯酯（FEC）等电解质与添加剂，碳纳米管、碳纳米管导电液等关键材料，废旧电池资源化和绿色循环生产工艺及其装备制造，锂离子电池、铅蓄电池、碱性锌锰电池（600 只/分钟以上）等电池产品自动化、智能化生产成套制造装备</w:t>
                  </w:r>
                </w:p>
              </w:tc>
              <w:tc>
                <w:tcPr>
                  <w:tcW w:w="2093" w:type="dxa"/>
                  <w:vMerge w:val="restart"/>
                  <w:tcBorders>
                    <w:top w:val="single" w:color="auto" w:sz="8" w:space="0"/>
                    <w:tl2br w:val="nil"/>
                    <w:tr2bl w:val="nil"/>
                  </w:tcBorders>
                  <w:noWrap w:val="0"/>
                  <w:vAlign w:val="center"/>
                </w:tcPr>
                <w:p w14:paraId="6218FC10">
                  <w:pPr>
                    <w:keepNext w:val="0"/>
                    <w:keepLines w:val="0"/>
                    <w:suppressLineNumbers w:val="0"/>
                    <w:adjustRightInd w:val="0"/>
                    <w:snapToGrid w:val="0"/>
                    <w:spacing w:before="0" w:beforeAutospacing="0" w:after="0" w:afterAutospacing="0"/>
                    <w:ind w:left="0" w:right="0"/>
                    <w:jc w:val="center"/>
                    <w:rPr>
                      <w:rFonts w:hint="default" w:hAnsi="宋体" w:eastAsia="宋体"/>
                      <w:color w:val="000000"/>
                      <w:sz w:val="21"/>
                      <w:szCs w:val="21"/>
                      <w:lang w:val="en-US" w:eastAsia="zh-CN"/>
                    </w:rPr>
                  </w:pPr>
                  <w:r>
                    <w:rPr>
                      <w:rFonts w:hint="eastAsia"/>
                      <w:sz w:val="21"/>
                      <w:szCs w:val="21"/>
                      <w:highlight w:val="none"/>
                      <w:lang w:val="en-US" w:eastAsia="zh-CN"/>
                    </w:rPr>
                    <w:t>本项目产品为锂离子电池。</w:t>
                  </w:r>
                </w:p>
              </w:tc>
              <w:tc>
                <w:tcPr>
                  <w:tcW w:w="1120" w:type="dxa"/>
                  <w:tcBorders>
                    <w:top w:val="single" w:color="auto" w:sz="8" w:space="0"/>
                    <w:tl2br w:val="nil"/>
                    <w:tr2bl w:val="nil"/>
                  </w:tcBorders>
                  <w:noWrap w:val="0"/>
                  <w:vAlign w:val="center"/>
                </w:tcPr>
                <w:p w14:paraId="0B7C5F5B">
                  <w:pPr>
                    <w:keepNext w:val="0"/>
                    <w:keepLines w:val="0"/>
                    <w:suppressLineNumbers w:val="0"/>
                    <w:adjustRightInd w:val="0"/>
                    <w:snapToGrid w:val="0"/>
                    <w:spacing w:before="0" w:beforeAutospacing="0" w:after="0" w:afterAutospacing="0"/>
                    <w:ind w:left="0" w:right="0"/>
                    <w:jc w:val="center"/>
                    <w:rPr>
                      <w:rFonts w:hint="default" w:eastAsia="宋体"/>
                      <w:color w:val="auto"/>
                      <w:sz w:val="21"/>
                      <w:szCs w:val="21"/>
                      <w:lang w:val="en-US" w:eastAsia="zh-CN"/>
                    </w:rPr>
                  </w:pPr>
                  <w:r>
                    <w:rPr>
                      <w:rFonts w:hint="eastAsia" w:ascii="宋体" w:hAnsi="宋体" w:cs="宋体"/>
                      <w:color w:val="auto"/>
                      <w:sz w:val="21"/>
                      <w:szCs w:val="21"/>
                      <w:lang w:val="en-US" w:eastAsia="zh-CN"/>
                    </w:rPr>
                    <w:t>相符</w:t>
                  </w:r>
                </w:p>
              </w:tc>
            </w:tr>
            <w:tr w14:paraId="633A08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32" w:type="dxa"/>
                  <w:tcBorders>
                    <w:tl2br w:val="nil"/>
                    <w:tr2bl w:val="nil"/>
                  </w:tcBorders>
                  <w:noWrap w:val="0"/>
                  <w:vAlign w:val="center"/>
                </w:tcPr>
                <w:p w14:paraId="52C92518">
                  <w:pPr>
                    <w:keepNext w:val="0"/>
                    <w:keepLines w:val="0"/>
                    <w:suppressLineNumbers w:val="0"/>
                    <w:adjustRightInd w:val="0"/>
                    <w:snapToGrid w:val="0"/>
                    <w:spacing w:before="0" w:beforeAutospacing="0" w:after="0" w:afterAutospacing="0"/>
                    <w:ind w:left="0" w:right="0"/>
                    <w:jc w:val="center"/>
                    <w:rPr>
                      <w:rFonts w:hint="default" w:ascii="宋体" w:hAnsi="宋体"/>
                      <w:color w:val="000000"/>
                      <w:sz w:val="21"/>
                      <w:szCs w:val="21"/>
                    </w:rPr>
                  </w:pPr>
                  <w:r>
                    <w:rPr>
                      <w:rFonts w:hint="eastAsia" w:ascii="宋体" w:hAnsi="宋体"/>
                      <w:color w:val="000000"/>
                      <w:sz w:val="21"/>
                      <w:szCs w:val="21"/>
                    </w:rPr>
                    <w:t>限制类</w:t>
                  </w:r>
                </w:p>
              </w:tc>
              <w:tc>
                <w:tcPr>
                  <w:tcW w:w="2791" w:type="dxa"/>
                  <w:tcBorders>
                    <w:tl2br w:val="nil"/>
                    <w:tr2bl w:val="nil"/>
                  </w:tcBorders>
                  <w:noWrap w:val="0"/>
                  <w:vAlign w:val="center"/>
                </w:tcPr>
                <w:p w14:paraId="34B39801">
                  <w:pPr>
                    <w:keepNext w:val="0"/>
                    <w:keepLines w:val="0"/>
                    <w:suppressLineNumbers w:val="0"/>
                    <w:adjustRightInd w:val="0"/>
                    <w:snapToGrid w:val="0"/>
                    <w:spacing w:before="0" w:beforeAutospacing="0" w:after="0" w:afterAutospacing="0"/>
                    <w:ind w:left="0" w:right="0"/>
                    <w:jc w:val="center"/>
                    <w:rPr>
                      <w:rFonts w:hint="default" w:hAnsi="宋体"/>
                      <w:color w:val="0000FF"/>
                      <w:sz w:val="21"/>
                      <w:szCs w:val="21"/>
                    </w:rPr>
                  </w:pPr>
                  <w:r>
                    <w:rPr>
                      <w:rFonts w:hint="eastAsia" w:ascii="宋体" w:hAnsi="宋体"/>
                      <w:color w:val="000000" w:themeColor="text1"/>
                      <w:sz w:val="21"/>
                      <w:szCs w:val="21"/>
                      <w:lang w:val="en-US" w:eastAsia="zh-CN"/>
                      <w14:textFill>
                        <w14:solidFill>
                          <w14:schemeClr w14:val="tx1"/>
                        </w14:solidFill>
                      </w14:textFill>
                    </w:rPr>
                    <w:t>采用外化成工艺生产铅蓄电池</w:t>
                  </w:r>
                </w:p>
              </w:tc>
              <w:tc>
                <w:tcPr>
                  <w:tcW w:w="2093" w:type="dxa"/>
                  <w:vMerge w:val="continue"/>
                  <w:tcBorders>
                    <w:tl2br w:val="nil"/>
                    <w:tr2bl w:val="nil"/>
                  </w:tcBorders>
                  <w:noWrap w:val="0"/>
                  <w:vAlign w:val="center"/>
                </w:tcPr>
                <w:p w14:paraId="4467CDF0">
                  <w:pPr>
                    <w:keepNext w:val="0"/>
                    <w:keepLines w:val="0"/>
                    <w:suppressLineNumbers w:val="0"/>
                    <w:adjustRightInd w:val="0"/>
                    <w:snapToGrid w:val="0"/>
                    <w:spacing w:before="0" w:beforeAutospacing="0" w:after="0" w:afterAutospacing="0"/>
                    <w:ind w:left="0" w:right="0"/>
                    <w:jc w:val="center"/>
                    <w:rPr>
                      <w:rFonts w:hint="default" w:hAnsi="宋体"/>
                      <w:color w:val="000000"/>
                      <w:sz w:val="21"/>
                      <w:szCs w:val="21"/>
                    </w:rPr>
                  </w:pPr>
                </w:p>
              </w:tc>
              <w:tc>
                <w:tcPr>
                  <w:tcW w:w="1120" w:type="dxa"/>
                  <w:tcBorders>
                    <w:tl2br w:val="nil"/>
                    <w:tr2bl w:val="nil"/>
                  </w:tcBorders>
                  <w:noWrap w:val="0"/>
                  <w:vAlign w:val="center"/>
                </w:tcPr>
                <w:p w14:paraId="3E329960">
                  <w:pPr>
                    <w:keepNext w:val="0"/>
                    <w:keepLines w:val="0"/>
                    <w:suppressLineNumbers w:val="0"/>
                    <w:adjustRightInd w:val="0"/>
                    <w:snapToGrid w:val="0"/>
                    <w:spacing w:before="0" w:beforeAutospacing="0" w:after="0" w:afterAutospacing="0"/>
                    <w:ind w:left="0" w:right="0"/>
                    <w:jc w:val="center"/>
                    <w:rPr>
                      <w:rFonts w:hint="default" w:hAnsi="宋体"/>
                      <w:color w:val="000000"/>
                      <w:sz w:val="21"/>
                      <w:szCs w:val="21"/>
                    </w:rPr>
                  </w:pPr>
                  <w:r>
                    <w:rPr>
                      <w:rFonts w:hint="eastAsia" w:ascii="宋体" w:hAnsi="宋体"/>
                      <w:color w:val="000000"/>
                      <w:sz w:val="21"/>
                      <w:szCs w:val="21"/>
                      <w:lang w:val="en-US" w:eastAsia="zh-CN"/>
                    </w:rPr>
                    <w:t>不属于</w:t>
                  </w:r>
                </w:p>
              </w:tc>
            </w:tr>
            <w:tr w14:paraId="0D02AB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32" w:type="dxa"/>
                  <w:tcBorders>
                    <w:tl2br w:val="nil"/>
                    <w:tr2bl w:val="nil"/>
                  </w:tcBorders>
                  <w:noWrap w:val="0"/>
                  <w:vAlign w:val="center"/>
                </w:tcPr>
                <w:p w14:paraId="63441759">
                  <w:pPr>
                    <w:keepNext w:val="0"/>
                    <w:keepLines w:val="0"/>
                    <w:suppressLineNumbers w:val="0"/>
                    <w:adjustRightInd w:val="0"/>
                    <w:snapToGrid w:val="0"/>
                    <w:spacing w:before="0" w:beforeAutospacing="0" w:after="0" w:afterAutospacing="0"/>
                    <w:ind w:left="0" w:right="0"/>
                    <w:jc w:val="center"/>
                    <w:rPr>
                      <w:rFonts w:hint="default" w:ascii="宋体" w:hAnsi="宋体"/>
                      <w:color w:val="000000"/>
                      <w:sz w:val="21"/>
                      <w:szCs w:val="21"/>
                    </w:rPr>
                  </w:pPr>
                  <w:r>
                    <w:rPr>
                      <w:rFonts w:hint="eastAsia" w:ascii="宋体" w:hAnsi="宋体"/>
                      <w:color w:val="000000"/>
                      <w:sz w:val="21"/>
                      <w:szCs w:val="21"/>
                    </w:rPr>
                    <w:t>淘汰类（落后生产工艺装备）</w:t>
                  </w:r>
                </w:p>
              </w:tc>
              <w:tc>
                <w:tcPr>
                  <w:tcW w:w="2791" w:type="dxa"/>
                  <w:tcBorders>
                    <w:tl2br w:val="nil"/>
                    <w:tr2bl w:val="nil"/>
                  </w:tcBorders>
                  <w:noWrap w:val="0"/>
                  <w:vAlign w:val="center"/>
                </w:tcPr>
                <w:p w14:paraId="24054CD5">
                  <w:pPr>
                    <w:keepNext w:val="0"/>
                    <w:keepLines w:val="0"/>
                    <w:suppressLineNumbers w:val="0"/>
                    <w:adjustRightInd w:val="0"/>
                    <w:snapToGrid w:val="0"/>
                    <w:spacing w:before="0" w:beforeAutospacing="0" w:after="0" w:afterAutospacing="0"/>
                    <w:ind w:left="0" w:right="0"/>
                    <w:jc w:val="both"/>
                    <w:rPr>
                      <w:rFonts w:hint="default" w:hAnsi="宋体" w:eastAsia="宋体"/>
                      <w:color w:val="0000FF"/>
                      <w:sz w:val="21"/>
                      <w:szCs w:val="21"/>
                      <w:lang w:val="en-US" w:eastAsia="zh-CN"/>
                    </w:rPr>
                  </w:pPr>
                  <w:r>
                    <w:rPr>
                      <w:rFonts w:hint="eastAsia" w:hAnsi="宋体"/>
                      <w:color w:val="000000" w:themeColor="text1"/>
                      <w:sz w:val="21"/>
                      <w:szCs w:val="21"/>
                      <w:lang w:val="en-US" w:eastAsia="zh-CN"/>
                      <w14:textFill>
                        <w14:solidFill>
                          <w14:schemeClr w14:val="tx1"/>
                        </w14:solidFill>
                      </w14:textFill>
                    </w:rPr>
                    <w:t>/</w:t>
                  </w:r>
                </w:p>
              </w:tc>
              <w:tc>
                <w:tcPr>
                  <w:tcW w:w="2093" w:type="dxa"/>
                  <w:vMerge w:val="continue"/>
                  <w:tcBorders>
                    <w:tl2br w:val="nil"/>
                    <w:tr2bl w:val="nil"/>
                  </w:tcBorders>
                  <w:noWrap w:val="0"/>
                  <w:vAlign w:val="center"/>
                </w:tcPr>
                <w:p w14:paraId="614684AE">
                  <w:pPr>
                    <w:keepNext w:val="0"/>
                    <w:keepLines w:val="0"/>
                    <w:suppressLineNumbers w:val="0"/>
                    <w:adjustRightInd w:val="0"/>
                    <w:snapToGrid w:val="0"/>
                    <w:spacing w:before="0" w:beforeAutospacing="0" w:after="0" w:afterAutospacing="0"/>
                    <w:ind w:left="0" w:right="0"/>
                    <w:jc w:val="center"/>
                    <w:rPr>
                      <w:rFonts w:hint="default" w:hAnsi="宋体"/>
                      <w:color w:val="000000"/>
                      <w:sz w:val="21"/>
                      <w:szCs w:val="21"/>
                    </w:rPr>
                  </w:pPr>
                </w:p>
              </w:tc>
              <w:tc>
                <w:tcPr>
                  <w:tcW w:w="1120" w:type="dxa"/>
                  <w:tcBorders>
                    <w:tl2br w:val="nil"/>
                    <w:tr2bl w:val="nil"/>
                  </w:tcBorders>
                  <w:noWrap w:val="0"/>
                  <w:vAlign w:val="center"/>
                </w:tcPr>
                <w:p w14:paraId="28E37E2C">
                  <w:pPr>
                    <w:keepNext w:val="0"/>
                    <w:keepLines w:val="0"/>
                    <w:suppressLineNumbers w:val="0"/>
                    <w:adjustRightInd w:val="0"/>
                    <w:snapToGrid w:val="0"/>
                    <w:spacing w:before="0" w:beforeAutospacing="0" w:after="0" w:afterAutospacing="0"/>
                    <w:ind w:left="0" w:right="0"/>
                    <w:jc w:val="center"/>
                    <w:rPr>
                      <w:rFonts w:hint="default" w:hAnsi="宋体"/>
                      <w:color w:val="000000"/>
                      <w:sz w:val="21"/>
                      <w:szCs w:val="21"/>
                    </w:rPr>
                  </w:pPr>
                  <w:r>
                    <w:rPr>
                      <w:rFonts w:hint="eastAsia" w:ascii="宋体" w:hAnsi="宋体"/>
                      <w:color w:val="000000"/>
                      <w:sz w:val="21"/>
                      <w:szCs w:val="21"/>
                      <w:lang w:val="en-US" w:eastAsia="zh-CN"/>
                    </w:rPr>
                    <w:t>不属于</w:t>
                  </w:r>
                </w:p>
              </w:tc>
            </w:tr>
            <w:tr w14:paraId="0CF46E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32" w:type="dxa"/>
                  <w:tcBorders>
                    <w:bottom w:val="single" w:color="auto" w:sz="8" w:space="0"/>
                  </w:tcBorders>
                  <w:noWrap w:val="0"/>
                  <w:vAlign w:val="center"/>
                </w:tcPr>
                <w:p w14:paraId="48888615">
                  <w:pPr>
                    <w:keepNext w:val="0"/>
                    <w:keepLines w:val="0"/>
                    <w:suppressLineNumbers w:val="0"/>
                    <w:adjustRightInd w:val="0"/>
                    <w:snapToGrid w:val="0"/>
                    <w:spacing w:before="0" w:beforeAutospacing="0" w:after="0" w:afterAutospacing="0"/>
                    <w:ind w:left="0" w:right="0"/>
                    <w:jc w:val="center"/>
                    <w:rPr>
                      <w:rFonts w:hint="default" w:ascii="宋体" w:hAnsi="宋体"/>
                      <w:color w:val="000000"/>
                      <w:sz w:val="21"/>
                      <w:szCs w:val="21"/>
                    </w:rPr>
                  </w:pPr>
                  <w:r>
                    <w:rPr>
                      <w:rFonts w:hint="eastAsia" w:ascii="宋体" w:hAnsi="宋体"/>
                      <w:color w:val="000000"/>
                      <w:sz w:val="21"/>
                      <w:szCs w:val="21"/>
                    </w:rPr>
                    <w:t>淘汰类（落后产品）</w:t>
                  </w:r>
                </w:p>
              </w:tc>
              <w:tc>
                <w:tcPr>
                  <w:tcW w:w="2791" w:type="dxa"/>
                  <w:tcBorders>
                    <w:bottom w:val="single" w:color="auto" w:sz="8" w:space="0"/>
                  </w:tcBorders>
                  <w:noWrap w:val="0"/>
                  <w:vAlign w:val="center"/>
                </w:tcPr>
                <w:p w14:paraId="0151DC3C">
                  <w:pPr>
                    <w:keepNext w:val="0"/>
                    <w:keepLines w:val="0"/>
                    <w:numPr>
                      <w:ilvl w:val="0"/>
                      <w:numId w:val="1"/>
                    </w:numPr>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轻工</w:t>
                  </w:r>
                </w:p>
                <w:p w14:paraId="6FEA372E">
                  <w:pPr>
                    <w:keepNext w:val="0"/>
                    <w:keepLines w:val="0"/>
                    <w:numPr>
                      <w:ilvl w:val="0"/>
                      <w:numId w:val="0"/>
                    </w:numPr>
                    <w:suppressLineNumbers w:val="0"/>
                    <w:adjustRightInd w:val="0"/>
                    <w:snapToGrid w:val="0"/>
                    <w:spacing w:before="0" w:beforeAutospacing="0" w:after="0" w:afterAutospacing="0"/>
                    <w:ind w:left="0" w:right="0" w:rightChars="0"/>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汞电池（氧化汞原电池及电池组、锌汞电池）</w:t>
                  </w:r>
                </w:p>
                <w:p w14:paraId="3D885D81">
                  <w:pPr>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 xml:space="preserve">2.含汞糊式锌锰电池、含汞纸板锌锰电池、含汞圆柱型碱锰 </w:t>
                  </w:r>
                </w:p>
                <w:p w14:paraId="3A648152">
                  <w:pPr>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电池、含汞扣式碱锰电池、含汞扣式锌氧化银电池和锌空气电池</w:t>
                  </w:r>
                </w:p>
                <w:p w14:paraId="724E5884">
                  <w:pPr>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开口式普通铅蓄电池、干式荷电铅蓄电池</w:t>
                  </w:r>
                </w:p>
                <w:p w14:paraId="24C89D5A">
                  <w:pPr>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4.含镉高于0.002%的铅蓄电池</w:t>
                  </w:r>
                </w:p>
                <w:p w14:paraId="60823671">
                  <w:pPr>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5</w:t>
                  </w:r>
                  <w:r>
                    <w:rPr>
                      <w:rFonts w:hint="eastAsia" w:cs="Times New Roman"/>
                      <w:color w:val="000000" w:themeColor="text1"/>
                      <w:kern w:val="0"/>
                      <w:sz w:val="21"/>
                      <w:szCs w:val="21"/>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含砷高于0.1%的铅蓄电池</w:t>
                  </w:r>
                </w:p>
                <w:p w14:paraId="4B9AFEB8">
                  <w:pPr>
                    <w:keepNext w:val="0"/>
                    <w:keepLines w:val="0"/>
                    <w:widowControl/>
                    <w:suppressLineNumbers w:val="0"/>
                    <w:spacing w:before="0" w:beforeAutospacing="0" w:after="0" w:afterAutospacing="0"/>
                    <w:ind w:left="0" w:right="0"/>
                    <w:jc w:val="both"/>
                    <w:rPr>
                      <w:rFonts w:hint="default" w:ascii="宋体" w:hAnsi="宋体"/>
                      <w:color w:val="0000FF"/>
                      <w:sz w:val="21"/>
                      <w:szCs w:val="21"/>
                      <w:lang w:val="en-US" w:eastAsia="zh-CN"/>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6.</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民用镉镍电池</w:t>
                  </w:r>
                </w:p>
              </w:tc>
              <w:tc>
                <w:tcPr>
                  <w:tcW w:w="2093" w:type="dxa"/>
                  <w:vMerge w:val="continue"/>
                  <w:tcBorders>
                    <w:bottom w:val="single" w:color="auto" w:sz="8" w:space="0"/>
                  </w:tcBorders>
                  <w:noWrap w:val="0"/>
                  <w:vAlign w:val="center"/>
                </w:tcPr>
                <w:p w14:paraId="3068CBA2">
                  <w:pPr>
                    <w:keepNext w:val="0"/>
                    <w:keepLines w:val="0"/>
                    <w:suppressLineNumbers w:val="0"/>
                    <w:adjustRightInd w:val="0"/>
                    <w:snapToGrid w:val="0"/>
                    <w:spacing w:before="0" w:beforeAutospacing="0" w:after="0" w:afterAutospacing="0"/>
                    <w:ind w:left="0" w:right="0"/>
                    <w:jc w:val="center"/>
                    <w:rPr>
                      <w:rFonts w:hint="default" w:hAnsi="宋体"/>
                      <w:color w:val="000000"/>
                      <w:sz w:val="21"/>
                      <w:szCs w:val="21"/>
                    </w:rPr>
                  </w:pPr>
                </w:p>
              </w:tc>
              <w:tc>
                <w:tcPr>
                  <w:tcW w:w="1120" w:type="dxa"/>
                  <w:tcBorders>
                    <w:bottom w:val="single" w:color="auto" w:sz="8" w:space="0"/>
                  </w:tcBorders>
                  <w:noWrap w:val="0"/>
                  <w:vAlign w:val="center"/>
                </w:tcPr>
                <w:p w14:paraId="2078AD78">
                  <w:pPr>
                    <w:keepNext w:val="0"/>
                    <w:keepLines w:val="0"/>
                    <w:suppressLineNumbers w:val="0"/>
                    <w:adjustRightInd w:val="0"/>
                    <w:snapToGrid w:val="0"/>
                    <w:spacing w:before="0" w:beforeAutospacing="0" w:after="0" w:afterAutospacing="0"/>
                    <w:ind w:left="0" w:right="0"/>
                    <w:jc w:val="center"/>
                    <w:rPr>
                      <w:rFonts w:hint="eastAsia" w:hAnsi="宋体" w:eastAsia="宋体"/>
                      <w:color w:val="000000"/>
                      <w:sz w:val="21"/>
                      <w:szCs w:val="21"/>
                      <w:lang w:eastAsia="zh-CN"/>
                    </w:rPr>
                  </w:pPr>
                  <w:r>
                    <w:rPr>
                      <w:rFonts w:hint="eastAsia" w:ascii="宋体" w:hAnsi="宋体"/>
                      <w:color w:val="000000"/>
                      <w:sz w:val="21"/>
                      <w:szCs w:val="21"/>
                      <w:lang w:val="en-US" w:eastAsia="zh-CN"/>
                    </w:rPr>
                    <w:t>不属于</w:t>
                  </w:r>
                </w:p>
              </w:tc>
            </w:tr>
          </w:tbl>
          <w:p w14:paraId="5AA0333A">
            <w:pPr>
              <w:keepNext w:val="0"/>
              <w:keepLines w:val="0"/>
              <w:suppressLineNumbers w:val="0"/>
              <w:spacing w:before="0" w:beforeAutospacing="0" w:after="0" w:afterAutospacing="0" w:line="440" w:lineRule="exact"/>
              <w:ind w:left="0" w:right="0" w:firstLine="480" w:firstLineChars="200"/>
              <w:jc w:val="both"/>
              <w:rPr>
                <w:rFonts w:hint="default" w:ascii="宋体" w:hAnsi="宋体"/>
                <w:b/>
                <w:bCs/>
                <w:color w:val="auto"/>
                <w:sz w:val="24"/>
                <w:highlight w:val="none"/>
              </w:rPr>
            </w:pPr>
            <w:r>
              <w:rPr>
                <w:rFonts w:hint="default" w:hAnsi="宋体"/>
                <w:color w:val="000000"/>
                <w:sz w:val="24"/>
                <w:highlight w:val="none"/>
              </w:rPr>
              <w:t>本项目与备案一致性分析见表</w:t>
            </w:r>
            <w:r>
              <w:rPr>
                <w:rFonts w:hint="eastAsia" w:cs="Times New Roman"/>
                <w:color w:val="000000"/>
                <w:sz w:val="24"/>
                <w:highlight w:val="none"/>
                <w:lang w:val="en-US" w:eastAsia="zh-CN"/>
              </w:rPr>
              <w:t>7</w:t>
            </w:r>
            <w:r>
              <w:rPr>
                <w:rFonts w:hint="default" w:hAnsi="宋体"/>
                <w:color w:val="000000"/>
                <w:sz w:val="24"/>
                <w:highlight w:val="none"/>
              </w:rPr>
              <w:t>。</w:t>
            </w:r>
          </w:p>
          <w:p w14:paraId="54A8B193">
            <w:pPr>
              <w:keepNext w:val="0"/>
              <w:keepLines w:val="0"/>
              <w:suppressLineNumbers w:val="0"/>
              <w:spacing w:before="0" w:beforeAutospacing="0" w:after="0" w:afterAutospacing="0" w:line="440" w:lineRule="exact"/>
              <w:ind w:left="0" w:right="0"/>
              <w:jc w:val="center"/>
              <w:textAlignment w:val="baseline"/>
              <w:rPr>
                <w:rFonts w:hint="default" w:eastAsia="黑体"/>
                <w:color w:val="auto"/>
                <w:sz w:val="24"/>
                <w:highlight w:val="none"/>
              </w:rPr>
            </w:pPr>
            <w:r>
              <w:rPr>
                <w:rFonts w:hint="default" w:ascii="宋体" w:hAnsi="宋体"/>
                <w:b/>
                <w:bCs/>
                <w:color w:val="auto"/>
                <w:sz w:val="24"/>
                <w:highlight w:val="none"/>
              </w:rPr>
              <w:t>表</w:t>
            </w:r>
            <w:r>
              <w:rPr>
                <w:rFonts w:hint="eastAsia" w:cs="Times New Roman"/>
                <w:b/>
                <w:bCs/>
                <w:color w:val="auto"/>
                <w:sz w:val="24"/>
                <w:highlight w:val="none"/>
                <w:lang w:val="en-US" w:eastAsia="zh-CN"/>
              </w:rPr>
              <w:t>7</w:t>
            </w:r>
            <w:r>
              <w:rPr>
                <w:rFonts w:hint="default" w:ascii="宋体" w:hAnsi="宋体"/>
                <w:b/>
                <w:bCs/>
                <w:color w:val="auto"/>
                <w:sz w:val="24"/>
                <w:highlight w:val="none"/>
              </w:rPr>
              <w:t xml:space="preserve"> </w:t>
            </w:r>
            <w:r>
              <w:rPr>
                <w:rFonts w:hint="eastAsia" w:ascii="宋体" w:hAnsi="宋体"/>
                <w:b/>
                <w:bCs/>
                <w:color w:val="auto"/>
                <w:sz w:val="24"/>
                <w:highlight w:val="none"/>
                <w:lang w:val="en-US" w:eastAsia="zh-CN"/>
              </w:rPr>
              <w:t xml:space="preserve"> </w:t>
            </w:r>
            <w:r>
              <w:rPr>
                <w:rFonts w:hint="default" w:ascii="宋体" w:hAnsi="宋体"/>
                <w:b/>
                <w:bCs/>
                <w:color w:val="auto"/>
                <w:sz w:val="24"/>
                <w:highlight w:val="none"/>
              </w:rPr>
              <w:t>本项目与备案一致性分析一览表</w:t>
            </w:r>
          </w:p>
          <w:tbl>
            <w:tblPr>
              <w:tblStyle w:val="23"/>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Layout w:type="autofit"/>
              <w:tblCellMar>
                <w:top w:w="0" w:type="dxa"/>
                <w:left w:w="108" w:type="dxa"/>
                <w:bottom w:w="0" w:type="dxa"/>
                <w:right w:w="108" w:type="dxa"/>
              </w:tblCellMar>
            </w:tblPr>
            <w:tblGrid>
              <w:gridCol w:w="1120"/>
              <w:gridCol w:w="3534"/>
              <w:gridCol w:w="3524"/>
              <w:gridCol w:w="889"/>
            </w:tblGrid>
            <w:tr w14:paraId="2B8F5AA5">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397" w:hRule="atLeast"/>
                <w:jc w:val="center"/>
              </w:trPr>
              <w:tc>
                <w:tcPr>
                  <w:tcW w:w="1091" w:type="dxa"/>
                  <w:tcBorders>
                    <w:top w:val="single" w:color="auto" w:sz="8" w:space="0"/>
                    <w:bottom w:val="single" w:color="auto" w:sz="8" w:space="0"/>
                  </w:tcBorders>
                  <w:noWrap w:val="0"/>
                  <w:vAlign w:val="center"/>
                </w:tcPr>
                <w:p w14:paraId="067BCFD6">
                  <w:pPr>
                    <w:keepNext w:val="0"/>
                    <w:keepLines w:val="0"/>
                    <w:suppressLineNumbers w:val="0"/>
                    <w:adjustRightInd w:val="0"/>
                    <w:snapToGrid w:val="0"/>
                    <w:spacing w:before="0" w:beforeAutospacing="0" w:after="0" w:afterAutospacing="0"/>
                    <w:ind w:left="0" w:right="0"/>
                    <w:jc w:val="center"/>
                    <w:rPr>
                      <w:rFonts w:hint="default"/>
                      <w:b/>
                      <w:color w:val="auto"/>
                      <w:sz w:val="21"/>
                      <w:szCs w:val="21"/>
                      <w:highlight w:val="none"/>
                    </w:rPr>
                  </w:pPr>
                  <w:r>
                    <w:rPr>
                      <w:rFonts w:hint="default" w:hAnsi="宋体"/>
                      <w:b/>
                      <w:color w:val="auto"/>
                      <w:sz w:val="21"/>
                      <w:szCs w:val="21"/>
                      <w:highlight w:val="none"/>
                    </w:rPr>
                    <w:t>名称</w:t>
                  </w:r>
                </w:p>
              </w:tc>
              <w:tc>
                <w:tcPr>
                  <w:tcW w:w="3440" w:type="dxa"/>
                  <w:tcBorders>
                    <w:top w:val="single" w:color="auto" w:sz="8" w:space="0"/>
                    <w:bottom w:val="single" w:color="auto" w:sz="8" w:space="0"/>
                  </w:tcBorders>
                  <w:noWrap w:val="0"/>
                  <w:vAlign w:val="center"/>
                </w:tcPr>
                <w:p w14:paraId="719EC830">
                  <w:pPr>
                    <w:keepNext w:val="0"/>
                    <w:keepLines w:val="0"/>
                    <w:suppressLineNumbers w:val="0"/>
                    <w:adjustRightInd w:val="0"/>
                    <w:snapToGrid w:val="0"/>
                    <w:spacing w:before="0" w:beforeAutospacing="0" w:after="0" w:afterAutospacing="0"/>
                    <w:ind w:left="0" w:right="0"/>
                    <w:jc w:val="center"/>
                    <w:rPr>
                      <w:rFonts w:hint="eastAsia" w:eastAsia="宋体"/>
                      <w:b/>
                      <w:color w:val="auto"/>
                      <w:sz w:val="21"/>
                      <w:szCs w:val="21"/>
                      <w:highlight w:val="none"/>
                      <w:lang w:val="en-US" w:eastAsia="zh-CN"/>
                    </w:rPr>
                  </w:pPr>
                  <w:r>
                    <w:rPr>
                      <w:rFonts w:hint="default" w:hAnsi="宋体"/>
                      <w:b/>
                      <w:color w:val="auto"/>
                      <w:sz w:val="21"/>
                      <w:szCs w:val="21"/>
                      <w:highlight w:val="none"/>
                    </w:rPr>
                    <w:t>项目备案</w:t>
                  </w:r>
                  <w:r>
                    <w:rPr>
                      <w:rFonts w:hint="eastAsia" w:hAnsi="宋体"/>
                      <w:b/>
                      <w:color w:val="auto"/>
                      <w:sz w:val="21"/>
                      <w:szCs w:val="21"/>
                      <w:highlight w:val="none"/>
                      <w:lang w:val="en-US" w:eastAsia="zh-CN"/>
                    </w:rPr>
                    <w:t>情况</w:t>
                  </w:r>
                </w:p>
              </w:tc>
              <w:tc>
                <w:tcPr>
                  <w:tcW w:w="3430" w:type="dxa"/>
                  <w:tcBorders>
                    <w:top w:val="single" w:color="auto" w:sz="8" w:space="0"/>
                    <w:bottom w:val="single" w:color="auto" w:sz="8" w:space="0"/>
                  </w:tcBorders>
                  <w:noWrap w:val="0"/>
                  <w:vAlign w:val="center"/>
                </w:tcPr>
                <w:p w14:paraId="1BE2B791">
                  <w:pPr>
                    <w:keepNext w:val="0"/>
                    <w:keepLines w:val="0"/>
                    <w:suppressLineNumbers w:val="0"/>
                    <w:adjustRightInd w:val="0"/>
                    <w:snapToGrid w:val="0"/>
                    <w:spacing w:before="0" w:beforeAutospacing="0" w:after="0" w:afterAutospacing="0"/>
                    <w:ind w:left="0" w:right="0"/>
                    <w:jc w:val="center"/>
                    <w:rPr>
                      <w:rFonts w:hint="default"/>
                      <w:b/>
                      <w:color w:val="auto"/>
                      <w:sz w:val="21"/>
                      <w:szCs w:val="21"/>
                      <w:highlight w:val="none"/>
                    </w:rPr>
                  </w:pPr>
                  <w:r>
                    <w:rPr>
                      <w:rFonts w:hint="eastAsia" w:hAnsi="宋体"/>
                      <w:b/>
                      <w:color w:val="auto"/>
                      <w:sz w:val="21"/>
                      <w:szCs w:val="21"/>
                      <w:highlight w:val="none"/>
                      <w:lang w:eastAsia="zh-CN"/>
                    </w:rPr>
                    <w:t>本</w:t>
                  </w:r>
                  <w:r>
                    <w:rPr>
                      <w:rFonts w:hint="default" w:hAnsi="宋体"/>
                      <w:b/>
                      <w:color w:val="auto"/>
                      <w:sz w:val="21"/>
                      <w:szCs w:val="21"/>
                      <w:highlight w:val="none"/>
                    </w:rPr>
                    <w:t>项目</w:t>
                  </w:r>
                  <w:r>
                    <w:rPr>
                      <w:rFonts w:hint="eastAsia" w:hAnsi="宋体"/>
                      <w:b/>
                      <w:color w:val="auto"/>
                      <w:sz w:val="21"/>
                      <w:szCs w:val="21"/>
                      <w:highlight w:val="none"/>
                      <w:lang w:val="en-US" w:eastAsia="zh-CN"/>
                    </w:rPr>
                    <w:t>环评</w:t>
                  </w:r>
                  <w:r>
                    <w:rPr>
                      <w:rFonts w:hint="default" w:hAnsi="宋体"/>
                      <w:b/>
                      <w:color w:val="auto"/>
                      <w:sz w:val="21"/>
                      <w:szCs w:val="21"/>
                      <w:highlight w:val="none"/>
                    </w:rPr>
                    <w:t>情况</w:t>
                  </w:r>
                </w:p>
              </w:tc>
              <w:tc>
                <w:tcPr>
                  <w:tcW w:w="865" w:type="dxa"/>
                  <w:tcBorders>
                    <w:top w:val="single" w:color="auto" w:sz="8" w:space="0"/>
                    <w:bottom w:val="single" w:color="auto" w:sz="8" w:space="0"/>
                  </w:tcBorders>
                  <w:noWrap w:val="0"/>
                  <w:vAlign w:val="center"/>
                </w:tcPr>
                <w:p w14:paraId="779215FF">
                  <w:pPr>
                    <w:keepNext w:val="0"/>
                    <w:keepLines w:val="0"/>
                    <w:suppressLineNumbers w:val="0"/>
                    <w:adjustRightInd w:val="0"/>
                    <w:snapToGrid w:val="0"/>
                    <w:spacing w:before="0" w:beforeAutospacing="0" w:after="0" w:afterAutospacing="0"/>
                    <w:ind w:left="0" w:right="0"/>
                    <w:jc w:val="center"/>
                    <w:rPr>
                      <w:rFonts w:hint="default"/>
                      <w:b/>
                      <w:color w:val="auto"/>
                      <w:sz w:val="21"/>
                      <w:szCs w:val="21"/>
                      <w:highlight w:val="none"/>
                    </w:rPr>
                  </w:pPr>
                  <w:r>
                    <w:rPr>
                      <w:rFonts w:hint="default" w:hAnsi="宋体"/>
                      <w:b/>
                      <w:color w:val="auto"/>
                      <w:sz w:val="21"/>
                      <w:szCs w:val="21"/>
                      <w:highlight w:val="none"/>
                    </w:rPr>
                    <w:t>相符性</w:t>
                  </w:r>
                </w:p>
              </w:tc>
            </w:tr>
            <w:tr w14:paraId="3B23D39A">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397" w:hRule="atLeast"/>
                <w:jc w:val="center"/>
              </w:trPr>
              <w:tc>
                <w:tcPr>
                  <w:tcW w:w="1091" w:type="dxa"/>
                  <w:tcBorders>
                    <w:top w:val="single" w:color="auto" w:sz="8" w:space="0"/>
                    <w:tl2br w:val="nil"/>
                    <w:tr2bl w:val="nil"/>
                  </w:tcBorders>
                  <w:noWrap w:val="0"/>
                  <w:vAlign w:val="center"/>
                </w:tcPr>
                <w:p w14:paraId="62BAF1EF">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lang w:val="en-US" w:eastAsia="zh-CN"/>
                    </w:rPr>
                  </w:pPr>
                  <w:r>
                    <w:rPr>
                      <w:rFonts w:hint="eastAsia"/>
                      <w:color w:val="auto"/>
                      <w:sz w:val="21"/>
                      <w:szCs w:val="21"/>
                      <w:highlight w:val="none"/>
                      <w:lang w:val="en-US" w:eastAsia="zh-CN"/>
                    </w:rPr>
                    <w:t>公司名称</w:t>
                  </w:r>
                </w:p>
              </w:tc>
              <w:tc>
                <w:tcPr>
                  <w:tcW w:w="3440" w:type="dxa"/>
                  <w:tcBorders>
                    <w:top w:val="single" w:color="auto" w:sz="8" w:space="0"/>
                    <w:tl2br w:val="nil"/>
                    <w:tr2bl w:val="nil"/>
                  </w:tcBorders>
                  <w:noWrap w:val="0"/>
                  <w:vAlign w:val="center"/>
                </w:tcPr>
                <w:p w14:paraId="14517AEF">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
                    </w:rPr>
                  </w:pPr>
                  <w:r>
                    <w:rPr>
                      <w:rFonts w:hint="eastAsia" w:cs="Times New Roman"/>
                      <w:color w:val="auto"/>
                      <w:sz w:val="21"/>
                      <w:szCs w:val="21"/>
                      <w:highlight w:val="none"/>
                      <w:lang w:eastAsia="zh-CN"/>
                    </w:rPr>
                    <w:t>新乡市弘力电源科技有限公司</w:t>
                  </w:r>
                </w:p>
              </w:tc>
              <w:tc>
                <w:tcPr>
                  <w:tcW w:w="3430" w:type="dxa"/>
                  <w:tcBorders>
                    <w:top w:val="single" w:color="auto" w:sz="8" w:space="0"/>
                    <w:tl2br w:val="nil"/>
                    <w:tr2bl w:val="nil"/>
                  </w:tcBorders>
                  <w:noWrap w:val="0"/>
                  <w:vAlign w:val="center"/>
                </w:tcPr>
                <w:p w14:paraId="71E05B8A">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sz w:val="21"/>
                      <w:szCs w:val="21"/>
                      <w:highlight w:val="none"/>
                      <w:lang w:eastAsia="zh-CN"/>
                    </w:rPr>
                    <w:t>新乡市弘力电源科技有限公司</w:t>
                  </w:r>
                </w:p>
              </w:tc>
              <w:tc>
                <w:tcPr>
                  <w:tcW w:w="865" w:type="dxa"/>
                  <w:tcBorders>
                    <w:top w:val="single" w:color="auto" w:sz="8" w:space="0"/>
                    <w:tl2br w:val="nil"/>
                    <w:tr2bl w:val="nil"/>
                  </w:tcBorders>
                  <w:noWrap w:val="0"/>
                  <w:vAlign w:val="center"/>
                </w:tcPr>
                <w:p w14:paraId="60ADE772">
                  <w:pPr>
                    <w:keepNext w:val="0"/>
                    <w:keepLines w:val="0"/>
                    <w:suppressLineNumbers w:val="0"/>
                    <w:adjustRightInd w:val="0"/>
                    <w:snapToGrid w:val="0"/>
                    <w:spacing w:before="0" w:beforeAutospacing="0" w:after="0" w:afterAutospacing="0"/>
                    <w:ind w:left="0" w:right="0"/>
                    <w:jc w:val="center"/>
                    <w:rPr>
                      <w:rFonts w:hint="eastAsia" w:hAnsi="宋体" w:eastAsia="宋体"/>
                      <w:color w:val="auto"/>
                      <w:sz w:val="21"/>
                      <w:szCs w:val="21"/>
                      <w:highlight w:val="none"/>
                      <w:lang w:val="en-US" w:eastAsia="zh-CN"/>
                    </w:rPr>
                  </w:pPr>
                  <w:r>
                    <w:rPr>
                      <w:rFonts w:hint="eastAsia" w:hAnsi="宋体"/>
                      <w:color w:val="auto"/>
                      <w:sz w:val="21"/>
                      <w:szCs w:val="21"/>
                      <w:highlight w:val="none"/>
                      <w:lang w:val="en-US" w:eastAsia="zh-CN"/>
                    </w:rPr>
                    <w:t>相符</w:t>
                  </w:r>
                </w:p>
              </w:tc>
            </w:tr>
            <w:tr w14:paraId="34DDCA13">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397" w:hRule="atLeast"/>
                <w:jc w:val="center"/>
              </w:trPr>
              <w:tc>
                <w:tcPr>
                  <w:tcW w:w="1091" w:type="dxa"/>
                  <w:tcBorders>
                    <w:tl2br w:val="nil"/>
                    <w:tr2bl w:val="nil"/>
                  </w:tcBorders>
                  <w:noWrap w:val="0"/>
                  <w:vAlign w:val="center"/>
                </w:tcPr>
                <w:p w14:paraId="6F4F69F4">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lang w:val="en-US" w:eastAsia="zh-CN"/>
                    </w:rPr>
                  </w:pPr>
                  <w:r>
                    <w:rPr>
                      <w:rFonts w:hint="eastAsia"/>
                      <w:color w:val="auto"/>
                      <w:sz w:val="21"/>
                      <w:szCs w:val="21"/>
                      <w:highlight w:val="none"/>
                      <w:lang w:val="en-US" w:eastAsia="zh-CN"/>
                    </w:rPr>
                    <w:t>项目名称</w:t>
                  </w:r>
                </w:p>
              </w:tc>
              <w:tc>
                <w:tcPr>
                  <w:tcW w:w="3440" w:type="dxa"/>
                  <w:tcBorders>
                    <w:tl2br w:val="nil"/>
                    <w:tr2bl w:val="nil"/>
                  </w:tcBorders>
                  <w:noWrap w:val="0"/>
                  <w:vAlign w:val="center"/>
                </w:tcPr>
                <w:p w14:paraId="2852BFAC">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bidi="ar"/>
                    </w:rPr>
                  </w:pPr>
                  <w:r>
                    <w:rPr>
                      <w:rFonts w:hint="eastAsia" w:cs="Times New Roman"/>
                      <w:color w:val="auto"/>
                      <w:sz w:val="21"/>
                      <w:szCs w:val="21"/>
                      <w:highlight w:val="none"/>
                      <w:lang w:eastAsia="zh-CN"/>
                    </w:rPr>
                    <w:t>新乡市弘力电源科技有限公司锂电生产线设备改造更新项目</w:t>
                  </w:r>
                </w:p>
              </w:tc>
              <w:tc>
                <w:tcPr>
                  <w:tcW w:w="3430" w:type="dxa"/>
                  <w:tcBorders>
                    <w:tl2br w:val="nil"/>
                    <w:tr2bl w:val="nil"/>
                  </w:tcBorders>
                  <w:noWrap w:val="0"/>
                  <w:vAlign w:val="center"/>
                </w:tcPr>
                <w:p w14:paraId="2261D9AA">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lang w:val="en-US" w:eastAsia="zh-CN" w:bidi="ar"/>
                    </w:rPr>
                  </w:pPr>
                  <w:r>
                    <w:rPr>
                      <w:rFonts w:hint="eastAsia" w:cs="Times New Roman"/>
                      <w:color w:val="auto"/>
                      <w:sz w:val="21"/>
                      <w:szCs w:val="21"/>
                      <w:highlight w:val="none"/>
                      <w:lang w:eastAsia="zh-CN"/>
                    </w:rPr>
                    <w:t>新乡市弘力电源科技有限公司锂电生产线设备改造更新项目</w:t>
                  </w:r>
                </w:p>
              </w:tc>
              <w:tc>
                <w:tcPr>
                  <w:tcW w:w="865" w:type="dxa"/>
                  <w:tcBorders>
                    <w:tl2br w:val="nil"/>
                    <w:tr2bl w:val="nil"/>
                  </w:tcBorders>
                  <w:noWrap w:val="0"/>
                  <w:vAlign w:val="center"/>
                </w:tcPr>
                <w:p w14:paraId="362AFF32">
                  <w:pPr>
                    <w:keepNext w:val="0"/>
                    <w:keepLines w:val="0"/>
                    <w:suppressLineNumbers w:val="0"/>
                    <w:adjustRightInd w:val="0"/>
                    <w:snapToGrid w:val="0"/>
                    <w:spacing w:before="0" w:beforeAutospacing="0" w:after="0" w:afterAutospacing="0"/>
                    <w:ind w:left="0" w:right="0"/>
                    <w:jc w:val="center"/>
                    <w:rPr>
                      <w:rFonts w:hint="default" w:hAnsi="宋体"/>
                      <w:color w:val="auto"/>
                      <w:sz w:val="21"/>
                      <w:szCs w:val="21"/>
                      <w:highlight w:val="none"/>
                      <w:lang w:val="en-US" w:eastAsia="zh-CN"/>
                    </w:rPr>
                  </w:pPr>
                  <w:r>
                    <w:rPr>
                      <w:rFonts w:hint="eastAsia" w:hAnsi="宋体"/>
                      <w:color w:val="auto"/>
                      <w:sz w:val="21"/>
                      <w:szCs w:val="21"/>
                      <w:highlight w:val="none"/>
                      <w:lang w:val="en-US" w:eastAsia="zh-CN"/>
                    </w:rPr>
                    <w:t>相符</w:t>
                  </w:r>
                </w:p>
              </w:tc>
            </w:tr>
            <w:tr w14:paraId="697BB175">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397" w:hRule="atLeast"/>
                <w:jc w:val="center"/>
              </w:trPr>
              <w:tc>
                <w:tcPr>
                  <w:tcW w:w="1091" w:type="dxa"/>
                  <w:tcBorders>
                    <w:tl2br w:val="nil"/>
                    <w:tr2bl w:val="nil"/>
                  </w:tcBorders>
                  <w:noWrap w:val="0"/>
                  <w:vAlign w:val="center"/>
                </w:tcPr>
                <w:p w14:paraId="6403D261">
                  <w:pPr>
                    <w:keepNext w:val="0"/>
                    <w:keepLines w:val="0"/>
                    <w:suppressLineNumbers w:val="0"/>
                    <w:adjustRightInd w:val="0"/>
                    <w:snapToGrid w:val="0"/>
                    <w:spacing w:before="0" w:beforeAutospacing="0" w:after="0" w:afterAutospacing="0"/>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建设内容</w:t>
                  </w:r>
                </w:p>
              </w:tc>
              <w:tc>
                <w:tcPr>
                  <w:tcW w:w="3440" w:type="dxa"/>
                  <w:tcBorders>
                    <w:tl2br w:val="nil"/>
                    <w:tr2bl w:val="nil"/>
                  </w:tcBorders>
                  <w:noWrap w:val="0"/>
                  <w:vAlign w:val="center"/>
                </w:tcPr>
                <w:p w14:paraId="7E6CBEB0">
                  <w:pPr>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本项目利用公司原有厂房，对原有锂离子生产线设备进行提升改造，不新增用地，淘汰原有二次电池化成设备、制片机等800台(套),更新为全自动制片机、回馈式针床化成检测设备、自动上料机、自动装盒机约690台(套)。本项目主要优化公司产品结构，实现产线技术改造，提高效能，降低能耗，提高产品品质，实现公司产业升级，不新增产能。</w:t>
                  </w:r>
                </w:p>
              </w:tc>
              <w:tc>
                <w:tcPr>
                  <w:tcW w:w="3430" w:type="dxa"/>
                  <w:tcBorders>
                    <w:tl2br w:val="nil"/>
                    <w:tr2bl w:val="nil"/>
                  </w:tcBorders>
                  <w:noWrap w:val="0"/>
                  <w:vAlign w:val="center"/>
                </w:tcPr>
                <w:p w14:paraId="28473C9A">
                  <w:pPr>
                    <w:keepNext w:val="0"/>
                    <w:keepLines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本项目利用公司原有厂房，对原有锂离子生产线设备进行提升改造，不新增用地，淘汰原有二次电池化成设备、制片机等800台(套),更新为全自动制片机、回馈式针床化成检测设备、自动上料机、自动装盒机约690台(套)。本项目主要优化公司产品结构，实现产线技术改造，提高效能，降低能耗，提高产品品质，实现公司产业升级，不新增产能。</w:t>
                  </w:r>
                </w:p>
              </w:tc>
              <w:tc>
                <w:tcPr>
                  <w:tcW w:w="865" w:type="dxa"/>
                  <w:tcBorders>
                    <w:tl2br w:val="nil"/>
                    <w:tr2bl w:val="nil"/>
                  </w:tcBorders>
                  <w:noWrap w:val="0"/>
                  <w:vAlign w:val="center"/>
                </w:tcPr>
                <w:p w14:paraId="28CC6E93">
                  <w:pPr>
                    <w:keepNext w:val="0"/>
                    <w:keepLines w:val="0"/>
                    <w:suppressLineNumbers w:val="0"/>
                    <w:adjustRightInd w:val="0"/>
                    <w:snapToGrid w:val="0"/>
                    <w:spacing w:before="0" w:beforeAutospacing="0" w:after="0" w:afterAutospacing="0"/>
                    <w:ind w:left="0" w:right="0"/>
                    <w:jc w:val="center"/>
                    <w:rPr>
                      <w:rFonts w:hint="default" w:eastAsia="宋体"/>
                      <w:color w:val="auto"/>
                      <w:sz w:val="21"/>
                      <w:szCs w:val="21"/>
                      <w:highlight w:val="none"/>
                      <w:lang w:val="en-US" w:eastAsia="zh-CN"/>
                    </w:rPr>
                  </w:pPr>
                  <w:r>
                    <w:rPr>
                      <w:rFonts w:hint="eastAsia" w:hAnsi="宋体"/>
                      <w:color w:val="auto"/>
                      <w:sz w:val="21"/>
                      <w:szCs w:val="21"/>
                      <w:highlight w:val="none"/>
                      <w:lang w:val="en-US" w:eastAsia="zh-CN"/>
                    </w:rPr>
                    <w:t>相符</w:t>
                  </w:r>
                </w:p>
              </w:tc>
            </w:tr>
            <w:tr w14:paraId="62DE63A6">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397" w:hRule="atLeast"/>
                <w:jc w:val="center"/>
              </w:trPr>
              <w:tc>
                <w:tcPr>
                  <w:tcW w:w="1091" w:type="dxa"/>
                  <w:tcBorders>
                    <w:tl2br w:val="nil"/>
                    <w:tr2bl w:val="nil"/>
                  </w:tcBorders>
                  <w:noWrap w:val="0"/>
                  <w:vAlign w:val="center"/>
                </w:tcPr>
                <w:p w14:paraId="59C7AE0D">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lang w:val="en-US" w:eastAsia="zh-CN"/>
                    </w:rPr>
                  </w:pPr>
                  <w:r>
                    <w:rPr>
                      <w:rFonts w:hint="eastAsia"/>
                      <w:color w:val="auto"/>
                      <w:sz w:val="21"/>
                      <w:szCs w:val="21"/>
                      <w:highlight w:val="none"/>
                      <w:lang w:val="en-US" w:eastAsia="zh-CN"/>
                    </w:rPr>
                    <w:t>项目性质</w:t>
                  </w:r>
                </w:p>
              </w:tc>
              <w:tc>
                <w:tcPr>
                  <w:tcW w:w="3440" w:type="dxa"/>
                  <w:tcBorders>
                    <w:tl2br w:val="nil"/>
                    <w:tr2bl w:val="nil"/>
                  </w:tcBorders>
                  <w:noWrap w:val="0"/>
                  <w:vAlign w:val="center"/>
                </w:tcPr>
                <w:p w14:paraId="7F36EA73">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00"/>
                      <w:kern w:val="0"/>
                      <w:sz w:val="21"/>
                      <w:szCs w:val="21"/>
                      <w:highlight w:val="none"/>
                      <w:lang w:val="en-US" w:eastAsia="zh-CN" w:bidi="ar"/>
                    </w:rPr>
                  </w:pPr>
                  <w:r>
                    <w:rPr>
                      <w:rFonts w:hint="eastAsia" w:cs="Times New Roman"/>
                      <w:color w:val="000000"/>
                      <w:kern w:val="0"/>
                      <w:sz w:val="21"/>
                      <w:szCs w:val="21"/>
                      <w:highlight w:val="none"/>
                      <w:lang w:val="en-US" w:eastAsia="zh-CN" w:bidi="ar"/>
                    </w:rPr>
                    <w:t>改建</w:t>
                  </w:r>
                </w:p>
              </w:tc>
              <w:tc>
                <w:tcPr>
                  <w:tcW w:w="3430" w:type="dxa"/>
                  <w:tcBorders>
                    <w:tl2br w:val="nil"/>
                    <w:tr2bl w:val="nil"/>
                  </w:tcBorders>
                  <w:noWrap w:val="0"/>
                  <w:vAlign w:val="center"/>
                </w:tcPr>
                <w:p w14:paraId="47638BDB">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000000"/>
                      <w:kern w:val="0"/>
                      <w:sz w:val="21"/>
                      <w:szCs w:val="21"/>
                      <w:highlight w:val="none"/>
                      <w:lang w:val="en-US" w:eastAsia="zh-CN" w:bidi="ar"/>
                    </w:rPr>
                  </w:pPr>
                  <w:r>
                    <w:rPr>
                      <w:rFonts w:hint="eastAsia" w:cs="Times New Roman"/>
                      <w:color w:val="000000"/>
                      <w:kern w:val="0"/>
                      <w:sz w:val="21"/>
                      <w:szCs w:val="21"/>
                      <w:highlight w:val="none"/>
                      <w:lang w:val="en-US" w:eastAsia="zh-CN" w:bidi="ar"/>
                    </w:rPr>
                    <w:t>改建</w:t>
                  </w:r>
                </w:p>
              </w:tc>
              <w:tc>
                <w:tcPr>
                  <w:tcW w:w="865" w:type="dxa"/>
                  <w:tcBorders>
                    <w:tl2br w:val="nil"/>
                    <w:tr2bl w:val="nil"/>
                  </w:tcBorders>
                  <w:noWrap w:val="0"/>
                  <w:vAlign w:val="center"/>
                </w:tcPr>
                <w:p w14:paraId="70B1C998">
                  <w:pPr>
                    <w:keepNext w:val="0"/>
                    <w:keepLines w:val="0"/>
                    <w:suppressLineNumbers w:val="0"/>
                    <w:adjustRightInd w:val="0"/>
                    <w:snapToGrid w:val="0"/>
                    <w:spacing w:before="0" w:beforeAutospacing="0" w:after="0" w:afterAutospacing="0"/>
                    <w:ind w:left="0" w:right="0"/>
                    <w:jc w:val="center"/>
                    <w:rPr>
                      <w:rFonts w:hint="default" w:hAnsi="宋体"/>
                      <w:color w:val="auto"/>
                      <w:sz w:val="21"/>
                      <w:szCs w:val="21"/>
                      <w:highlight w:val="none"/>
                      <w:lang w:val="en-US" w:eastAsia="zh-CN"/>
                    </w:rPr>
                  </w:pPr>
                  <w:r>
                    <w:rPr>
                      <w:rFonts w:hint="eastAsia" w:hAnsi="宋体"/>
                      <w:color w:val="auto"/>
                      <w:sz w:val="21"/>
                      <w:szCs w:val="21"/>
                      <w:highlight w:val="none"/>
                      <w:lang w:val="en-US" w:eastAsia="zh-CN"/>
                    </w:rPr>
                    <w:t>相符</w:t>
                  </w:r>
                </w:p>
              </w:tc>
            </w:tr>
            <w:tr w14:paraId="55EAC089">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397" w:hRule="atLeast"/>
                <w:jc w:val="center"/>
              </w:trPr>
              <w:tc>
                <w:tcPr>
                  <w:tcW w:w="1091" w:type="dxa"/>
                  <w:tcBorders>
                    <w:tl2br w:val="nil"/>
                    <w:tr2bl w:val="nil"/>
                  </w:tcBorders>
                  <w:noWrap w:val="0"/>
                  <w:vAlign w:val="center"/>
                </w:tcPr>
                <w:p w14:paraId="36EE6C46">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r>
                    <w:rPr>
                      <w:rFonts w:hint="eastAsia"/>
                      <w:color w:val="auto"/>
                      <w:sz w:val="21"/>
                      <w:szCs w:val="21"/>
                      <w:highlight w:val="none"/>
                      <w:lang w:val="en-US" w:eastAsia="zh-CN"/>
                    </w:rPr>
                    <w:t>项目</w:t>
                  </w:r>
                  <w:r>
                    <w:rPr>
                      <w:rFonts w:hint="default"/>
                      <w:color w:val="auto"/>
                      <w:sz w:val="21"/>
                      <w:szCs w:val="21"/>
                      <w:highlight w:val="none"/>
                    </w:rPr>
                    <w:t>投资</w:t>
                  </w:r>
                </w:p>
              </w:tc>
              <w:tc>
                <w:tcPr>
                  <w:tcW w:w="3440" w:type="dxa"/>
                  <w:tcBorders>
                    <w:tl2br w:val="nil"/>
                    <w:tr2bl w:val="nil"/>
                  </w:tcBorders>
                  <w:noWrap w:val="0"/>
                  <w:vAlign w:val="center"/>
                </w:tcPr>
                <w:p w14:paraId="68591DC7">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r>
                    <w:rPr>
                      <w:rFonts w:hint="eastAsia"/>
                      <w:color w:val="auto"/>
                      <w:sz w:val="21"/>
                      <w:szCs w:val="21"/>
                      <w:highlight w:val="none"/>
                      <w:lang w:val="en-US" w:eastAsia="zh-CN"/>
                    </w:rPr>
                    <w:t>3000</w:t>
                  </w:r>
                  <w:r>
                    <w:rPr>
                      <w:rFonts w:hint="default" w:hAnsi="宋体"/>
                      <w:color w:val="auto"/>
                      <w:sz w:val="21"/>
                      <w:szCs w:val="21"/>
                      <w:highlight w:val="none"/>
                    </w:rPr>
                    <w:t>万元</w:t>
                  </w:r>
                </w:p>
              </w:tc>
              <w:tc>
                <w:tcPr>
                  <w:tcW w:w="3430" w:type="dxa"/>
                  <w:tcBorders>
                    <w:tl2br w:val="nil"/>
                    <w:tr2bl w:val="nil"/>
                  </w:tcBorders>
                  <w:noWrap w:val="0"/>
                  <w:vAlign w:val="center"/>
                </w:tcPr>
                <w:p w14:paraId="1597866B">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highlight w:val="none"/>
                    </w:rPr>
                  </w:pPr>
                  <w:r>
                    <w:rPr>
                      <w:rFonts w:hint="eastAsia"/>
                      <w:color w:val="auto"/>
                      <w:sz w:val="21"/>
                      <w:szCs w:val="21"/>
                      <w:highlight w:val="none"/>
                      <w:lang w:val="en-US" w:eastAsia="zh-CN"/>
                    </w:rPr>
                    <w:t>3000</w:t>
                  </w:r>
                  <w:r>
                    <w:rPr>
                      <w:rFonts w:hint="default" w:hAnsi="宋体"/>
                      <w:color w:val="auto"/>
                      <w:sz w:val="21"/>
                      <w:szCs w:val="21"/>
                      <w:highlight w:val="none"/>
                    </w:rPr>
                    <w:t>万元</w:t>
                  </w:r>
                </w:p>
              </w:tc>
              <w:tc>
                <w:tcPr>
                  <w:tcW w:w="865" w:type="dxa"/>
                  <w:tcBorders>
                    <w:tl2br w:val="nil"/>
                    <w:tr2bl w:val="nil"/>
                  </w:tcBorders>
                  <w:noWrap w:val="0"/>
                  <w:vAlign w:val="center"/>
                </w:tcPr>
                <w:p w14:paraId="1CA4AB2C">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r>
                    <w:rPr>
                      <w:rFonts w:hint="eastAsia" w:hAnsi="宋体"/>
                      <w:color w:val="auto"/>
                      <w:sz w:val="21"/>
                      <w:szCs w:val="21"/>
                      <w:highlight w:val="none"/>
                      <w:lang w:val="en-US" w:eastAsia="zh-CN"/>
                    </w:rPr>
                    <w:t>相符</w:t>
                  </w:r>
                </w:p>
              </w:tc>
            </w:tr>
            <w:tr w14:paraId="4E10B279">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397" w:hRule="atLeast"/>
                <w:jc w:val="center"/>
              </w:trPr>
              <w:tc>
                <w:tcPr>
                  <w:tcW w:w="1091" w:type="dxa"/>
                  <w:tcBorders>
                    <w:tl2br w:val="nil"/>
                    <w:tr2bl w:val="nil"/>
                  </w:tcBorders>
                  <w:noWrap w:val="0"/>
                  <w:vAlign w:val="center"/>
                </w:tcPr>
                <w:p w14:paraId="3361F5A7">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r>
                    <w:rPr>
                      <w:rFonts w:hint="eastAsia"/>
                      <w:color w:val="auto"/>
                      <w:sz w:val="21"/>
                      <w:szCs w:val="21"/>
                      <w:highlight w:val="none"/>
                      <w:lang w:val="en-US" w:eastAsia="zh-CN"/>
                    </w:rPr>
                    <w:t>项目</w:t>
                  </w:r>
                  <w:r>
                    <w:rPr>
                      <w:rFonts w:hint="default"/>
                      <w:color w:val="auto"/>
                      <w:sz w:val="21"/>
                      <w:szCs w:val="21"/>
                      <w:highlight w:val="none"/>
                    </w:rPr>
                    <w:t>规模</w:t>
                  </w:r>
                </w:p>
              </w:tc>
              <w:tc>
                <w:tcPr>
                  <w:tcW w:w="3440" w:type="dxa"/>
                  <w:tcBorders>
                    <w:tl2br w:val="nil"/>
                    <w:tr2bl w:val="nil"/>
                  </w:tcBorders>
                  <w:noWrap w:val="0"/>
                  <w:vAlign w:val="center"/>
                </w:tcPr>
                <w:p w14:paraId="33A7A8C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对设备进行升级改造，不新增产品产能</w:t>
                  </w:r>
                </w:p>
              </w:tc>
              <w:tc>
                <w:tcPr>
                  <w:tcW w:w="3430" w:type="dxa"/>
                  <w:tcBorders>
                    <w:tl2br w:val="nil"/>
                    <w:tr2bl w:val="nil"/>
                  </w:tcBorders>
                  <w:noWrap w:val="0"/>
                  <w:vAlign w:val="center"/>
                </w:tcPr>
                <w:p w14:paraId="2444E9EA">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对设备进行升级改造，不新增产品产能</w:t>
                  </w:r>
                </w:p>
              </w:tc>
              <w:tc>
                <w:tcPr>
                  <w:tcW w:w="865" w:type="dxa"/>
                  <w:tcBorders>
                    <w:tl2br w:val="nil"/>
                    <w:tr2bl w:val="nil"/>
                  </w:tcBorders>
                  <w:noWrap w:val="0"/>
                  <w:vAlign w:val="center"/>
                </w:tcPr>
                <w:p w14:paraId="7B024EF3">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r>
                    <w:rPr>
                      <w:rFonts w:hint="eastAsia" w:hAnsi="宋体"/>
                      <w:color w:val="auto"/>
                      <w:sz w:val="21"/>
                      <w:szCs w:val="21"/>
                      <w:highlight w:val="none"/>
                      <w:lang w:val="en-US" w:eastAsia="zh-CN"/>
                    </w:rPr>
                    <w:t>相符</w:t>
                  </w:r>
                </w:p>
              </w:tc>
            </w:tr>
            <w:tr w14:paraId="3B18DF82">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397" w:hRule="atLeast"/>
                <w:jc w:val="center"/>
              </w:trPr>
              <w:tc>
                <w:tcPr>
                  <w:tcW w:w="1091" w:type="dxa"/>
                  <w:tcBorders>
                    <w:bottom w:val="single" w:color="auto" w:sz="8" w:space="0"/>
                  </w:tcBorders>
                  <w:noWrap w:val="0"/>
                  <w:vAlign w:val="center"/>
                </w:tcPr>
                <w:p w14:paraId="43AFA749">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r>
                    <w:rPr>
                      <w:rFonts w:hint="default" w:hAnsi="宋体"/>
                      <w:color w:val="auto"/>
                      <w:sz w:val="21"/>
                      <w:szCs w:val="21"/>
                      <w:highlight w:val="none"/>
                    </w:rPr>
                    <w:t>建设地点</w:t>
                  </w:r>
                </w:p>
              </w:tc>
              <w:tc>
                <w:tcPr>
                  <w:tcW w:w="3440" w:type="dxa"/>
                  <w:tcBorders>
                    <w:bottom w:val="single" w:color="auto" w:sz="8" w:space="0"/>
                  </w:tcBorders>
                  <w:noWrap w:val="0"/>
                  <w:vAlign w:val="center"/>
                </w:tcPr>
                <w:p w14:paraId="09D9075F">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河南省新乡市新乡县经济开发区兴隆路西段</w:t>
                  </w:r>
                </w:p>
              </w:tc>
              <w:tc>
                <w:tcPr>
                  <w:tcW w:w="3430" w:type="dxa"/>
                  <w:tcBorders>
                    <w:bottom w:val="single" w:color="auto" w:sz="8" w:space="0"/>
                  </w:tcBorders>
                  <w:noWrap w:val="0"/>
                  <w:vAlign w:val="center"/>
                </w:tcPr>
                <w:p w14:paraId="782F80A2">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河南省新乡市新乡县经济开发区兴隆路西段</w:t>
                  </w:r>
                </w:p>
              </w:tc>
              <w:tc>
                <w:tcPr>
                  <w:tcW w:w="865" w:type="dxa"/>
                  <w:tcBorders>
                    <w:bottom w:val="single" w:color="auto" w:sz="8" w:space="0"/>
                  </w:tcBorders>
                  <w:noWrap w:val="0"/>
                  <w:vAlign w:val="center"/>
                </w:tcPr>
                <w:p w14:paraId="71086928">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r>
                    <w:rPr>
                      <w:rFonts w:hint="eastAsia" w:hAnsi="宋体"/>
                      <w:color w:val="auto"/>
                      <w:sz w:val="21"/>
                      <w:szCs w:val="21"/>
                      <w:highlight w:val="none"/>
                      <w:lang w:val="en-US" w:eastAsia="zh-CN"/>
                    </w:rPr>
                    <w:t>相符</w:t>
                  </w:r>
                </w:p>
              </w:tc>
            </w:tr>
          </w:tbl>
          <w:p w14:paraId="25611D64">
            <w:pPr>
              <w:keepNext w:val="0"/>
              <w:keepLines w:val="0"/>
              <w:suppressLineNumbers w:val="0"/>
              <w:spacing w:before="0" w:beforeAutospacing="0" w:after="0" w:afterAutospacing="0" w:line="440" w:lineRule="exact"/>
              <w:ind w:left="0" w:right="0" w:firstLine="480" w:firstLineChars="200"/>
              <w:jc w:val="both"/>
              <w:rPr>
                <w:rFonts w:hint="default" w:ascii="Times New Roman" w:hAnsi="Times New Roman" w:eastAsia="宋体" w:cs="Times New Roman"/>
                <w:b w:val="0"/>
                <w:bCs/>
                <w:color w:val="auto"/>
                <w:sz w:val="24"/>
                <w:szCs w:val="24"/>
              </w:rPr>
            </w:pPr>
            <w:r>
              <w:rPr>
                <w:rFonts w:hint="eastAsia"/>
                <w:b w:val="0"/>
                <w:bCs/>
                <w:color w:val="auto"/>
                <w:sz w:val="24"/>
              </w:rPr>
              <w:t>依据备案信息，本项目</w:t>
            </w:r>
            <w:r>
              <w:rPr>
                <w:rFonts w:hint="eastAsia"/>
                <w:b w:val="0"/>
                <w:bCs/>
                <w:color w:val="auto"/>
                <w:sz w:val="24"/>
                <w:lang w:eastAsia="zh-CN"/>
              </w:rPr>
              <w:t>实际</w:t>
            </w:r>
            <w:r>
              <w:rPr>
                <w:rFonts w:hint="eastAsia"/>
                <w:b w:val="0"/>
                <w:bCs/>
                <w:color w:val="auto"/>
                <w:sz w:val="24"/>
              </w:rPr>
              <w:t>与备案</w:t>
            </w:r>
            <w:r>
              <w:rPr>
                <w:rFonts w:hint="eastAsia"/>
                <w:b w:val="0"/>
                <w:bCs/>
                <w:color w:val="auto"/>
                <w:sz w:val="24"/>
                <w:lang w:val="en-US" w:eastAsia="zh-CN"/>
              </w:rPr>
              <w:t>信息一致</w:t>
            </w:r>
            <w:r>
              <w:rPr>
                <w:rFonts w:hint="default" w:ascii="Times New Roman" w:hAnsi="Times New Roman" w:eastAsia="宋体" w:cs="Times New Roman"/>
                <w:sz w:val="24"/>
                <w:szCs w:val="24"/>
                <w:highlight w:val="none"/>
                <w:lang w:val="en-US" w:eastAsia="zh-CN"/>
              </w:rPr>
              <w:t>。</w:t>
            </w:r>
          </w:p>
          <w:p w14:paraId="2E665967">
            <w:pPr>
              <w:keepNext w:val="0"/>
              <w:keepLines w:val="0"/>
              <w:suppressLineNumbers w:val="0"/>
              <w:autoSpaceDE w:val="0"/>
              <w:autoSpaceDN w:val="0"/>
              <w:adjustRightInd w:val="0"/>
              <w:snapToGrid w:val="0"/>
              <w:spacing w:before="0" w:beforeAutospacing="0" w:after="0" w:afterAutospacing="0" w:line="440" w:lineRule="exact"/>
              <w:ind w:left="0" w:right="0" w:firstLine="482" w:firstLineChars="200"/>
              <w:jc w:val="both"/>
              <w:rPr>
                <w:rFonts w:hint="default" w:eastAsia="宋体"/>
                <w:b/>
                <w:bCs/>
                <w:color w:val="000000" w:themeColor="text1"/>
                <w:kern w:val="0"/>
                <w:sz w:val="24"/>
                <w:highlight w:val="none"/>
                <w:lang w:val="en-US" w:eastAsia="zh-CN"/>
                <w14:textFill>
                  <w14:solidFill>
                    <w14:schemeClr w14:val="tx1"/>
                  </w14:solidFill>
                </w14:textFill>
              </w:rPr>
            </w:pPr>
            <w:r>
              <w:rPr>
                <w:rFonts w:hint="eastAsia"/>
                <w:b/>
                <w:bCs/>
                <w:kern w:val="0"/>
                <w:sz w:val="24"/>
                <w:highlight w:val="none"/>
                <w:lang w:val="en-US" w:eastAsia="zh-CN"/>
              </w:rPr>
              <w:t>4</w:t>
            </w:r>
            <w:r>
              <w:rPr>
                <w:rFonts w:hint="default"/>
                <w:b/>
                <w:bCs/>
                <w:kern w:val="0"/>
                <w:sz w:val="24"/>
                <w:highlight w:val="none"/>
              </w:rPr>
              <w:t>、</w:t>
            </w:r>
            <w:r>
              <w:rPr>
                <w:rFonts w:hint="eastAsia"/>
                <w:b/>
                <w:bCs/>
                <w:kern w:val="0"/>
                <w:sz w:val="24"/>
                <w:highlight w:val="none"/>
                <w:lang w:val="en-US" w:eastAsia="zh-CN"/>
              </w:rPr>
              <w:t>本项目与</w:t>
            </w:r>
            <w:r>
              <w:rPr>
                <w:rFonts w:hint="default"/>
                <w:b/>
                <w:bCs/>
                <w:kern w:val="0"/>
                <w:sz w:val="24"/>
                <w:highlight w:val="none"/>
              </w:rPr>
              <w:t>新乡县</w:t>
            </w:r>
            <w:r>
              <w:rPr>
                <w:rFonts w:hint="eastAsia"/>
                <w:b/>
                <w:bCs/>
                <w:kern w:val="0"/>
                <w:sz w:val="24"/>
                <w:highlight w:val="none"/>
                <w:lang w:val="en-US" w:eastAsia="zh-CN"/>
              </w:rPr>
              <w:t>空气质量监</w:t>
            </w:r>
            <w:r>
              <w:rPr>
                <w:rFonts w:hint="eastAsia"/>
                <w:b/>
                <w:bCs/>
                <w:color w:val="000000" w:themeColor="text1"/>
                <w:kern w:val="0"/>
                <w:sz w:val="24"/>
                <w:highlight w:val="none"/>
                <w:lang w:val="en-US" w:eastAsia="zh-CN"/>
                <w14:textFill>
                  <w14:solidFill>
                    <w14:schemeClr w14:val="tx1"/>
                  </w14:solidFill>
                </w14:textFill>
              </w:rPr>
              <w:t>测站位置关系</w:t>
            </w:r>
          </w:p>
          <w:p w14:paraId="270E5FCA">
            <w:pPr>
              <w:keepNext w:val="0"/>
              <w:keepLines w:val="0"/>
              <w:suppressLineNumbers w:val="0"/>
              <w:spacing w:before="0" w:beforeAutospacing="0" w:after="0" w:afterAutospacing="0" w:line="440" w:lineRule="exact"/>
              <w:ind w:left="0" w:right="0" w:firstLine="480" w:firstLineChars="200"/>
              <w:jc w:val="both"/>
              <w:rPr>
                <w:rFonts w:hint="eastAsia" w:ascii="宋体" w:hAnsi="宋体" w:eastAsia="宋体" w:cs="宋体"/>
                <w:kern w:val="0"/>
                <w:sz w:val="24"/>
                <w:szCs w:val="24"/>
                <w:highlight w:val="yellow"/>
                <w:lang w:val="en-US" w:eastAsia="zh-CN"/>
              </w:rPr>
            </w:pPr>
            <w:r>
              <w:rPr>
                <w:rFonts w:hint="default" w:ascii="Times New Roman" w:hAnsi="Times New Roman" w:cs="Times New Roman"/>
                <w:kern w:val="0"/>
                <w:sz w:val="24"/>
                <w:highlight w:val="none"/>
                <w:lang w:val="en-US" w:eastAsia="zh-CN"/>
              </w:rPr>
              <w:t>本项目位于</w:t>
            </w:r>
            <w:r>
              <w:rPr>
                <w:rFonts w:hint="default" w:ascii="Times New Roman" w:hAnsi="Times New Roman" w:cs="Times New Roman"/>
                <w:color w:val="auto"/>
                <w:sz w:val="24"/>
                <w:szCs w:val="24"/>
                <w:highlight w:val="none"/>
                <w:lang w:val="en-US" w:eastAsia="zh-CN"/>
              </w:rPr>
              <w:t>河南省新乡市新乡县经济开发区兴隆路西段</w:t>
            </w:r>
            <w:r>
              <w:rPr>
                <w:rFonts w:hint="eastAsia" w:cs="Times New Roman"/>
                <w:color w:val="auto"/>
                <w:sz w:val="24"/>
                <w:szCs w:val="24"/>
                <w:highlight w:val="none"/>
                <w:lang w:val="en-US" w:eastAsia="zh-CN"/>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项目最近的空气监测站为</w:t>
            </w:r>
            <w:r>
              <w:rPr>
                <w:rFonts w:hint="eastAsia" w:cs="Times New Roman"/>
                <w:color w:val="000000" w:themeColor="text1"/>
                <w:sz w:val="24"/>
                <w:szCs w:val="24"/>
                <w:highlight w:val="none"/>
                <w:lang w:val="en-US" w:eastAsia="zh-CN"/>
                <w14:textFill>
                  <w14:solidFill>
                    <w14:schemeClr w14:val="tx1"/>
                  </w14:solidFill>
                </w14:textFill>
              </w:rPr>
              <w:t>翟坡镇空气监测站</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w:t>
            </w:r>
            <w:r>
              <w:rPr>
                <w:rFonts w:hint="eastAsia" w:cs="Times New Roman"/>
                <w:i w:val="0"/>
                <w:iCs w:val="0"/>
                <w:caps w:val="0"/>
                <w:color w:val="2D2D2D"/>
                <w:spacing w:val="0"/>
                <w:sz w:val="24"/>
                <w:szCs w:val="24"/>
                <w:highlight w:val="none"/>
                <w:shd w:val="clear"/>
                <w:lang w:val="en-US" w:eastAsia="zh-CN"/>
              </w:rPr>
              <w:t>本项目生产车间距离翟坡镇空气监测站约3km</w:t>
            </w:r>
            <w:r>
              <w:rPr>
                <w:rFonts w:hint="eastAsia" w:ascii="宋体" w:hAnsi="宋体" w:eastAsia="宋体" w:cs="宋体"/>
                <w:i w:val="0"/>
                <w:iCs w:val="0"/>
                <w:caps w:val="0"/>
                <w:color w:val="2D2D2D"/>
                <w:spacing w:val="0"/>
                <w:sz w:val="24"/>
                <w:szCs w:val="24"/>
                <w:highlight w:val="none"/>
                <w:shd w:val="clear" w:fill="FFFFFF"/>
                <w:lang w:eastAsia="zh-CN"/>
              </w:rPr>
              <w:t>。</w:t>
            </w:r>
          </w:p>
          <w:p w14:paraId="53FB675D">
            <w:pPr>
              <w:pStyle w:val="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jc w:val="both"/>
              <w:rPr>
                <w:rFonts w:hint="eastAsia"/>
                <w:b/>
                <w:bCs/>
                <w:kern w:val="0"/>
                <w:sz w:val="24"/>
              </w:rPr>
            </w:pPr>
            <w:r>
              <w:rPr>
                <w:rFonts w:hint="eastAsia"/>
                <w:b/>
                <w:bCs/>
                <w:kern w:val="0"/>
                <w:sz w:val="24"/>
                <w:lang w:val="en-US" w:eastAsia="zh-CN"/>
              </w:rPr>
              <w:t>5</w:t>
            </w:r>
            <w:r>
              <w:rPr>
                <w:rFonts w:hint="eastAsia"/>
                <w:b/>
                <w:bCs/>
                <w:kern w:val="0"/>
                <w:sz w:val="24"/>
              </w:rPr>
              <w:t>、本项目与《新乡市202</w:t>
            </w:r>
            <w:r>
              <w:rPr>
                <w:rFonts w:hint="eastAsia"/>
                <w:b/>
                <w:bCs/>
                <w:kern w:val="0"/>
                <w:sz w:val="24"/>
                <w:lang w:val="en-US" w:eastAsia="zh-CN"/>
              </w:rPr>
              <w:t>5</w:t>
            </w:r>
            <w:r>
              <w:rPr>
                <w:rFonts w:hint="eastAsia"/>
                <w:b/>
                <w:bCs/>
                <w:kern w:val="0"/>
                <w:sz w:val="24"/>
              </w:rPr>
              <w:t>年蓝天保卫战实施方案》</w:t>
            </w:r>
            <w:r>
              <w:rPr>
                <w:rFonts w:hint="eastAsia"/>
                <w:b/>
                <w:bCs/>
                <w:kern w:val="0"/>
                <w:sz w:val="24"/>
                <w:lang w:eastAsia="zh-CN"/>
              </w:rPr>
              <w:t>、</w:t>
            </w:r>
            <w:r>
              <w:rPr>
                <w:rFonts w:hint="eastAsia"/>
                <w:b/>
                <w:bCs/>
                <w:kern w:val="0"/>
                <w:sz w:val="24"/>
              </w:rPr>
              <w:t>《新乡市202</w:t>
            </w:r>
            <w:r>
              <w:rPr>
                <w:rFonts w:hint="eastAsia"/>
                <w:b/>
                <w:bCs/>
                <w:kern w:val="0"/>
                <w:sz w:val="24"/>
                <w:lang w:val="en-US" w:eastAsia="zh-CN"/>
              </w:rPr>
              <w:t>5</w:t>
            </w:r>
            <w:r>
              <w:rPr>
                <w:rFonts w:hint="eastAsia"/>
                <w:b/>
                <w:bCs/>
                <w:kern w:val="0"/>
                <w:sz w:val="24"/>
              </w:rPr>
              <w:t>年净土保卫战实施方案》</w:t>
            </w:r>
            <w:r>
              <w:rPr>
                <w:rFonts w:hint="eastAsia"/>
                <w:b/>
                <w:bCs/>
                <w:kern w:val="0"/>
                <w:sz w:val="24"/>
                <w:lang w:eastAsia="zh-CN"/>
              </w:rPr>
              <w:t>、</w:t>
            </w:r>
            <w:r>
              <w:rPr>
                <w:rFonts w:hint="eastAsia"/>
                <w:b/>
                <w:bCs/>
                <w:kern w:val="0"/>
                <w:sz w:val="24"/>
                <w:lang w:val="en-US" w:eastAsia="zh-CN"/>
              </w:rPr>
              <w:t>《新乡市2025年碧水保卫战实施方案》、《新乡市2025年柴油货车污染治理攻坚战实施方案》</w:t>
            </w:r>
            <w:r>
              <w:rPr>
                <w:rFonts w:hint="default" w:ascii="Times New Roman" w:hAnsi="Times New Roman" w:cs="Times New Roman"/>
                <w:b/>
                <w:bCs/>
                <w:color w:val="000000" w:themeColor="text1"/>
                <w:sz w:val="24"/>
                <w:lang w:eastAsia="zh-CN"/>
                <w14:textFill>
                  <w14:solidFill>
                    <w14:schemeClr w14:val="tx1"/>
                  </w14:solidFill>
                </w14:textFill>
              </w:rPr>
              <w:t>（新环委办〔</w:t>
            </w:r>
            <w:r>
              <w:rPr>
                <w:rFonts w:hint="eastAsia" w:cs="Times New Roman"/>
                <w:b/>
                <w:bCs/>
                <w:color w:val="000000" w:themeColor="text1"/>
                <w:sz w:val="24"/>
                <w:lang w:val="en-US" w:eastAsia="zh-CN"/>
                <w14:textFill>
                  <w14:solidFill>
                    <w14:schemeClr w14:val="tx1"/>
                  </w14:solidFill>
                </w14:textFill>
              </w:rPr>
              <w:t>2025</w:t>
            </w:r>
            <w:r>
              <w:rPr>
                <w:rFonts w:hint="default" w:ascii="Times New Roman" w:hAnsi="Times New Roman" w:cs="Times New Roman"/>
                <w:b/>
                <w:bCs/>
                <w:color w:val="000000" w:themeColor="text1"/>
                <w:sz w:val="24"/>
                <w:lang w:eastAsia="zh-CN"/>
                <w14:textFill>
                  <w14:solidFill>
                    <w14:schemeClr w14:val="tx1"/>
                  </w14:solidFill>
                </w14:textFill>
              </w:rPr>
              <w:t>〕</w:t>
            </w:r>
            <w:r>
              <w:rPr>
                <w:rFonts w:hint="eastAsia" w:cs="Times New Roman"/>
                <w:b/>
                <w:bCs/>
                <w:color w:val="000000" w:themeColor="text1"/>
                <w:sz w:val="24"/>
                <w:lang w:val="en-US" w:eastAsia="zh-CN"/>
                <w14:textFill>
                  <w14:solidFill>
                    <w14:schemeClr w14:val="tx1"/>
                  </w14:solidFill>
                </w14:textFill>
              </w:rPr>
              <w:t>38</w:t>
            </w:r>
            <w:r>
              <w:rPr>
                <w:rFonts w:hint="default" w:ascii="Times New Roman" w:hAnsi="Times New Roman" w:cs="Times New Roman"/>
                <w:b/>
                <w:bCs/>
                <w:color w:val="000000" w:themeColor="text1"/>
                <w:sz w:val="24"/>
                <w:lang w:eastAsia="zh-CN"/>
                <w14:textFill>
                  <w14:solidFill>
                    <w14:schemeClr w14:val="tx1"/>
                  </w14:solidFill>
                </w14:textFill>
              </w:rPr>
              <w:t>号）</w:t>
            </w:r>
            <w:r>
              <w:rPr>
                <w:rFonts w:hint="eastAsia" w:cs="Times New Roman"/>
                <w:b/>
                <w:bCs/>
                <w:color w:val="000000" w:themeColor="text1"/>
                <w:sz w:val="24"/>
                <w:lang w:val="en-US" w:eastAsia="zh-CN"/>
                <w14:textFill>
                  <w14:solidFill>
                    <w14:schemeClr w14:val="tx1"/>
                  </w14:solidFill>
                </w14:textFill>
              </w:rPr>
              <w:t>文件</w:t>
            </w:r>
            <w:r>
              <w:rPr>
                <w:rFonts w:hint="eastAsia"/>
                <w:b/>
                <w:bCs/>
                <w:kern w:val="0"/>
                <w:sz w:val="24"/>
              </w:rPr>
              <w:t>相符性分析</w:t>
            </w:r>
          </w:p>
          <w:p w14:paraId="6AE195B3">
            <w:pPr>
              <w:keepNext w:val="0"/>
              <w:keepLines w:val="0"/>
              <w:suppressLineNumbers w:val="0"/>
              <w:spacing w:before="0" w:beforeAutospacing="0" w:after="0" w:afterAutospacing="0" w:line="440" w:lineRule="exact"/>
              <w:ind w:left="0" w:right="0"/>
              <w:jc w:val="center"/>
              <w:textAlignment w:val="baseline"/>
              <w:rPr>
                <w:rFonts w:hint="default" w:eastAsia="黑体"/>
                <w:color w:val="000000"/>
                <w:sz w:val="24"/>
                <w:highlight w:val="yellow"/>
              </w:rPr>
            </w:pPr>
            <w:r>
              <w:rPr>
                <w:rFonts w:hint="default" w:ascii="Times New Roman" w:hAnsi="Times New Roman" w:cs="Times New Roman"/>
                <w:b/>
                <w:bCs/>
                <w:color w:val="000000"/>
                <w:sz w:val="24"/>
                <w:highlight w:val="none"/>
              </w:rPr>
              <w:t>表</w:t>
            </w:r>
            <w:r>
              <w:rPr>
                <w:rFonts w:hint="eastAsia" w:cs="Times New Roman"/>
                <w:b/>
                <w:bCs/>
                <w:color w:val="000000"/>
                <w:sz w:val="24"/>
                <w:highlight w:val="none"/>
                <w:lang w:val="en-US" w:eastAsia="zh-CN"/>
              </w:rPr>
              <w:t>8</w:t>
            </w:r>
            <w:r>
              <w:rPr>
                <w:rFonts w:hint="default" w:ascii="Times New Roman" w:hAnsi="Times New Roman" w:cs="Times New Roman"/>
                <w:b/>
                <w:bCs/>
                <w:color w:val="000000"/>
                <w:sz w:val="24"/>
                <w:highlight w:val="none"/>
                <w:lang w:val="en-US" w:eastAsia="zh-CN"/>
              </w:rPr>
              <w:t xml:space="preserve"> </w:t>
            </w:r>
            <w:r>
              <w:rPr>
                <w:rFonts w:hint="eastAsia" w:ascii="宋体" w:hAnsi="宋体"/>
                <w:b/>
                <w:bCs/>
                <w:color w:val="000000"/>
                <w:sz w:val="24"/>
                <w:highlight w:val="none"/>
                <w:lang w:val="en-US" w:eastAsia="zh-CN"/>
              </w:rPr>
              <w:t xml:space="preserve"> </w:t>
            </w:r>
            <w:r>
              <w:rPr>
                <w:rFonts w:hint="eastAsia" w:ascii="宋体" w:hAnsi="宋体"/>
                <w:b/>
                <w:bCs/>
                <w:color w:val="000000"/>
                <w:sz w:val="24"/>
                <w:highlight w:val="none"/>
              </w:rPr>
              <w:t>与新乡市</w:t>
            </w:r>
            <w:r>
              <w:rPr>
                <w:rFonts w:hint="default" w:ascii="Times New Roman" w:hAnsi="Times New Roman" w:cs="Times New Roman"/>
                <w:b/>
                <w:bCs/>
                <w:color w:val="000000"/>
                <w:sz w:val="24"/>
                <w:highlight w:val="none"/>
              </w:rPr>
              <w:t>202</w:t>
            </w:r>
            <w:r>
              <w:rPr>
                <w:rFonts w:hint="eastAsia" w:cs="Times New Roman"/>
                <w:b/>
                <w:bCs/>
                <w:color w:val="000000"/>
                <w:sz w:val="24"/>
                <w:highlight w:val="none"/>
                <w:lang w:val="en-US" w:eastAsia="zh-CN"/>
              </w:rPr>
              <w:t>5</w:t>
            </w:r>
            <w:r>
              <w:rPr>
                <w:rFonts w:hint="default" w:ascii="Times New Roman" w:hAnsi="Times New Roman" w:cs="Times New Roman"/>
                <w:b/>
                <w:bCs/>
                <w:color w:val="000000"/>
                <w:sz w:val="24"/>
                <w:highlight w:val="none"/>
              </w:rPr>
              <w:t>年各项</w:t>
            </w:r>
            <w:r>
              <w:rPr>
                <w:rFonts w:hint="eastAsia" w:ascii="宋体" w:hAnsi="宋体"/>
                <w:b/>
                <w:bCs/>
                <w:color w:val="000000"/>
                <w:sz w:val="24"/>
                <w:highlight w:val="none"/>
              </w:rPr>
              <w:t>保卫战实施方案的相符性分析</w:t>
            </w:r>
          </w:p>
          <w:tbl>
            <w:tblPr>
              <w:tblStyle w:val="23"/>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38"/>
              <w:gridCol w:w="5436"/>
              <w:gridCol w:w="1777"/>
              <w:gridCol w:w="920"/>
            </w:tblGrid>
            <w:tr w14:paraId="07FCC5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tcBorders>
                    <w:top w:val="single" w:color="auto" w:sz="8" w:space="0"/>
                    <w:bottom w:val="single" w:color="auto" w:sz="8" w:space="0"/>
                  </w:tcBorders>
                  <w:noWrap w:val="0"/>
                  <w:vAlign w:val="center"/>
                </w:tcPr>
                <w:p w14:paraId="2B32FF3C">
                  <w:pPr>
                    <w:keepNext w:val="0"/>
                    <w:keepLines w:val="0"/>
                    <w:suppressLineNumbers w:val="0"/>
                    <w:adjustRightInd w:val="0"/>
                    <w:snapToGrid w:val="0"/>
                    <w:spacing w:before="0" w:beforeAutospacing="0" w:after="0" w:afterAutospacing="0"/>
                    <w:ind w:left="0" w:right="0"/>
                    <w:jc w:val="center"/>
                    <w:textAlignment w:val="baseline"/>
                    <w:rPr>
                      <w:rFonts w:hint="eastAsia" w:eastAsia="宋体"/>
                      <w:b/>
                      <w:color w:val="000000"/>
                      <w:sz w:val="21"/>
                      <w:szCs w:val="21"/>
                      <w:highlight w:val="none"/>
                      <w:lang w:eastAsia="zh-CN"/>
                    </w:rPr>
                  </w:pPr>
                  <w:r>
                    <w:rPr>
                      <w:rFonts w:hint="eastAsia"/>
                      <w:b/>
                      <w:color w:val="000000"/>
                      <w:sz w:val="21"/>
                      <w:szCs w:val="21"/>
                      <w:highlight w:val="none"/>
                      <w:lang w:val="en-US" w:eastAsia="zh-CN"/>
                    </w:rPr>
                    <w:t>类别</w:t>
                  </w:r>
                </w:p>
              </w:tc>
              <w:tc>
                <w:tcPr>
                  <w:tcW w:w="5296" w:type="dxa"/>
                  <w:tcBorders>
                    <w:top w:val="single" w:color="auto" w:sz="8" w:space="0"/>
                    <w:bottom w:val="single" w:color="auto" w:sz="8" w:space="0"/>
                  </w:tcBorders>
                  <w:noWrap w:val="0"/>
                  <w:vAlign w:val="center"/>
                </w:tcPr>
                <w:p w14:paraId="40ACEFDE">
                  <w:pPr>
                    <w:keepNext w:val="0"/>
                    <w:keepLines w:val="0"/>
                    <w:suppressLineNumbers w:val="0"/>
                    <w:adjustRightInd w:val="0"/>
                    <w:snapToGrid w:val="0"/>
                    <w:spacing w:before="0" w:beforeAutospacing="0" w:after="0" w:afterAutospacing="0"/>
                    <w:ind w:left="0" w:right="0"/>
                    <w:jc w:val="center"/>
                    <w:textAlignment w:val="baseline"/>
                    <w:rPr>
                      <w:rFonts w:hint="eastAsia" w:eastAsia="宋体"/>
                      <w:b/>
                      <w:color w:val="000000"/>
                      <w:sz w:val="21"/>
                      <w:szCs w:val="21"/>
                      <w:highlight w:val="none"/>
                      <w:lang w:eastAsia="zh-CN"/>
                    </w:rPr>
                  </w:pPr>
                  <w:r>
                    <w:rPr>
                      <w:rFonts w:hint="eastAsia"/>
                      <w:b/>
                      <w:color w:val="000000"/>
                      <w:sz w:val="21"/>
                      <w:szCs w:val="21"/>
                      <w:highlight w:val="none"/>
                      <w:lang w:val="en-US" w:eastAsia="zh-CN"/>
                    </w:rPr>
                    <w:t>文件要求</w:t>
                  </w:r>
                </w:p>
              </w:tc>
              <w:tc>
                <w:tcPr>
                  <w:tcW w:w="1731" w:type="dxa"/>
                  <w:tcBorders>
                    <w:top w:val="single" w:color="auto" w:sz="8" w:space="0"/>
                    <w:bottom w:val="single" w:color="auto" w:sz="8" w:space="0"/>
                  </w:tcBorders>
                  <w:noWrap w:val="0"/>
                  <w:vAlign w:val="center"/>
                </w:tcPr>
                <w:p w14:paraId="55DBD4C5">
                  <w:pPr>
                    <w:keepNext w:val="0"/>
                    <w:keepLines w:val="0"/>
                    <w:suppressLineNumbers w:val="0"/>
                    <w:adjustRightInd w:val="0"/>
                    <w:snapToGrid w:val="0"/>
                    <w:spacing w:before="0" w:beforeAutospacing="0" w:after="0" w:afterAutospacing="0"/>
                    <w:ind w:left="0" w:right="0"/>
                    <w:jc w:val="center"/>
                    <w:textAlignment w:val="baseline"/>
                    <w:rPr>
                      <w:rFonts w:hint="default"/>
                      <w:b/>
                      <w:color w:val="000000"/>
                      <w:sz w:val="21"/>
                      <w:szCs w:val="21"/>
                      <w:highlight w:val="none"/>
                    </w:rPr>
                  </w:pPr>
                  <w:r>
                    <w:rPr>
                      <w:rFonts w:hint="default"/>
                      <w:b/>
                      <w:color w:val="000000"/>
                      <w:sz w:val="21"/>
                      <w:szCs w:val="21"/>
                      <w:highlight w:val="none"/>
                    </w:rPr>
                    <w:t>本项目情况</w:t>
                  </w:r>
                </w:p>
              </w:tc>
              <w:tc>
                <w:tcPr>
                  <w:tcW w:w="896" w:type="dxa"/>
                  <w:tcBorders>
                    <w:top w:val="single" w:color="auto" w:sz="8" w:space="0"/>
                    <w:bottom w:val="single" w:color="auto" w:sz="8" w:space="0"/>
                  </w:tcBorders>
                  <w:noWrap w:val="0"/>
                  <w:vAlign w:val="center"/>
                </w:tcPr>
                <w:p w14:paraId="5E8DB0C6">
                  <w:pPr>
                    <w:keepNext w:val="0"/>
                    <w:keepLines w:val="0"/>
                    <w:suppressLineNumbers w:val="0"/>
                    <w:adjustRightInd w:val="0"/>
                    <w:snapToGrid w:val="0"/>
                    <w:spacing w:before="0" w:beforeAutospacing="0" w:after="0" w:afterAutospacing="0"/>
                    <w:ind w:left="0" w:right="0"/>
                    <w:jc w:val="center"/>
                    <w:textAlignment w:val="baseline"/>
                    <w:rPr>
                      <w:rFonts w:hint="default"/>
                      <w:b/>
                      <w:color w:val="000000"/>
                      <w:sz w:val="21"/>
                      <w:szCs w:val="21"/>
                      <w:highlight w:val="none"/>
                    </w:rPr>
                  </w:pPr>
                  <w:r>
                    <w:rPr>
                      <w:rFonts w:hint="eastAsia"/>
                      <w:b/>
                      <w:color w:val="000000"/>
                      <w:sz w:val="21"/>
                      <w:szCs w:val="21"/>
                      <w:highlight w:val="none"/>
                    </w:rPr>
                    <w:t>相符性</w:t>
                  </w:r>
                </w:p>
              </w:tc>
            </w:tr>
            <w:tr w14:paraId="51B2B2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38" w:type="dxa"/>
                  <w:gridSpan w:val="4"/>
                  <w:tcBorders>
                    <w:top w:val="single" w:color="auto" w:sz="8" w:space="0"/>
                    <w:tl2br w:val="nil"/>
                    <w:tr2bl w:val="nil"/>
                  </w:tcBorders>
                  <w:noWrap w:val="0"/>
                  <w:vAlign w:val="center"/>
                </w:tcPr>
                <w:p w14:paraId="59C2CE0A">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rPr>
                  </w:pPr>
                  <w:r>
                    <w:rPr>
                      <w:rFonts w:hint="eastAsia"/>
                      <w:b/>
                      <w:bCs/>
                      <w:color w:val="auto"/>
                      <w:sz w:val="21"/>
                      <w:szCs w:val="21"/>
                      <w:highlight w:val="none"/>
                      <w:lang w:val="en-US" w:eastAsia="zh-CN"/>
                    </w:rPr>
                    <w:t>《新乡市2025年蓝天保卫战实施方案》</w:t>
                  </w:r>
                </w:p>
              </w:tc>
            </w:tr>
            <w:tr w14:paraId="27382C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tcBorders>
                    <w:tl2br w:val="nil"/>
                    <w:tr2bl w:val="nil"/>
                  </w:tcBorders>
                  <w:noWrap w:val="0"/>
                  <w:vAlign w:val="center"/>
                </w:tcPr>
                <w:p w14:paraId="55FA7598">
                  <w:pPr>
                    <w:keepNext w:val="0"/>
                    <w:keepLines w:val="0"/>
                    <w:suppressLineNumbers w:val="0"/>
                    <w:spacing w:before="0" w:beforeAutospacing="0" w:after="0" w:afterAutospacing="0" w:line="240" w:lineRule="auto"/>
                    <w:ind w:left="0" w:right="0"/>
                    <w:jc w:val="left"/>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1、依法依规淘汰落后产能</w:t>
                  </w:r>
                </w:p>
              </w:tc>
              <w:tc>
                <w:tcPr>
                  <w:tcW w:w="5296" w:type="dxa"/>
                  <w:tcBorders>
                    <w:tl2br w:val="nil"/>
                    <w:tr2bl w:val="nil"/>
                  </w:tcBorders>
                  <w:noWrap w:val="0"/>
                  <w:vAlign w:val="center"/>
                </w:tcPr>
                <w:p w14:paraId="3C3E8ECC">
                  <w:pPr>
                    <w:keepNext w:val="0"/>
                    <w:keepLines w:val="0"/>
                    <w:suppressLineNumbers w:val="0"/>
                    <w:spacing w:before="0" w:beforeAutospacing="0" w:after="0" w:afterAutospacing="0" w:line="240" w:lineRule="auto"/>
                    <w:ind w:left="0" w:right="0"/>
                    <w:jc w:val="left"/>
                    <w:rPr>
                      <w:rFonts w:hint="default" w:ascii="Times New Roman" w:hAnsi="Times New Roman" w:eastAsia="宋体" w:cs="Times New Roman"/>
                      <w:b w:val="0"/>
                      <w:bCs w:val="0"/>
                      <w:color w:val="000000"/>
                      <w:kern w:val="0"/>
                      <w:sz w:val="21"/>
                      <w:szCs w:val="21"/>
                      <w:lang w:val="en-US" w:eastAsia="zh-CN" w:bidi="ar"/>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严格落实《产业结构调整指导目录（2024年本）》《河南省淘汰落后产能综合标准体系（2023年本）》《国家污染防治技术指导目录（2024年，限制类和淘汰类）》要求，加快落后生产工艺装备和过剩产能淘汰退出，列入2025年去产能计划的生产设施9月底前停止排污。按照省环委办要求，全市严禁新改扩建烧结砖瓦项目，加快退出6000万标砖/年以下、城市规划区内的烧结砖及烧结空心砌块生产线，根据2025年4月组织开展烧结砖瓦行业专项整治“回头看”结果，对达不到B级及以上绩效水平的烧结砖瓦企业实施停产整治；持续推动生物质小锅炉关停整合。制定年度落后产能淘汰退出工作方案，2025年5月底前排查建立淘汰退出任务清单；2025年9月底前，淘汰整合现有的</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8</w:t>
                  </w:r>
                  <w:r>
                    <w:rPr>
                      <w:rFonts w:hint="default" w:ascii="Times New Roman" w:hAnsi="Times New Roman" w:eastAsia="宋体" w:cs="Times New Roman"/>
                      <w:color w:val="000000" w:themeColor="text1"/>
                      <w:sz w:val="21"/>
                      <w:szCs w:val="21"/>
                      <w:highlight w:val="none"/>
                      <w14:textFill>
                        <w14:solidFill>
                          <w14:schemeClr w14:val="tx1"/>
                        </w14:solidFill>
                      </w14:textFill>
                    </w:rPr>
                    <w:t>台生物质锅炉（燃烧器）</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p>
              </w:tc>
              <w:tc>
                <w:tcPr>
                  <w:tcW w:w="1731" w:type="dxa"/>
                  <w:tcBorders>
                    <w:tl2br w:val="nil"/>
                    <w:tr2bl w:val="nil"/>
                  </w:tcBorders>
                  <w:noWrap w:val="0"/>
                  <w:vAlign w:val="center"/>
                </w:tcPr>
                <w:p w14:paraId="250C24FC">
                  <w:pPr>
                    <w:keepNext w:val="0"/>
                    <w:keepLines w:val="0"/>
                    <w:suppressLineNumbers w:val="0"/>
                    <w:spacing w:before="0" w:beforeAutospacing="0" w:after="0" w:afterAutospacing="0" w:line="240" w:lineRule="auto"/>
                    <w:ind w:left="0" w:right="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本项目不属于《产业结构调整指导目录（2024年本）》《河南省淘汰落后产能综合标准体系（2023年本）》明确的淘汰类项目</w:t>
                  </w: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项目采用污染防治措施不属于</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《国家污染防治技术指导目录（2024年，限制类和淘汰类）》。</w:t>
                  </w:r>
                </w:p>
              </w:tc>
              <w:tc>
                <w:tcPr>
                  <w:tcW w:w="896" w:type="dxa"/>
                  <w:tcBorders>
                    <w:tl2br w:val="nil"/>
                    <w:tr2bl w:val="nil"/>
                  </w:tcBorders>
                  <w:noWrap w:val="0"/>
                  <w:vAlign w:val="center"/>
                </w:tcPr>
                <w:p w14:paraId="6C36D245">
                  <w:pPr>
                    <w:keepNext w:val="0"/>
                    <w:keepLines w:val="0"/>
                    <w:suppressLineNumbers w:val="0"/>
                    <w:adjustRightInd w:val="0"/>
                    <w:snapToGri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sz w:val="21"/>
                      <w:szCs w:val="21"/>
                      <w:highlight w:val="none"/>
                    </w:rPr>
                  </w:pPr>
                  <w:r>
                    <w:rPr>
                      <w:rFonts w:hint="default" w:ascii="Times New Roman" w:hAnsi="Times New Roman" w:eastAsia="宋体" w:cs="Times New Roman"/>
                      <w:color w:val="000000" w:themeColor="text1"/>
                      <w:sz w:val="21"/>
                      <w:szCs w:val="21"/>
                      <w:highlight w:val="none"/>
                      <w14:textFill>
                        <w14:solidFill>
                          <w14:schemeClr w14:val="tx1"/>
                        </w14:solidFill>
                      </w14:textFill>
                    </w:rPr>
                    <w:t>相符</w:t>
                  </w:r>
                </w:p>
              </w:tc>
            </w:tr>
            <w:tr w14:paraId="0EF50D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tcBorders>
                    <w:tl2br w:val="nil"/>
                    <w:tr2bl w:val="nil"/>
                  </w:tcBorders>
                  <w:noWrap w:val="0"/>
                  <w:vAlign w:val="center"/>
                </w:tcPr>
                <w:p w14:paraId="3CECD98A">
                  <w:pPr>
                    <w:keepNext w:val="0"/>
                    <w:keepLines w:val="0"/>
                    <w:suppressLineNumbers w:val="0"/>
                    <w:adjustRightInd w:val="0"/>
                    <w:snapToGrid w:val="0"/>
                    <w:spacing w:before="0" w:beforeAutospacing="0" w:after="0" w:afterAutospacing="0"/>
                    <w:ind w:left="0" w:leftChars="0" w:right="0" w:rightChars="0"/>
                    <w:jc w:val="both"/>
                    <w:textAlignment w:val="baseline"/>
                    <w:rPr>
                      <w:rFonts w:hint="default"/>
                      <w:bCs/>
                      <w:color w:val="FF0000"/>
                      <w:sz w:val="21"/>
                      <w:szCs w:val="21"/>
                      <w:highlight w:val="none"/>
                      <w:lang w:val="en-US"/>
                    </w:rPr>
                  </w:pPr>
                  <w:r>
                    <w:rPr>
                      <w:rFonts w:hint="eastAsia"/>
                      <w:bCs/>
                      <w:color w:val="auto"/>
                      <w:sz w:val="21"/>
                      <w:szCs w:val="21"/>
                      <w:highlight w:val="none"/>
                      <w:lang w:val="en-US" w:eastAsia="zh-CN"/>
                    </w:rPr>
                    <w:t>2、严管严控“两高”项目</w:t>
                  </w:r>
                </w:p>
              </w:tc>
              <w:tc>
                <w:tcPr>
                  <w:tcW w:w="5296" w:type="dxa"/>
                  <w:tcBorders>
                    <w:tl2br w:val="nil"/>
                    <w:tr2bl w:val="nil"/>
                  </w:tcBorders>
                  <w:noWrap w:val="0"/>
                  <w:vAlign w:val="center"/>
                </w:tcPr>
                <w:p w14:paraId="1CEF96D4">
                  <w:pPr>
                    <w:keepNext w:val="0"/>
                    <w:keepLines w:val="0"/>
                    <w:widowControl/>
                    <w:suppressLineNumbers w:val="0"/>
                    <w:spacing w:before="0" w:beforeAutospacing="0" w:after="0" w:afterAutospacing="0"/>
                    <w:ind w:left="0" w:right="0"/>
                    <w:jc w:val="left"/>
                    <w:rPr>
                      <w:rFonts w:hint="default"/>
                      <w:color w:val="000000"/>
                      <w:sz w:val="21"/>
                      <w:szCs w:val="21"/>
                      <w:highlight w:val="none"/>
                    </w:rPr>
                  </w:pPr>
                  <w:r>
                    <w:rPr>
                      <w:rFonts w:hint="default" w:ascii="Times New Roman" w:hAnsi="Times New Roman" w:eastAsia="宋体" w:cs="Times New Roman"/>
                      <w:b w:val="0"/>
                      <w:bCs w:val="0"/>
                      <w:color w:val="000000"/>
                      <w:kern w:val="0"/>
                      <w:sz w:val="21"/>
                      <w:szCs w:val="21"/>
                      <w:lang w:val="en-US" w:eastAsia="zh-CN" w:bidi="ar"/>
                    </w:rPr>
                    <w:t>严格落实国家和我省“两高”项目相关要求。严格执行有关行业产能置换政策，被置换产能及其配套设施关停后，新建项目方可投产。国家、省绩效分级重点行业以及涉及锅炉炉窑的其他行业，新改扩建项目原则上达到环境绩效A级和国内清洁生产先进水平。</w:t>
                  </w:r>
                </w:p>
              </w:tc>
              <w:tc>
                <w:tcPr>
                  <w:tcW w:w="1731" w:type="dxa"/>
                  <w:tcBorders>
                    <w:tl2br w:val="nil"/>
                    <w:tr2bl w:val="nil"/>
                  </w:tcBorders>
                  <w:noWrap w:val="0"/>
                  <w:vAlign w:val="center"/>
                </w:tcPr>
                <w:p w14:paraId="3A28C179">
                  <w:pPr>
                    <w:keepNext w:val="0"/>
                    <w:keepLines w:val="0"/>
                    <w:suppressLineNumbers w:val="0"/>
                    <w:adjustRightInd w:val="0"/>
                    <w:snapToGrid w:val="0"/>
                    <w:spacing w:before="0" w:beforeAutospacing="0" w:after="0" w:afterAutospacing="0"/>
                    <w:ind w:left="0" w:leftChars="0" w:right="0" w:rightChars="0"/>
                    <w:jc w:val="both"/>
                    <w:rPr>
                      <w:rFonts w:hint="default"/>
                      <w:color w:val="FF0000"/>
                      <w:kern w:val="0"/>
                      <w:sz w:val="21"/>
                      <w:szCs w:val="21"/>
                      <w:highlight w:val="none"/>
                    </w:rPr>
                  </w:pPr>
                  <w:r>
                    <w:rPr>
                      <w:rFonts w:hint="eastAsia"/>
                      <w:color w:val="auto"/>
                      <w:kern w:val="0"/>
                      <w:sz w:val="21"/>
                      <w:szCs w:val="21"/>
                      <w:highlight w:val="none"/>
                      <w:lang w:val="en-US" w:eastAsia="zh-CN"/>
                    </w:rPr>
                    <w:t>本项目不属于“两高”项目，项目属于锂离子电池制造，安装</w:t>
                  </w:r>
                  <w:r>
                    <w:rPr>
                      <w:rFonts w:hint="eastAsia"/>
                      <w:sz w:val="21"/>
                      <w:szCs w:val="21"/>
                    </w:rPr>
                    <w:t>《</w:t>
                  </w:r>
                  <w:r>
                    <w:rPr>
                      <w:rFonts w:hint="eastAsia"/>
                      <w:sz w:val="21"/>
                      <w:szCs w:val="21"/>
                      <w:lang w:val="en-US" w:eastAsia="zh-CN"/>
                    </w:rPr>
                    <w:t>河南省</w:t>
                  </w:r>
                  <w:r>
                    <w:rPr>
                      <w:rFonts w:hint="eastAsia"/>
                      <w:sz w:val="21"/>
                      <w:szCs w:val="21"/>
                    </w:rPr>
                    <w:t>重污染天气重点行业应急减排措施制定技术指南（20</w:t>
                  </w:r>
                  <w:r>
                    <w:rPr>
                      <w:rFonts w:hint="eastAsia"/>
                      <w:sz w:val="21"/>
                      <w:szCs w:val="21"/>
                      <w:lang w:val="en-US" w:eastAsia="zh-CN"/>
                    </w:rPr>
                    <w:t>24</w:t>
                  </w:r>
                  <w:r>
                    <w:rPr>
                      <w:rFonts w:hint="eastAsia"/>
                      <w:sz w:val="21"/>
                      <w:szCs w:val="21"/>
                    </w:rPr>
                    <w:t>年修订版）》中</w:t>
                  </w:r>
                  <w:r>
                    <w:rPr>
                      <w:rFonts w:hint="eastAsia"/>
                      <w:sz w:val="21"/>
                      <w:szCs w:val="21"/>
                      <w:lang w:val="en-US" w:eastAsia="zh-CN"/>
                    </w:rPr>
                    <w:t>电池制造企业</w:t>
                  </w:r>
                  <w:r>
                    <w:rPr>
                      <w:rFonts w:hint="eastAsia"/>
                      <w:sz w:val="21"/>
                      <w:szCs w:val="21"/>
                    </w:rPr>
                    <w:t>A级水平进行建设。</w:t>
                  </w:r>
                </w:p>
              </w:tc>
              <w:tc>
                <w:tcPr>
                  <w:tcW w:w="896" w:type="dxa"/>
                  <w:tcBorders>
                    <w:tl2br w:val="nil"/>
                    <w:tr2bl w:val="nil"/>
                  </w:tcBorders>
                  <w:noWrap w:val="0"/>
                  <w:vAlign w:val="center"/>
                </w:tcPr>
                <w:p w14:paraId="60BE2A0C">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rPr>
                  </w:pPr>
                  <w:r>
                    <w:rPr>
                      <w:rFonts w:hint="eastAsia"/>
                      <w:sz w:val="21"/>
                      <w:szCs w:val="21"/>
                      <w:highlight w:val="none"/>
                    </w:rPr>
                    <w:t>相符</w:t>
                  </w:r>
                </w:p>
              </w:tc>
            </w:tr>
            <w:tr w14:paraId="695FB5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tcBorders>
                    <w:tl2br w:val="nil"/>
                    <w:tr2bl w:val="nil"/>
                  </w:tcBorders>
                  <w:noWrap w:val="0"/>
                  <w:vAlign w:val="center"/>
                </w:tcPr>
                <w:p w14:paraId="692012D7">
                  <w:pPr>
                    <w:keepNext w:val="0"/>
                    <w:keepLines w:val="0"/>
                    <w:suppressLineNumbers w:val="0"/>
                    <w:adjustRightInd w:val="0"/>
                    <w:snapToGrid w:val="0"/>
                    <w:spacing w:before="0" w:beforeAutospacing="0" w:after="0" w:afterAutospacing="0"/>
                    <w:ind w:left="0" w:leftChars="0" w:right="0" w:rightChars="0"/>
                    <w:jc w:val="both"/>
                    <w:textAlignment w:val="baseline"/>
                    <w:rPr>
                      <w:rFonts w:hint="default"/>
                      <w:bCs/>
                      <w:color w:val="auto"/>
                      <w:sz w:val="21"/>
                      <w:szCs w:val="21"/>
                      <w:highlight w:val="none"/>
                      <w:lang w:val="en-US" w:eastAsia="zh-CN"/>
                    </w:rPr>
                  </w:pPr>
                  <w:r>
                    <w:rPr>
                      <w:rFonts w:hint="eastAsia"/>
                      <w:bCs/>
                      <w:color w:val="auto"/>
                      <w:sz w:val="21"/>
                      <w:szCs w:val="21"/>
                      <w:highlight w:val="none"/>
                      <w:lang w:val="en-US" w:eastAsia="zh-CN"/>
                    </w:rPr>
                    <w:t>9.实施挥发性有机物综合治理</w:t>
                  </w:r>
                </w:p>
              </w:tc>
              <w:tc>
                <w:tcPr>
                  <w:tcW w:w="5296" w:type="dxa"/>
                  <w:tcBorders>
                    <w:tl2br w:val="nil"/>
                    <w:tr2bl w:val="nil"/>
                  </w:tcBorders>
                  <w:noWrap w:val="0"/>
                  <w:vAlign w:val="center"/>
                </w:tcPr>
                <w:p w14:paraId="35229543">
                  <w:pPr>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实施涉 VOCs 重点企业“夏病冬治”，2025 年 5 月 15 日前完成对全市 2000 余家工业涂装、包装印刷、医药化工等行业企业的帮扶指导，加强全流程综合治理，减少 VOCs 排放。重点开展挥发性有机液体储罐、装卸、敞开液面、泄漏检测与修复（LDAR）、废气收集、废气旁路、治理设施、加油站、非正常工况、产品 VOCs 含量等 10 个关键环节的 VOCs 治理突出问题排查整治，在汽车、机械制造、家具、汽修、塑料软包装、印铁制罐、包装印刷领等域深入推广使用低（无）VOCs 含量涂料和油墨。2025 年 5 月 10 日前，开展一轮次活性炭更换和泄漏检测与修复，完成 26 家企业泄漏检测与修复，11 个 VOCs 综合治理任务。</w:t>
                  </w:r>
                </w:p>
              </w:tc>
              <w:tc>
                <w:tcPr>
                  <w:tcW w:w="1731" w:type="dxa"/>
                  <w:tcBorders>
                    <w:tl2br w:val="nil"/>
                    <w:tr2bl w:val="nil"/>
                  </w:tcBorders>
                  <w:noWrap w:val="0"/>
                  <w:vAlign w:val="center"/>
                </w:tcPr>
                <w:p w14:paraId="05E8446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color w:val="auto"/>
                      <w:kern w:val="0"/>
                      <w:sz w:val="21"/>
                      <w:szCs w:val="21"/>
                      <w:highlight w:val="none"/>
                      <w:lang w:val="en-US" w:eastAsia="zh-CN"/>
                    </w:rPr>
                  </w:pPr>
                  <w:r>
                    <w:rPr>
                      <w:rFonts w:hint="default" w:ascii="Times New Roman" w:hAnsi="Times New Roman" w:cs="Times New Roman"/>
                      <w:color w:val="000000" w:themeColor="text1"/>
                      <w:sz w:val="21"/>
                      <w:szCs w:val="21"/>
                      <w:lang w:val="en-US" w:eastAsia="zh-CN"/>
                      <w14:textFill>
                        <w14:solidFill>
                          <w14:schemeClr w14:val="tx1"/>
                        </w14:solidFill>
                      </w14:textFill>
                    </w:rPr>
                    <w:t>本项目</w:t>
                  </w:r>
                  <w:r>
                    <w:rPr>
                      <w:rFonts w:hint="eastAsia" w:cs="Times New Roman"/>
                      <w:color w:val="000000" w:themeColor="text1"/>
                      <w:sz w:val="21"/>
                      <w:szCs w:val="21"/>
                      <w:lang w:val="en-US" w:eastAsia="zh-CN"/>
                      <w14:textFill>
                        <w14:solidFill>
                          <w14:schemeClr w14:val="tx1"/>
                        </w14:solidFill>
                      </w14:textFill>
                    </w:rPr>
                    <w:t>不涉及VOCs排放</w:t>
                  </w:r>
                  <w:r>
                    <w:rPr>
                      <w:rFonts w:hint="default" w:ascii="Times New Roman" w:hAnsi="Times New Roman" w:eastAsia="宋体" w:cs="Times New Roman"/>
                      <w:sz w:val="21"/>
                      <w:szCs w:val="21"/>
                      <w:lang w:val="en-US" w:eastAsia="zh-CN"/>
                    </w:rPr>
                    <w:t>。</w:t>
                  </w:r>
                </w:p>
              </w:tc>
              <w:tc>
                <w:tcPr>
                  <w:tcW w:w="896" w:type="dxa"/>
                  <w:tcBorders>
                    <w:tl2br w:val="nil"/>
                    <w:tr2bl w:val="nil"/>
                  </w:tcBorders>
                  <w:noWrap w:val="0"/>
                  <w:vAlign w:val="center"/>
                </w:tcPr>
                <w:p w14:paraId="1EBCFAA2">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eastAsia="宋体"/>
                      <w:sz w:val="21"/>
                      <w:szCs w:val="21"/>
                      <w:highlight w:val="none"/>
                      <w:lang w:val="en-US" w:eastAsia="zh-CN"/>
                    </w:rPr>
                  </w:pPr>
                  <w:r>
                    <w:rPr>
                      <w:rFonts w:hint="eastAsia"/>
                      <w:sz w:val="21"/>
                      <w:szCs w:val="21"/>
                      <w:highlight w:val="none"/>
                      <w:lang w:val="en-US" w:eastAsia="zh-CN"/>
                    </w:rPr>
                    <w:t>相符</w:t>
                  </w:r>
                </w:p>
              </w:tc>
            </w:tr>
            <w:tr w14:paraId="75D966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38" w:type="dxa"/>
                  <w:gridSpan w:val="4"/>
                  <w:tcBorders>
                    <w:tl2br w:val="nil"/>
                    <w:tr2bl w:val="nil"/>
                  </w:tcBorders>
                  <w:noWrap w:val="0"/>
                  <w:vAlign w:val="center"/>
                </w:tcPr>
                <w:p w14:paraId="76DDEDA5">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yellow"/>
                    </w:rPr>
                  </w:pPr>
                  <w:r>
                    <w:rPr>
                      <w:rFonts w:hint="default" w:ascii="Times New Roman" w:hAnsi="Times New Roman" w:eastAsia="宋体" w:cs="Times New Roman"/>
                      <w:b/>
                      <w:bCs/>
                      <w:color w:val="000000"/>
                      <w:kern w:val="0"/>
                      <w:sz w:val="21"/>
                      <w:szCs w:val="21"/>
                      <w:highlight w:val="none"/>
                      <w:lang w:val="en-US" w:eastAsia="zh-CN" w:bidi="ar"/>
                    </w:rPr>
                    <w:t>《新乡市202</w:t>
                  </w:r>
                  <w:r>
                    <w:rPr>
                      <w:rFonts w:hint="eastAsia" w:cs="Times New Roman"/>
                      <w:b/>
                      <w:bCs/>
                      <w:color w:val="000000"/>
                      <w:kern w:val="0"/>
                      <w:sz w:val="21"/>
                      <w:szCs w:val="21"/>
                      <w:highlight w:val="none"/>
                      <w:lang w:val="en-US" w:eastAsia="zh-CN" w:bidi="ar"/>
                    </w:rPr>
                    <w:t>5</w:t>
                  </w:r>
                  <w:r>
                    <w:rPr>
                      <w:rFonts w:hint="default" w:ascii="Times New Roman" w:hAnsi="Times New Roman" w:eastAsia="宋体" w:cs="Times New Roman"/>
                      <w:b/>
                      <w:bCs/>
                      <w:color w:val="000000"/>
                      <w:kern w:val="0"/>
                      <w:sz w:val="21"/>
                      <w:szCs w:val="21"/>
                      <w:highlight w:val="none"/>
                      <w:lang w:val="en-US" w:eastAsia="zh-CN" w:bidi="ar"/>
                    </w:rPr>
                    <w:t>年净土保卫战实施方案》</w:t>
                  </w:r>
                </w:p>
              </w:tc>
            </w:tr>
            <w:tr w14:paraId="1FE29B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tcBorders>
                    <w:tl2br w:val="nil"/>
                    <w:tr2bl w:val="nil"/>
                  </w:tcBorders>
                  <w:noWrap w:val="0"/>
                  <w:vAlign w:val="center"/>
                </w:tcPr>
                <w:p w14:paraId="37849D1C">
                  <w:pPr>
                    <w:keepNext w:val="0"/>
                    <w:keepLines w:val="0"/>
                    <w:suppressLineNumbers w:val="0"/>
                    <w:adjustRightInd w:val="0"/>
                    <w:snapToGrid w:val="0"/>
                    <w:spacing w:before="0" w:beforeAutospacing="0" w:after="0" w:afterAutospacing="0" w:line="240" w:lineRule="auto"/>
                    <w:ind w:left="0" w:leftChars="0" w:right="0" w:rightChars="0"/>
                    <w:jc w:val="left"/>
                    <w:textAlignment w:val="baseline"/>
                    <w:rPr>
                      <w:rFonts w:hint="default"/>
                      <w:bCs/>
                      <w:color w:val="FF0000"/>
                      <w:sz w:val="21"/>
                      <w:szCs w:val="21"/>
                      <w:highlight w:val="none"/>
                    </w:rPr>
                  </w:pPr>
                  <w:r>
                    <w:rPr>
                      <w:rFonts w:hint="default"/>
                      <w:bCs/>
                      <w:color w:val="auto"/>
                      <w:sz w:val="21"/>
                      <w:szCs w:val="21"/>
                      <w:highlight w:val="none"/>
                      <w:lang w:val="en-US" w:eastAsia="zh-CN"/>
                    </w:rPr>
                    <w:t>3.开展优先监管地块风险管控</w:t>
                  </w:r>
                </w:p>
              </w:tc>
              <w:tc>
                <w:tcPr>
                  <w:tcW w:w="5296" w:type="dxa"/>
                  <w:tcBorders>
                    <w:tl2br w:val="nil"/>
                    <w:tr2bl w:val="nil"/>
                  </w:tcBorders>
                  <w:noWrap w:val="0"/>
                  <w:vAlign w:val="center"/>
                </w:tcPr>
                <w:p w14:paraId="5E439C0A">
                  <w:pPr>
                    <w:keepNext w:val="0"/>
                    <w:keepLines w:val="0"/>
                    <w:suppressLineNumbers w:val="0"/>
                    <w:autoSpaceDE w:val="0"/>
                    <w:autoSpaceDN w:val="0"/>
                    <w:adjustRightInd w:val="0"/>
                    <w:spacing w:before="0" w:beforeAutospacing="0" w:after="0" w:afterAutospacing="0" w:line="240" w:lineRule="auto"/>
                    <w:ind w:left="0" w:leftChars="0" w:right="0" w:rightChars="0"/>
                    <w:jc w:val="left"/>
                    <w:rPr>
                      <w:rFonts w:hint="default"/>
                      <w:color w:val="000000"/>
                      <w:sz w:val="21"/>
                      <w:szCs w:val="21"/>
                      <w:highlight w:val="none"/>
                    </w:rPr>
                  </w:pPr>
                  <w:r>
                    <w:rPr>
                      <w:rFonts w:hint="default"/>
                      <w:color w:val="000000"/>
                      <w:sz w:val="21"/>
                      <w:szCs w:val="21"/>
                      <w:highlight w:val="none"/>
                      <w:lang w:val="en-US" w:eastAsia="zh-CN"/>
                    </w:rPr>
                    <w:t>动态更新全市优先监管地块清单，2025年10月底前全市优先监管地块的重点监测、制度控制、环境监测、工程控制等管控措施基本完成。针对周边存在饮用水源、居民区等敏感受体的高风险地块，建立重点管控清单；结合实际情况，清理地块内残留污染物，阻断污染扩散途径，逐步消除对敏感受体的影响。有序推动暂不开发利用地块土壤污染管控，县级制定污染地块风险管控年度计划，落实风险管控措施，组织开展环境监测。</w:t>
                  </w:r>
                </w:p>
              </w:tc>
              <w:tc>
                <w:tcPr>
                  <w:tcW w:w="1731" w:type="dxa"/>
                  <w:tcBorders>
                    <w:tl2br w:val="nil"/>
                    <w:tr2bl w:val="nil"/>
                  </w:tcBorders>
                  <w:noWrap w:val="0"/>
                  <w:vAlign w:val="center"/>
                </w:tcPr>
                <w:p w14:paraId="6C06E50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firstLine="0" w:firstLineChars="0"/>
                    <w:jc w:val="left"/>
                    <w:rPr>
                      <w:rFonts w:hint="default" w:eastAsia="宋体"/>
                      <w:color w:val="FF0000"/>
                      <w:kern w:val="0"/>
                      <w:sz w:val="21"/>
                      <w:szCs w:val="21"/>
                      <w:highlight w:val="yellow"/>
                      <w:lang w:val="en-US" w:eastAsia="zh-CN"/>
                    </w:rPr>
                  </w:pPr>
                  <w:r>
                    <w:rPr>
                      <w:rFonts w:hint="eastAsia"/>
                      <w:b w:val="0"/>
                      <w:bCs w:val="0"/>
                      <w:color w:val="auto"/>
                      <w:kern w:val="0"/>
                      <w:sz w:val="21"/>
                      <w:szCs w:val="21"/>
                      <w:highlight w:val="none"/>
                      <w:u w:val="none"/>
                      <w:lang w:val="en-US" w:eastAsia="zh-CN"/>
                    </w:rPr>
                    <w:t>本项目所在地不属于优先监管地块</w:t>
                  </w:r>
                  <w:r>
                    <w:rPr>
                      <w:rFonts w:hint="eastAsia"/>
                      <w:b w:val="0"/>
                      <w:bCs w:val="0"/>
                      <w:color w:val="auto"/>
                      <w:kern w:val="0"/>
                      <w:sz w:val="21"/>
                      <w:szCs w:val="21"/>
                      <w:highlight w:val="none"/>
                      <w:u w:val="none"/>
                      <w:lang w:eastAsia="zh-CN"/>
                    </w:rPr>
                    <w:t>。</w:t>
                  </w:r>
                </w:p>
              </w:tc>
              <w:tc>
                <w:tcPr>
                  <w:tcW w:w="896" w:type="dxa"/>
                  <w:tcBorders>
                    <w:tl2br w:val="nil"/>
                    <w:tr2bl w:val="nil"/>
                  </w:tcBorders>
                  <w:noWrap w:val="0"/>
                  <w:vAlign w:val="center"/>
                </w:tcPr>
                <w:p w14:paraId="538B32CD">
                  <w:pPr>
                    <w:keepNext w:val="0"/>
                    <w:keepLines w:val="0"/>
                    <w:suppressLineNumbers w:val="0"/>
                    <w:adjustRightInd w:val="0"/>
                    <w:snapToGrid w:val="0"/>
                    <w:spacing w:before="0" w:beforeAutospacing="0" w:after="0" w:afterAutospacing="0" w:line="240" w:lineRule="auto"/>
                    <w:ind w:left="0" w:leftChars="0" w:right="0" w:rightChars="0"/>
                    <w:jc w:val="center"/>
                    <w:textAlignment w:val="baseline"/>
                    <w:rPr>
                      <w:rFonts w:hint="default"/>
                      <w:sz w:val="21"/>
                      <w:szCs w:val="21"/>
                      <w:highlight w:val="none"/>
                    </w:rPr>
                  </w:pPr>
                  <w:r>
                    <w:rPr>
                      <w:rFonts w:hint="eastAsia"/>
                      <w:color w:val="000000" w:themeColor="text1"/>
                      <w:sz w:val="21"/>
                      <w:szCs w:val="21"/>
                      <w:highlight w:val="none"/>
                      <w14:textFill>
                        <w14:solidFill>
                          <w14:schemeClr w14:val="tx1"/>
                        </w14:solidFill>
                      </w14:textFill>
                    </w:rPr>
                    <w:t>相符</w:t>
                  </w:r>
                </w:p>
              </w:tc>
            </w:tr>
            <w:tr w14:paraId="4F37606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38" w:type="dxa"/>
                  <w:gridSpan w:val="4"/>
                  <w:tcBorders>
                    <w:tl2br w:val="nil"/>
                    <w:tr2bl w:val="nil"/>
                  </w:tcBorders>
                  <w:noWrap w:val="0"/>
                  <w:vAlign w:val="center"/>
                </w:tcPr>
                <w:p w14:paraId="30505B72">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sz w:val="21"/>
                      <w:szCs w:val="21"/>
                      <w:highlight w:val="none"/>
                    </w:rPr>
                  </w:pPr>
                  <w:r>
                    <w:rPr>
                      <w:rFonts w:hint="default" w:ascii="Times New Roman" w:hAnsi="Times New Roman" w:eastAsia="宋体" w:cs="Times New Roman"/>
                      <w:b/>
                      <w:bCs/>
                      <w:color w:val="000000"/>
                      <w:kern w:val="0"/>
                      <w:sz w:val="21"/>
                      <w:szCs w:val="21"/>
                      <w:highlight w:val="none"/>
                      <w:lang w:val="en-US" w:eastAsia="zh-CN" w:bidi="ar"/>
                    </w:rPr>
                    <w:t>《新乡市202</w:t>
                  </w:r>
                  <w:r>
                    <w:rPr>
                      <w:rFonts w:hint="eastAsia" w:cs="Times New Roman"/>
                      <w:b/>
                      <w:bCs/>
                      <w:color w:val="000000"/>
                      <w:kern w:val="0"/>
                      <w:sz w:val="21"/>
                      <w:szCs w:val="21"/>
                      <w:highlight w:val="none"/>
                      <w:lang w:val="en-US" w:eastAsia="zh-CN" w:bidi="ar"/>
                    </w:rPr>
                    <w:t>5</w:t>
                  </w:r>
                  <w:r>
                    <w:rPr>
                      <w:rFonts w:hint="default" w:ascii="Times New Roman" w:hAnsi="Times New Roman" w:eastAsia="宋体" w:cs="Times New Roman"/>
                      <w:b/>
                      <w:bCs/>
                      <w:color w:val="000000"/>
                      <w:kern w:val="0"/>
                      <w:sz w:val="21"/>
                      <w:szCs w:val="21"/>
                      <w:highlight w:val="none"/>
                      <w:lang w:val="en-US" w:eastAsia="zh-CN" w:bidi="ar"/>
                    </w:rPr>
                    <w:t>年</w:t>
                  </w:r>
                  <w:r>
                    <w:rPr>
                      <w:rFonts w:hint="eastAsia" w:ascii="Times New Roman" w:hAnsi="Times New Roman" w:eastAsia="宋体" w:cs="Times New Roman"/>
                      <w:b/>
                      <w:bCs/>
                      <w:color w:val="000000"/>
                      <w:kern w:val="0"/>
                      <w:sz w:val="21"/>
                      <w:szCs w:val="21"/>
                      <w:highlight w:val="none"/>
                      <w:lang w:val="en-US" w:eastAsia="zh-CN" w:bidi="ar"/>
                    </w:rPr>
                    <w:t>碧水</w:t>
                  </w:r>
                  <w:r>
                    <w:rPr>
                      <w:rFonts w:hint="default" w:ascii="Times New Roman" w:hAnsi="Times New Roman" w:eastAsia="宋体" w:cs="Times New Roman"/>
                      <w:b/>
                      <w:bCs/>
                      <w:color w:val="000000"/>
                      <w:kern w:val="0"/>
                      <w:sz w:val="21"/>
                      <w:szCs w:val="21"/>
                      <w:highlight w:val="none"/>
                      <w:lang w:val="en-US" w:eastAsia="zh-CN" w:bidi="ar"/>
                    </w:rPr>
                    <w:t>保卫战实施方案》</w:t>
                  </w:r>
                </w:p>
              </w:tc>
            </w:tr>
            <w:tr w14:paraId="36D647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noWrap w:val="0"/>
                  <w:vAlign w:val="center"/>
                </w:tcPr>
                <w:p w14:paraId="471E9EB2">
                  <w:pPr>
                    <w:keepNext w:val="0"/>
                    <w:keepLines w:val="0"/>
                    <w:suppressLineNumbers w:val="0"/>
                    <w:adjustRightInd w:val="0"/>
                    <w:snapToGrid w:val="0"/>
                    <w:spacing w:before="0" w:beforeAutospacing="0" w:after="0" w:afterAutospacing="0"/>
                    <w:ind w:left="0" w:leftChars="0" w:right="0" w:rightChars="0"/>
                    <w:jc w:val="both"/>
                    <w:textAlignment w:val="baseline"/>
                    <w:rPr>
                      <w:rFonts w:hint="default"/>
                      <w:bCs/>
                      <w:color w:val="auto"/>
                      <w:sz w:val="21"/>
                      <w:szCs w:val="21"/>
                      <w:highlight w:val="none"/>
                      <w:lang w:val="en-US" w:eastAsia="zh-CN"/>
                    </w:rPr>
                  </w:pPr>
                  <w:r>
                    <w:rPr>
                      <w:rFonts w:hint="eastAsia"/>
                      <w:bCs/>
                      <w:color w:val="auto"/>
                      <w:sz w:val="21"/>
                      <w:szCs w:val="21"/>
                      <w:highlight w:val="none"/>
                      <w:lang w:val="en-US" w:eastAsia="zh-CN"/>
                    </w:rPr>
                    <w:t>13、推动企业绿色转型发展</w:t>
                  </w:r>
                </w:p>
              </w:tc>
              <w:tc>
                <w:tcPr>
                  <w:tcW w:w="5296" w:type="dxa"/>
                  <w:noWrap w:val="0"/>
                  <w:vAlign w:val="center"/>
                </w:tcPr>
                <w:p w14:paraId="2078374F">
                  <w:pPr>
                    <w:keepNext w:val="0"/>
                    <w:keepLines w:val="0"/>
                    <w:widowControl/>
                    <w:suppressLineNumbers w:val="0"/>
                    <w:spacing w:before="0" w:beforeAutospacing="0" w:after="0" w:afterAutospacing="0"/>
                    <w:ind w:left="0" w:leftChars="0" w:right="0" w:rightChars="0"/>
                    <w:jc w:val="both"/>
                    <w:rPr>
                      <w:rFonts w:hint="default"/>
                      <w:color w:val="auto"/>
                      <w:sz w:val="21"/>
                      <w:szCs w:val="21"/>
                      <w:highlight w:val="none"/>
                      <w:lang w:val="en-US" w:eastAsia="zh-CN"/>
                    </w:rPr>
                  </w:pPr>
                  <w:r>
                    <w:rPr>
                      <w:rFonts w:hint="default" w:ascii="Times New Roman" w:hAnsi="Times New Roman" w:eastAsia="宋体" w:cs="Times New Roman"/>
                      <w:color w:val="000000"/>
                      <w:kern w:val="0"/>
                      <w:sz w:val="21"/>
                      <w:szCs w:val="21"/>
                      <w:lang w:val="en-US" w:eastAsia="zh-CN" w:bidi="ar"/>
                    </w:rPr>
                    <w:t>坚决遏制“两高一低”项目盲目发展，严把新建项目准入关；严格落实生态环境分区管控，加快推进工业企业绿色转型发展；培育壮大节能、节水、环保和资源综合利用产业，提高能源资源利用效率；对有色金属、化工、电镀、制革、造纸、印染、农副食品加工等行业，全面推进清洁生产改造或清洁化改造。2025年全面实施27家重点行业企业强制性清洁生产审核。</w:t>
                  </w:r>
                </w:p>
              </w:tc>
              <w:tc>
                <w:tcPr>
                  <w:tcW w:w="1731" w:type="dxa"/>
                  <w:noWrap w:val="0"/>
                  <w:vAlign w:val="center"/>
                </w:tcPr>
                <w:p w14:paraId="0A3CC2CC">
                  <w:pPr>
                    <w:keepNext w:val="0"/>
                    <w:keepLines w:val="0"/>
                    <w:suppressLineNumbers w:val="0"/>
                    <w:adjustRightInd w:val="0"/>
                    <w:snapToGrid w:val="0"/>
                    <w:spacing w:before="0" w:beforeAutospacing="0" w:after="0" w:afterAutospacing="0"/>
                    <w:ind w:left="0" w:leftChars="0" w:right="0" w:rightChars="0"/>
                    <w:jc w:val="both"/>
                    <w:rPr>
                      <w:rFonts w:hint="default"/>
                      <w:color w:val="auto"/>
                      <w:kern w:val="0"/>
                      <w:sz w:val="21"/>
                      <w:szCs w:val="21"/>
                      <w:highlight w:val="none"/>
                      <w:lang w:val="en-US"/>
                    </w:rPr>
                  </w:pPr>
                  <w:r>
                    <w:rPr>
                      <w:rFonts w:hint="eastAsia"/>
                      <w:sz w:val="21"/>
                      <w:szCs w:val="21"/>
                      <w:highlight w:val="none"/>
                      <w:lang w:val="en-US" w:eastAsia="zh-CN"/>
                    </w:rPr>
                    <w:t>本项目不属于高耗水项目。</w:t>
                  </w:r>
                </w:p>
              </w:tc>
              <w:tc>
                <w:tcPr>
                  <w:tcW w:w="896" w:type="dxa"/>
                  <w:noWrap w:val="0"/>
                  <w:vAlign w:val="center"/>
                </w:tcPr>
                <w:p w14:paraId="3BD8ACD0">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sz w:val="21"/>
                      <w:szCs w:val="21"/>
                      <w:highlight w:val="none"/>
                    </w:rPr>
                  </w:pPr>
                  <w:r>
                    <w:rPr>
                      <w:rFonts w:hint="eastAsia" w:eastAsiaTheme="minorEastAsia"/>
                      <w:sz w:val="21"/>
                      <w:szCs w:val="21"/>
                      <w:lang w:eastAsia="zh-CN"/>
                    </w:rPr>
                    <w:t>相符</w:t>
                  </w:r>
                </w:p>
              </w:tc>
            </w:tr>
            <w:tr w14:paraId="5116FF6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38" w:type="dxa"/>
                  <w:gridSpan w:val="4"/>
                  <w:noWrap w:val="0"/>
                  <w:vAlign w:val="center"/>
                </w:tcPr>
                <w:p w14:paraId="6D6661F6">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eastAsiaTheme="minorEastAsia"/>
                      <w:sz w:val="21"/>
                      <w:szCs w:val="21"/>
                      <w:lang w:eastAsia="zh-CN"/>
                    </w:rPr>
                  </w:pPr>
                  <w:r>
                    <w:rPr>
                      <w:rFonts w:hint="default" w:ascii="Times New Roman" w:hAnsi="Times New Roman" w:eastAsia="宋体" w:cs="Times New Roman"/>
                      <w:b/>
                      <w:bCs/>
                      <w:color w:val="000000"/>
                      <w:kern w:val="0"/>
                      <w:sz w:val="21"/>
                      <w:szCs w:val="21"/>
                      <w:highlight w:val="none"/>
                      <w:lang w:val="en-US" w:eastAsia="zh-CN" w:bidi="ar"/>
                    </w:rPr>
                    <w:t>《</w:t>
                  </w:r>
                  <w:r>
                    <w:rPr>
                      <w:rFonts w:hint="eastAsia" w:ascii="Times New Roman" w:hAnsi="Times New Roman" w:eastAsia="宋体" w:cs="Times New Roman"/>
                      <w:b/>
                      <w:bCs/>
                      <w:color w:val="000000"/>
                      <w:kern w:val="0"/>
                      <w:sz w:val="21"/>
                      <w:szCs w:val="21"/>
                      <w:highlight w:val="none"/>
                      <w:lang w:val="en-US" w:eastAsia="zh-CN" w:bidi="ar"/>
                    </w:rPr>
                    <w:t>新</w:t>
                  </w:r>
                  <w:r>
                    <w:rPr>
                      <w:rFonts w:hint="default" w:ascii="Times New Roman" w:hAnsi="Times New Roman" w:eastAsia="宋体" w:cs="Times New Roman"/>
                      <w:b/>
                      <w:bCs/>
                      <w:color w:val="000000"/>
                      <w:kern w:val="0"/>
                      <w:sz w:val="21"/>
                      <w:szCs w:val="21"/>
                      <w:highlight w:val="none"/>
                      <w:lang w:val="en-US" w:eastAsia="zh-CN" w:bidi="ar"/>
                    </w:rPr>
                    <w:t>乡市2025年柴油货车污染治理攻坚战实施方案》</w:t>
                  </w:r>
                  <w:r>
                    <w:rPr>
                      <w:rFonts w:hint="eastAsia"/>
                      <w:b/>
                      <w:bCs/>
                      <w:color w:val="auto"/>
                      <w:sz w:val="21"/>
                      <w:szCs w:val="21"/>
                      <w:highlight w:val="none"/>
                      <w:lang w:val="en-US" w:eastAsia="zh-CN"/>
                    </w:rPr>
                    <w:t>新环委办〔2025〕38号</w:t>
                  </w:r>
                </w:p>
              </w:tc>
            </w:tr>
            <w:tr w14:paraId="3D3428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tcBorders>
                    <w:bottom w:val="single" w:color="auto" w:sz="8" w:space="0"/>
                  </w:tcBorders>
                  <w:noWrap w:val="0"/>
                  <w:vAlign w:val="center"/>
                </w:tcPr>
                <w:p w14:paraId="56E43F85">
                  <w:pPr>
                    <w:keepNext w:val="0"/>
                    <w:keepLines w:val="0"/>
                    <w:suppressLineNumbers w:val="0"/>
                    <w:adjustRightInd w:val="0"/>
                    <w:snapToGrid w:val="0"/>
                    <w:spacing w:before="0" w:beforeAutospacing="0" w:after="0" w:afterAutospacing="0" w:line="240" w:lineRule="auto"/>
                    <w:ind w:left="0" w:leftChars="0" w:right="0" w:rightChars="0"/>
                    <w:jc w:val="left"/>
                    <w:textAlignment w:val="baseline"/>
                    <w:rPr>
                      <w:rFonts w:hint="eastAsia"/>
                      <w:bCs/>
                      <w:color w:val="auto"/>
                      <w:sz w:val="21"/>
                      <w:szCs w:val="21"/>
                      <w:highlight w:val="none"/>
                      <w:lang w:val="en-US" w:eastAsia="zh-CN"/>
                    </w:rPr>
                  </w:pPr>
                  <w:r>
                    <w:rPr>
                      <w:rFonts w:hint="eastAsia"/>
                      <w:bCs/>
                      <w:color w:val="auto"/>
                      <w:sz w:val="21"/>
                      <w:szCs w:val="21"/>
                      <w:highlight w:val="none"/>
                      <w:lang w:val="en-US" w:eastAsia="zh-CN"/>
                    </w:rPr>
                    <w:t>20.严格落实重污染天气移动源管控</w:t>
                  </w:r>
                </w:p>
              </w:tc>
              <w:tc>
                <w:tcPr>
                  <w:tcW w:w="5296" w:type="dxa"/>
                  <w:tcBorders>
                    <w:bottom w:val="single" w:color="auto" w:sz="8" w:space="0"/>
                  </w:tcBorders>
                  <w:noWrap w:val="0"/>
                  <w:vAlign w:val="center"/>
                </w:tcPr>
                <w:p w14:paraId="7274D7A8">
                  <w:pPr>
                    <w:keepNext w:val="0"/>
                    <w:keepLines w:val="0"/>
                    <w:suppressLineNumbers w:val="0"/>
                    <w:autoSpaceDE w:val="0"/>
                    <w:autoSpaceDN w:val="0"/>
                    <w:adjustRightInd w:val="0"/>
                    <w:spacing w:before="0" w:beforeAutospacing="0" w:after="0" w:afterAutospacing="0" w:line="240" w:lineRule="auto"/>
                    <w:ind w:left="0" w:leftChars="0" w:right="0" w:rightChars="0"/>
                    <w:jc w:val="left"/>
                    <w:rPr>
                      <w:rFonts w:hint="default" w:ascii="Times New Roman" w:hAnsi="Times New Roman" w:eastAsia="宋体" w:cs="Times New Roman"/>
                      <w:color w:val="000000"/>
                      <w:kern w:val="0"/>
                      <w:sz w:val="21"/>
                      <w:szCs w:val="21"/>
                      <w:lang w:val="en-US" w:eastAsia="zh-CN" w:bidi="ar"/>
                    </w:rPr>
                  </w:pPr>
                  <w:r>
                    <w:rPr>
                      <w:rFonts w:hint="eastAsia"/>
                      <w:color w:val="000000"/>
                      <w:sz w:val="21"/>
                      <w:szCs w:val="21"/>
                      <w:highlight w:val="none"/>
                      <w:lang w:val="en-US" w:eastAsia="zh-CN"/>
                    </w:rPr>
                    <w:t>2</w:t>
                  </w:r>
                  <w:r>
                    <w:rPr>
                      <w:rFonts w:hint="default"/>
                      <w:color w:val="000000"/>
                      <w:sz w:val="21"/>
                      <w:szCs w:val="21"/>
                      <w:highlight w:val="none"/>
                      <w:lang w:val="en-US" w:eastAsia="zh-CN"/>
                    </w:rPr>
                    <w:t>025年9月底前，制定移动源重污染天气应急管控方案，更新完善用车大户清单和货车白名单，实现动态管理。重污染天气预警期间，按照标准规范要求，加强运输车辆、厂内车辆和非道路移动机械应急管理，运用货车入市电子通行证等管理系统，对入市高排放、高频行驶车辆实施精准管控。指导大宗物料运输企业合理安排运力，提前做好生产物资储备。</w:t>
                  </w:r>
                </w:p>
              </w:tc>
              <w:tc>
                <w:tcPr>
                  <w:tcW w:w="1731" w:type="dxa"/>
                  <w:tcBorders>
                    <w:bottom w:val="single" w:color="auto" w:sz="8" w:space="0"/>
                  </w:tcBorders>
                  <w:noWrap w:val="0"/>
                  <w:vAlign w:val="center"/>
                </w:tcPr>
                <w:p w14:paraId="72CFE39B">
                  <w:pPr>
                    <w:keepNext w:val="0"/>
                    <w:keepLines w:val="0"/>
                    <w:suppressLineNumbers w:val="0"/>
                    <w:adjustRightInd w:val="0"/>
                    <w:snapToGrid w:val="0"/>
                    <w:spacing w:before="0" w:beforeAutospacing="0" w:after="0" w:afterAutospacing="0"/>
                    <w:ind w:left="0" w:leftChars="0" w:right="0" w:rightChars="0"/>
                    <w:jc w:val="both"/>
                    <w:rPr>
                      <w:rFonts w:hint="eastAsia"/>
                      <w:sz w:val="21"/>
                      <w:szCs w:val="21"/>
                      <w:highlight w:val="none"/>
                      <w:lang w:val="en-US" w:eastAsia="zh-CN"/>
                    </w:rPr>
                  </w:pPr>
                  <w:r>
                    <w:rPr>
                      <w:rFonts w:hint="eastAsia"/>
                      <w:color w:val="000000"/>
                      <w:sz w:val="21"/>
                      <w:szCs w:val="21"/>
                      <w:highlight w:val="none"/>
                      <w:lang w:val="en-US" w:eastAsia="zh-CN"/>
                    </w:rPr>
                    <w:t>本项目</w:t>
                  </w:r>
                  <w:r>
                    <w:rPr>
                      <w:rFonts w:hint="default"/>
                      <w:color w:val="000000"/>
                      <w:sz w:val="21"/>
                      <w:szCs w:val="21"/>
                      <w:highlight w:val="none"/>
                      <w:lang w:val="en-US" w:eastAsia="zh-CN"/>
                    </w:rPr>
                    <w:t>重污染天气预警期间，按照标准规范要求，加强运输车辆应急管理</w:t>
                  </w:r>
                  <w:r>
                    <w:rPr>
                      <w:rFonts w:hint="eastAsia"/>
                      <w:color w:val="000000"/>
                      <w:sz w:val="21"/>
                      <w:szCs w:val="21"/>
                      <w:highlight w:val="none"/>
                      <w:lang w:val="en-US" w:eastAsia="zh-CN"/>
                    </w:rPr>
                    <w:t>。</w:t>
                  </w:r>
                </w:p>
              </w:tc>
              <w:tc>
                <w:tcPr>
                  <w:tcW w:w="896" w:type="dxa"/>
                  <w:tcBorders>
                    <w:bottom w:val="single" w:color="auto" w:sz="8" w:space="0"/>
                  </w:tcBorders>
                  <w:noWrap w:val="0"/>
                  <w:vAlign w:val="center"/>
                </w:tcPr>
                <w:p w14:paraId="0308B390">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eastAsiaTheme="minorEastAsia"/>
                      <w:sz w:val="21"/>
                      <w:szCs w:val="21"/>
                      <w:lang w:val="en-US" w:eastAsia="zh-CN"/>
                    </w:rPr>
                  </w:pPr>
                  <w:r>
                    <w:rPr>
                      <w:rFonts w:hint="eastAsia" w:eastAsiaTheme="minorEastAsia"/>
                      <w:sz w:val="21"/>
                      <w:szCs w:val="21"/>
                      <w:lang w:val="en-US" w:eastAsia="zh-CN"/>
                    </w:rPr>
                    <w:t>相符</w:t>
                  </w:r>
                </w:p>
              </w:tc>
            </w:tr>
          </w:tbl>
          <w:p w14:paraId="65B1E61D">
            <w:pPr>
              <w:keepNext w:val="0"/>
              <w:keepLines w:val="0"/>
              <w:suppressLineNumbers w:val="0"/>
              <w:spacing w:before="0" w:beforeAutospacing="0" w:after="0" w:afterAutospacing="0" w:line="440" w:lineRule="exact"/>
              <w:ind w:left="0" w:right="0" w:firstLine="480" w:firstLineChars="200"/>
              <w:jc w:val="both"/>
              <w:rPr>
                <w:rFonts w:hint="eastAsia" w:hAnsi="宋体"/>
                <w:b/>
                <w:bCs/>
                <w:color w:val="000000"/>
                <w:sz w:val="24"/>
                <w:highlight w:val="none"/>
                <w:lang w:val="en-US" w:eastAsia="zh-CN"/>
              </w:rPr>
            </w:pPr>
            <w:r>
              <w:rPr>
                <w:rFonts w:hint="default" w:hAnsi="宋体"/>
                <w:color w:val="000000"/>
                <w:sz w:val="24"/>
                <w:highlight w:val="none"/>
              </w:rPr>
              <w:t>由上表可知，本项目符合</w:t>
            </w:r>
            <w:r>
              <w:rPr>
                <w:rFonts w:hint="default" w:hAnsi="宋体"/>
                <w:bCs/>
                <w:color w:val="000000"/>
                <w:kern w:val="0"/>
                <w:sz w:val="24"/>
                <w:highlight w:val="none"/>
              </w:rPr>
              <w:t>新乡市202</w:t>
            </w:r>
            <w:r>
              <w:rPr>
                <w:rFonts w:hint="eastAsia" w:hAnsi="宋体"/>
                <w:bCs/>
                <w:color w:val="000000"/>
                <w:kern w:val="0"/>
                <w:sz w:val="24"/>
                <w:highlight w:val="none"/>
                <w:lang w:val="en-US" w:eastAsia="zh-CN"/>
              </w:rPr>
              <w:t>5</w:t>
            </w:r>
            <w:r>
              <w:rPr>
                <w:rFonts w:hint="default" w:hAnsi="宋体"/>
                <w:bCs/>
                <w:color w:val="000000"/>
                <w:kern w:val="0"/>
                <w:sz w:val="24"/>
                <w:highlight w:val="none"/>
              </w:rPr>
              <w:t>年各项保卫战实施方案</w:t>
            </w:r>
            <w:r>
              <w:rPr>
                <w:rFonts w:hint="default" w:hAnsi="宋体"/>
                <w:color w:val="000000"/>
                <w:sz w:val="24"/>
                <w:highlight w:val="none"/>
              </w:rPr>
              <w:t>的相关规定。</w:t>
            </w:r>
          </w:p>
          <w:p w14:paraId="02EEB4A0">
            <w:pPr>
              <w:keepNext w:val="0"/>
              <w:keepLines w:val="0"/>
              <w:pageBreakBefore w:val="0"/>
              <w:widowControl w:val="0"/>
              <w:numPr>
                <w:ilvl w:val="0"/>
                <w:numId w:val="2"/>
              </w:numPr>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jc w:val="both"/>
              <w:textAlignment w:val="auto"/>
              <w:rPr>
                <w:rFonts w:hint="default" w:ascii="Times New Roman" w:hAnsi="宋体" w:cs="Times New Roman"/>
                <w:b/>
                <w:bCs/>
                <w:color w:val="auto"/>
                <w:sz w:val="24"/>
                <w:highlight w:val="none"/>
              </w:rPr>
            </w:pPr>
            <w:r>
              <w:rPr>
                <w:rFonts w:hint="default" w:ascii="Times New Roman" w:hAnsi="宋体" w:cs="Times New Roman"/>
                <w:b/>
                <w:bCs/>
                <w:color w:val="auto"/>
                <w:sz w:val="24"/>
                <w:highlight w:val="none"/>
              </w:rPr>
              <w:t>本项目与《</w:t>
            </w:r>
            <w:r>
              <w:rPr>
                <w:rFonts w:hint="eastAsia"/>
                <w:b/>
                <w:bCs/>
                <w:color w:val="auto"/>
                <w:sz w:val="24"/>
                <w:lang w:val="en-US" w:eastAsia="zh-CN"/>
              </w:rPr>
              <w:t>锂离子电池及相关电池材料制造建设项目环境影响评价文件审批原则</w:t>
            </w:r>
            <w:r>
              <w:rPr>
                <w:rFonts w:hint="default" w:ascii="Times New Roman" w:hAnsi="宋体" w:cs="Times New Roman"/>
                <w:b/>
                <w:bCs/>
                <w:color w:val="auto"/>
                <w:sz w:val="24"/>
                <w:highlight w:val="none"/>
              </w:rPr>
              <w:t>》</w:t>
            </w:r>
            <w:r>
              <w:rPr>
                <w:rFonts w:hint="eastAsia" w:ascii="Times New Roman" w:hAnsi="宋体" w:cs="Times New Roman"/>
                <w:b/>
                <w:bCs/>
                <w:color w:val="auto"/>
                <w:sz w:val="24"/>
                <w:highlight w:val="none"/>
              </w:rPr>
              <w:t>（20</w:t>
            </w:r>
            <w:r>
              <w:rPr>
                <w:rFonts w:hint="eastAsia" w:hAnsi="宋体" w:cs="Times New Roman"/>
                <w:b/>
                <w:bCs/>
                <w:color w:val="auto"/>
                <w:sz w:val="24"/>
                <w:highlight w:val="none"/>
                <w:lang w:val="en-US" w:eastAsia="zh-CN"/>
              </w:rPr>
              <w:t>24</w:t>
            </w:r>
            <w:r>
              <w:rPr>
                <w:rFonts w:hint="eastAsia" w:ascii="Times New Roman" w:hAnsi="宋体" w:cs="Times New Roman"/>
                <w:b/>
                <w:bCs/>
                <w:color w:val="auto"/>
                <w:sz w:val="24"/>
                <w:highlight w:val="none"/>
              </w:rPr>
              <w:t>年版）</w:t>
            </w:r>
            <w:r>
              <w:rPr>
                <w:rFonts w:hint="default" w:ascii="Times New Roman" w:hAnsi="宋体" w:cs="Times New Roman"/>
                <w:b/>
                <w:bCs/>
                <w:color w:val="auto"/>
                <w:sz w:val="24"/>
                <w:highlight w:val="none"/>
              </w:rPr>
              <w:t>对照分析</w:t>
            </w:r>
          </w:p>
          <w:p w14:paraId="296D10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20" w:lineRule="exact"/>
              <w:ind w:left="0" w:right="0"/>
              <w:jc w:val="center"/>
              <w:textAlignment w:val="auto"/>
              <w:rPr>
                <w:rFonts w:hint="default" w:ascii="Times New Roman" w:hAnsi="宋体" w:cs="Times New Roman"/>
                <w:b/>
                <w:bCs/>
                <w:color w:val="auto"/>
                <w:sz w:val="24"/>
                <w:highlight w:val="none"/>
              </w:rPr>
            </w:pPr>
            <w:r>
              <w:rPr>
                <w:rFonts w:hint="eastAsia" w:hAnsi="宋体"/>
                <w:b/>
                <w:bCs/>
                <w:color w:val="000000"/>
                <w:sz w:val="24"/>
                <w:highlight w:val="none"/>
                <w:lang w:val="en-US" w:eastAsia="zh-CN"/>
              </w:rPr>
              <w:t xml:space="preserve">表9  </w:t>
            </w:r>
            <w:r>
              <w:rPr>
                <w:rFonts w:hint="eastAsia" w:hAnsi="宋体" w:cs="Times New Roman"/>
                <w:b/>
                <w:bCs/>
                <w:color w:val="000000"/>
                <w:sz w:val="24"/>
                <w:szCs w:val="24"/>
                <w:highlight w:val="none"/>
                <w:lang w:val="en-US" w:eastAsia="zh-CN"/>
              </w:rPr>
              <w:t>本项目与《</w:t>
            </w:r>
            <w:r>
              <w:rPr>
                <w:rFonts w:hint="eastAsia"/>
                <w:b/>
                <w:bCs/>
                <w:color w:val="auto"/>
                <w:sz w:val="24"/>
                <w:lang w:val="en-US" w:eastAsia="zh-CN"/>
              </w:rPr>
              <w:t>审批原则</w:t>
            </w:r>
            <w:r>
              <w:rPr>
                <w:rFonts w:hint="eastAsia" w:hAnsi="宋体" w:cs="Times New Roman"/>
                <w:b/>
                <w:bCs/>
                <w:color w:val="000000"/>
                <w:sz w:val="24"/>
                <w:szCs w:val="24"/>
                <w:highlight w:val="none"/>
                <w:lang w:val="en-US" w:eastAsia="zh-CN"/>
              </w:rPr>
              <w:t>》</w:t>
            </w:r>
            <w:r>
              <w:rPr>
                <w:rFonts w:hint="eastAsia" w:hAnsi="宋体"/>
                <w:b/>
                <w:bCs/>
                <w:color w:val="000000"/>
                <w:sz w:val="24"/>
                <w:highlight w:val="none"/>
                <w:lang w:val="en-US" w:eastAsia="zh-CN"/>
              </w:rPr>
              <w:t>对照分</w:t>
            </w:r>
            <w:r>
              <w:rPr>
                <w:rFonts w:hint="eastAsia" w:hAnsi="宋体" w:cs="Times New Roman"/>
                <w:b/>
                <w:bCs/>
                <w:color w:val="000000"/>
                <w:sz w:val="24"/>
                <w:szCs w:val="24"/>
                <w:highlight w:val="none"/>
                <w:lang w:val="en-US" w:eastAsia="zh-CN"/>
              </w:rPr>
              <w:t>析</w:t>
            </w:r>
          </w:p>
          <w:tbl>
            <w:tblPr>
              <w:tblStyle w:val="24"/>
              <w:tblW w:w="8840"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303"/>
              <w:gridCol w:w="2652"/>
              <w:gridCol w:w="885"/>
            </w:tblGrid>
            <w:tr w14:paraId="783D01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03" w:type="dxa"/>
                  <w:tcBorders>
                    <w:top w:val="single" w:color="auto" w:sz="8" w:space="0"/>
                    <w:bottom w:val="single" w:color="auto" w:sz="8" w:space="0"/>
                    <w:right w:val="single" w:color="auto" w:sz="8" w:space="0"/>
                  </w:tcBorders>
                  <w:vAlign w:val="center"/>
                </w:tcPr>
                <w:p w14:paraId="75D5E1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hAnsi="宋体" w:eastAsia="宋体"/>
                      <w:b/>
                      <w:bCs/>
                      <w:color w:val="000000"/>
                      <w:sz w:val="21"/>
                      <w:szCs w:val="21"/>
                      <w:vertAlign w:val="baseline"/>
                      <w:lang w:val="en-US" w:eastAsia="zh-CN"/>
                    </w:rPr>
                  </w:pPr>
                  <w:r>
                    <w:rPr>
                      <w:rFonts w:hint="eastAsia" w:hAnsi="宋体"/>
                      <w:b/>
                      <w:bCs/>
                      <w:color w:val="000000"/>
                      <w:sz w:val="21"/>
                      <w:szCs w:val="21"/>
                      <w:vertAlign w:val="baseline"/>
                      <w:lang w:val="en-US" w:eastAsia="zh-CN"/>
                    </w:rPr>
                    <w:t>A级企业</w:t>
                  </w:r>
                </w:p>
              </w:tc>
              <w:tc>
                <w:tcPr>
                  <w:tcW w:w="2652" w:type="dxa"/>
                  <w:tcBorders>
                    <w:top w:val="single" w:color="auto" w:sz="8" w:space="0"/>
                    <w:left w:val="single" w:color="auto" w:sz="8" w:space="0"/>
                    <w:bottom w:val="single" w:color="auto" w:sz="8" w:space="0"/>
                    <w:right w:val="single" w:color="auto" w:sz="8" w:space="0"/>
                  </w:tcBorders>
                  <w:vAlign w:val="center"/>
                </w:tcPr>
                <w:p w14:paraId="5C405A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hAnsi="宋体" w:eastAsia="宋体"/>
                      <w:b/>
                      <w:bCs/>
                      <w:color w:val="000000"/>
                      <w:sz w:val="21"/>
                      <w:szCs w:val="21"/>
                      <w:vertAlign w:val="baseline"/>
                      <w:lang w:val="en-US" w:eastAsia="zh-CN"/>
                    </w:rPr>
                  </w:pPr>
                  <w:r>
                    <w:rPr>
                      <w:rFonts w:hint="eastAsia" w:hAnsi="宋体"/>
                      <w:b/>
                      <w:bCs/>
                      <w:color w:val="000000"/>
                      <w:sz w:val="21"/>
                      <w:szCs w:val="21"/>
                      <w:vertAlign w:val="baseline"/>
                      <w:lang w:val="en-US" w:eastAsia="zh-CN"/>
                    </w:rPr>
                    <w:t>本项目情况</w:t>
                  </w:r>
                </w:p>
              </w:tc>
              <w:tc>
                <w:tcPr>
                  <w:tcW w:w="885" w:type="dxa"/>
                  <w:tcBorders>
                    <w:top w:val="single" w:color="auto" w:sz="8" w:space="0"/>
                    <w:left w:val="single" w:color="auto" w:sz="8" w:space="0"/>
                    <w:bottom w:val="single" w:color="auto" w:sz="8" w:space="0"/>
                  </w:tcBorders>
                  <w:vAlign w:val="center"/>
                </w:tcPr>
                <w:p w14:paraId="549BEE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hAnsi="宋体" w:eastAsia="宋体"/>
                      <w:b/>
                      <w:bCs/>
                      <w:color w:val="000000"/>
                      <w:sz w:val="21"/>
                      <w:szCs w:val="21"/>
                      <w:vertAlign w:val="baseline"/>
                      <w:lang w:val="en-US" w:eastAsia="zh-CN"/>
                    </w:rPr>
                  </w:pPr>
                  <w:r>
                    <w:rPr>
                      <w:rFonts w:hint="eastAsia" w:hAnsi="宋体"/>
                      <w:b/>
                      <w:bCs/>
                      <w:color w:val="000000"/>
                      <w:sz w:val="21"/>
                      <w:szCs w:val="21"/>
                      <w:vertAlign w:val="baseline"/>
                      <w:lang w:val="en-US" w:eastAsia="zh-CN"/>
                    </w:rPr>
                    <w:t>相符性</w:t>
                  </w:r>
                </w:p>
              </w:tc>
            </w:tr>
            <w:tr w14:paraId="543DCF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03" w:type="dxa"/>
                  <w:tcBorders>
                    <w:top w:val="single" w:color="auto" w:sz="8" w:space="0"/>
                    <w:tl2br w:val="nil"/>
                    <w:tr2bl w:val="nil"/>
                  </w:tcBorders>
                  <w:vAlign w:val="center"/>
                </w:tcPr>
                <w:p w14:paraId="0A9932FA">
                  <w:pPr>
                    <w:pStyle w:val="56"/>
                    <w:keepNext w:val="0"/>
                    <w:keepLines w:val="0"/>
                    <w:suppressLineNumbers w:val="0"/>
                    <w:adjustRightInd w:val="0"/>
                    <w:snapToGrid w:val="0"/>
                    <w:spacing w:before="0" w:beforeAutospacing="0" w:after="0" w:afterAutospacing="0" w:line="240" w:lineRule="auto"/>
                    <w:ind w:left="0" w:right="0" w:firstLine="0"/>
                    <w:jc w:val="both"/>
                    <w:rPr>
                      <w:rFonts w:hint="default" w:hAnsi="宋体"/>
                      <w:color w:val="000000"/>
                      <w:sz w:val="21"/>
                      <w:szCs w:val="21"/>
                      <w:vertAlign w:val="baseline"/>
                    </w:rPr>
                  </w:pPr>
                  <w:r>
                    <w:rPr>
                      <w:rFonts w:hint="default" w:ascii="Times New Roman" w:hAnsi="Times New Roman" w:eastAsia="宋体" w:cs="Times New Roman"/>
                      <w:sz w:val="21"/>
                      <w:szCs w:val="21"/>
                    </w:rPr>
                    <w:t>第一条 本审批原则适用于锂离子电池及相关正极材料、负极材料制造建设项目环境影响评价文件的审批。其中，正极材料制造包括前驱体、锂盐（碳酸锂、氢氧化锂等）制造，以及以前驱体、锂盐等为原料进行三元材料、磷酸铁锂、锰酸锂等正极材料制造，不包括制备前驱体所需的原料制造；负极材料制造不含石油焦等焦原料制造。具体涉及《建设项目环境影响评价分类管理名录（2021年版）》中基础化学原料制造261、石墨及其他非金属矿物制品制造309、电池制造384、电子元件及电子专用材料制造398行业中的锂离子电池及电池材料制造建设项目。</w:t>
                  </w:r>
                </w:p>
              </w:tc>
              <w:tc>
                <w:tcPr>
                  <w:tcW w:w="2652" w:type="dxa"/>
                  <w:tcBorders>
                    <w:top w:val="single" w:color="auto" w:sz="8" w:space="0"/>
                    <w:tl2br w:val="nil"/>
                    <w:tr2bl w:val="nil"/>
                  </w:tcBorders>
                  <w:vAlign w:val="center"/>
                </w:tcPr>
                <w:p w14:paraId="249EF92C">
                  <w:pPr>
                    <w:keepNext w:val="0"/>
                    <w:keepLines w:val="0"/>
                    <w:suppressLineNumbers w:val="0"/>
                    <w:adjustRightInd w:val="0"/>
                    <w:snapToGrid w:val="0"/>
                    <w:spacing w:before="0" w:beforeAutospacing="0" w:after="0" w:afterAutospacing="0" w:line="240" w:lineRule="auto"/>
                    <w:ind w:left="0" w:leftChars="0" w:right="0" w:rightChars="0"/>
                    <w:jc w:val="left"/>
                    <w:rPr>
                      <w:rFonts w:hint="default" w:hAnsi="宋体" w:eastAsia="宋体"/>
                      <w:color w:val="000000"/>
                      <w:sz w:val="21"/>
                      <w:szCs w:val="21"/>
                      <w:vertAlign w:val="baseline"/>
                      <w:lang w:val="en-US" w:eastAsia="zh-CN"/>
                    </w:rPr>
                  </w:pPr>
                  <w:r>
                    <w:rPr>
                      <w:rFonts w:hint="eastAsia" w:hAnsi="宋体"/>
                      <w:color w:val="000000"/>
                      <w:sz w:val="21"/>
                      <w:szCs w:val="21"/>
                      <w:vertAlign w:val="baseline"/>
                      <w:lang w:val="en-US" w:eastAsia="zh-CN"/>
                    </w:rPr>
                    <w:t>本项目属于C3841锂电池制造。</w:t>
                  </w:r>
                </w:p>
              </w:tc>
              <w:tc>
                <w:tcPr>
                  <w:tcW w:w="885" w:type="dxa"/>
                  <w:tcBorders>
                    <w:top w:val="single" w:color="auto" w:sz="8" w:space="0"/>
                    <w:tl2br w:val="nil"/>
                    <w:tr2bl w:val="nil"/>
                  </w:tcBorders>
                  <w:vAlign w:val="center"/>
                </w:tcPr>
                <w:p w14:paraId="66D9C1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hAnsi="宋体" w:eastAsia="宋体"/>
                      <w:color w:val="000000"/>
                      <w:sz w:val="21"/>
                      <w:szCs w:val="21"/>
                      <w:vertAlign w:val="baseline"/>
                      <w:lang w:val="en-US" w:eastAsia="zh-CN"/>
                    </w:rPr>
                  </w:pPr>
                  <w:r>
                    <w:rPr>
                      <w:rFonts w:hint="eastAsia"/>
                      <w:sz w:val="21"/>
                      <w:szCs w:val="21"/>
                    </w:rPr>
                    <w:t>相</w:t>
                  </w:r>
                  <w:r>
                    <w:rPr>
                      <w:rFonts w:hint="eastAsia"/>
                      <w:sz w:val="21"/>
                      <w:szCs w:val="21"/>
                      <w:lang w:val="en-US" w:eastAsia="zh-CN"/>
                    </w:rPr>
                    <w:t xml:space="preserve">  </w:t>
                  </w:r>
                  <w:r>
                    <w:rPr>
                      <w:rFonts w:hint="eastAsia"/>
                      <w:sz w:val="21"/>
                      <w:szCs w:val="21"/>
                    </w:rPr>
                    <w:t>符</w:t>
                  </w:r>
                </w:p>
              </w:tc>
            </w:tr>
            <w:tr w14:paraId="7FC235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03" w:type="dxa"/>
                  <w:tcBorders>
                    <w:tl2br w:val="nil"/>
                    <w:tr2bl w:val="nil"/>
                  </w:tcBorders>
                  <w:vAlign w:val="center"/>
                </w:tcPr>
                <w:p w14:paraId="6EF2B7B1">
                  <w:pPr>
                    <w:pStyle w:val="56"/>
                    <w:keepNext w:val="0"/>
                    <w:keepLines w:val="0"/>
                    <w:suppressLineNumbers w:val="0"/>
                    <w:adjustRightInd w:val="0"/>
                    <w:snapToGrid w:val="0"/>
                    <w:spacing w:before="0" w:beforeAutospacing="0" w:after="0" w:afterAutospacing="0" w:line="240" w:lineRule="auto"/>
                    <w:ind w:left="0" w:right="0" w:firstLine="0"/>
                    <w:jc w:val="both"/>
                    <w:rPr>
                      <w:rFonts w:hint="default" w:hAnsi="宋体"/>
                      <w:color w:val="000000"/>
                      <w:sz w:val="21"/>
                      <w:szCs w:val="21"/>
                      <w:vertAlign w:val="baseline"/>
                    </w:rPr>
                  </w:pPr>
                  <w:r>
                    <w:rPr>
                      <w:rFonts w:hint="default" w:ascii="宋体" w:hAnsi="宋体" w:eastAsia="宋体" w:cs="宋体"/>
                      <w:sz w:val="21"/>
                      <w:szCs w:val="21"/>
                    </w:rPr>
                    <w:t>第二条 项目应符合生态环境保护相关法律法规、法定规划，以及相关产业结构调整、区域及行业碳达峰碳中和目标、重点污染物总量控制等政策要求。</w:t>
                  </w:r>
                </w:p>
              </w:tc>
              <w:tc>
                <w:tcPr>
                  <w:tcW w:w="2652" w:type="dxa"/>
                  <w:tcBorders>
                    <w:tl2br w:val="nil"/>
                    <w:tr2bl w:val="nil"/>
                  </w:tcBorders>
                  <w:vAlign w:val="center"/>
                </w:tcPr>
                <w:p w14:paraId="653A1258">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both"/>
                    <w:rPr>
                      <w:rFonts w:hint="default" w:hAnsi="宋体" w:eastAsia="宋体"/>
                      <w:color w:val="000000"/>
                      <w:sz w:val="21"/>
                      <w:szCs w:val="21"/>
                      <w:vertAlign w:val="baseline"/>
                      <w:lang w:val="en-US" w:eastAsia="zh-CN"/>
                    </w:rPr>
                  </w:pPr>
                  <w:r>
                    <w:rPr>
                      <w:rFonts w:hint="eastAsia" w:hAnsi="宋体"/>
                      <w:color w:val="000000"/>
                      <w:sz w:val="21"/>
                      <w:szCs w:val="21"/>
                      <w:vertAlign w:val="baseline"/>
                      <w:lang w:val="en-US" w:eastAsia="zh-CN"/>
                    </w:rPr>
                    <w:t>本项目符合</w:t>
                  </w:r>
                  <w:r>
                    <w:rPr>
                      <w:rFonts w:hint="default" w:ascii="宋体" w:hAnsi="宋体" w:eastAsia="宋体" w:cs="宋体"/>
                      <w:sz w:val="21"/>
                      <w:szCs w:val="21"/>
                    </w:rPr>
                    <w:t>生态环境保护相关法律法规、法定规划，以及相关产业结构调整、区域及行业碳达峰碳中和目标、重点污染物总量控制等政策要求</w:t>
                  </w:r>
                </w:p>
              </w:tc>
              <w:tc>
                <w:tcPr>
                  <w:tcW w:w="885" w:type="dxa"/>
                  <w:tcBorders>
                    <w:tl2br w:val="nil"/>
                    <w:tr2bl w:val="nil"/>
                  </w:tcBorders>
                  <w:vAlign w:val="center"/>
                </w:tcPr>
                <w:p w14:paraId="63F4DA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hAnsi="宋体"/>
                      <w:color w:val="000000"/>
                      <w:sz w:val="21"/>
                      <w:szCs w:val="21"/>
                      <w:vertAlign w:val="baseline"/>
                    </w:rPr>
                  </w:pPr>
                  <w:r>
                    <w:rPr>
                      <w:rFonts w:hint="eastAsia"/>
                      <w:sz w:val="21"/>
                      <w:szCs w:val="21"/>
                    </w:rPr>
                    <w:t>相</w:t>
                  </w:r>
                  <w:r>
                    <w:rPr>
                      <w:rFonts w:hint="eastAsia"/>
                      <w:sz w:val="21"/>
                      <w:szCs w:val="21"/>
                      <w:lang w:val="en-US" w:eastAsia="zh-CN"/>
                    </w:rPr>
                    <w:t xml:space="preserve">  </w:t>
                  </w:r>
                  <w:r>
                    <w:rPr>
                      <w:rFonts w:hint="eastAsia"/>
                      <w:sz w:val="21"/>
                      <w:szCs w:val="21"/>
                    </w:rPr>
                    <w:t>符</w:t>
                  </w:r>
                </w:p>
              </w:tc>
            </w:tr>
            <w:tr w14:paraId="7AD9A8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03" w:type="dxa"/>
                  <w:tcBorders>
                    <w:tl2br w:val="nil"/>
                    <w:tr2bl w:val="nil"/>
                  </w:tcBorders>
                  <w:vAlign w:val="center"/>
                </w:tcPr>
                <w:p w14:paraId="23C1E60E">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left"/>
                    <w:rPr>
                      <w:rFonts w:hint="default" w:hAnsi="宋体"/>
                      <w:color w:val="000000"/>
                      <w:sz w:val="21"/>
                      <w:szCs w:val="21"/>
                      <w:vertAlign w:val="baseline"/>
                    </w:rPr>
                  </w:pPr>
                  <w:r>
                    <w:rPr>
                      <w:rFonts w:hint="default" w:ascii="宋体" w:hAnsi="宋体" w:eastAsia="宋体" w:cs="宋体"/>
                      <w:sz w:val="21"/>
                      <w:szCs w:val="21"/>
                    </w:rPr>
                    <w:t>第三条 项目选址应符合生态环境分区管控要求，不得位于法律法规明令禁止建设的区域，应避开生态保护红线。新建、扩建涉及正极材料前驱体和锂盐制造的建设项目（盐湖资源类锂盐制造项目除外）应布设在依法合规设立的产业园区内，符合园区规划及规划环境影响评价要求。</w:t>
                  </w:r>
                </w:p>
              </w:tc>
              <w:tc>
                <w:tcPr>
                  <w:tcW w:w="2652" w:type="dxa"/>
                  <w:tcBorders>
                    <w:tl2br w:val="nil"/>
                    <w:tr2bl w:val="nil"/>
                  </w:tcBorders>
                  <w:vAlign w:val="center"/>
                </w:tcPr>
                <w:p w14:paraId="18378C15">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both"/>
                    <w:rPr>
                      <w:rFonts w:hint="default" w:ascii="Times New Roman" w:hAnsi="宋体" w:cs="Times New Roman"/>
                      <w:color w:val="auto"/>
                      <w:sz w:val="21"/>
                      <w:szCs w:val="21"/>
                      <w:lang w:val="en-US" w:eastAsia="zh-CN"/>
                    </w:rPr>
                  </w:pPr>
                  <w:r>
                    <w:rPr>
                      <w:rFonts w:hint="eastAsia" w:ascii="Times New Roman" w:hAnsi="宋体" w:cs="Times New Roman"/>
                      <w:color w:val="auto"/>
                      <w:sz w:val="21"/>
                      <w:szCs w:val="21"/>
                      <w:lang w:val="en-US" w:eastAsia="zh-CN"/>
                    </w:rPr>
                    <w:t>本项目位于</w:t>
                  </w:r>
                  <w:r>
                    <w:rPr>
                      <w:rFonts w:hint="default" w:ascii="Times New Roman" w:hAnsi="Times New Roman" w:cs="Times New Roman"/>
                      <w:color w:val="auto"/>
                      <w:sz w:val="21"/>
                      <w:szCs w:val="21"/>
                      <w:lang w:val="en-US" w:eastAsia="zh-CN"/>
                    </w:rPr>
                    <w:t>河南省新乡市新乡县</w:t>
                  </w:r>
                  <w:r>
                    <w:rPr>
                      <w:rFonts w:hint="eastAsia" w:ascii="Times New Roman" w:hAnsi="Times New Roman" w:cs="Times New Roman"/>
                      <w:color w:val="auto"/>
                      <w:sz w:val="21"/>
                      <w:szCs w:val="21"/>
                      <w:lang w:val="en-US" w:eastAsia="zh-CN"/>
                    </w:rPr>
                    <w:t>经济开发区兴隆路西段，位于新乡县智能制造产业园区内，项目所占用地属于二类工业用地，选址符合生态环境分期管控要求。</w:t>
                  </w:r>
                </w:p>
              </w:tc>
              <w:tc>
                <w:tcPr>
                  <w:tcW w:w="885" w:type="dxa"/>
                  <w:tcBorders>
                    <w:tl2br w:val="nil"/>
                    <w:tr2bl w:val="nil"/>
                  </w:tcBorders>
                  <w:vAlign w:val="center"/>
                </w:tcPr>
                <w:p w14:paraId="301A78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 w:val="21"/>
                      <w:szCs w:val="21"/>
                    </w:rPr>
                  </w:pPr>
                  <w:r>
                    <w:rPr>
                      <w:rFonts w:hint="eastAsia"/>
                      <w:sz w:val="21"/>
                      <w:szCs w:val="21"/>
                    </w:rPr>
                    <w:t>相</w:t>
                  </w:r>
                  <w:r>
                    <w:rPr>
                      <w:rFonts w:hint="eastAsia"/>
                      <w:sz w:val="21"/>
                      <w:szCs w:val="21"/>
                      <w:lang w:val="en-US" w:eastAsia="zh-CN"/>
                    </w:rPr>
                    <w:t xml:space="preserve">  </w:t>
                  </w:r>
                  <w:r>
                    <w:rPr>
                      <w:rFonts w:hint="eastAsia"/>
                      <w:sz w:val="21"/>
                      <w:szCs w:val="21"/>
                    </w:rPr>
                    <w:t>符</w:t>
                  </w:r>
                </w:p>
              </w:tc>
            </w:tr>
            <w:tr w14:paraId="23A2C2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03" w:type="dxa"/>
                  <w:tcBorders>
                    <w:tl2br w:val="nil"/>
                    <w:tr2bl w:val="nil"/>
                  </w:tcBorders>
                  <w:vAlign w:val="center"/>
                </w:tcPr>
                <w:p w14:paraId="5712C92A">
                  <w:pPr>
                    <w:keepNext w:val="0"/>
                    <w:keepLines w:val="0"/>
                    <w:widowControl/>
                    <w:suppressLineNumbers w:val="0"/>
                    <w:spacing w:before="0" w:beforeAutospacing="0" w:after="0" w:afterAutospacing="0"/>
                    <w:ind w:left="0" w:right="0"/>
                    <w:jc w:val="left"/>
                    <w:rPr>
                      <w:rFonts w:hint="eastAsia" w:ascii="Times New Roman" w:hAnsi="Times New Roman" w:cs="Times New Roman"/>
                      <w:color w:val="000000"/>
                      <w:sz w:val="21"/>
                      <w:szCs w:val="21"/>
                      <w:lang w:val="en-US" w:eastAsia="zh-CN"/>
                    </w:rPr>
                  </w:pPr>
                  <w:r>
                    <w:rPr>
                      <w:rFonts w:hint="default" w:ascii="宋体" w:hAnsi="宋体" w:eastAsia="宋体" w:cs="宋体"/>
                      <w:sz w:val="21"/>
                      <w:szCs w:val="21"/>
                    </w:rPr>
                    <w:t>第四条 新建、改建、扩建项目应采用资源利用率高、污染物产生量小的清洁生产技术、工艺和设备，单位产品的能耗、物耗、水耗、资源综合利用和污染物控制等指标应达到行业先进水平。新建锂离子电池制造项目清洁生产指标宜达到《电池行业清洁生产评价指标体系》中国内清洁生产先进水平。</w:t>
                  </w:r>
                </w:p>
              </w:tc>
              <w:tc>
                <w:tcPr>
                  <w:tcW w:w="2652" w:type="dxa"/>
                  <w:tcBorders>
                    <w:tl2br w:val="nil"/>
                    <w:tr2bl w:val="nil"/>
                  </w:tcBorders>
                  <w:vAlign w:val="center"/>
                </w:tcPr>
                <w:p w14:paraId="50409FB3">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both"/>
                    <w:rPr>
                      <w:rFonts w:hint="default" w:ascii="Times New Roman" w:hAnsi="宋体" w:cs="Times New Roman" w:eastAsiaTheme="minorEastAsia"/>
                      <w:color w:val="auto"/>
                      <w:sz w:val="21"/>
                      <w:szCs w:val="21"/>
                      <w:lang w:val="en-US" w:eastAsia="zh-CN"/>
                    </w:rPr>
                  </w:pPr>
                  <w:r>
                    <w:rPr>
                      <w:rFonts w:hint="eastAsia" w:ascii="Times New Roman" w:hAnsi="宋体" w:cs="Times New Roman" w:eastAsiaTheme="minorEastAsia"/>
                      <w:color w:val="auto"/>
                      <w:sz w:val="21"/>
                      <w:szCs w:val="21"/>
                      <w:lang w:val="en-US" w:eastAsia="zh-CN"/>
                    </w:rPr>
                    <w:t>本项目污染物产生量较小，</w:t>
                  </w:r>
                  <w:r>
                    <w:rPr>
                      <w:rFonts w:hint="default" w:ascii="宋体" w:hAnsi="宋体" w:eastAsia="宋体" w:cs="宋体"/>
                      <w:sz w:val="21"/>
                      <w:szCs w:val="21"/>
                    </w:rPr>
                    <w:t>单位产品的能耗、物耗、水耗、资源综合利用和污染物控制等指标达到行业先进水平</w:t>
                  </w:r>
                </w:p>
              </w:tc>
              <w:tc>
                <w:tcPr>
                  <w:tcW w:w="885" w:type="dxa"/>
                  <w:tcBorders>
                    <w:tl2br w:val="nil"/>
                    <w:tr2bl w:val="nil"/>
                  </w:tcBorders>
                  <w:vAlign w:val="center"/>
                </w:tcPr>
                <w:p w14:paraId="3F2A670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 w:val="21"/>
                      <w:szCs w:val="21"/>
                    </w:rPr>
                  </w:pPr>
                  <w:r>
                    <w:rPr>
                      <w:rFonts w:hint="eastAsia"/>
                      <w:sz w:val="21"/>
                      <w:szCs w:val="21"/>
                    </w:rPr>
                    <w:t>相</w:t>
                  </w:r>
                  <w:r>
                    <w:rPr>
                      <w:rFonts w:hint="eastAsia"/>
                      <w:sz w:val="21"/>
                      <w:szCs w:val="21"/>
                      <w:lang w:val="en-US" w:eastAsia="zh-CN"/>
                    </w:rPr>
                    <w:t xml:space="preserve">  </w:t>
                  </w:r>
                  <w:r>
                    <w:rPr>
                      <w:rFonts w:hint="eastAsia"/>
                      <w:sz w:val="21"/>
                      <w:szCs w:val="21"/>
                    </w:rPr>
                    <w:t>符</w:t>
                  </w:r>
                </w:p>
              </w:tc>
            </w:tr>
            <w:tr w14:paraId="43CC1A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03" w:type="dxa"/>
                  <w:tcBorders>
                    <w:tl2br w:val="nil"/>
                    <w:tr2bl w:val="nil"/>
                  </w:tcBorders>
                  <w:vAlign w:val="center"/>
                </w:tcPr>
                <w:p w14:paraId="16FFD9C0">
                  <w:pPr>
                    <w:keepNext w:val="0"/>
                    <w:keepLines w:val="0"/>
                    <w:widowControl/>
                    <w:numPr>
                      <w:ilvl w:val="0"/>
                      <w:numId w:val="3"/>
                    </w:numPr>
                    <w:suppressLineNumbers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项目应根据工程内容、原辅材料性质、工艺流程情况配备高效的除尘、脱硫、脱硝以及特征污染物治理设施，依据废气特征等合理选择治理技术。</w:t>
                  </w:r>
                </w:p>
                <w:p w14:paraId="49346DCC">
                  <w:pPr>
                    <w:keepNext w:val="0"/>
                    <w:keepLines w:val="0"/>
                    <w:widowControl/>
                    <w:numPr>
                      <w:ilvl w:val="0"/>
                      <w:numId w:val="0"/>
                    </w:numPr>
                    <w:suppressLineNumbers w:val="0"/>
                    <w:spacing w:before="0" w:beforeAutospacing="0" w:after="0" w:afterAutospacing="0"/>
                    <w:ind w:left="0" w:right="0" w:rightChars="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锂离子电池涂布、极片烘烤工序应配备N-甲基吡咯烷酮（NMP）回收装置，设置挥发性有机物吸附或燃烧等装置，排放的废气污染物应符合《电池工业污染物排放标准》（GB 30484）要求。</w:t>
                  </w:r>
                </w:p>
                <w:p w14:paraId="3E96C537">
                  <w:pPr>
                    <w:keepNext w:val="0"/>
                    <w:keepLines w:val="0"/>
                    <w:widowControl/>
                    <w:numPr>
                      <w:ilvl w:val="0"/>
                      <w:numId w:val="0"/>
                    </w:numPr>
                    <w:suppressLineNumbers w:val="0"/>
                    <w:spacing w:before="0" w:beforeAutospacing="0" w:after="0" w:afterAutospacing="0"/>
                    <w:ind w:left="0" w:right="0" w:rightChars="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正极材料制造涉及氨、硫酸雾、磷酸雾排放的应配备吸收、洗涤装置。以锂辉石、锂云母、锂渣等为原料进行焙烧生产锂盐及其他中间产品的，焙烧烟气净化装置应具备去除氟化物（锂云母类）、重金属等污染物的功能，硫酸酸化焙烧等工序还应配备酸雾吸收装置。锂盐制造和正极材料制造项目排放的废气污染物应符合《无机化学工业污染物排放标准》（GB 31573）要求。</w:t>
                  </w:r>
                </w:p>
                <w:p w14:paraId="391DE841">
                  <w:pPr>
                    <w:keepNext w:val="0"/>
                    <w:keepLines w:val="0"/>
                    <w:widowControl/>
                    <w:numPr>
                      <w:ilvl w:val="0"/>
                      <w:numId w:val="0"/>
                    </w:numPr>
                    <w:suppressLineNumbers w:val="0"/>
                    <w:spacing w:before="0" w:beforeAutospacing="0" w:after="0" w:afterAutospacing="0"/>
                    <w:ind w:left="0" w:right="0" w:rightChars="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负极材料制造涉及使用沥青物料的应设置沥青烟、苯并[a]芘、挥发性有机物治理设施，采用吸附或燃烧等方法处理；包覆、炭化、石墨化工序应配备高效烟气收集系统及除尘设施，并根据原燃料类型、填充物料含硫量及烟气特征设置必要的脱硫、脱硝设施。石墨化工序应优化炉窑设备选型，优先采用低含硫率的填充物料。钛酸锂负极材料制造项目排放的废气污染物应符合《无机化学工业污染物排放标准》（GB 31573）要求；石墨类负极材料制造项目炉窑烟气执行《工业炉窑大气污染物排放标准》（GB 9078），其他环节废气执行《大气污染物综合排放标准》（GB 16297）要求。</w:t>
                  </w:r>
                </w:p>
                <w:p w14:paraId="52BC91CE">
                  <w:pPr>
                    <w:keepNext w:val="0"/>
                    <w:keepLines w:val="0"/>
                    <w:widowControl/>
                    <w:numPr>
                      <w:ilvl w:val="0"/>
                      <w:numId w:val="0"/>
                    </w:numPr>
                    <w:suppressLineNumbers w:val="0"/>
                    <w:spacing w:before="0" w:beforeAutospacing="0" w:after="0" w:afterAutospacing="0"/>
                    <w:ind w:left="0" w:right="0" w:rightChars="0"/>
                    <w:jc w:val="both"/>
                    <w:rPr>
                      <w:rFonts w:hint="default" w:hAnsi="宋体"/>
                      <w:color w:val="000000"/>
                      <w:sz w:val="21"/>
                      <w:szCs w:val="21"/>
                      <w:vertAlign w:val="baseline"/>
                    </w:rPr>
                  </w:pPr>
                  <w:r>
                    <w:rPr>
                      <w:rFonts w:hint="default" w:ascii="Times New Roman" w:hAnsi="Times New Roman" w:eastAsia="宋体" w:cs="Times New Roman"/>
                      <w:sz w:val="21"/>
                      <w:szCs w:val="21"/>
                    </w:rPr>
                    <w:t>涉及使用VOCs物料的，厂区内挥发性有机物无组织排放控制还应符合《挥发性有机物无组织排放控制标准》（GB 37822）相关要求。大气环境防护距离范围内不应有居民区、学校、医院等环境敏感目标。有地方污染物排放标准的，废气排放还应符合地方标准要求。</w:t>
                  </w:r>
                </w:p>
              </w:tc>
              <w:tc>
                <w:tcPr>
                  <w:tcW w:w="2652" w:type="dxa"/>
                  <w:tcBorders>
                    <w:tl2br w:val="nil"/>
                    <w:tr2bl w:val="nil"/>
                  </w:tcBorders>
                  <w:vAlign w:val="center"/>
                </w:tcPr>
                <w:p w14:paraId="292E546B">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both"/>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1、本项目涂布、烘干工序废气经收集后通至NMP高塔回收装置治理；</w:t>
                  </w:r>
                </w:p>
                <w:p w14:paraId="3F12A9E2">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both"/>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2、本项目正极材料制造不涉及</w:t>
                  </w:r>
                  <w:r>
                    <w:rPr>
                      <w:rFonts w:hint="default" w:ascii="Times New Roman" w:hAnsi="Times New Roman" w:eastAsia="宋体" w:cs="Times New Roman"/>
                      <w:sz w:val="21"/>
                      <w:szCs w:val="21"/>
                    </w:rPr>
                    <w:t>氨、硫酸雾、磷酸雾</w:t>
                  </w:r>
                  <w:r>
                    <w:rPr>
                      <w:rFonts w:hint="eastAsia" w:ascii="Times New Roman" w:hAnsi="Times New Roman" w:cs="Times New Roman"/>
                      <w:sz w:val="21"/>
                      <w:szCs w:val="21"/>
                      <w:lang w:val="en-US" w:eastAsia="zh-CN"/>
                    </w:rPr>
                    <w:t>等</w:t>
                  </w:r>
                  <w:r>
                    <w:rPr>
                      <w:rFonts w:hint="default" w:ascii="Times New Roman" w:hAnsi="Times New Roman" w:eastAsia="宋体" w:cs="Times New Roman"/>
                      <w:sz w:val="21"/>
                      <w:szCs w:val="21"/>
                    </w:rPr>
                    <w:t>排放</w:t>
                  </w:r>
                  <w:r>
                    <w:rPr>
                      <w:rFonts w:hint="eastAsia" w:ascii="Times New Roman" w:hAnsi="Times New Roman" w:cs="Times New Roman"/>
                      <w:color w:val="000000"/>
                      <w:sz w:val="21"/>
                      <w:szCs w:val="21"/>
                      <w:lang w:val="en-US" w:eastAsia="zh-CN"/>
                    </w:rPr>
                    <w:t>；</w:t>
                  </w:r>
                </w:p>
                <w:p w14:paraId="1A7519F3">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both"/>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3、本项目负极材料制造不涉及使用沥青物料。</w:t>
                  </w:r>
                </w:p>
                <w:p w14:paraId="455AA048">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both"/>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4、本项目</w:t>
                  </w:r>
                  <w:r>
                    <w:rPr>
                      <w:rFonts w:hint="default" w:ascii="Times New Roman" w:hAnsi="Times New Roman" w:eastAsia="宋体" w:cs="Times New Roman"/>
                      <w:sz w:val="21"/>
                      <w:szCs w:val="21"/>
                    </w:rPr>
                    <w:t>厂区内挥发性有机物无组织排放控制还应符合《挥发性有机物无组织排放控制标准》（GB 37822</w:t>
                  </w:r>
                  <w:r>
                    <w:rPr>
                      <w:rFonts w:hint="eastAsia" w:ascii="Times New Roman" w:hAnsi="Times New Roman" w:cs="Times New Roman"/>
                      <w:sz w:val="21"/>
                      <w:szCs w:val="21"/>
                      <w:lang w:val="en-US" w:eastAsia="zh-CN"/>
                    </w:rPr>
                    <w:t>-2019</w:t>
                  </w:r>
                  <w:r>
                    <w:rPr>
                      <w:rFonts w:hint="default" w:ascii="Times New Roman" w:hAnsi="Times New Roman" w:eastAsia="宋体" w:cs="Times New Roman"/>
                      <w:sz w:val="21"/>
                      <w:szCs w:val="21"/>
                    </w:rPr>
                    <w:t>）相关要求。</w:t>
                  </w:r>
                  <w:r>
                    <w:rPr>
                      <w:rFonts w:hint="eastAsia" w:ascii="Times New Roman" w:hAnsi="Times New Roman" w:cs="Times New Roman"/>
                      <w:sz w:val="21"/>
                      <w:szCs w:val="21"/>
                      <w:lang w:val="en-US" w:eastAsia="zh-CN"/>
                    </w:rPr>
                    <w:t>本项目</w:t>
                  </w:r>
                  <w:r>
                    <w:rPr>
                      <w:rFonts w:hint="default" w:ascii="Times New Roman" w:hAnsi="Times New Roman" w:eastAsia="宋体" w:cs="Times New Roman"/>
                      <w:sz w:val="21"/>
                      <w:szCs w:val="21"/>
                    </w:rPr>
                    <w:t>大气环境防护距离范围内</w:t>
                  </w:r>
                  <w:r>
                    <w:rPr>
                      <w:rFonts w:hint="eastAsia" w:ascii="Times New Roman" w:hAnsi="Times New Roman" w:cs="Times New Roman"/>
                      <w:sz w:val="21"/>
                      <w:szCs w:val="21"/>
                      <w:lang w:val="en-US" w:eastAsia="zh-CN"/>
                    </w:rPr>
                    <w:t>没</w:t>
                  </w:r>
                  <w:r>
                    <w:rPr>
                      <w:rFonts w:hint="default" w:ascii="Times New Roman" w:hAnsi="Times New Roman" w:eastAsia="宋体" w:cs="Times New Roman"/>
                      <w:sz w:val="21"/>
                      <w:szCs w:val="21"/>
                    </w:rPr>
                    <w:t>有居民区、学校、医院等环境敏感目标。</w:t>
                  </w:r>
                </w:p>
              </w:tc>
              <w:tc>
                <w:tcPr>
                  <w:tcW w:w="885" w:type="dxa"/>
                  <w:tcBorders>
                    <w:tl2br w:val="nil"/>
                    <w:tr2bl w:val="nil"/>
                  </w:tcBorders>
                  <w:vAlign w:val="center"/>
                </w:tcPr>
                <w:p w14:paraId="15BCCD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 w:val="21"/>
                      <w:szCs w:val="21"/>
                    </w:rPr>
                  </w:pPr>
                  <w:r>
                    <w:rPr>
                      <w:rFonts w:hint="eastAsia"/>
                      <w:sz w:val="21"/>
                      <w:szCs w:val="21"/>
                    </w:rPr>
                    <w:t>相</w:t>
                  </w:r>
                  <w:r>
                    <w:rPr>
                      <w:rFonts w:hint="eastAsia"/>
                      <w:sz w:val="21"/>
                      <w:szCs w:val="21"/>
                      <w:lang w:val="en-US" w:eastAsia="zh-CN"/>
                    </w:rPr>
                    <w:t xml:space="preserve">  </w:t>
                  </w:r>
                  <w:r>
                    <w:rPr>
                      <w:rFonts w:hint="eastAsia"/>
                      <w:sz w:val="21"/>
                      <w:szCs w:val="21"/>
                    </w:rPr>
                    <w:t>符</w:t>
                  </w:r>
                </w:p>
              </w:tc>
            </w:tr>
            <w:tr w14:paraId="491468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5303" w:type="dxa"/>
                  <w:tcBorders>
                    <w:tl2br w:val="nil"/>
                    <w:tr2bl w:val="nil"/>
                  </w:tcBorders>
                  <w:vAlign w:val="center"/>
                </w:tcPr>
                <w:p w14:paraId="786971D5">
                  <w:pPr>
                    <w:pStyle w:val="56"/>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jc w:val="both"/>
                    <w:textAlignment w:val="auto"/>
                    <w:rPr>
                      <w:rFonts w:hint="default" w:ascii="Times New Roman" w:hAnsi="Times New Roman" w:cs="Times New Roman"/>
                      <w:color w:val="000000"/>
                      <w:sz w:val="21"/>
                      <w:szCs w:val="21"/>
                      <w:vertAlign w:val="baseline"/>
                    </w:rPr>
                  </w:pPr>
                  <w:r>
                    <w:rPr>
                      <w:rFonts w:hint="default" w:ascii="Times New Roman" w:hAnsi="Times New Roman" w:eastAsia="宋体" w:cs="Times New Roman"/>
                      <w:sz w:val="21"/>
                      <w:szCs w:val="21"/>
                    </w:rPr>
                    <w:t>第六条 鼓励将温室气体排放纳入建设项目环境影响评价，核算项目温室气体排放量，推进减污降碳协同增效，推动减碳技术创新示范应用。优先采用电、天然气等清洁能源或新能源加热方式，鼓励高温烟气余热回收。</w:t>
                  </w:r>
                </w:p>
              </w:tc>
              <w:tc>
                <w:tcPr>
                  <w:tcW w:w="2652" w:type="dxa"/>
                  <w:tcBorders>
                    <w:tl2br w:val="nil"/>
                    <w:tr2bl w:val="nil"/>
                  </w:tcBorders>
                  <w:vAlign w:val="center"/>
                </w:tcPr>
                <w:p w14:paraId="1E6723A1">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both"/>
                    <w:rPr>
                      <w:rFonts w:hint="default" w:hAnsi="宋体"/>
                      <w:color w:val="000000"/>
                      <w:sz w:val="21"/>
                      <w:szCs w:val="21"/>
                      <w:vertAlign w:val="baseline"/>
                    </w:rPr>
                  </w:pPr>
                  <w:r>
                    <w:rPr>
                      <w:rFonts w:hint="eastAsia" w:ascii="Times New Roman" w:hAnsi="宋体" w:cs="Times New Roman"/>
                      <w:color w:val="auto"/>
                      <w:sz w:val="21"/>
                      <w:szCs w:val="21"/>
                      <w:lang w:val="en-US" w:eastAsia="zh-CN"/>
                    </w:rPr>
                    <w:t>本项目不涉及温室气体排放，项目使用电为能源。</w:t>
                  </w:r>
                </w:p>
              </w:tc>
              <w:tc>
                <w:tcPr>
                  <w:tcW w:w="885" w:type="dxa"/>
                  <w:tcBorders>
                    <w:tl2br w:val="nil"/>
                    <w:tr2bl w:val="nil"/>
                  </w:tcBorders>
                  <w:vAlign w:val="center"/>
                </w:tcPr>
                <w:p w14:paraId="58FB23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 w:val="21"/>
                      <w:szCs w:val="21"/>
                    </w:rPr>
                  </w:pPr>
                  <w:r>
                    <w:rPr>
                      <w:rFonts w:hint="eastAsia"/>
                      <w:sz w:val="21"/>
                      <w:szCs w:val="21"/>
                    </w:rPr>
                    <w:t>相</w:t>
                  </w:r>
                  <w:r>
                    <w:rPr>
                      <w:rFonts w:hint="eastAsia"/>
                      <w:sz w:val="21"/>
                      <w:szCs w:val="21"/>
                      <w:lang w:val="en-US" w:eastAsia="zh-CN"/>
                    </w:rPr>
                    <w:t xml:space="preserve">  </w:t>
                  </w:r>
                  <w:r>
                    <w:rPr>
                      <w:rFonts w:hint="eastAsia"/>
                      <w:sz w:val="21"/>
                      <w:szCs w:val="21"/>
                    </w:rPr>
                    <w:t>符</w:t>
                  </w:r>
                </w:p>
              </w:tc>
            </w:tr>
            <w:tr w14:paraId="2BCD07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1" w:hRule="atLeast"/>
                <w:jc w:val="center"/>
              </w:trPr>
              <w:tc>
                <w:tcPr>
                  <w:tcW w:w="5303" w:type="dxa"/>
                  <w:tcBorders>
                    <w:tl2br w:val="nil"/>
                    <w:tr2bl w:val="nil"/>
                  </w:tcBorders>
                  <w:vAlign w:val="center"/>
                </w:tcPr>
                <w:p w14:paraId="2A9C86E1">
                  <w:pPr>
                    <w:pStyle w:val="56"/>
                    <w:keepNext w:val="0"/>
                    <w:keepLines w:val="0"/>
                    <w:suppressLineNumbers w:val="0"/>
                    <w:adjustRightInd w:val="0"/>
                    <w:snapToGrid w:val="0"/>
                    <w:spacing w:before="0" w:beforeAutospacing="0" w:after="0" w:afterAutospacing="0" w:line="240" w:lineRule="auto"/>
                    <w:ind w:left="0" w:right="0" w:firstLine="0"/>
                    <w:jc w:val="both"/>
                    <w:rPr>
                      <w:rFonts w:hint="default" w:ascii="Times New Roman" w:hAnsi="Times New Roman" w:cs="Times New Roman"/>
                      <w:color w:val="000000"/>
                      <w:sz w:val="21"/>
                      <w:szCs w:val="21"/>
                      <w:vertAlign w:val="baseline"/>
                    </w:rPr>
                  </w:pPr>
                  <w:r>
                    <w:rPr>
                      <w:rFonts w:hint="default" w:ascii="Times New Roman" w:hAnsi="Times New Roman" w:eastAsia="宋体" w:cs="Times New Roman"/>
                      <w:sz w:val="21"/>
                      <w:szCs w:val="21"/>
                    </w:rPr>
                    <w:t>第七条 做好清污分流、雨污分流、分类收集、分质处理。生产废水优先回用，污染雨水收集处理。含盐废水应根据来水水质和排水去向，有针对性设置具备脱氮、脱盐、除氟（锂云母类）、除重金属等功能的处理设施。严禁生产废水未经有效处理直接排入城镇污水收集处理系统。锂离子电池制造项目废水排放执行《电池工业污染物排放标准》（GB 30484）要求；锂盐制造、正极材料制造、钛酸锂负极材料制造等项目排放的废水污染物应符合《无机化学工业污染物排放标准》（GB 31573）要求；石墨类负极材料制造等执行《污水综合排放标准》（GB 8978）相关要求。有地方污染物排放标准的，废水排放还应符合地方标准要求。</w:t>
                  </w:r>
                </w:p>
              </w:tc>
              <w:tc>
                <w:tcPr>
                  <w:tcW w:w="2652" w:type="dxa"/>
                  <w:tcBorders>
                    <w:tl2br w:val="nil"/>
                    <w:tr2bl w:val="nil"/>
                  </w:tcBorders>
                  <w:vAlign w:val="center"/>
                </w:tcPr>
                <w:p w14:paraId="1137E681">
                  <w:pPr>
                    <w:pStyle w:val="56"/>
                    <w:keepNext w:val="0"/>
                    <w:keepLines w:val="0"/>
                    <w:numPr>
                      <w:ilvl w:val="0"/>
                      <w:numId w:val="0"/>
                    </w:numPr>
                    <w:suppressLineNumbers w:val="0"/>
                    <w:adjustRightInd w:val="0"/>
                    <w:snapToGrid w:val="0"/>
                    <w:spacing w:before="0" w:beforeAutospacing="0" w:after="0" w:afterAutospacing="0" w:line="240" w:lineRule="auto"/>
                    <w:ind w:left="0" w:leftChars="0" w:right="0" w:rightChars="0"/>
                    <w:jc w:val="both"/>
                    <w:rPr>
                      <w:rFonts w:hint="eastAsia" w:ascii="Times New Roman" w:hAnsi="宋体" w:cs="Times New Roman"/>
                      <w:color w:val="000000"/>
                      <w:sz w:val="21"/>
                      <w:szCs w:val="21"/>
                      <w:lang w:val="en-US" w:eastAsia="zh-CN"/>
                    </w:rPr>
                  </w:pPr>
                  <w:r>
                    <w:rPr>
                      <w:rFonts w:hint="eastAsia" w:ascii="Times New Roman" w:hAnsi="宋体" w:cs="Times New Roman"/>
                      <w:color w:val="000000" w:themeColor="text1"/>
                      <w:sz w:val="21"/>
                      <w:szCs w:val="21"/>
                      <w:highlight w:val="none"/>
                      <w:lang w:val="en-US" w:eastAsia="zh-CN"/>
                      <w14:textFill>
                        <w14:solidFill>
                          <w14:schemeClr w14:val="tx1"/>
                        </w14:solidFill>
                      </w14:textFill>
                    </w:rPr>
                    <w:t>厂区内做好</w:t>
                  </w:r>
                  <w:r>
                    <w:rPr>
                      <w:rFonts w:hint="default" w:ascii="Times New Roman" w:hAnsi="Times New Roman" w:eastAsia="宋体" w:cs="Times New Roman"/>
                      <w:sz w:val="21"/>
                      <w:szCs w:val="21"/>
                    </w:rPr>
                    <w:t>清污分流、雨污分流、分类收集、分质处理</w:t>
                  </w: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生产废水经沉淀池沉淀后同生活污水排入厂区污水处理站处理，处理后排入新乡县综合污水处理厂进一步处理，废水排放</w:t>
                  </w:r>
                  <w:r>
                    <w:rPr>
                      <w:rFonts w:hint="default" w:ascii="Times New Roman" w:hAnsi="Times New Roman" w:eastAsia="宋体" w:cs="Times New Roman"/>
                      <w:sz w:val="21"/>
                      <w:szCs w:val="21"/>
                    </w:rPr>
                    <w:t>执行《电池工业污染物排放标准》（GB 30484</w:t>
                  </w:r>
                  <w:r>
                    <w:rPr>
                      <w:rFonts w:hint="eastAsia" w:ascii="Times New Roman" w:hAnsi="Times New Roman" w:cs="Times New Roman"/>
                      <w:sz w:val="21"/>
                      <w:szCs w:val="21"/>
                      <w:lang w:val="en-US" w:eastAsia="zh-CN"/>
                    </w:rPr>
                    <w:t>-2013</w:t>
                  </w:r>
                  <w:r>
                    <w:rPr>
                      <w:rFonts w:hint="default" w:ascii="Times New Roman" w:hAnsi="Times New Roman" w:eastAsia="宋体" w:cs="Times New Roman"/>
                      <w:sz w:val="21"/>
                      <w:szCs w:val="21"/>
                    </w:rPr>
                    <w:t>）要求</w:t>
                  </w:r>
                </w:p>
              </w:tc>
              <w:tc>
                <w:tcPr>
                  <w:tcW w:w="885" w:type="dxa"/>
                  <w:tcBorders>
                    <w:tl2br w:val="nil"/>
                    <w:tr2bl w:val="nil"/>
                  </w:tcBorders>
                  <w:vAlign w:val="center"/>
                </w:tcPr>
                <w:p w14:paraId="1E16A5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 w:val="21"/>
                      <w:szCs w:val="21"/>
                    </w:rPr>
                  </w:pPr>
                  <w:r>
                    <w:rPr>
                      <w:rFonts w:hint="eastAsia"/>
                      <w:sz w:val="21"/>
                      <w:szCs w:val="21"/>
                    </w:rPr>
                    <w:t>相</w:t>
                  </w:r>
                  <w:r>
                    <w:rPr>
                      <w:rFonts w:hint="eastAsia"/>
                      <w:sz w:val="21"/>
                      <w:szCs w:val="21"/>
                      <w:lang w:val="en-US" w:eastAsia="zh-CN"/>
                    </w:rPr>
                    <w:t xml:space="preserve">  </w:t>
                  </w:r>
                  <w:r>
                    <w:rPr>
                      <w:rFonts w:hint="eastAsia"/>
                      <w:sz w:val="21"/>
                      <w:szCs w:val="21"/>
                    </w:rPr>
                    <w:t>符</w:t>
                  </w:r>
                </w:p>
              </w:tc>
            </w:tr>
            <w:tr w14:paraId="7FE347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03" w:type="dxa"/>
                  <w:tcBorders>
                    <w:tl2br w:val="nil"/>
                    <w:tr2bl w:val="nil"/>
                  </w:tcBorders>
                  <w:vAlign w:val="center"/>
                </w:tcPr>
                <w:p w14:paraId="52DF4CD0">
                  <w:pPr>
                    <w:pStyle w:val="56"/>
                    <w:keepNext w:val="0"/>
                    <w:keepLines w:val="0"/>
                    <w:suppressLineNumbers w:val="0"/>
                    <w:adjustRightInd w:val="0"/>
                    <w:snapToGrid w:val="0"/>
                    <w:spacing w:before="0" w:beforeAutospacing="0" w:after="0" w:afterAutospacing="0" w:line="240" w:lineRule="auto"/>
                    <w:ind w:left="0" w:right="0" w:firstLine="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第八条 土壤及地下水污染防治应坚持源头控制、分区防控、跟踪监测和应急响应的防控原则。项目应对涉及有毒有害物质生产、使用、贮存、运输、回收、处置、排放的装置、设备设施及场所，提出防腐蚀、防渗漏、防流失、防扬散等土壤和地下水污染防治具体措施，并根据环境保护目标的敏感程度、项目平面布局、水文地质条件等采取分区防渗措施，提出有效的土壤、地下水监控和应急方案，避免污染土壤和地下水。对于可能受影响的地下水环境敏感目标，应提出保护措施；涉及饮用水功能的，强化地下水环境保护措施，确保饮用水安全。涉及土壤污染重点监管单位的新建、改建、扩建项目，需提出土壤污染隐患排查、土壤和地下水自行监测相关要求。</w:t>
                  </w:r>
                </w:p>
              </w:tc>
              <w:tc>
                <w:tcPr>
                  <w:tcW w:w="2652" w:type="dxa"/>
                  <w:tcBorders>
                    <w:tl2br w:val="nil"/>
                    <w:tr2bl w:val="nil"/>
                  </w:tcBorders>
                  <w:vAlign w:val="center"/>
                </w:tcPr>
                <w:p w14:paraId="7709A452">
                  <w:pPr>
                    <w:pStyle w:val="56"/>
                    <w:keepNext w:val="0"/>
                    <w:keepLines w:val="0"/>
                    <w:numPr>
                      <w:ilvl w:val="0"/>
                      <w:numId w:val="0"/>
                    </w:numPr>
                    <w:suppressLineNumbers w:val="0"/>
                    <w:adjustRightInd w:val="0"/>
                    <w:snapToGrid w:val="0"/>
                    <w:spacing w:before="0" w:beforeAutospacing="0" w:after="0" w:afterAutospacing="0" w:line="240" w:lineRule="auto"/>
                    <w:ind w:left="0" w:leftChars="0" w:right="0" w:rightChars="0"/>
                    <w:jc w:val="both"/>
                    <w:rPr>
                      <w:rFonts w:hint="eastAsia" w:ascii="Times New Roman" w:hAnsi="宋体" w:cs="Times New Roman"/>
                      <w:color w:val="000000"/>
                      <w:sz w:val="21"/>
                      <w:szCs w:val="21"/>
                      <w:lang w:val="en-US" w:eastAsia="zh-CN"/>
                    </w:rPr>
                  </w:pPr>
                  <w:r>
                    <w:rPr>
                      <w:rFonts w:hint="eastAsia" w:ascii="Times New Roman" w:hAnsi="宋体" w:cs="Times New Roman"/>
                      <w:color w:val="000000"/>
                      <w:sz w:val="21"/>
                      <w:szCs w:val="21"/>
                      <w:lang w:val="en-US" w:eastAsia="zh-CN"/>
                    </w:rPr>
                    <w:t>本项目对危废暂存间、沉淀池、污水处理站等进行重点防渗。</w:t>
                  </w:r>
                </w:p>
              </w:tc>
              <w:tc>
                <w:tcPr>
                  <w:tcW w:w="885" w:type="dxa"/>
                  <w:tcBorders>
                    <w:tl2br w:val="nil"/>
                    <w:tr2bl w:val="nil"/>
                  </w:tcBorders>
                  <w:vAlign w:val="center"/>
                </w:tcPr>
                <w:p w14:paraId="4463B4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eastAsia="宋体"/>
                      <w:sz w:val="21"/>
                      <w:szCs w:val="21"/>
                      <w:lang w:val="en-US" w:eastAsia="zh-CN"/>
                    </w:rPr>
                  </w:pPr>
                  <w:r>
                    <w:rPr>
                      <w:rFonts w:hint="eastAsia"/>
                      <w:sz w:val="21"/>
                      <w:szCs w:val="21"/>
                      <w:lang w:val="en-US" w:eastAsia="zh-CN"/>
                    </w:rPr>
                    <w:t>相  符</w:t>
                  </w:r>
                </w:p>
              </w:tc>
            </w:tr>
            <w:tr w14:paraId="4F6264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03" w:type="dxa"/>
                  <w:tcBorders>
                    <w:tl2br w:val="nil"/>
                    <w:tr2bl w:val="nil"/>
                  </w:tcBorders>
                  <w:vAlign w:val="center"/>
                </w:tcPr>
                <w:p w14:paraId="4CBC6521">
                  <w:pPr>
                    <w:pStyle w:val="56"/>
                    <w:keepNext w:val="0"/>
                    <w:keepLines w:val="0"/>
                    <w:suppressLineNumbers w:val="0"/>
                    <w:adjustRightInd w:val="0"/>
                    <w:snapToGrid w:val="0"/>
                    <w:spacing w:before="0" w:beforeAutospacing="0" w:after="0" w:afterAutospacing="0" w:line="240" w:lineRule="auto"/>
                    <w:ind w:left="0" w:right="0" w:firstLine="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第九条 按照减量化、资源化、无害化原则，妥善处理处置固体废物。NMP废液、废浆料等应严格管理，规范其收集、贮存、资源化利用等过程各项环境管理要求；废水处理产生的结晶盐作为副产品外售的应满足适用的产品质量标准要求；鼓励锂渣综合利用，无法综合利用的明确处理或处置去向，属于危险废物的应落实危险废物相关管理要求。固体废物贮存和处置应符合《危险废物贮存污染控制标准》（GB 18597）、《危险废物填埋污染控制标准》（GB 18598）、《一般工业固体废物贮存和填埋污染控制标准》（GB 18599）、《危险废物焚烧污染控制标准》（GB 18484）等相关要求。</w:t>
                  </w:r>
                </w:p>
              </w:tc>
              <w:tc>
                <w:tcPr>
                  <w:tcW w:w="2652" w:type="dxa"/>
                  <w:tcBorders>
                    <w:tl2br w:val="nil"/>
                    <w:tr2bl w:val="nil"/>
                  </w:tcBorders>
                  <w:vAlign w:val="center"/>
                </w:tcPr>
                <w:p w14:paraId="3770C29B">
                  <w:pPr>
                    <w:pStyle w:val="56"/>
                    <w:keepNext w:val="0"/>
                    <w:keepLines w:val="0"/>
                    <w:numPr>
                      <w:ilvl w:val="0"/>
                      <w:numId w:val="0"/>
                    </w:numPr>
                    <w:suppressLineNumbers w:val="0"/>
                    <w:adjustRightInd w:val="0"/>
                    <w:snapToGrid w:val="0"/>
                    <w:spacing w:before="0" w:beforeAutospacing="0" w:after="0" w:afterAutospacing="0" w:line="240" w:lineRule="auto"/>
                    <w:ind w:left="0" w:leftChars="0" w:right="0" w:rightChars="0"/>
                    <w:jc w:val="both"/>
                    <w:rPr>
                      <w:rFonts w:hint="eastAsia" w:ascii="Times New Roman" w:hAnsi="宋体" w:cs="Times New Roman"/>
                      <w:color w:val="000000"/>
                      <w:sz w:val="21"/>
                      <w:szCs w:val="21"/>
                      <w:lang w:val="en-US" w:eastAsia="zh-CN"/>
                    </w:rPr>
                  </w:pPr>
                  <w:r>
                    <w:rPr>
                      <w:rFonts w:hint="eastAsia" w:ascii="Times New Roman" w:hAnsi="宋体" w:cs="Times New Roman"/>
                      <w:color w:val="000000"/>
                      <w:sz w:val="21"/>
                      <w:szCs w:val="21"/>
                      <w:lang w:val="en-US" w:eastAsia="zh-CN"/>
                    </w:rPr>
                    <w:t>固废在厂区内分区分类存放，定期处置。NMP废液在厂区内暂存，定期由厂家回收。</w:t>
                  </w:r>
                  <w:r>
                    <w:rPr>
                      <w:rFonts w:hint="default" w:ascii="Times New Roman" w:hAnsi="Times New Roman" w:eastAsia="宋体" w:cs="Times New Roman"/>
                      <w:sz w:val="21"/>
                      <w:szCs w:val="21"/>
                    </w:rPr>
                    <w:t>固体废物贮存和处置应符合《危险废物贮存污染控制标准》（GB 18597</w:t>
                  </w:r>
                  <w:r>
                    <w:rPr>
                      <w:rFonts w:hint="eastAsia" w:ascii="Times New Roman" w:hAnsi="Times New Roman" w:cs="Times New Roman"/>
                      <w:sz w:val="21"/>
                      <w:szCs w:val="21"/>
                      <w:lang w:val="en-US" w:eastAsia="zh-CN"/>
                    </w:rPr>
                    <w:t>-2023</w:t>
                  </w:r>
                  <w:r>
                    <w:rPr>
                      <w:rFonts w:hint="default" w:ascii="Times New Roman" w:hAnsi="Times New Roman" w:eastAsia="宋体" w:cs="Times New Roman"/>
                      <w:sz w:val="21"/>
                      <w:szCs w:val="21"/>
                    </w:rPr>
                    <w:t>）、《危险废物填埋污染控制标准》（GB 18598</w:t>
                  </w:r>
                  <w:r>
                    <w:rPr>
                      <w:rFonts w:hint="eastAsia" w:ascii="Times New Roman" w:hAnsi="Times New Roman" w:cs="Times New Roman"/>
                      <w:sz w:val="21"/>
                      <w:szCs w:val="21"/>
                      <w:lang w:val="en-US" w:eastAsia="zh-CN"/>
                    </w:rPr>
                    <w:t>-2019</w:t>
                  </w:r>
                  <w:r>
                    <w:rPr>
                      <w:rFonts w:hint="default" w:ascii="Times New Roman" w:hAnsi="Times New Roman" w:eastAsia="宋体" w:cs="Times New Roman"/>
                      <w:sz w:val="21"/>
                      <w:szCs w:val="21"/>
                    </w:rPr>
                    <w:t>）、《一般工业固体废物贮存和填埋污染控制标准》（GB 18599</w:t>
                  </w:r>
                  <w:r>
                    <w:rPr>
                      <w:rFonts w:hint="eastAsia" w:ascii="Times New Roman" w:hAnsi="Times New Roman" w:cs="Times New Roman"/>
                      <w:sz w:val="21"/>
                      <w:szCs w:val="21"/>
                      <w:lang w:val="en-US" w:eastAsia="zh-CN"/>
                    </w:rPr>
                    <w:t>-2020</w:t>
                  </w:r>
                  <w:r>
                    <w:rPr>
                      <w:rFonts w:hint="default" w:ascii="Times New Roman" w:hAnsi="Times New Roman" w:eastAsia="宋体" w:cs="Times New Roman"/>
                      <w:sz w:val="21"/>
                      <w:szCs w:val="21"/>
                    </w:rPr>
                    <w:t>）、《危险废物焚烧污染控制标准》（GB 18484</w:t>
                  </w:r>
                  <w:r>
                    <w:rPr>
                      <w:rFonts w:hint="eastAsia" w:ascii="Times New Roman" w:hAnsi="Times New Roman" w:cs="Times New Roman"/>
                      <w:sz w:val="21"/>
                      <w:szCs w:val="21"/>
                      <w:lang w:val="en-US" w:eastAsia="zh-CN"/>
                    </w:rPr>
                    <w:t>-2020</w:t>
                  </w:r>
                  <w:r>
                    <w:rPr>
                      <w:rFonts w:hint="default" w:ascii="Times New Roman" w:hAnsi="Times New Roman" w:eastAsia="宋体" w:cs="Times New Roman"/>
                      <w:sz w:val="21"/>
                      <w:szCs w:val="21"/>
                    </w:rPr>
                    <w:t>）等相关要求。</w:t>
                  </w:r>
                </w:p>
              </w:tc>
              <w:tc>
                <w:tcPr>
                  <w:tcW w:w="885" w:type="dxa"/>
                  <w:tcBorders>
                    <w:tl2br w:val="nil"/>
                    <w:tr2bl w:val="nil"/>
                  </w:tcBorders>
                  <w:vAlign w:val="center"/>
                </w:tcPr>
                <w:p w14:paraId="751859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 w:val="21"/>
                      <w:szCs w:val="21"/>
                    </w:rPr>
                  </w:pPr>
                  <w:r>
                    <w:rPr>
                      <w:rFonts w:hint="eastAsia"/>
                      <w:sz w:val="21"/>
                      <w:szCs w:val="21"/>
                      <w:lang w:val="en-US" w:eastAsia="zh-CN"/>
                    </w:rPr>
                    <w:t>相  符</w:t>
                  </w:r>
                </w:p>
              </w:tc>
            </w:tr>
            <w:tr w14:paraId="66DAF9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03" w:type="dxa"/>
                  <w:tcBorders>
                    <w:tl2br w:val="nil"/>
                    <w:tr2bl w:val="nil"/>
                  </w:tcBorders>
                  <w:vAlign w:val="center"/>
                </w:tcPr>
                <w:p w14:paraId="309ACCD7">
                  <w:pPr>
                    <w:pStyle w:val="56"/>
                    <w:keepNext w:val="0"/>
                    <w:keepLines w:val="0"/>
                    <w:suppressLineNumbers w:val="0"/>
                    <w:adjustRightInd w:val="0"/>
                    <w:snapToGrid w:val="0"/>
                    <w:spacing w:before="0" w:beforeAutospacing="0" w:after="0" w:afterAutospacing="0" w:line="240" w:lineRule="auto"/>
                    <w:ind w:left="0" w:right="0" w:firstLine="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第十条 优化厂区平面布置，优先选择低噪声设备和工艺，采取减振、隔声、消声等措施有效控制噪声污染。加强厂区内固定设备、运输工具、货物装卸等噪声源管理，同时避免突发噪声扰民。厂界噪声应满足《工业企业厂界环境噪声排放标准》（GB 12348）要求。位于噪声敏感建筑物集中区域的改建、扩建项目，应强化噪 声污染防治措施，进一步降低噪声影响。</w:t>
                  </w:r>
                </w:p>
              </w:tc>
              <w:tc>
                <w:tcPr>
                  <w:tcW w:w="2652" w:type="dxa"/>
                  <w:tcBorders>
                    <w:tl2br w:val="nil"/>
                    <w:tr2bl w:val="nil"/>
                  </w:tcBorders>
                  <w:vAlign w:val="center"/>
                </w:tcPr>
                <w:p w14:paraId="04720979">
                  <w:pPr>
                    <w:pStyle w:val="56"/>
                    <w:keepNext w:val="0"/>
                    <w:keepLines w:val="0"/>
                    <w:numPr>
                      <w:ilvl w:val="0"/>
                      <w:numId w:val="0"/>
                    </w:numPr>
                    <w:suppressLineNumbers w:val="0"/>
                    <w:adjustRightInd w:val="0"/>
                    <w:snapToGrid w:val="0"/>
                    <w:spacing w:before="0" w:beforeAutospacing="0" w:after="0" w:afterAutospacing="0" w:line="240" w:lineRule="auto"/>
                    <w:ind w:left="0" w:leftChars="0" w:right="0" w:rightChars="0"/>
                    <w:jc w:val="both"/>
                    <w:rPr>
                      <w:rFonts w:hint="default" w:ascii="Times New Roman" w:hAnsi="宋体" w:cs="Times New Roman"/>
                      <w:color w:val="000000"/>
                      <w:sz w:val="21"/>
                      <w:szCs w:val="21"/>
                      <w:lang w:val="en-US" w:eastAsia="zh-CN"/>
                    </w:rPr>
                  </w:pPr>
                  <w:r>
                    <w:rPr>
                      <w:rFonts w:hint="eastAsia" w:ascii="Times New Roman" w:hAnsi="宋体" w:cs="Times New Roman"/>
                      <w:color w:val="000000"/>
                      <w:sz w:val="21"/>
                      <w:szCs w:val="21"/>
                      <w:lang w:val="en-US" w:eastAsia="zh-CN"/>
                    </w:rPr>
                    <w:t>本项目采取减振、隔声等措施控制噪声，厂界噪声满足</w:t>
                  </w:r>
                  <w:r>
                    <w:rPr>
                      <w:rFonts w:hint="default" w:ascii="Times New Roman" w:hAnsi="Times New Roman" w:eastAsia="宋体" w:cs="Times New Roman"/>
                      <w:sz w:val="21"/>
                      <w:szCs w:val="21"/>
                    </w:rPr>
                    <w:t>《工业企业厂界环境噪声排放标准》（GB 12348</w:t>
                  </w:r>
                  <w:r>
                    <w:rPr>
                      <w:rFonts w:hint="eastAsia" w:ascii="Times New Roman" w:hAnsi="Times New Roman" w:cs="Times New Roman"/>
                      <w:sz w:val="21"/>
                      <w:szCs w:val="21"/>
                      <w:lang w:val="en-US" w:eastAsia="zh-CN"/>
                    </w:rPr>
                    <w:t>-2008</w:t>
                  </w:r>
                  <w:r>
                    <w:rPr>
                      <w:rFonts w:hint="default" w:ascii="Times New Roman" w:hAnsi="Times New Roman" w:eastAsia="宋体" w:cs="Times New Roman"/>
                      <w:sz w:val="21"/>
                      <w:szCs w:val="21"/>
                    </w:rPr>
                    <w:t>）</w:t>
                  </w:r>
                  <w:r>
                    <w:rPr>
                      <w:rFonts w:hint="eastAsia" w:ascii="Times New Roman" w:hAnsi="Times New Roman" w:cs="Times New Roman"/>
                      <w:sz w:val="21"/>
                      <w:szCs w:val="21"/>
                      <w:lang w:val="en-US" w:eastAsia="zh-CN"/>
                    </w:rPr>
                    <w:t>3类</w:t>
                  </w:r>
                  <w:r>
                    <w:rPr>
                      <w:rFonts w:hint="default" w:ascii="Times New Roman" w:hAnsi="Times New Roman" w:eastAsia="宋体" w:cs="Times New Roman"/>
                      <w:sz w:val="21"/>
                      <w:szCs w:val="21"/>
                    </w:rPr>
                    <w:t>要求</w:t>
                  </w:r>
                </w:p>
              </w:tc>
              <w:tc>
                <w:tcPr>
                  <w:tcW w:w="885" w:type="dxa"/>
                  <w:tcBorders>
                    <w:tl2br w:val="nil"/>
                    <w:tr2bl w:val="nil"/>
                  </w:tcBorders>
                  <w:vAlign w:val="center"/>
                </w:tcPr>
                <w:p w14:paraId="2BB19AA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 w:val="21"/>
                      <w:szCs w:val="21"/>
                    </w:rPr>
                  </w:pPr>
                  <w:r>
                    <w:rPr>
                      <w:rFonts w:hint="eastAsia"/>
                      <w:sz w:val="21"/>
                      <w:szCs w:val="21"/>
                      <w:lang w:val="en-US" w:eastAsia="zh-CN"/>
                    </w:rPr>
                    <w:t>相  符</w:t>
                  </w:r>
                </w:p>
              </w:tc>
            </w:tr>
            <w:tr w14:paraId="575D37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03" w:type="dxa"/>
                  <w:tcBorders>
                    <w:tl2br w:val="nil"/>
                    <w:tr2bl w:val="nil"/>
                  </w:tcBorders>
                  <w:vAlign w:val="center"/>
                </w:tcPr>
                <w:p w14:paraId="25608380">
                  <w:pPr>
                    <w:pStyle w:val="56"/>
                    <w:keepNext w:val="0"/>
                    <w:keepLines w:val="0"/>
                    <w:suppressLineNumbers w:val="0"/>
                    <w:adjustRightInd w:val="0"/>
                    <w:snapToGrid w:val="0"/>
                    <w:spacing w:before="0" w:beforeAutospacing="0" w:after="0" w:afterAutospacing="0" w:line="240" w:lineRule="auto"/>
                    <w:ind w:left="0" w:right="0" w:firstLine="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第十一条 严密防控项目环境风险，建立完善的环境风险防控体系，提升环境风险防控能力，确保环境风险防范和应急措施合理、有效。针对项目可能产生的突发环境事件制定有效的风险防范和应急措施，建立项目环境风险防范与应急管理体系，提出运行期突发环境事件应急预案编制要求。</w:t>
                  </w:r>
                </w:p>
              </w:tc>
              <w:tc>
                <w:tcPr>
                  <w:tcW w:w="2652" w:type="dxa"/>
                  <w:tcBorders>
                    <w:tl2br w:val="nil"/>
                    <w:tr2bl w:val="nil"/>
                  </w:tcBorders>
                  <w:vAlign w:val="center"/>
                </w:tcPr>
                <w:p w14:paraId="2144206C">
                  <w:pPr>
                    <w:pStyle w:val="56"/>
                    <w:keepNext w:val="0"/>
                    <w:keepLines w:val="0"/>
                    <w:numPr>
                      <w:ilvl w:val="0"/>
                      <w:numId w:val="0"/>
                    </w:numPr>
                    <w:suppressLineNumbers w:val="0"/>
                    <w:adjustRightInd w:val="0"/>
                    <w:snapToGrid w:val="0"/>
                    <w:spacing w:before="0" w:beforeAutospacing="0" w:after="0" w:afterAutospacing="0" w:line="240" w:lineRule="auto"/>
                    <w:ind w:left="0" w:leftChars="0" w:right="0" w:rightChars="0"/>
                    <w:jc w:val="both"/>
                    <w:rPr>
                      <w:rFonts w:hint="default" w:ascii="Times New Roman" w:hAnsi="宋体" w:cs="Times New Roman"/>
                      <w:color w:val="000000"/>
                      <w:sz w:val="21"/>
                      <w:szCs w:val="21"/>
                      <w:lang w:val="en-US" w:eastAsia="zh-CN"/>
                    </w:rPr>
                  </w:pPr>
                  <w:r>
                    <w:rPr>
                      <w:rFonts w:hint="eastAsia" w:ascii="Times New Roman" w:hAnsi="宋体" w:cs="Times New Roman"/>
                      <w:color w:val="000000"/>
                      <w:sz w:val="21"/>
                      <w:szCs w:val="21"/>
                      <w:lang w:val="en-US" w:eastAsia="zh-CN"/>
                    </w:rPr>
                    <w:t>本企业已建立完善的环境风险防控体系，</w:t>
                  </w:r>
                  <w:r>
                    <w:rPr>
                      <w:rFonts w:hint="default" w:ascii="Times New Roman" w:hAnsi="Times New Roman" w:eastAsia="宋体" w:cs="Times New Roman"/>
                      <w:sz w:val="21"/>
                      <w:szCs w:val="21"/>
                    </w:rPr>
                    <w:t>针对项目可能产生的突发环境事件制定有效的风险防范和应急措施，建立项目环境风险防范与应急管理体系，提出运行期突发环境事件应急预案编制要求。</w:t>
                  </w:r>
                </w:p>
              </w:tc>
              <w:tc>
                <w:tcPr>
                  <w:tcW w:w="885" w:type="dxa"/>
                  <w:tcBorders>
                    <w:tl2br w:val="nil"/>
                    <w:tr2bl w:val="nil"/>
                  </w:tcBorders>
                  <w:vAlign w:val="center"/>
                </w:tcPr>
                <w:p w14:paraId="78A204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 w:val="21"/>
                      <w:szCs w:val="21"/>
                    </w:rPr>
                  </w:pPr>
                  <w:r>
                    <w:rPr>
                      <w:rFonts w:hint="eastAsia"/>
                      <w:sz w:val="21"/>
                      <w:szCs w:val="21"/>
                      <w:lang w:val="en-US" w:eastAsia="zh-CN"/>
                    </w:rPr>
                    <w:t>相  符</w:t>
                  </w:r>
                </w:p>
              </w:tc>
            </w:tr>
            <w:tr w14:paraId="68D49E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03" w:type="dxa"/>
                  <w:tcBorders>
                    <w:tl2br w:val="nil"/>
                    <w:tr2bl w:val="nil"/>
                  </w:tcBorders>
                  <w:vAlign w:val="center"/>
                </w:tcPr>
                <w:p w14:paraId="2C5F2A74">
                  <w:pPr>
                    <w:pStyle w:val="56"/>
                    <w:keepNext w:val="0"/>
                    <w:keepLines w:val="0"/>
                    <w:suppressLineNumbers w:val="0"/>
                    <w:adjustRightInd w:val="0"/>
                    <w:snapToGrid w:val="0"/>
                    <w:spacing w:before="0" w:beforeAutospacing="0" w:after="0" w:afterAutospacing="0" w:line="240" w:lineRule="auto"/>
                    <w:ind w:left="0" w:right="0" w:firstLine="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第十二条 改、扩建项目应全面梳理现有工程存在的环保问题或减排潜力，提出有效整改或改进措施。</w:t>
                  </w:r>
                </w:p>
              </w:tc>
              <w:tc>
                <w:tcPr>
                  <w:tcW w:w="2652" w:type="dxa"/>
                  <w:tcBorders>
                    <w:tl2br w:val="nil"/>
                    <w:tr2bl w:val="nil"/>
                  </w:tcBorders>
                  <w:vAlign w:val="center"/>
                </w:tcPr>
                <w:p w14:paraId="70B3659E">
                  <w:pPr>
                    <w:pStyle w:val="56"/>
                    <w:keepNext w:val="0"/>
                    <w:keepLines w:val="0"/>
                    <w:numPr>
                      <w:ilvl w:val="0"/>
                      <w:numId w:val="0"/>
                    </w:numPr>
                    <w:suppressLineNumbers w:val="0"/>
                    <w:adjustRightInd w:val="0"/>
                    <w:snapToGrid w:val="0"/>
                    <w:spacing w:before="0" w:beforeAutospacing="0" w:after="0" w:afterAutospacing="0" w:line="240" w:lineRule="auto"/>
                    <w:ind w:left="0" w:leftChars="0" w:right="0" w:rightChars="0"/>
                    <w:jc w:val="both"/>
                    <w:rPr>
                      <w:rFonts w:hint="eastAsia" w:ascii="Times New Roman" w:hAnsi="宋体" w:cs="Times New Roman"/>
                      <w:color w:val="000000"/>
                      <w:sz w:val="21"/>
                      <w:szCs w:val="21"/>
                      <w:lang w:val="en-US" w:eastAsia="zh-CN"/>
                    </w:rPr>
                  </w:pPr>
                  <w:r>
                    <w:rPr>
                      <w:rFonts w:hint="eastAsia" w:ascii="Times New Roman" w:hAnsi="宋体" w:cs="Times New Roman"/>
                      <w:color w:val="000000"/>
                      <w:sz w:val="21"/>
                      <w:szCs w:val="21"/>
                      <w:lang w:val="en-US" w:eastAsia="zh-CN"/>
                    </w:rPr>
                    <w:t>本项目现有工程不存在环保问题</w:t>
                  </w:r>
                </w:p>
              </w:tc>
              <w:tc>
                <w:tcPr>
                  <w:tcW w:w="885" w:type="dxa"/>
                  <w:tcBorders>
                    <w:tl2br w:val="nil"/>
                    <w:tr2bl w:val="nil"/>
                  </w:tcBorders>
                  <w:vAlign w:val="center"/>
                </w:tcPr>
                <w:p w14:paraId="36C294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 w:val="21"/>
                      <w:szCs w:val="21"/>
                    </w:rPr>
                  </w:pPr>
                  <w:r>
                    <w:rPr>
                      <w:rFonts w:hint="eastAsia"/>
                      <w:sz w:val="21"/>
                      <w:szCs w:val="21"/>
                      <w:lang w:val="en-US" w:eastAsia="zh-CN"/>
                    </w:rPr>
                    <w:t>相  符</w:t>
                  </w:r>
                </w:p>
              </w:tc>
            </w:tr>
            <w:tr w14:paraId="39E9E6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03" w:type="dxa"/>
                  <w:tcBorders>
                    <w:tl2br w:val="nil"/>
                    <w:tr2bl w:val="nil"/>
                  </w:tcBorders>
                  <w:vAlign w:val="center"/>
                </w:tcPr>
                <w:p w14:paraId="6DFCDA0E">
                  <w:pPr>
                    <w:pStyle w:val="56"/>
                    <w:keepNext w:val="0"/>
                    <w:keepLines w:val="0"/>
                    <w:suppressLineNumbers w:val="0"/>
                    <w:adjustRightInd w:val="0"/>
                    <w:snapToGrid w:val="0"/>
                    <w:spacing w:before="0" w:beforeAutospacing="0" w:after="0" w:afterAutospacing="0" w:line="240" w:lineRule="auto"/>
                    <w:ind w:left="0" w:right="0" w:firstLine="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第十三条 明确项目实施后的环境管理要求和环境监测计划。根据自行监测技术指南和排污许可证申请与核发技术规范要求，制定废水、废气污染物排放及厂界环境噪声监测计划并开展监测，监测位置应符合技术规范要求。涉及水、大气有毒有害污染物名录以及重点控制的土壤有毒有害物质名录中污染物排放的，还应依法依 规制定周边环境监测计划。负极材料制造等项目应关注苯并[a]芘等特征污染物的累积环境影响。</w:t>
                  </w:r>
                </w:p>
              </w:tc>
              <w:tc>
                <w:tcPr>
                  <w:tcW w:w="2652" w:type="dxa"/>
                  <w:tcBorders>
                    <w:tl2br w:val="nil"/>
                    <w:tr2bl w:val="nil"/>
                  </w:tcBorders>
                  <w:vAlign w:val="center"/>
                </w:tcPr>
                <w:p w14:paraId="0CD0F469">
                  <w:pPr>
                    <w:pStyle w:val="56"/>
                    <w:keepNext w:val="0"/>
                    <w:keepLines w:val="0"/>
                    <w:numPr>
                      <w:ilvl w:val="0"/>
                      <w:numId w:val="0"/>
                    </w:numPr>
                    <w:suppressLineNumbers w:val="0"/>
                    <w:adjustRightInd w:val="0"/>
                    <w:snapToGrid w:val="0"/>
                    <w:spacing w:before="0" w:beforeAutospacing="0" w:after="0" w:afterAutospacing="0" w:line="240" w:lineRule="auto"/>
                    <w:ind w:left="0" w:leftChars="0" w:right="0" w:rightChars="0"/>
                    <w:jc w:val="both"/>
                    <w:rPr>
                      <w:rFonts w:hint="default" w:ascii="Times New Roman" w:hAnsi="宋体" w:cs="Times New Roman"/>
                      <w:color w:val="000000"/>
                      <w:sz w:val="21"/>
                      <w:szCs w:val="21"/>
                      <w:lang w:val="en-US" w:eastAsia="zh-CN"/>
                    </w:rPr>
                  </w:pPr>
                  <w:r>
                    <w:rPr>
                      <w:rFonts w:hint="eastAsia" w:ascii="Times New Roman" w:hAnsi="宋体" w:cs="Times New Roman"/>
                      <w:color w:val="000000"/>
                      <w:sz w:val="21"/>
                      <w:szCs w:val="21"/>
                      <w:lang w:val="en-US" w:eastAsia="zh-CN"/>
                    </w:rPr>
                    <w:t>本项目按照《排污单位自行监测技术指南 电池工业》（HJ 1204-2021）等要求制定废水、废气污染物监测计划。</w:t>
                  </w:r>
                </w:p>
              </w:tc>
              <w:tc>
                <w:tcPr>
                  <w:tcW w:w="885" w:type="dxa"/>
                  <w:tcBorders>
                    <w:tl2br w:val="nil"/>
                    <w:tr2bl w:val="nil"/>
                  </w:tcBorders>
                  <w:vAlign w:val="center"/>
                </w:tcPr>
                <w:p w14:paraId="735070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 w:val="21"/>
                      <w:szCs w:val="21"/>
                    </w:rPr>
                  </w:pPr>
                  <w:r>
                    <w:rPr>
                      <w:rFonts w:hint="eastAsia"/>
                      <w:sz w:val="21"/>
                      <w:szCs w:val="21"/>
                      <w:lang w:val="en-US" w:eastAsia="zh-CN"/>
                    </w:rPr>
                    <w:t>相  符</w:t>
                  </w:r>
                </w:p>
              </w:tc>
            </w:tr>
            <w:tr w14:paraId="2D441A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03" w:type="dxa"/>
                  <w:tcBorders>
                    <w:tl2br w:val="nil"/>
                    <w:tr2bl w:val="nil"/>
                  </w:tcBorders>
                  <w:vAlign w:val="center"/>
                </w:tcPr>
                <w:p w14:paraId="691DE94A">
                  <w:pPr>
                    <w:pStyle w:val="56"/>
                    <w:keepNext w:val="0"/>
                    <w:keepLines w:val="0"/>
                    <w:suppressLineNumbers w:val="0"/>
                    <w:adjustRightInd w:val="0"/>
                    <w:snapToGrid w:val="0"/>
                    <w:spacing w:before="0" w:beforeAutospacing="0" w:after="0" w:afterAutospacing="0" w:line="240" w:lineRule="auto"/>
                    <w:ind w:left="0" w:right="0" w:firstLine="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第十四条 按相关规定开展信息公开和公众参与。</w:t>
                  </w:r>
                </w:p>
              </w:tc>
              <w:tc>
                <w:tcPr>
                  <w:tcW w:w="2652" w:type="dxa"/>
                  <w:tcBorders>
                    <w:tl2br w:val="nil"/>
                    <w:tr2bl w:val="nil"/>
                  </w:tcBorders>
                  <w:vAlign w:val="center"/>
                </w:tcPr>
                <w:p w14:paraId="1840F360">
                  <w:pPr>
                    <w:pStyle w:val="56"/>
                    <w:keepNext w:val="0"/>
                    <w:keepLines w:val="0"/>
                    <w:numPr>
                      <w:ilvl w:val="0"/>
                      <w:numId w:val="0"/>
                    </w:numPr>
                    <w:suppressLineNumbers w:val="0"/>
                    <w:adjustRightInd w:val="0"/>
                    <w:snapToGrid w:val="0"/>
                    <w:spacing w:before="0" w:beforeAutospacing="0" w:after="0" w:afterAutospacing="0" w:line="240" w:lineRule="auto"/>
                    <w:ind w:left="0" w:leftChars="0" w:right="0" w:rightChars="0"/>
                    <w:jc w:val="both"/>
                    <w:rPr>
                      <w:rFonts w:hint="default" w:ascii="Times New Roman" w:hAnsi="宋体" w:cs="Times New Roman"/>
                      <w:color w:val="000000"/>
                      <w:sz w:val="21"/>
                      <w:szCs w:val="21"/>
                      <w:lang w:val="en-US" w:eastAsia="zh-CN"/>
                    </w:rPr>
                  </w:pPr>
                  <w:r>
                    <w:rPr>
                      <w:rFonts w:hint="eastAsia" w:ascii="Times New Roman" w:hAnsi="宋体" w:cs="Times New Roman"/>
                      <w:color w:val="000000"/>
                      <w:sz w:val="21"/>
                      <w:szCs w:val="21"/>
                      <w:lang w:val="en-US" w:eastAsia="zh-CN"/>
                    </w:rPr>
                    <w:t>本项目不涉及信息公开和公众参与</w:t>
                  </w:r>
                </w:p>
              </w:tc>
              <w:tc>
                <w:tcPr>
                  <w:tcW w:w="885" w:type="dxa"/>
                  <w:tcBorders>
                    <w:tl2br w:val="nil"/>
                    <w:tr2bl w:val="nil"/>
                  </w:tcBorders>
                  <w:vAlign w:val="center"/>
                </w:tcPr>
                <w:p w14:paraId="58DC71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 w:val="21"/>
                      <w:szCs w:val="21"/>
                    </w:rPr>
                  </w:pPr>
                  <w:r>
                    <w:rPr>
                      <w:rFonts w:hint="eastAsia"/>
                      <w:sz w:val="21"/>
                      <w:szCs w:val="21"/>
                      <w:lang w:val="en-US" w:eastAsia="zh-CN"/>
                    </w:rPr>
                    <w:t>相  符</w:t>
                  </w:r>
                </w:p>
              </w:tc>
            </w:tr>
            <w:tr w14:paraId="44D51C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03" w:type="dxa"/>
                  <w:tcBorders>
                    <w:tl2br w:val="nil"/>
                    <w:tr2bl w:val="nil"/>
                  </w:tcBorders>
                  <w:vAlign w:val="center"/>
                </w:tcPr>
                <w:p w14:paraId="39C5D346">
                  <w:pPr>
                    <w:pStyle w:val="56"/>
                    <w:keepNext w:val="0"/>
                    <w:keepLines w:val="0"/>
                    <w:suppressLineNumbers w:val="0"/>
                    <w:adjustRightInd w:val="0"/>
                    <w:snapToGrid w:val="0"/>
                    <w:spacing w:before="0" w:beforeAutospacing="0" w:after="0" w:afterAutospacing="0" w:line="240" w:lineRule="auto"/>
                    <w:ind w:left="0" w:right="0" w:firstLine="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第十五条 项目污染防治设施建设依照《中华人民共和国安全生产法》有关规定接受监督。</w:t>
                  </w:r>
                </w:p>
              </w:tc>
              <w:tc>
                <w:tcPr>
                  <w:tcW w:w="2652" w:type="dxa"/>
                  <w:tcBorders>
                    <w:tl2br w:val="nil"/>
                    <w:tr2bl w:val="nil"/>
                  </w:tcBorders>
                  <w:vAlign w:val="center"/>
                </w:tcPr>
                <w:p w14:paraId="0026EB41">
                  <w:pPr>
                    <w:pStyle w:val="56"/>
                    <w:keepNext w:val="0"/>
                    <w:keepLines w:val="0"/>
                    <w:numPr>
                      <w:ilvl w:val="0"/>
                      <w:numId w:val="0"/>
                    </w:numPr>
                    <w:suppressLineNumbers w:val="0"/>
                    <w:adjustRightInd w:val="0"/>
                    <w:snapToGrid w:val="0"/>
                    <w:spacing w:before="0" w:beforeAutospacing="0" w:after="0" w:afterAutospacing="0" w:line="240" w:lineRule="auto"/>
                    <w:ind w:left="0" w:leftChars="0" w:right="0" w:rightChars="0"/>
                    <w:jc w:val="both"/>
                    <w:rPr>
                      <w:rFonts w:hint="eastAsia" w:ascii="Times New Roman" w:hAnsi="宋体" w:cs="Times New Roman"/>
                      <w:color w:val="000000"/>
                      <w:sz w:val="21"/>
                      <w:szCs w:val="21"/>
                      <w:lang w:val="en-US" w:eastAsia="zh-CN"/>
                    </w:rPr>
                  </w:pPr>
                  <w:r>
                    <w:rPr>
                      <w:rFonts w:hint="eastAsia" w:ascii="Times New Roman" w:hAnsi="Times New Roman" w:cs="Times New Roman"/>
                      <w:sz w:val="21"/>
                      <w:szCs w:val="21"/>
                      <w:lang w:val="en-US" w:eastAsia="zh-CN"/>
                    </w:rPr>
                    <w:t>本</w:t>
                  </w:r>
                  <w:r>
                    <w:rPr>
                      <w:rFonts w:hint="default" w:ascii="Times New Roman" w:hAnsi="Times New Roman" w:eastAsia="宋体" w:cs="Times New Roman"/>
                      <w:sz w:val="21"/>
                      <w:szCs w:val="21"/>
                    </w:rPr>
                    <w:t>项目污染防治设施建设依照《中华人民共和国安全生产法》有关规定接受监督。</w:t>
                  </w:r>
                </w:p>
              </w:tc>
              <w:tc>
                <w:tcPr>
                  <w:tcW w:w="885" w:type="dxa"/>
                  <w:tcBorders>
                    <w:tl2br w:val="nil"/>
                    <w:tr2bl w:val="nil"/>
                  </w:tcBorders>
                  <w:vAlign w:val="center"/>
                </w:tcPr>
                <w:p w14:paraId="55B415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 w:val="21"/>
                      <w:szCs w:val="21"/>
                    </w:rPr>
                  </w:pPr>
                  <w:r>
                    <w:rPr>
                      <w:rFonts w:hint="eastAsia"/>
                      <w:sz w:val="21"/>
                      <w:szCs w:val="21"/>
                      <w:lang w:val="en-US" w:eastAsia="zh-CN"/>
                    </w:rPr>
                    <w:t>相  符</w:t>
                  </w:r>
                </w:p>
              </w:tc>
            </w:tr>
            <w:tr w14:paraId="2114CD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03" w:type="dxa"/>
                  <w:tcBorders>
                    <w:bottom w:val="single" w:color="auto" w:sz="8" w:space="0"/>
                  </w:tcBorders>
                  <w:vAlign w:val="center"/>
                </w:tcPr>
                <w:p w14:paraId="7455370F">
                  <w:pPr>
                    <w:pStyle w:val="56"/>
                    <w:keepNext w:val="0"/>
                    <w:keepLines w:val="0"/>
                    <w:suppressLineNumbers w:val="0"/>
                    <w:adjustRightInd w:val="0"/>
                    <w:snapToGrid w:val="0"/>
                    <w:spacing w:before="0" w:beforeAutospacing="0" w:after="0" w:afterAutospacing="0" w:line="240" w:lineRule="auto"/>
                    <w:ind w:left="0" w:right="0" w:firstLine="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第十六条 环境影响评价文件编制规范，基础资料数据应符合实际情况，内容完整、准确。环境影响评价结论应明确、合理，符合环境影响评价技术导则或建设项目环境影响报告表编制技术指南要求。</w:t>
                  </w:r>
                </w:p>
              </w:tc>
              <w:tc>
                <w:tcPr>
                  <w:tcW w:w="2652" w:type="dxa"/>
                  <w:tcBorders>
                    <w:bottom w:val="single" w:color="auto" w:sz="8" w:space="0"/>
                  </w:tcBorders>
                  <w:vAlign w:val="center"/>
                </w:tcPr>
                <w:p w14:paraId="7A3F7816">
                  <w:pPr>
                    <w:pStyle w:val="56"/>
                    <w:keepNext w:val="0"/>
                    <w:keepLines w:val="0"/>
                    <w:numPr>
                      <w:ilvl w:val="0"/>
                      <w:numId w:val="0"/>
                    </w:numPr>
                    <w:suppressLineNumbers w:val="0"/>
                    <w:adjustRightInd w:val="0"/>
                    <w:snapToGrid w:val="0"/>
                    <w:spacing w:before="0" w:beforeAutospacing="0" w:after="0" w:afterAutospacing="0" w:line="240" w:lineRule="auto"/>
                    <w:ind w:left="0" w:leftChars="0" w:right="0" w:rightChars="0"/>
                    <w:jc w:val="both"/>
                    <w:rPr>
                      <w:rFonts w:hint="eastAsia" w:ascii="Times New Roman" w:hAnsi="宋体" w:eastAsia="宋体" w:cs="Times New Roman"/>
                      <w:color w:val="000000"/>
                      <w:sz w:val="21"/>
                      <w:szCs w:val="21"/>
                      <w:lang w:val="en-US" w:eastAsia="zh-CN"/>
                    </w:rPr>
                  </w:pPr>
                  <w:r>
                    <w:rPr>
                      <w:rFonts w:hint="eastAsia" w:ascii="Times New Roman" w:hAnsi="宋体" w:cs="Times New Roman"/>
                      <w:color w:val="000000"/>
                      <w:sz w:val="21"/>
                      <w:szCs w:val="21"/>
                      <w:lang w:val="en-US" w:eastAsia="zh-CN"/>
                    </w:rPr>
                    <w:t>本项目</w:t>
                  </w:r>
                  <w:r>
                    <w:rPr>
                      <w:rFonts w:hint="default" w:ascii="Times New Roman" w:hAnsi="Times New Roman" w:eastAsia="宋体" w:cs="Times New Roman"/>
                      <w:sz w:val="21"/>
                      <w:szCs w:val="21"/>
                    </w:rPr>
                    <w:t>环境影响评价文件编制规范，基础资料数据应符合实际情况，内容完整、准确。环境影响评价结论应明确、合理，符合环境影响评价技术导则或建设项目环境影响报告表编制技术指南要求</w:t>
                  </w:r>
                  <w:r>
                    <w:rPr>
                      <w:rFonts w:hint="eastAsia" w:ascii="Times New Roman" w:hAnsi="Times New Roman" w:cs="Times New Roman"/>
                      <w:sz w:val="21"/>
                      <w:szCs w:val="21"/>
                      <w:lang w:eastAsia="zh-CN"/>
                    </w:rPr>
                    <w:t>。</w:t>
                  </w:r>
                </w:p>
              </w:tc>
              <w:tc>
                <w:tcPr>
                  <w:tcW w:w="885" w:type="dxa"/>
                  <w:tcBorders>
                    <w:bottom w:val="single" w:color="auto" w:sz="8" w:space="0"/>
                  </w:tcBorders>
                  <w:vAlign w:val="center"/>
                </w:tcPr>
                <w:p w14:paraId="168B83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 w:val="21"/>
                      <w:szCs w:val="21"/>
                    </w:rPr>
                  </w:pPr>
                  <w:r>
                    <w:rPr>
                      <w:rFonts w:hint="eastAsia"/>
                      <w:sz w:val="21"/>
                      <w:szCs w:val="21"/>
                      <w:lang w:val="en-US" w:eastAsia="zh-CN"/>
                    </w:rPr>
                    <w:t>相  符</w:t>
                  </w:r>
                </w:p>
              </w:tc>
            </w:tr>
          </w:tbl>
          <w:p w14:paraId="6E08522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firstLine="480" w:firstLineChars="200"/>
              <w:jc w:val="both"/>
              <w:textAlignment w:val="auto"/>
              <w:rPr>
                <w:rFonts w:hint="default" w:ascii="Times New Roman" w:hAnsi="宋体" w:eastAsia="宋体" w:cs="Times New Roman"/>
                <w:b w:val="0"/>
                <w:bCs w:val="0"/>
                <w:color w:val="auto"/>
                <w:sz w:val="24"/>
                <w:highlight w:val="none"/>
                <w:lang w:val="en-US" w:eastAsia="zh-CN"/>
              </w:rPr>
            </w:pPr>
            <w:r>
              <w:rPr>
                <w:rFonts w:hint="eastAsia" w:hAnsi="宋体" w:cs="Times New Roman"/>
                <w:b w:val="0"/>
                <w:bCs w:val="0"/>
                <w:color w:val="auto"/>
                <w:sz w:val="24"/>
                <w:highlight w:val="none"/>
                <w:lang w:val="en-US" w:eastAsia="zh-CN"/>
              </w:rPr>
              <w:t>本项目符合</w:t>
            </w:r>
            <w:r>
              <w:rPr>
                <w:rFonts w:hint="default" w:ascii="Times New Roman" w:hAnsi="宋体" w:cs="Times New Roman"/>
                <w:b w:val="0"/>
                <w:bCs w:val="0"/>
                <w:color w:val="auto"/>
                <w:sz w:val="24"/>
                <w:highlight w:val="none"/>
              </w:rPr>
              <w:t>《</w:t>
            </w:r>
            <w:r>
              <w:rPr>
                <w:rFonts w:hint="eastAsia"/>
                <w:b w:val="0"/>
                <w:bCs w:val="0"/>
                <w:color w:val="auto"/>
                <w:sz w:val="24"/>
                <w:lang w:val="en-US" w:eastAsia="zh-CN"/>
              </w:rPr>
              <w:t>锂离子电池及相关电池材料制造建设项目环境影响评价文件审批原则</w:t>
            </w:r>
            <w:r>
              <w:rPr>
                <w:rFonts w:hint="default" w:ascii="Times New Roman" w:hAnsi="宋体" w:cs="Times New Roman"/>
                <w:b w:val="0"/>
                <w:bCs w:val="0"/>
                <w:color w:val="auto"/>
                <w:sz w:val="24"/>
                <w:highlight w:val="none"/>
              </w:rPr>
              <w:t>》</w:t>
            </w:r>
            <w:r>
              <w:rPr>
                <w:rFonts w:hint="eastAsia" w:ascii="Times New Roman" w:hAnsi="宋体" w:cs="Times New Roman"/>
                <w:b w:val="0"/>
                <w:bCs w:val="0"/>
                <w:color w:val="auto"/>
                <w:sz w:val="24"/>
                <w:highlight w:val="none"/>
              </w:rPr>
              <w:t>（20</w:t>
            </w:r>
            <w:r>
              <w:rPr>
                <w:rFonts w:hint="eastAsia" w:hAnsi="宋体" w:cs="Times New Roman"/>
                <w:b w:val="0"/>
                <w:bCs w:val="0"/>
                <w:color w:val="auto"/>
                <w:sz w:val="24"/>
                <w:highlight w:val="none"/>
                <w:lang w:val="en-US" w:eastAsia="zh-CN"/>
              </w:rPr>
              <w:t>24</w:t>
            </w:r>
            <w:r>
              <w:rPr>
                <w:rFonts w:hint="eastAsia" w:ascii="Times New Roman" w:hAnsi="宋体" w:cs="Times New Roman"/>
                <w:b w:val="0"/>
                <w:bCs w:val="0"/>
                <w:color w:val="auto"/>
                <w:sz w:val="24"/>
                <w:highlight w:val="none"/>
              </w:rPr>
              <w:t>年版）</w:t>
            </w:r>
            <w:r>
              <w:rPr>
                <w:rFonts w:hint="eastAsia" w:hAnsi="宋体" w:cs="Times New Roman"/>
                <w:b w:val="0"/>
                <w:bCs w:val="0"/>
                <w:color w:val="auto"/>
                <w:sz w:val="24"/>
                <w:highlight w:val="none"/>
                <w:lang w:eastAsia="zh-CN"/>
              </w:rPr>
              <w:t>的</w:t>
            </w:r>
            <w:r>
              <w:rPr>
                <w:rFonts w:hint="eastAsia" w:hAnsi="宋体" w:cs="Times New Roman"/>
                <w:b w:val="0"/>
                <w:bCs w:val="0"/>
                <w:color w:val="auto"/>
                <w:sz w:val="24"/>
                <w:highlight w:val="none"/>
                <w:lang w:val="en-US" w:eastAsia="zh-CN"/>
              </w:rPr>
              <w:t>要求。</w:t>
            </w:r>
          </w:p>
          <w:p w14:paraId="653FB5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jc w:val="both"/>
              <w:textAlignment w:val="auto"/>
              <w:rPr>
                <w:rFonts w:hint="eastAsia" w:hAnsi="宋体" w:eastAsia="宋体"/>
                <w:b/>
                <w:bCs/>
                <w:color w:val="000000"/>
                <w:sz w:val="24"/>
                <w:highlight w:val="none"/>
                <w:lang w:val="en-US" w:eastAsia="zh-CN"/>
              </w:rPr>
            </w:pPr>
            <w:r>
              <w:rPr>
                <w:rFonts w:hint="eastAsia" w:hAnsi="宋体"/>
                <w:b/>
                <w:bCs/>
                <w:color w:val="000000"/>
                <w:sz w:val="24"/>
                <w:highlight w:val="none"/>
                <w:lang w:val="en-US" w:eastAsia="zh-CN"/>
              </w:rPr>
              <w:t>7、</w:t>
            </w:r>
            <w:r>
              <w:rPr>
                <w:rFonts w:hint="default" w:ascii="Times New Roman" w:hAnsi="宋体" w:cs="Times New Roman"/>
                <w:b/>
                <w:bCs/>
                <w:color w:val="auto"/>
                <w:sz w:val="24"/>
                <w:highlight w:val="none"/>
              </w:rPr>
              <w:t>本项目与《</w:t>
            </w:r>
            <w:r>
              <w:rPr>
                <w:rFonts w:hint="default"/>
                <w:b/>
                <w:bCs/>
                <w:color w:val="auto"/>
                <w:sz w:val="24"/>
              </w:rPr>
              <w:t>河南省重污染天气</w:t>
            </w:r>
            <w:r>
              <w:rPr>
                <w:rFonts w:hint="eastAsia"/>
                <w:b/>
                <w:bCs/>
                <w:color w:val="auto"/>
                <w:sz w:val="24"/>
                <w:lang w:val="en-US" w:eastAsia="zh-CN"/>
              </w:rPr>
              <w:t>重点</w:t>
            </w:r>
            <w:r>
              <w:rPr>
                <w:rFonts w:hint="default"/>
                <w:b/>
                <w:bCs/>
                <w:color w:val="auto"/>
                <w:sz w:val="24"/>
              </w:rPr>
              <w:t>行业应急减排措施制定技术指南</w:t>
            </w:r>
            <w:r>
              <w:rPr>
                <w:rFonts w:hint="default" w:ascii="Times New Roman" w:hAnsi="宋体" w:cs="Times New Roman"/>
                <w:b/>
                <w:bCs/>
                <w:color w:val="auto"/>
                <w:sz w:val="24"/>
                <w:highlight w:val="none"/>
              </w:rPr>
              <w:t>》</w:t>
            </w:r>
            <w:r>
              <w:rPr>
                <w:rFonts w:hint="eastAsia" w:ascii="Times New Roman" w:hAnsi="宋体" w:cs="Times New Roman"/>
                <w:b/>
                <w:bCs/>
                <w:color w:val="auto"/>
                <w:sz w:val="24"/>
                <w:highlight w:val="none"/>
              </w:rPr>
              <w:t>（20</w:t>
            </w:r>
            <w:r>
              <w:rPr>
                <w:rFonts w:hint="eastAsia" w:hAnsi="宋体" w:cs="Times New Roman"/>
                <w:b/>
                <w:bCs/>
                <w:color w:val="auto"/>
                <w:sz w:val="24"/>
                <w:highlight w:val="none"/>
                <w:lang w:val="en-US" w:eastAsia="zh-CN"/>
              </w:rPr>
              <w:t>24</w:t>
            </w:r>
            <w:r>
              <w:rPr>
                <w:rFonts w:hint="eastAsia" w:ascii="Times New Roman" w:hAnsi="宋体" w:cs="Times New Roman"/>
                <w:b/>
                <w:bCs/>
                <w:color w:val="auto"/>
                <w:sz w:val="24"/>
                <w:highlight w:val="none"/>
              </w:rPr>
              <w:t>年修订版）</w:t>
            </w:r>
            <w:r>
              <w:rPr>
                <w:rFonts w:hint="default" w:ascii="Times New Roman" w:hAnsi="宋体" w:cs="Times New Roman"/>
                <w:b/>
                <w:bCs/>
                <w:color w:val="auto"/>
                <w:sz w:val="24"/>
                <w:highlight w:val="none"/>
              </w:rPr>
              <w:t>对照分析</w:t>
            </w:r>
          </w:p>
          <w:p w14:paraId="173A7D49">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color w:val="auto"/>
                <w:sz w:val="24"/>
              </w:rPr>
            </w:pPr>
            <w:r>
              <w:rPr>
                <w:rFonts w:hint="eastAsia" w:hAnsi="宋体"/>
                <w:color w:val="auto"/>
                <w:sz w:val="24"/>
                <w:lang w:val="en-US" w:eastAsia="zh-CN"/>
              </w:rPr>
              <w:t>本企业为电池制造A级企业，本项目将</w:t>
            </w:r>
            <w:r>
              <w:rPr>
                <w:rFonts w:hint="default"/>
                <w:color w:val="auto"/>
                <w:sz w:val="24"/>
              </w:rPr>
              <w:t>按照《河南省重污染天气</w:t>
            </w:r>
            <w:r>
              <w:rPr>
                <w:rFonts w:hint="eastAsia"/>
                <w:color w:val="auto"/>
                <w:sz w:val="24"/>
                <w:lang w:val="en-US" w:eastAsia="zh-CN"/>
              </w:rPr>
              <w:t>重点</w:t>
            </w:r>
            <w:r>
              <w:rPr>
                <w:rFonts w:hint="default"/>
                <w:color w:val="auto"/>
                <w:sz w:val="24"/>
              </w:rPr>
              <w:t>行业应急减排措施制定技术指南》（</w:t>
            </w:r>
            <w:r>
              <w:rPr>
                <w:rFonts w:hint="default" w:ascii="Times New Roman" w:hAnsi="Times New Roman" w:cs="Times New Roman"/>
                <w:color w:val="auto"/>
                <w:sz w:val="24"/>
              </w:rPr>
              <w:t>20</w:t>
            </w:r>
            <w:r>
              <w:rPr>
                <w:rFonts w:hint="eastAsia" w:ascii="Times New Roman" w:hAnsi="Times New Roman" w:cs="Times New Roman"/>
                <w:color w:val="auto"/>
                <w:sz w:val="24"/>
                <w:lang w:val="en-US" w:eastAsia="zh-CN"/>
              </w:rPr>
              <w:t>24</w:t>
            </w:r>
            <w:r>
              <w:rPr>
                <w:rFonts w:hint="default"/>
                <w:color w:val="auto"/>
                <w:sz w:val="24"/>
              </w:rPr>
              <w:t>年修订版）中</w:t>
            </w:r>
            <w:r>
              <w:rPr>
                <w:rFonts w:hint="eastAsia" w:ascii="Times New Roman" w:hAnsi="Times New Roman" w:cs="Times New Roman"/>
                <w:color w:val="auto"/>
                <w:sz w:val="24"/>
                <w:lang w:val="en-US" w:eastAsia="zh-CN"/>
              </w:rPr>
              <w:t>电池制造</w:t>
            </w:r>
            <w:r>
              <w:rPr>
                <w:rFonts w:hint="default" w:ascii="Times New Roman" w:hAnsi="Times New Roman" w:cs="Times New Roman"/>
                <w:color w:val="auto"/>
                <w:sz w:val="24"/>
                <w:lang w:val="en-US" w:eastAsia="zh-CN"/>
              </w:rPr>
              <w:t>企业绩效</w:t>
            </w:r>
            <w:r>
              <w:rPr>
                <w:rFonts w:hint="eastAsia" w:ascii="Times New Roman" w:hAnsi="Times New Roman" w:cs="Times New Roman"/>
                <w:color w:val="auto"/>
                <w:sz w:val="24"/>
                <w:lang w:val="en-US" w:eastAsia="zh-CN"/>
              </w:rPr>
              <w:t>分级A级</w:t>
            </w:r>
            <w:r>
              <w:rPr>
                <w:rFonts w:hint="default" w:ascii="Times New Roman" w:hAnsi="Times New Roman" w:cs="Times New Roman"/>
                <w:color w:val="auto"/>
                <w:sz w:val="24"/>
                <w:lang w:val="en-US" w:eastAsia="zh-CN"/>
              </w:rPr>
              <w:t>指标</w:t>
            </w:r>
            <w:r>
              <w:rPr>
                <w:rFonts w:hint="eastAsia" w:ascii="Times New Roman" w:hAnsi="Times New Roman" w:cs="Times New Roman"/>
                <w:color w:val="auto"/>
                <w:sz w:val="24"/>
                <w:lang w:val="en-US" w:eastAsia="zh-CN"/>
              </w:rPr>
              <w:t>建设。</w:t>
            </w:r>
          </w:p>
          <w:p w14:paraId="3700A4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20" w:lineRule="exact"/>
              <w:ind w:left="0" w:right="0"/>
              <w:jc w:val="center"/>
              <w:textAlignment w:val="auto"/>
              <w:rPr>
                <w:rFonts w:hint="default" w:hAnsi="宋体" w:eastAsia="宋体"/>
                <w:b/>
                <w:bCs/>
                <w:color w:val="000000"/>
                <w:sz w:val="24"/>
                <w:highlight w:val="none"/>
                <w:lang w:val="en-US" w:eastAsia="zh-CN"/>
              </w:rPr>
            </w:pPr>
            <w:r>
              <w:rPr>
                <w:rFonts w:hint="eastAsia" w:hAnsi="宋体"/>
                <w:b/>
                <w:bCs/>
                <w:color w:val="000000"/>
                <w:sz w:val="24"/>
                <w:highlight w:val="none"/>
                <w:lang w:val="en-US" w:eastAsia="zh-CN"/>
              </w:rPr>
              <w:t xml:space="preserve">表9  </w:t>
            </w:r>
            <w:r>
              <w:rPr>
                <w:rFonts w:hint="eastAsia" w:hAnsi="宋体" w:cs="Times New Roman"/>
                <w:b/>
                <w:bCs/>
                <w:color w:val="000000"/>
                <w:sz w:val="24"/>
                <w:szCs w:val="24"/>
                <w:highlight w:val="none"/>
                <w:lang w:val="en-US" w:eastAsia="zh-CN"/>
              </w:rPr>
              <w:t>本项目与电池制造</w:t>
            </w:r>
            <w:r>
              <w:rPr>
                <w:rFonts w:hint="eastAsia" w:hAnsi="宋体"/>
                <w:b/>
                <w:bCs/>
                <w:color w:val="000000"/>
                <w:sz w:val="24"/>
                <w:highlight w:val="none"/>
                <w:lang w:val="en-US" w:eastAsia="zh-CN"/>
              </w:rPr>
              <w:t>企业绩效引领性指标对照分</w:t>
            </w:r>
            <w:r>
              <w:rPr>
                <w:rFonts w:hint="eastAsia" w:hAnsi="宋体" w:cs="Times New Roman"/>
                <w:b/>
                <w:bCs/>
                <w:color w:val="000000"/>
                <w:sz w:val="24"/>
                <w:szCs w:val="24"/>
                <w:highlight w:val="none"/>
                <w:lang w:val="en-US" w:eastAsia="zh-CN"/>
              </w:rPr>
              <w:t>析</w:t>
            </w:r>
          </w:p>
          <w:tbl>
            <w:tblPr>
              <w:tblStyle w:val="24"/>
              <w:tblW w:w="8840"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584"/>
              <w:gridCol w:w="4293"/>
              <w:gridCol w:w="2652"/>
              <w:gridCol w:w="885"/>
            </w:tblGrid>
            <w:tr w14:paraId="241A81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gridSpan w:val="2"/>
                  <w:tcBorders>
                    <w:top w:val="single" w:color="auto" w:sz="8" w:space="0"/>
                    <w:bottom w:val="single" w:color="auto" w:sz="8" w:space="0"/>
                    <w:right w:val="single" w:color="auto" w:sz="8" w:space="0"/>
                  </w:tcBorders>
                  <w:vAlign w:val="center"/>
                </w:tcPr>
                <w:p w14:paraId="73EBE8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hAnsi="宋体" w:eastAsia="宋体"/>
                      <w:b/>
                      <w:bCs/>
                      <w:color w:val="000000"/>
                      <w:sz w:val="21"/>
                      <w:szCs w:val="21"/>
                      <w:vertAlign w:val="baseline"/>
                      <w:lang w:val="en-US" w:eastAsia="zh-CN"/>
                    </w:rPr>
                  </w:pPr>
                  <w:r>
                    <w:rPr>
                      <w:rFonts w:hint="eastAsia" w:hAnsi="宋体"/>
                      <w:b/>
                      <w:bCs/>
                      <w:color w:val="000000"/>
                      <w:sz w:val="21"/>
                      <w:szCs w:val="21"/>
                      <w:vertAlign w:val="baseline"/>
                      <w:lang w:val="en-US" w:eastAsia="zh-CN"/>
                    </w:rPr>
                    <w:t>差异化指标</w:t>
                  </w:r>
                </w:p>
              </w:tc>
              <w:tc>
                <w:tcPr>
                  <w:tcW w:w="4320" w:type="dxa"/>
                  <w:tcBorders>
                    <w:top w:val="single" w:color="auto" w:sz="8" w:space="0"/>
                    <w:left w:val="single" w:color="auto" w:sz="8" w:space="0"/>
                    <w:bottom w:val="single" w:color="auto" w:sz="8" w:space="0"/>
                    <w:right w:val="single" w:color="auto" w:sz="8" w:space="0"/>
                  </w:tcBorders>
                  <w:vAlign w:val="center"/>
                </w:tcPr>
                <w:p w14:paraId="3F8BE2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hAnsi="宋体" w:eastAsia="宋体"/>
                      <w:b/>
                      <w:bCs/>
                      <w:color w:val="000000"/>
                      <w:sz w:val="21"/>
                      <w:szCs w:val="21"/>
                      <w:vertAlign w:val="baseline"/>
                      <w:lang w:val="en-US" w:eastAsia="zh-CN"/>
                    </w:rPr>
                  </w:pPr>
                  <w:r>
                    <w:rPr>
                      <w:rFonts w:hint="eastAsia" w:hAnsi="宋体"/>
                      <w:b/>
                      <w:bCs/>
                      <w:color w:val="000000"/>
                      <w:sz w:val="21"/>
                      <w:szCs w:val="21"/>
                      <w:vertAlign w:val="baseline"/>
                      <w:lang w:val="en-US" w:eastAsia="zh-CN"/>
                    </w:rPr>
                    <w:t>A级企业</w:t>
                  </w:r>
                </w:p>
              </w:tc>
              <w:tc>
                <w:tcPr>
                  <w:tcW w:w="2664" w:type="dxa"/>
                  <w:tcBorders>
                    <w:top w:val="single" w:color="auto" w:sz="8" w:space="0"/>
                    <w:left w:val="single" w:color="auto" w:sz="8" w:space="0"/>
                    <w:bottom w:val="single" w:color="auto" w:sz="8" w:space="0"/>
                    <w:right w:val="single" w:color="auto" w:sz="8" w:space="0"/>
                  </w:tcBorders>
                  <w:vAlign w:val="center"/>
                </w:tcPr>
                <w:p w14:paraId="16CC52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hAnsi="宋体" w:eastAsia="宋体"/>
                      <w:b/>
                      <w:bCs/>
                      <w:color w:val="000000"/>
                      <w:sz w:val="21"/>
                      <w:szCs w:val="21"/>
                      <w:vertAlign w:val="baseline"/>
                      <w:lang w:val="en-US" w:eastAsia="zh-CN"/>
                    </w:rPr>
                  </w:pPr>
                  <w:r>
                    <w:rPr>
                      <w:rFonts w:hint="eastAsia" w:hAnsi="宋体"/>
                      <w:b/>
                      <w:bCs/>
                      <w:color w:val="000000"/>
                      <w:sz w:val="21"/>
                      <w:szCs w:val="21"/>
                      <w:vertAlign w:val="baseline"/>
                      <w:lang w:val="en-US" w:eastAsia="zh-CN"/>
                    </w:rPr>
                    <w:t>本项目情况</w:t>
                  </w:r>
                </w:p>
              </w:tc>
              <w:tc>
                <w:tcPr>
                  <w:tcW w:w="889" w:type="dxa"/>
                  <w:tcBorders>
                    <w:top w:val="single" w:color="auto" w:sz="8" w:space="0"/>
                    <w:left w:val="single" w:color="auto" w:sz="8" w:space="0"/>
                    <w:bottom w:val="single" w:color="auto" w:sz="8" w:space="0"/>
                  </w:tcBorders>
                  <w:vAlign w:val="center"/>
                </w:tcPr>
                <w:p w14:paraId="093175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hAnsi="宋体" w:eastAsia="宋体"/>
                      <w:b/>
                      <w:bCs/>
                      <w:color w:val="000000"/>
                      <w:sz w:val="21"/>
                      <w:szCs w:val="21"/>
                      <w:vertAlign w:val="baseline"/>
                      <w:lang w:val="en-US" w:eastAsia="zh-CN"/>
                    </w:rPr>
                  </w:pPr>
                  <w:r>
                    <w:rPr>
                      <w:rFonts w:hint="eastAsia" w:hAnsi="宋体"/>
                      <w:b/>
                      <w:bCs/>
                      <w:color w:val="000000"/>
                      <w:sz w:val="21"/>
                      <w:szCs w:val="21"/>
                      <w:vertAlign w:val="baseline"/>
                      <w:lang w:val="en-US" w:eastAsia="zh-CN"/>
                    </w:rPr>
                    <w:t>相符性</w:t>
                  </w:r>
                </w:p>
              </w:tc>
            </w:tr>
            <w:tr w14:paraId="39097E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gridSpan w:val="2"/>
                  <w:tcBorders>
                    <w:top w:val="single" w:color="auto" w:sz="8" w:space="0"/>
                    <w:tl2br w:val="nil"/>
                    <w:tr2bl w:val="nil"/>
                  </w:tcBorders>
                  <w:vAlign w:val="center"/>
                </w:tcPr>
                <w:p w14:paraId="728936ED">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hAnsi="宋体" w:eastAsia="宋体"/>
                      <w:color w:val="000000"/>
                      <w:sz w:val="21"/>
                      <w:szCs w:val="21"/>
                      <w:vertAlign w:val="baseline"/>
                      <w:lang w:val="en-US" w:eastAsia="zh-CN"/>
                    </w:rPr>
                  </w:pPr>
                  <w:r>
                    <w:rPr>
                      <w:rFonts w:hint="eastAsia" w:ascii="Times New Roman" w:hAnsi="宋体" w:cs="Times New Roman"/>
                      <w:color w:val="000000"/>
                      <w:sz w:val="21"/>
                      <w:szCs w:val="21"/>
                      <w:lang w:val="en-US" w:eastAsia="zh-CN"/>
                    </w:rPr>
                    <w:t>原料、能源类型</w:t>
                  </w:r>
                </w:p>
              </w:tc>
              <w:tc>
                <w:tcPr>
                  <w:tcW w:w="4320" w:type="dxa"/>
                  <w:tcBorders>
                    <w:top w:val="single" w:color="auto" w:sz="8" w:space="0"/>
                    <w:tl2br w:val="nil"/>
                    <w:tr2bl w:val="nil"/>
                  </w:tcBorders>
                  <w:vAlign w:val="center"/>
                </w:tcPr>
                <w:p w14:paraId="6AFAED49">
                  <w:pPr>
                    <w:pStyle w:val="56"/>
                    <w:keepNext w:val="0"/>
                    <w:keepLines w:val="0"/>
                    <w:suppressLineNumbers w:val="0"/>
                    <w:adjustRightInd w:val="0"/>
                    <w:snapToGrid w:val="0"/>
                    <w:spacing w:before="0" w:beforeAutospacing="0" w:after="0" w:afterAutospacing="0" w:line="240" w:lineRule="auto"/>
                    <w:ind w:left="0" w:right="0" w:firstLine="0"/>
                    <w:jc w:val="left"/>
                    <w:rPr>
                      <w:rFonts w:hint="default" w:hAnsi="宋体"/>
                      <w:color w:val="000000"/>
                      <w:sz w:val="21"/>
                      <w:szCs w:val="21"/>
                      <w:vertAlign w:val="baseline"/>
                    </w:rPr>
                  </w:pPr>
                  <w:r>
                    <w:rPr>
                      <w:rFonts w:hint="eastAsia" w:ascii="Times New Roman" w:hAnsi="宋体" w:cs="Times New Roman"/>
                      <w:color w:val="000000"/>
                      <w:sz w:val="21"/>
                      <w:szCs w:val="21"/>
                    </w:rPr>
                    <w:t>能源使用天然气、</w:t>
                  </w:r>
                  <w:r>
                    <w:rPr>
                      <w:rFonts w:hint="eastAsia" w:ascii="Times New Roman" w:hAnsi="宋体" w:cs="Times New Roman"/>
                      <w:color w:val="000000"/>
                      <w:sz w:val="21"/>
                      <w:szCs w:val="21"/>
                      <w:lang w:val="en-US" w:eastAsia="zh-CN"/>
                    </w:rPr>
                    <w:t>电</w:t>
                  </w:r>
                  <w:r>
                    <w:rPr>
                      <w:rFonts w:hint="eastAsia" w:ascii="Times New Roman" w:hAnsi="宋体" w:cs="Times New Roman"/>
                      <w:color w:val="000000"/>
                      <w:sz w:val="21"/>
                      <w:szCs w:val="21"/>
                    </w:rPr>
                    <w:t>等能源。</w:t>
                  </w:r>
                </w:p>
              </w:tc>
              <w:tc>
                <w:tcPr>
                  <w:tcW w:w="2664" w:type="dxa"/>
                  <w:tcBorders>
                    <w:top w:val="single" w:color="auto" w:sz="8" w:space="0"/>
                    <w:tl2br w:val="nil"/>
                    <w:tr2bl w:val="nil"/>
                  </w:tcBorders>
                  <w:vAlign w:val="center"/>
                </w:tcPr>
                <w:p w14:paraId="4AFF7241">
                  <w:pPr>
                    <w:keepNext w:val="0"/>
                    <w:keepLines w:val="0"/>
                    <w:suppressLineNumbers w:val="0"/>
                    <w:adjustRightInd w:val="0"/>
                    <w:snapToGrid w:val="0"/>
                    <w:spacing w:before="0" w:beforeAutospacing="0" w:after="0" w:afterAutospacing="0" w:line="240" w:lineRule="auto"/>
                    <w:ind w:left="0" w:leftChars="0" w:right="0" w:rightChars="0"/>
                    <w:jc w:val="left"/>
                    <w:rPr>
                      <w:rFonts w:hint="default" w:hAnsi="宋体"/>
                      <w:color w:val="000000"/>
                      <w:sz w:val="21"/>
                      <w:szCs w:val="21"/>
                      <w:vertAlign w:val="baseline"/>
                    </w:rPr>
                  </w:pPr>
                  <w:r>
                    <w:rPr>
                      <w:rFonts w:hint="eastAsia" w:hAnsi="宋体"/>
                      <w:sz w:val="21"/>
                      <w:szCs w:val="21"/>
                    </w:rPr>
                    <w:t>本项目</w:t>
                  </w:r>
                  <w:r>
                    <w:rPr>
                      <w:rFonts w:hint="eastAsia" w:hAnsi="宋体"/>
                      <w:sz w:val="21"/>
                      <w:szCs w:val="21"/>
                      <w:lang w:val="en-US" w:eastAsia="zh-CN"/>
                    </w:rPr>
                    <w:t>能源为电。</w:t>
                  </w:r>
                </w:p>
              </w:tc>
              <w:tc>
                <w:tcPr>
                  <w:tcW w:w="889" w:type="dxa"/>
                  <w:tcBorders>
                    <w:top w:val="single" w:color="auto" w:sz="8" w:space="0"/>
                    <w:tl2br w:val="nil"/>
                    <w:tr2bl w:val="nil"/>
                  </w:tcBorders>
                  <w:vAlign w:val="center"/>
                </w:tcPr>
                <w:p w14:paraId="5220EA0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hAnsi="宋体" w:eastAsia="宋体"/>
                      <w:color w:val="000000"/>
                      <w:sz w:val="21"/>
                      <w:szCs w:val="21"/>
                      <w:vertAlign w:val="baseline"/>
                      <w:lang w:val="en-US" w:eastAsia="zh-CN"/>
                    </w:rPr>
                  </w:pPr>
                  <w:r>
                    <w:rPr>
                      <w:rFonts w:hint="eastAsia"/>
                      <w:sz w:val="21"/>
                      <w:szCs w:val="21"/>
                    </w:rPr>
                    <w:t>相</w:t>
                  </w:r>
                  <w:r>
                    <w:rPr>
                      <w:rFonts w:hint="eastAsia"/>
                      <w:sz w:val="21"/>
                      <w:szCs w:val="21"/>
                      <w:lang w:val="en-US" w:eastAsia="zh-CN"/>
                    </w:rPr>
                    <w:t xml:space="preserve">  </w:t>
                  </w:r>
                  <w:r>
                    <w:rPr>
                      <w:rFonts w:hint="eastAsia"/>
                      <w:sz w:val="21"/>
                      <w:szCs w:val="21"/>
                    </w:rPr>
                    <w:t>符</w:t>
                  </w:r>
                </w:p>
              </w:tc>
            </w:tr>
            <w:tr w14:paraId="55CDB1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gridSpan w:val="2"/>
                  <w:tcBorders>
                    <w:tl2br w:val="nil"/>
                    <w:tr2bl w:val="nil"/>
                  </w:tcBorders>
                  <w:vAlign w:val="center"/>
                </w:tcPr>
                <w:p w14:paraId="002982A6">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hAnsi="宋体" w:eastAsia="宋体"/>
                      <w:color w:val="000000"/>
                      <w:sz w:val="21"/>
                      <w:szCs w:val="21"/>
                      <w:vertAlign w:val="baseline"/>
                      <w:lang w:val="en-US" w:eastAsia="zh-CN"/>
                    </w:rPr>
                  </w:pPr>
                  <w:r>
                    <w:rPr>
                      <w:rFonts w:hint="eastAsia" w:ascii="Times New Roman" w:hAnsi="宋体" w:cs="Times New Roman"/>
                      <w:color w:val="000000"/>
                      <w:sz w:val="21"/>
                      <w:szCs w:val="21"/>
                      <w:lang w:val="en-US" w:eastAsia="zh-CN"/>
                    </w:rPr>
                    <w:t>生产工艺及装备水平</w:t>
                  </w:r>
                </w:p>
              </w:tc>
              <w:tc>
                <w:tcPr>
                  <w:tcW w:w="4320" w:type="dxa"/>
                  <w:tcBorders>
                    <w:tl2br w:val="nil"/>
                    <w:tr2bl w:val="nil"/>
                  </w:tcBorders>
                  <w:vAlign w:val="center"/>
                </w:tcPr>
                <w:p w14:paraId="45600267">
                  <w:pPr>
                    <w:pStyle w:val="56"/>
                    <w:keepNext w:val="0"/>
                    <w:keepLines w:val="0"/>
                    <w:suppressLineNumbers w:val="0"/>
                    <w:adjustRightInd w:val="0"/>
                    <w:snapToGrid w:val="0"/>
                    <w:spacing w:before="0" w:beforeAutospacing="0" w:after="0" w:afterAutospacing="0" w:line="240" w:lineRule="auto"/>
                    <w:ind w:left="0" w:right="0" w:firstLine="0"/>
                    <w:jc w:val="both"/>
                    <w:rPr>
                      <w:rFonts w:hint="default" w:hAnsi="宋体"/>
                      <w:color w:val="000000"/>
                      <w:sz w:val="21"/>
                      <w:szCs w:val="21"/>
                      <w:vertAlign w:val="baseline"/>
                    </w:rPr>
                  </w:pPr>
                  <w:r>
                    <w:rPr>
                      <w:rFonts w:hint="eastAsia" w:ascii="Times New Roman" w:hAnsi="宋体" w:cs="Times New Roman"/>
                      <w:color w:val="000000"/>
                      <w:sz w:val="21"/>
                      <w:szCs w:val="21"/>
                      <w:lang w:val="en-US" w:eastAsia="zh-CN"/>
                    </w:rPr>
                    <w:t>1.属于《产业结构调整指导目录（2024 年版）》鼓励类和允许类；2.符合相关行业产业政策；3.符合河南省相关政策要求；4.符合市级规划。</w:t>
                  </w:r>
                </w:p>
              </w:tc>
              <w:tc>
                <w:tcPr>
                  <w:tcW w:w="2664" w:type="dxa"/>
                  <w:tcBorders>
                    <w:tl2br w:val="nil"/>
                    <w:tr2bl w:val="nil"/>
                  </w:tcBorders>
                  <w:vAlign w:val="center"/>
                </w:tcPr>
                <w:p w14:paraId="704EA0DC">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left"/>
                    <w:rPr>
                      <w:rFonts w:hint="default" w:hAnsi="宋体"/>
                      <w:color w:val="000000"/>
                      <w:sz w:val="21"/>
                      <w:szCs w:val="21"/>
                      <w:vertAlign w:val="baseline"/>
                    </w:rPr>
                  </w:pPr>
                  <w:r>
                    <w:rPr>
                      <w:rFonts w:hint="default" w:ascii="Times New Roman" w:hAnsi="宋体" w:cs="Times New Roman"/>
                      <w:color w:val="000000"/>
                      <w:sz w:val="21"/>
                      <w:szCs w:val="21"/>
                    </w:rPr>
                    <w:t>本项目</w:t>
                  </w:r>
                  <w:r>
                    <w:rPr>
                      <w:rFonts w:hint="eastAsia" w:ascii="Times New Roman" w:hAnsi="宋体" w:cs="Times New Roman"/>
                      <w:color w:val="000000"/>
                      <w:sz w:val="21"/>
                      <w:szCs w:val="21"/>
                      <w:lang w:val="en-US" w:eastAsia="zh-CN"/>
                    </w:rPr>
                    <w:t>属于鼓励类项目，符合产业政策要求。</w:t>
                  </w:r>
                </w:p>
              </w:tc>
              <w:tc>
                <w:tcPr>
                  <w:tcW w:w="889" w:type="dxa"/>
                  <w:tcBorders>
                    <w:tl2br w:val="nil"/>
                    <w:tr2bl w:val="nil"/>
                  </w:tcBorders>
                  <w:vAlign w:val="center"/>
                </w:tcPr>
                <w:p w14:paraId="236042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hAnsi="宋体"/>
                      <w:color w:val="000000"/>
                      <w:sz w:val="21"/>
                      <w:szCs w:val="21"/>
                      <w:vertAlign w:val="baseline"/>
                    </w:rPr>
                  </w:pPr>
                  <w:r>
                    <w:rPr>
                      <w:rFonts w:hint="eastAsia"/>
                      <w:sz w:val="21"/>
                      <w:szCs w:val="21"/>
                    </w:rPr>
                    <w:t>相</w:t>
                  </w:r>
                  <w:r>
                    <w:rPr>
                      <w:rFonts w:hint="eastAsia"/>
                      <w:sz w:val="21"/>
                      <w:szCs w:val="21"/>
                      <w:lang w:val="en-US" w:eastAsia="zh-CN"/>
                    </w:rPr>
                    <w:t xml:space="preserve">  </w:t>
                  </w:r>
                  <w:r>
                    <w:rPr>
                      <w:rFonts w:hint="eastAsia"/>
                      <w:sz w:val="21"/>
                      <w:szCs w:val="21"/>
                    </w:rPr>
                    <w:t>符</w:t>
                  </w:r>
                </w:p>
              </w:tc>
            </w:tr>
            <w:tr w14:paraId="5007D9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gridSpan w:val="2"/>
                  <w:tcBorders>
                    <w:tl2br w:val="nil"/>
                    <w:tr2bl w:val="nil"/>
                  </w:tcBorders>
                  <w:vAlign w:val="center"/>
                </w:tcPr>
                <w:p w14:paraId="146315CC">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hAnsi="宋体" w:eastAsia="宋体"/>
                      <w:color w:val="000000"/>
                      <w:sz w:val="21"/>
                      <w:szCs w:val="21"/>
                      <w:vertAlign w:val="baseline"/>
                      <w:lang w:val="en-US" w:eastAsia="zh-CN"/>
                    </w:rPr>
                  </w:pPr>
                  <w:r>
                    <w:rPr>
                      <w:rFonts w:hint="eastAsia" w:ascii="Times New Roman" w:hAnsi="宋体" w:cs="Times New Roman"/>
                      <w:color w:val="000000"/>
                      <w:sz w:val="21"/>
                      <w:szCs w:val="21"/>
                      <w:lang w:val="en-US" w:eastAsia="zh-CN"/>
                    </w:rPr>
                    <w:t>生产工艺及装备水平</w:t>
                  </w:r>
                </w:p>
              </w:tc>
              <w:tc>
                <w:tcPr>
                  <w:tcW w:w="4320" w:type="dxa"/>
                  <w:tcBorders>
                    <w:tl2br w:val="nil"/>
                    <w:tr2bl w:val="nil"/>
                  </w:tcBorders>
                  <w:vAlign w:val="center"/>
                </w:tcPr>
                <w:p w14:paraId="42B9AFC8">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both"/>
                    <w:rPr>
                      <w:rFonts w:hint="default" w:hAnsi="宋体"/>
                      <w:color w:val="000000"/>
                      <w:sz w:val="21"/>
                      <w:szCs w:val="21"/>
                      <w:vertAlign w:val="baseline"/>
                    </w:rPr>
                  </w:pPr>
                  <w:r>
                    <w:rPr>
                      <w:rFonts w:hint="eastAsia" w:ascii="Times New Roman" w:hAnsi="Times New Roman" w:cs="Times New Roman"/>
                      <w:color w:val="000000"/>
                      <w:sz w:val="21"/>
                      <w:szCs w:val="21"/>
                      <w:lang w:val="en-US" w:eastAsia="zh-CN"/>
                    </w:rPr>
                    <w:t>锂电池生产企业投料采用自动计量负压真空投料，涂布、注液采用自动化设备，烘箱配备余热回收利用设施，采用真空注液系统，企业配备溶剂回收系统。</w:t>
                  </w:r>
                </w:p>
              </w:tc>
              <w:tc>
                <w:tcPr>
                  <w:tcW w:w="2664" w:type="dxa"/>
                  <w:tcBorders>
                    <w:tl2br w:val="nil"/>
                    <w:tr2bl w:val="nil"/>
                  </w:tcBorders>
                  <w:vAlign w:val="center"/>
                </w:tcPr>
                <w:p w14:paraId="6523336A">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both"/>
                    <w:rPr>
                      <w:rFonts w:hint="default" w:ascii="Times New Roman" w:hAnsi="宋体" w:cs="Times New Roman"/>
                      <w:color w:val="auto"/>
                      <w:sz w:val="21"/>
                      <w:szCs w:val="21"/>
                      <w:lang w:val="en-US" w:eastAsia="zh-CN"/>
                    </w:rPr>
                  </w:pPr>
                  <w:r>
                    <w:rPr>
                      <w:rFonts w:hint="eastAsia" w:ascii="Times New Roman" w:hAnsi="宋体" w:cs="Times New Roman"/>
                      <w:color w:val="auto"/>
                      <w:sz w:val="21"/>
                      <w:szCs w:val="21"/>
                      <w:lang w:val="en-US" w:eastAsia="zh-CN"/>
                    </w:rPr>
                    <w:t>1.</w:t>
                  </w:r>
                  <w:r>
                    <w:rPr>
                      <w:rFonts w:hint="eastAsia" w:ascii="Times New Roman" w:hAnsi="宋体" w:cs="Times New Roman"/>
                      <w:color w:val="auto"/>
                      <w:sz w:val="21"/>
                      <w:szCs w:val="21"/>
                    </w:rPr>
                    <w:t>本项目</w:t>
                  </w:r>
                  <w:r>
                    <w:rPr>
                      <w:rFonts w:hint="eastAsia" w:ascii="Times New Roman" w:hAnsi="宋体" w:cs="Times New Roman"/>
                      <w:color w:val="auto"/>
                      <w:sz w:val="21"/>
                      <w:szCs w:val="21"/>
                      <w:lang w:val="en-US" w:eastAsia="zh-CN"/>
                    </w:rPr>
                    <w:t>采用自动投料站投料，涂布、注液采用自动化设备，烘箱配备余热回收利用设施，采用真空注液系统</w:t>
                  </w:r>
                  <w:r>
                    <w:rPr>
                      <w:rFonts w:hint="eastAsia" w:ascii="Times New Roman" w:hAnsi="Times New Roman" w:cs="Times New Roman"/>
                      <w:color w:val="000000"/>
                      <w:sz w:val="21"/>
                      <w:szCs w:val="21"/>
                      <w:lang w:val="en-US" w:eastAsia="zh-CN"/>
                    </w:rPr>
                    <w:t>。</w:t>
                  </w:r>
                </w:p>
              </w:tc>
              <w:tc>
                <w:tcPr>
                  <w:tcW w:w="889" w:type="dxa"/>
                  <w:tcBorders>
                    <w:tl2br w:val="nil"/>
                    <w:tr2bl w:val="nil"/>
                  </w:tcBorders>
                  <w:vAlign w:val="center"/>
                </w:tcPr>
                <w:p w14:paraId="566A326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 w:val="21"/>
                      <w:szCs w:val="21"/>
                    </w:rPr>
                  </w:pPr>
                  <w:r>
                    <w:rPr>
                      <w:rFonts w:hint="eastAsia"/>
                      <w:sz w:val="21"/>
                      <w:szCs w:val="21"/>
                    </w:rPr>
                    <w:t>相</w:t>
                  </w:r>
                  <w:r>
                    <w:rPr>
                      <w:rFonts w:hint="eastAsia"/>
                      <w:sz w:val="21"/>
                      <w:szCs w:val="21"/>
                      <w:lang w:val="en-US" w:eastAsia="zh-CN"/>
                    </w:rPr>
                    <w:t xml:space="preserve">  </w:t>
                  </w:r>
                  <w:r>
                    <w:rPr>
                      <w:rFonts w:hint="eastAsia"/>
                      <w:sz w:val="21"/>
                      <w:szCs w:val="21"/>
                    </w:rPr>
                    <w:t>符</w:t>
                  </w:r>
                </w:p>
              </w:tc>
            </w:tr>
            <w:tr w14:paraId="08EF36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gridSpan w:val="2"/>
                  <w:tcBorders>
                    <w:tl2br w:val="nil"/>
                    <w:tr2bl w:val="nil"/>
                  </w:tcBorders>
                  <w:vAlign w:val="center"/>
                </w:tcPr>
                <w:p w14:paraId="3E0A4985">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宋体" w:cs="Times New Roman"/>
                      <w:color w:val="000000"/>
                      <w:sz w:val="21"/>
                      <w:szCs w:val="21"/>
                      <w:lang w:val="en-US" w:eastAsia="zh-CN"/>
                    </w:rPr>
                  </w:pPr>
                  <w:r>
                    <w:rPr>
                      <w:rFonts w:hint="eastAsia" w:ascii="Times New Roman" w:hAnsi="宋体" w:cs="Times New Roman"/>
                      <w:color w:val="000000"/>
                      <w:sz w:val="21"/>
                      <w:szCs w:val="21"/>
                      <w:lang w:val="en-US" w:eastAsia="zh-CN"/>
                    </w:rPr>
                    <w:t>污染治理技术</w:t>
                  </w:r>
                </w:p>
              </w:tc>
              <w:tc>
                <w:tcPr>
                  <w:tcW w:w="4320" w:type="dxa"/>
                  <w:tcBorders>
                    <w:tl2br w:val="nil"/>
                    <w:tr2bl w:val="nil"/>
                  </w:tcBorders>
                  <w:vAlign w:val="center"/>
                </w:tcPr>
                <w:p w14:paraId="4C69F0EB">
                  <w:pPr>
                    <w:keepNext w:val="0"/>
                    <w:keepLines w:val="0"/>
                    <w:widowControl/>
                    <w:suppressLineNumbers w:val="0"/>
                    <w:spacing w:before="0" w:beforeAutospacing="0" w:after="0" w:afterAutospacing="0"/>
                    <w:ind w:left="0" w:right="0"/>
                    <w:jc w:val="left"/>
                    <w:rPr>
                      <w:rFonts w:hint="eastAsia" w:ascii="Times New Roman" w:hAnsi="Times New Roman" w:cs="Times New Roman"/>
                      <w:color w:val="000000"/>
                      <w:sz w:val="21"/>
                      <w:szCs w:val="21"/>
                      <w:lang w:val="en-US" w:eastAsia="zh-CN"/>
                    </w:rPr>
                  </w:pPr>
                  <w:r>
                    <w:rPr>
                      <w:rFonts w:hint="eastAsia" w:ascii="Times New Roman" w:hAnsi="宋体" w:eastAsia="宋体" w:cs="Times New Roman"/>
                      <w:color w:val="000000"/>
                      <w:kern w:val="2"/>
                      <w:sz w:val="21"/>
                      <w:szCs w:val="21"/>
                      <w:lang w:val="en-US" w:eastAsia="zh-CN" w:bidi="ar-SA"/>
                    </w:rPr>
                    <w:t xml:space="preserve">配料工序、镍氢电池产尘环节采用袋式除尘器除尘；拉浆、涂布和电解液生产等涉 </w:t>
                  </w:r>
                  <w:r>
                    <w:rPr>
                      <w:rFonts w:hint="default" w:ascii="Times New Roman" w:hAnsi="宋体" w:eastAsia="宋体" w:cs="Times New Roman"/>
                      <w:color w:val="000000"/>
                      <w:kern w:val="2"/>
                      <w:sz w:val="21"/>
                      <w:szCs w:val="21"/>
                      <w:lang w:val="en-US" w:eastAsia="zh-CN" w:bidi="ar-SA"/>
                    </w:rPr>
                    <w:t xml:space="preserve">VOCs </w:t>
                  </w:r>
                  <w:r>
                    <w:rPr>
                      <w:rFonts w:hint="eastAsia" w:ascii="Times New Roman" w:hAnsi="宋体" w:eastAsia="宋体" w:cs="Times New Roman"/>
                      <w:color w:val="000000"/>
                      <w:kern w:val="2"/>
                      <w:sz w:val="21"/>
                      <w:szCs w:val="21"/>
                      <w:lang w:val="en-US" w:eastAsia="zh-CN" w:bidi="ar-SA"/>
                    </w:rPr>
                    <w:t>工序采用低温冷凝、焚烧、吸附浓缩</w:t>
                  </w:r>
                  <w:r>
                    <w:rPr>
                      <w:rFonts w:hint="default" w:ascii="Times New Roman" w:hAnsi="宋体" w:eastAsia="宋体" w:cs="Times New Roman"/>
                      <w:color w:val="000000"/>
                      <w:kern w:val="2"/>
                      <w:sz w:val="21"/>
                      <w:szCs w:val="21"/>
                      <w:lang w:val="en-US" w:eastAsia="zh-CN" w:bidi="ar-SA"/>
                    </w:rPr>
                    <w:t>+</w:t>
                  </w:r>
                  <w:r>
                    <w:rPr>
                      <w:rFonts w:hint="eastAsia" w:ascii="Times New Roman" w:hAnsi="宋体" w:eastAsia="宋体" w:cs="Times New Roman"/>
                      <w:color w:val="000000"/>
                      <w:kern w:val="2"/>
                      <w:sz w:val="21"/>
                      <w:szCs w:val="21"/>
                      <w:lang w:val="en-US" w:eastAsia="zh-CN" w:bidi="ar-SA"/>
                    </w:rPr>
                    <w:t>脱附燃烧或吸附浓缩</w:t>
                  </w:r>
                  <w:r>
                    <w:rPr>
                      <w:rFonts w:hint="default" w:ascii="Times New Roman" w:hAnsi="宋体" w:eastAsia="宋体" w:cs="Times New Roman"/>
                      <w:color w:val="000000"/>
                      <w:kern w:val="2"/>
                      <w:sz w:val="21"/>
                      <w:szCs w:val="21"/>
                      <w:lang w:val="en-US" w:eastAsia="zh-CN" w:bidi="ar-SA"/>
                    </w:rPr>
                    <w:t>+</w:t>
                  </w:r>
                  <w:r>
                    <w:rPr>
                      <w:rFonts w:hint="eastAsia" w:ascii="Times New Roman" w:hAnsi="宋体" w:eastAsia="宋体" w:cs="Times New Roman"/>
                      <w:color w:val="000000"/>
                      <w:kern w:val="2"/>
                      <w:sz w:val="21"/>
                      <w:szCs w:val="21"/>
                      <w:lang w:val="en-US" w:eastAsia="zh-CN" w:bidi="ar-SA"/>
                    </w:rPr>
                    <w:t xml:space="preserve">脱附冷凝等处理工艺。废气中含有油烟或颗粒物的，应在 </w:t>
                  </w:r>
                  <w:r>
                    <w:rPr>
                      <w:rFonts w:hint="default" w:ascii="Times New Roman" w:hAnsi="宋体" w:eastAsia="宋体" w:cs="Times New Roman"/>
                      <w:color w:val="000000"/>
                      <w:kern w:val="2"/>
                      <w:sz w:val="21"/>
                      <w:szCs w:val="21"/>
                      <w:lang w:val="en-US" w:eastAsia="zh-CN" w:bidi="ar-SA"/>
                    </w:rPr>
                    <w:t xml:space="preserve">VOCs </w:t>
                  </w:r>
                  <w:r>
                    <w:rPr>
                      <w:rFonts w:hint="eastAsia" w:ascii="Times New Roman" w:hAnsi="宋体" w:eastAsia="宋体" w:cs="Times New Roman"/>
                      <w:color w:val="000000"/>
                      <w:kern w:val="2"/>
                      <w:sz w:val="21"/>
                      <w:szCs w:val="21"/>
                      <w:lang w:val="en-US" w:eastAsia="zh-CN" w:bidi="ar-SA"/>
                    </w:rPr>
                    <w:t>治理设施前端加装除尘设施或油烟净化装置。</w:t>
                  </w:r>
                </w:p>
              </w:tc>
              <w:tc>
                <w:tcPr>
                  <w:tcW w:w="2664" w:type="dxa"/>
                  <w:tcBorders>
                    <w:tl2br w:val="nil"/>
                    <w:tr2bl w:val="nil"/>
                  </w:tcBorders>
                  <w:vAlign w:val="center"/>
                </w:tcPr>
                <w:p w14:paraId="0C354627">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both"/>
                    <w:rPr>
                      <w:rFonts w:hint="default" w:ascii="Times New Roman" w:hAnsi="宋体" w:cs="Times New Roman" w:eastAsiaTheme="minorEastAsia"/>
                      <w:color w:val="auto"/>
                      <w:sz w:val="21"/>
                      <w:szCs w:val="21"/>
                      <w:lang w:val="en-US" w:eastAsia="zh-CN"/>
                    </w:rPr>
                  </w:pPr>
                  <w:r>
                    <w:rPr>
                      <w:rFonts w:hint="default" w:ascii="Times New Roman" w:hAnsi="Times New Roman" w:cs="Times New Roman"/>
                      <w:color w:val="auto"/>
                      <w:sz w:val="21"/>
                      <w:szCs w:val="21"/>
                      <w:lang w:val="en-US" w:eastAsia="zh-CN"/>
                    </w:rPr>
                    <w:t>本项目配料工序产尘采用袋式除尘器除尘，注液工序废气采用</w:t>
                  </w:r>
                  <w:r>
                    <w:rPr>
                      <w:rFonts w:hint="default" w:ascii="Times New Roman" w:hAnsi="Times New Roman" w:cs="Times New Roman" w:eastAsiaTheme="minorEastAsia"/>
                      <w:color w:val="000000"/>
                      <w:sz w:val="21"/>
                      <w:szCs w:val="21"/>
                    </w:rPr>
                    <w:t>活性炭吸附脱附+催化燃烧装置</w:t>
                  </w:r>
                  <w:r>
                    <w:rPr>
                      <w:rFonts w:hint="default" w:ascii="Times New Roman" w:hAnsi="Times New Roman" w:cs="Times New Roman" w:eastAsiaTheme="minorEastAsia"/>
                      <w:color w:val="000000"/>
                      <w:sz w:val="21"/>
                      <w:szCs w:val="21"/>
                      <w:lang w:val="en-US" w:eastAsia="zh-CN"/>
                    </w:rPr>
                    <w:t>治理，配料、涂布烘干、储罐呼吸等废气采用NMP高塔回收系统治理，有机废气中不含油烟或颗粒物。</w:t>
                  </w:r>
                </w:p>
              </w:tc>
              <w:tc>
                <w:tcPr>
                  <w:tcW w:w="889" w:type="dxa"/>
                  <w:tcBorders>
                    <w:tl2br w:val="nil"/>
                    <w:tr2bl w:val="nil"/>
                  </w:tcBorders>
                  <w:vAlign w:val="center"/>
                </w:tcPr>
                <w:p w14:paraId="27EAFA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eastAsia="宋体"/>
                      <w:sz w:val="21"/>
                      <w:szCs w:val="21"/>
                      <w:lang w:val="en-US" w:eastAsia="zh-CN"/>
                    </w:rPr>
                  </w:pPr>
                  <w:r>
                    <w:rPr>
                      <w:rFonts w:hint="eastAsia"/>
                      <w:sz w:val="21"/>
                      <w:szCs w:val="21"/>
                      <w:lang w:val="en-US" w:eastAsia="zh-CN"/>
                    </w:rPr>
                    <w:t>相  符</w:t>
                  </w:r>
                </w:p>
              </w:tc>
            </w:tr>
            <w:tr w14:paraId="76688E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gridSpan w:val="2"/>
                  <w:tcBorders>
                    <w:tl2br w:val="nil"/>
                    <w:tr2bl w:val="nil"/>
                  </w:tcBorders>
                  <w:vAlign w:val="center"/>
                </w:tcPr>
                <w:p w14:paraId="381B31F3">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hAnsi="宋体" w:eastAsia="宋体"/>
                      <w:color w:val="000000"/>
                      <w:sz w:val="21"/>
                      <w:szCs w:val="21"/>
                      <w:vertAlign w:val="baseline"/>
                      <w:lang w:val="en-US" w:eastAsia="zh-CN"/>
                    </w:rPr>
                  </w:pPr>
                  <w:r>
                    <w:rPr>
                      <w:rFonts w:hint="eastAsia" w:ascii="Times New Roman" w:hAnsi="宋体" w:cs="Times New Roman"/>
                      <w:color w:val="000000"/>
                      <w:sz w:val="21"/>
                      <w:szCs w:val="21"/>
                      <w:lang w:val="en-US" w:eastAsia="zh-CN"/>
                    </w:rPr>
                    <w:t>无组织排放</w:t>
                  </w:r>
                </w:p>
              </w:tc>
              <w:tc>
                <w:tcPr>
                  <w:tcW w:w="4320" w:type="dxa"/>
                  <w:tcBorders>
                    <w:tl2br w:val="nil"/>
                    <w:tr2bl w:val="nil"/>
                  </w:tcBorders>
                  <w:vAlign w:val="center"/>
                </w:tcPr>
                <w:p w14:paraId="4E4966D8">
                  <w:pPr>
                    <w:keepNext w:val="0"/>
                    <w:keepLines w:val="0"/>
                    <w:widowControl/>
                    <w:suppressLineNumbers w:val="0"/>
                    <w:spacing w:before="0" w:beforeAutospacing="0" w:after="0" w:afterAutospacing="0"/>
                    <w:ind w:left="0" w:right="0"/>
                    <w:jc w:val="both"/>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 xml:space="preserve">1.配料工段置于独立密闭配料间，配料工序粉尘局部负压收集； </w:t>
                  </w:r>
                </w:p>
                <w:p w14:paraId="25BFF1DB">
                  <w:pPr>
                    <w:keepNext w:val="0"/>
                    <w:keepLines w:val="0"/>
                    <w:widowControl/>
                    <w:suppressLineNumbers w:val="0"/>
                    <w:spacing w:before="0" w:beforeAutospacing="0" w:after="0" w:afterAutospacing="0"/>
                    <w:ind w:left="0" w:right="0"/>
                    <w:jc w:val="both"/>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 xml:space="preserve">2.镍氢电池合粉、包粉、装配等产尘工序和铅蓄电池制粉、和膏、板栅铸造、灌粉、分片、刷片、成片、包片、焊接及其他电池涉尘工序均需采用负压收集措施； </w:t>
                  </w:r>
                </w:p>
                <w:p w14:paraId="2330B00D">
                  <w:pPr>
                    <w:keepNext w:val="0"/>
                    <w:keepLines w:val="0"/>
                    <w:widowControl/>
                    <w:suppressLineNumbers w:val="0"/>
                    <w:spacing w:before="0" w:beforeAutospacing="0" w:after="0" w:afterAutospacing="0"/>
                    <w:ind w:left="0" w:right="0"/>
                    <w:jc w:val="both"/>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 xml:space="preserve">3.拉浆、涂布和电解液生产等涉 VOCs 工序采用封闭负压收集措施； </w:t>
                  </w:r>
                </w:p>
                <w:p w14:paraId="32701C66">
                  <w:pPr>
                    <w:keepNext w:val="0"/>
                    <w:keepLines w:val="0"/>
                    <w:widowControl/>
                    <w:suppressLineNumbers w:val="0"/>
                    <w:spacing w:before="0" w:beforeAutospacing="0" w:after="0" w:afterAutospacing="0"/>
                    <w:ind w:left="0" w:right="0"/>
                    <w:jc w:val="both"/>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 xml:space="preserve">4.厂区地面全部硬化或绿化，无成片裸露土地； </w:t>
                  </w:r>
                </w:p>
                <w:p w14:paraId="05A68782">
                  <w:pPr>
                    <w:keepNext w:val="0"/>
                    <w:keepLines w:val="0"/>
                    <w:widowControl/>
                    <w:suppressLineNumbers w:val="0"/>
                    <w:spacing w:before="0" w:beforeAutospacing="0" w:after="0" w:afterAutospacing="0"/>
                    <w:ind w:left="0" w:right="0"/>
                    <w:jc w:val="both"/>
                    <w:rPr>
                      <w:rFonts w:hint="default" w:hAnsi="宋体"/>
                      <w:color w:val="000000"/>
                      <w:sz w:val="21"/>
                      <w:szCs w:val="21"/>
                      <w:vertAlign w:val="baseline"/>
                    </w:rPr>
                  </w:pPr>
                  <w:r>
                    <w:rPr>
                      <w:rFonts w:hint="eastAsia" w:ascii="Times New Roman" w:hAnsi="Times New Roman" w:cs="Times New Roman"/>
                      <w:color w:val="000000"/>
                      <w:sz w:val="21"/>
                      <w:szCs w:val="21"/>
                      <w:lang w:val="en-US" w:eastAsia="zh-CN"/>
                    </w:rPr>
                    <w:t>5.贮存易产生粉尘、VOCs、酸雾、有毒有害大气污染物和异味的危险废物贮存库，设有废气收集装置和处理设施，废气处理设施的排气筒高度不低于15m。</w:t>
                  </w:r>
                </w:p>
              </w:tc>
              <w:tc>
                <w:tcPr>
                  <w:tcW w:w="2664" w:type="dxa"/>
                  <w:tcBorders>
                    <w:tl2br w:val="nil"/>
                    <w:tr2bl w:val="nil"/>
                  </w:tcBorders>
                  <w:vAlign w:val="center"/>
                </w:tcPr>
                <w:p w14:paraId="7F667D5D">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both"/>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1、本项目设置独立密闭配料间；</w:t>
                  </w:r>
                </w:p>
                <w:p w14:paraId="15B10D80">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both"/>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2、本项目属于锂离子电池，不属于镍氢电池；</w:t>
                  </w:r>
                </w:p>
                <w:p w14:paraId="7EBC9B8F">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both"/>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3、本项目涂布和注液工序采用密闭管道收集。</w:t>
                  </w:r>
                </w:p>
                <w:p w14:paraId="0D90B749">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both"/>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4、厂区道路和车间道路全面硬化，车间地面、墙面、设备顶部无积尘，无成片裸露土地。</w:t>
                  </w:r>
                </w:p>
                <w:p w14:paraId="193FAF59">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both"/>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5、本项目危险废物不产生</w:t>
                  </w:r>
                  <w:r>
                    <w:rPr>
                      <w:rFonts w:hint="default" w:ascii="Times New Roman" w:hAnsi="Times New Roman" w:eastAsia="宋体" w:cs="Times New Roman"/>
                      <w:b w:val="0"/>
                      <w:bCs w:val="0"/>
                      <w:color w:val="000000"/>
                      <w:kern w:val="0"/>
                      <w:sz w:val="21"/>
                      <w:szCs w:val="21"/>
                      <w:lang w:val="en-US" w:eastAsia="zh-CN" w:bidi="ar"/>
                    </w:rPr>
                    <w:t>粉尘、VOCs和异味</w:t>
                  </w:r>
                  <w:r>
                    <w:rPr>
                      <w:rFonts w:hint="eastAsia" w:ascii="Times New Roman" w:hAnsi="Times New Roman" w:cs="Times New Roman"/>
                      <w:b w:val="0"/>
                      <w:bCs w:val="0"/>
                      <w:color w:val="000000"/>
                      <w:kern w:val="0"/>
                      <w:sz w:val="21"/>
                      <w:szCs w:val="21"/>
                      <w:lang w:val="en-US" w:eastAsia="zh-CN" w:bidi="ar"/>
                    </w:rPr>
                    <w:t>；危险废物经密闭桶装后分区存放于危废暂存间内</w:t>
                  </w:r>
                  <w:r>
                    <w:rPr>
                      <w:rFonts w:hint="eastAsia" w:ascii="Times New Roman" w:hAnsi="Times New Roman" w:cs="Times New Roman"/>
                      <w:color w:val="000000"/>
                      <w:sz w:val="21"/>
                      <w:szCs w:val="21"/>
                      <w:lang w:val="en-US" w:eastAsia="zh-CN"/>
                    </w:rPr>
                    <w:t>。</w:t>
                  </w:r>
                </w:p>
              </w:tc>
              <w:tc>
                <w:tcPr>
                  <w:tcW w:w="889" w:type="dxa"/>
                  <w:tcBorders>
                    <w:tl2br w:val="nil"/>
                    <w:tr2bl w:val="nil"/>
                  </w:tcBorders>
                  <w:vAlign w:val="center"/>
                </w:tcPr>
                <w:p w14:paraId="5F95DB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 w:val="21"/>
                      <w:szCs w:val="21"/>
                    </w:rPr>
                  </w:pPr>
                  <w:r>
                    <w:rPr>
                      <w:rFonts w:hint="eastAsia"/>
                      <w:sz w:val="21"/>
                      <w:szCs w:val="21"/>
                    </w:rPr>
                    <w:t>相</w:t>
                  </w:r>
                  <w:r>
                    <w:rPr>
                      <w:rFonts w:hint="eastAsia"/>
                      <w:sz w:val="21"/>
                      <w:szCs w:val="21"/>
                      <w:lang w:val="en-US" w:eastAsia="zh-CN"/>
                    </w:rPr>
                    <w:t xml:space="preserve">  </w:t>
                  </w:r>
                  <w:r>
                    <w:rPr>
                      <w:rFonts w:hint="eastAsia"/>
                      <w:sz w:val="21"/>
                      <w:szCs w:val="21"/>
                    </w:rPr>
                    <w:t>符</w:t>
                  </w:r>
                </w:p>
              </w:tc>
            </w:tr>
            <w:tr w14:paraId="123525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967" w:type="dxa"/>
                  <w:gridSpan w:val="2"/>
                  <w:tcBorders>
                    <w:tl2br w:val="nil"/>
                    <w:tr2bl w:val="nil"/>
                  </w:tcBorders>
                  <w:vAlign w:val="center"/>
                </w:tcPr>
                <w:p w14:paraId="605BE7FB">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hAnsi="宋体" w:eastAsia="宋体"/>
                      <w:color w:val="000000"/>
                      <w:sz w:val="21"/>
                      <w:szCs w:val="21"/>
                      <w:vertAlign w:val="baseline"/>
                      <w:lang w:val="en-US" w:eastAsia="zh-CN"/>
                    </w:rPr>
                  </w:pPr>
                  <w:r>
                    <w:rPr>
                      <w:rFonts w:hint="eastAsia" w:ascii="Times New Roman" w:hAnsi="宋体" w:cs="Times New Roman"/>
                      <w:color w:val="000000"/>
                      <w:sz w:val="21"/>
                      <w:szCs w:val="21"/>
                      <w:lang w:val="en-US" w:eastAsia="zh-CN"/>
                    </w:rPr>
                    <w:t>排放限制</w:t>
                  </w:r>
                </w:p>
              </w:tc>
              <w:tc>
                <w:tcPr>
                  <w:tcW w:w="4320" w:type="dxa"/>
                  <w:tcBorders>
                    <w:tl2br w:val="nil"/>
                    <w:tr2bl w:val="nil"/>
                  </w:tcBorders>
                  <w:vAlign w:val="center"/>
                </w:tcPr>
                <w:p w14:paraId="18CE0D06">
                  <w:pPr>
                    <w:pStyle w:val="56"/>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jc w:val="both"/>
                    <w:textAlignment w:val="auto"/>
                    <w:rPr>
                      <w:rFonts w:hint="default" w:hAnsi="宋体"/>
                      <w:color w:val="000000"/>
                      <w:sz w:val="21"/>
                      <w:szCs w:val="21"/>
                      <w:vertAlign w:val="baseline"/>
                    </w:rPr>
                  </w:pPr>
                  <w:r>
                    <w:rPr>
                      <w:rFonts w:hint="eastAsia" w:ascii="Times New Roman" w:hAnsi="Times New Roman" w:cs="Times New Roman"/>
                      <w:color w:val="000000"/>
                      <w:sz w:val="21"/>
                      <w:szCs w:val="21"/>
                      <w:lang w:val="en-US" w:eastAsia="zh-CN"/>
                    </w:rPr>
                    <w:t>全厂PM、NMHC有组织排放浓度分别不高于10、30mg/m</w:t>
                  </w:r>
                  <w:r>
                    <w:rPr>
                      <w:rFonts w:hint="eastAsia" w:ascii="Times New Roman" w:hAnsi="Times New Roman" w:cs="Times New Roman"/>
                      <w:color w:val="000000"/>
                      <w:sz w:val="21"/>
                      <w:szCs w:val="21"/>
                      <w:vertAlign w:val="superscript"/>
                      <w:lang w:val="en-US" w:eastAsia="zh-CN"/>
                    </w:rPr>
                    <w:t>3</w:t>
                  </w:r>
                  <w:r>
                    <w:rPr>
                      <w:rFonts w:hint="eastAsia" w:ascii="Times New Roman" w:hAnsi="Times New Roman" w:cs="Times New Roman"/>
                      <w:color w:val="000000"/>
                      <w:sz w:val="21"/>
                      <w:szCs w:val="21"/>
                      <w:lang w:val="en-US" w:eastAsia="zh-CN"/>
                    </w:rPr>
                    <w:t>。铅蓄电池铅及其化合物、硫酸雾排放浓度不高于0.3、5mg/m</w:t>
                  </w:r>
                  <w:r>
                    <w:rPr>
                      <w:rFonts w:hint="eastAsia" w:ascii="Times New Roman" w:hAnsi="Times New Roman" w:cs="Times New Roman"/>
                      <w:color w:val="000000"/>
                      <w:sz w:val="21"/>
                      <w:szCs w:val="21"/>
                      <w:vertAlign w:val="superscript"/>
                      <w:lang w:val="en-US" w:eastAsia="zh-CN"/>
                    </w:rPr>
                    <w:t>3</w:t>
                  </w:r>
                  <w:r>
                    <w:rPr>
                      <w:rFonts w:hint="eastAsia" w:ascii="Times New Roman" w:hAnsi="Times New Roman" w:cs="Times New Roman"/>
                      <w:color w:val="000000"/>
                      <w:sz w:val="21"/>
                      <w:szCs w:val="21"/>
                      <w:lang w:val="en-US" w:eastAsia="zh-CN"/>
                    </w:rPr>
                    <w:t>。</w:t>
                  </w:r>
                </w:p>
              </w:tc>
              <w:tc>
                <w:tcPr>
                  <w:tcW w:w="2664" w:type="dxa"/>
                  <w:tcBorders>
                    <w:tl2br w:val="nil"/>
                    <w:tr2bl w:val="nil"/>
                  </w:tcBorders>
                  <w:vAlign w:val="center"/>
                </w:tcPr>
                <w:p w14:paraId="579CEAB5">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both"/>
                    <w:rPr>
                      <w:rFonts w:hint="default" w:hAnsi="宋体"/>
                      <w:color w:val="000000"/>
                      <w:sz w:val="21"/>
                      <w:szCs w:val="21"/>
                      <w:vertAlign w:val="baseline"/>
                    </w:rPr>
                  </w:pPr>
                  <w:r>
                    <w:rPr>
                      <w:rFonts w:hint="eastAsia" w:ascii="Times New Roman" w:hAnsi="宋体" w:cs="Times New Roman"/>
                      <w:color w:val="auto"/>
                      <w:sz w:val="21"/>
                      <w:szCs w:val="21"/>
                      <w:lang w:val="en-US" w:eastAsia="zh-CN"/>
                    </w:rPr>
                    <w:t>本项目PM有组织排放浓度10mg/m</w:t>
                  </w:r>
                  <w:r>
                    <w:rPr>
                      <w:rFonts w:hint="eastAsia" w:ascii="Times New Roman" w:hAnsi="宋体" w:cs="Times New Roman"/>
                      <w:color w:val="auto"/>
                      <w:sz w:val="21"/>
                      <w:szCs w:val="21"/>
                      <w:vertAlign w:val="superscript"/>
                      <w:lang w:val="en-US" w:eastAsia="zh-CN"/>
                    </w:rPr>
                    <w:t>3</w:t>
                  </w:r>
                  <w:r>
                    <w:rPr>
                      <w:rFonts w:hint="eastAsia" w:ascii="Times New Roman" w:hAnsi="宋体" w:cs="Times New Roman"/>
                      <w:color w:val="auto"/>
                      <w:sz w:val="21"/>
                      <w:szCs w:val="21"/>
                      <w:vertAlign w:val="baseline"/>
                      <w:lang w:val="en-US" w:eastAsia="zh-CN"/>
                    </w:rPr>
                    <w:t>、</w:t>
                  </w:r>
                  <w:r>
                    <w:rPr>
                      <w:rFonts w:hint="eastAsia" w:ascii="Times New Roman" w:hAnsi="宋体" w:cs="Times New Roman"/>
                      <w:color w:val="auto"/>
                      <w:sz w:val="21"/>
                      <w:szCs w:val="21"/>
                      <w:lang w:val="en-US" w:eastAsia="zh-CN"/>
                    </w:rPr>
                    <w:t>NMHC有组织排放浓度不高于30mg/m</w:t>
                  </w:r>
                  <w:r>
                    <w:rPr>
                      <w:rFonts w:hint="eastAsia" w:ascii="Times New Roman" w:hAnsi="宋体" w:cs="Times New Roman"/>
                      <w:color w:val="auto"/>
                      <w:sz w:val="21"/>
                      <w:szCs w:val="21"/>
                      <w:vertAlign w:val="superscript"/>
                      <w:lang w:val="en-US" w:eastAsia="zh-CN"/>
                    </w:rPr>
                    <w:t>3</w:t>
                  </w:r>
                  <w:r>
                    <w:rPr>
                      <w:rFonts w:hint="eastAsia" w:ascii="Times New Roman" w:hAnsi="宋体" w:cs="Times New Roman"/>
                      <w:color w:val="auto"/>
                      <w:sz w:val="21"/>
                      <w:szCs w:val="21"/>
                      <w:lang w:val="en-US" w:eastAsia="zh-CN"/>
                    </w:rPr>
                    <w:t>。</w:t>
                  </w:r>
                </w:p>
              </w:tc>
              <w:tc>
                <w:tcPr>
                  <w:tcW w:w="889" w:type="dxa"/>
                  <w:tcBorders>
                    <w:tl2br w:val="nil"/>
                    <w:tr2bl w:val="nil"/>
                  </w:tcBorders>
                  <w:vAlign w:val="center"/>
                </w:tcPr>
                <w:p w14:paraId="2B224D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 w:val="21"/>
                      <w:szCs w:val="21"/>
                    </w:rPr>
                  </w:pPr>
                  <w:r>
                    <w:rPr>
                      <w:rFonts w:hint="eastAsia"/>
                      <w:sz w:val="21"/>
                      <w:szCs w:val="21"/>
                    </w:rPr>
                    <w:t>相</w:t>
                  </w:r>
                  <w:r>
                    <w:rPr>
                      <w:rFonts w:hint="eastAsia"/>
                      <w:sz w:val="21"/>
                      <w:szCs w:val="21"/>
                      <w:lang w:val="en-US" w:eastAsia="zh-CN"/>
                    </w:rPr>
                    <w:t xml:space="preserve">  </w:t>
                  </w:r>
                  <w:r>
                    <w:rPr>
                      <w:rFonts w:hint="eastAsia"/>
                      <w:sz w:val="21"/>
                      <w:szCs w:val="21"/>
                    </w:rPr>
                    <w:t>符</w:t>
                  </w:r>
                </w:p>
              </w:tc>
            </w:tr>
            <w:tr w14:paraId="4A2528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gridSpan w:val="2"/>
                  <w:tcBorders>
                    <w:tl2br w:val="nil"/>
                    <w:tr2bl w:val="nil"/>
                  </w:tcBorders>
                  <w:vAlign w:val="center"/>
                </w:tcPr>
                <w:p w14:paraId="32C9BBDB">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hAnsi="宋体" w:eastAsia="宋体"/>
                      <w:color w:val="000000"/>
                      <w:sz w:val="21"/>
                      <w:szCs w:val="21"/>
                      <w:vertAlign w:val="baseline"/>
                      <w:lang w:val="en-US" w:eastAsia="zh-CN"/>
                    </w:rPr>
                  </w:pPr>
                  <w:r>
                    <w:rPr>
                      <w:rFonts w:hint="eastAsia" w:ascii="Times New Roman" w:hAnsi="宋体" w:cs="Times New Roman"/>
                      <w:color w:val="000000"/>
                      <w:sz w:val="21"/>
                      <w:szCs w:val="21"/>
                      <w:lang w:val="en-US" w:eastAsia="zh-CN"/>
                    </w:rPr>
                    <w:t>监测监控水平</w:t>
                  </w:r>
                </w:p>
              </w:tc>
              <w:tc>
                <w:tcPr>
                  <w:tcW w:w="4320" w:type="dxa"/>
                  <w:tcBorders>
                    <w:tl2br w:val="nil"/>
                    <w:tr2bl w:val="nil"/>
                  </w:tcBorders>
                  <w:vAlign w:val="center"/>
                </w:tcPr>
                <w:p w14:paraId="23EADB8F">
                  <w:pPr>
                    <w:pStyle w:val="56"/>
                    <w:keepNext w:val="0"/>
                    <w:keepLines w:val="0"/>
                    <w:suppressLineNumbers w:val="0"/>
                    <w:adjustRightInd w:val="0"/>
                    <w:snapToGrid w:val="0"/>
                    <w:spacing w:before="0" w:beforeAutospacing="0" w:after="0" w:afterAutospacing="0" w:line="240" w:lineRule="auto"/>
                    <w:ind w:left="0" w:right="0" w:firstLine="0"/>
                    <w:jc w:val="both"/>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1.有组织排放口按排污许可、环境影响评价或环境现状评估等要求安装烟气排放自动监控设施（CEMS），并按要求与省厅联网；重点排污单位风量大于10000m</w:t>
                  </w:r>
                  <w:r>
                    <w:rPr>
                      <w:rFonts w:hint="eastAsia" w:ascii="Times New Roman" w:hAnsi="Times New Roman" w:cs="Times New Roman"/>
                      <w:color w:val="000000"/>
                      <w:sz w:val="21"/>
                      <w:szCs w:val="21"/>
                      <w:vertAlign w:val="superscript"/>
                      <w:lang w:val="en-US" w:eastAsia="zh-CN"/>
                    </w:rPr>
                    <w:t>3</w:t>
                  </w:r>
                  <w:r>
                    <w:rPr>
                      <w:rFonts w:hint="eastAsia" w:ascii="Times New Roman" w:hAnsi="Times New Roman" w:cs="Times New Roman"/>
                      <w:color w:val="000000"/>
                      <w:sz w:val="21"/>
                      <w:szCs w:val="21"/>
                      <w:lang w:val="en-US" w:eastAsia="zh-CN"/>
                    </w:rPr>
                    <w:t xml:space="preserve"> /h 的主要排放口安装 NMHC在线监测设施（FID 检测器）并按要求与省厅联网；其他企业 NMHC 初始排放速率大于2kg/h且排放口风量大于 20000m</w:t>
                  </w:r>
                  <w:r>
                    <w:rPr>
                      <w:rFonts w:hint="eastAsia" w:ascii="Times New Roman" w:hAnsi="Times New Roman" w:cs="Times New Roman"/>
                      <w:color w:val="000000"/>
                      <w:sz w:val="21"/>
                      <w:szCs w:val="21"/>
                      <w:vertAlign w:val="superscript"/>
                      <w:lang w:val="en-US" w:eastAsia="zh-CN"/>
                    </w:rPr>
                    <w:t>3</w:t>
                  </w:r>
                  <w:r>
                    <w:rPr>
                      <w:rFonts w:hint="eastAsia" w:ascii="Times New Roman" w:hAnsi="Times New Roman" w:cs="Times New Roman"/>
                      <w:color w:val="000000"/>
                      <w:sz w:val="21"/>
                      <w:szCs w:val="21"/>
                      <w:lang w:val="en-US" w:eastAsia="zh-CN"/>
                    </w:rPr>
                    <w:t xml:space="preserve"> /h 的废气排放口安装 NMHC 在线监测设施（FID 检测器），并按要求与省厅联网；在线监测数据至少保存最近 12 个月的 1 分钟均值、36 个月的 1 小时均值及 60 个月的日均值和月均值。（投产或安装时间不满一年以上的企业，以现有数据为准）； </w:t>
                  </w:r>
                </w:p>
                <w:p w14:paraId="179477B0">
                  <w:pPr>
                    <w:pStyle w:val="56"/>
                    <w:keepNext w:val="0"/>
                    <w:keepLines w:val="0"/>
                    <w:suppressLineNumbers w:val="0"/>
                    <w:adjustRightInd w:val="0"/>
                    <w:snapToGrid w:val="0"/>
                    <w:spacing w:before="0" w:beforeAutospacing="0" w:after="0" w:afterAutospacing="0" w:line="240" w:lineRule="auto"/>
                    <w:ind w:left="0" w:right="0" w:firstLine="0"/>
                    <w:jc w:val="both"/>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 xml:space="preserve">2.按生态环境部门要求规范设置废气排放口标志牌、二维码标识和采样平台、采样孔；各废气排放口按照排污许可要求开展自行监测； </w:t>
                  </w:r>
                </w:p>
                <w:p w14:paraId="739415B3">
                  <w:pPr>
                    <w:pStyle w:val="56"/>
                    <w:keepNext w:val="0"/>
                    <w:keepLines w:val="0"/>
                    <w:suppressLineNumbers w:val="0"/>
                    <w:adjustRightInd w:val="0"/>
                    <w:snapToGrid w:val="0"/>
                    <w:spacing w:before="0" w:beforeAutospacing="0" w:after="0" w:afterAutospacing="0" w:line="240" w:lineRule="auto"/>
                    <w:ind w:left="0" w:right="0" w:firstLine="0"/>
                    <w:jc w:val="both"/>
                    <w:rPr>
                      <w:rFonts w:hint="default" w:hAnsi="宋体"/>
                      <w:color w:val="000000"/>
                      <w:sz w:val="21"/>
                      <w:szCs w:val="21"/>
                      <w:vertAlign w:val="baseline"/>
                    </w:rPr>
                  </w:pPr>
                  <w:r>
                    <w:rPr>
                      <w:rFonts w:hint="eastAsia" w:ascii="Times New Roman" w:hAnsi="Times New Roman" w:cs="Times New Roman"/>
                      <w:color w:val="000000"/>
                      <w:sz w:val="21"/>
                      <w:szCs w:val="21"/>
                      <w:lang w:val="en-US" w:eastAsia="zh-CN"/>
                    </w:rPr>
                    <w:t>3.厂内未安装在线监控的涉气生产设施主要投料口安装高清视频监控系统，视频监控数据保存6个月以上。</w:t>
                  </w:r>
                </w:p>
              </w:tc>
              <w:tc>
                <w:tcPr>
                  <w:tcW w:w="2664" w:type="dxa"/>
                  <w:tcBorders>
                    <w:tl2br w:val="nil"/>
                    <w:tr2bl w:val="nil"/>
                  </w:tcBorders>
                  <w:vAlign w:val="center"/>
                </w:tcPr>
                <w:p w14:paraId="1F61CF86">
                  <w:pPr>
                    <w:pStyle w:val="56"/>
                    <w:keepNext w:val="0"/>
                    <w:keepLines w:val="0"/>
                    <w:numPr>
                      <w:ilvl w:val="0"/>
                      <w:numId w:val="4"/>
                    </w:numPr>
                    <w:suppressLineNumbers w:val="0"/>
                    <w:adjustRightInd w:val="0"/>
                    <w:snapToGrid w:val="0"/>
                    <w:spacing w:before="0" w:beforeAutospacing="0" w:after="0" w:afterAutospacing="0" w:line="240" w:lineRule="auto"/>
                    <w:ind w:left="0" w:leftChars="0" w:right="0" w:rightChars="0" w:firstLine="0" w:firstLineChars="0"/>
                    <w:jc w:val="both"/>
                    <w:rPr>
                      <w:rFonts w:hint="eastAsia" w:ascii="Times New Roman" w:hAnsi="宋体" w:cs="Times New Roman"/>
                      <w:color w:val="000000" w:themeColor="text1"/>
                      <w:sz w:val="21"/>
                      <w:szCs w:val="21"/>
                      <w:highlight w:val="none"/>
                      <w:lang w:val="en-US" w:eastAsia="zh-CN"/>
                      <w14:textFill>
                        <w14:solidFill>
                          <w14:schemeClr w14:val="tx1"/>
                        </w14:solidFill>
                      </w14:textFill>
                    </w:rPr>
                  </w:pPr>
                  <w:r>
                    <w:rPr>
                      <w:rFonts w:hint="eastAsia" w:ascii="Times New Roman" w:hAnsi="宋体" w:cs="Times New Roman"/>
                      <w:color w:val="000000" w:themeColor="text1"/>
                      <w:sz w:val="21"/>
                      <w:szCs w:val="21"/>
                      <w:highlight w:val="none"/>
                      <w:lang w:val="en-US" w:eastAsia="zh-CN"/>
                      <w14:textFill>
                        <w14:solidFill>
                          <w14:schemeClr w14:val="tx1"/>
                        </w14:solidFill>
                      </w14:textFill>
                    </w:rPr>
                    <w:t>本项目不属于重点排污单位，全厂非甲烷总烃产生速率</w:t>
                  </w:r>
                  <w:r>
                    <w:rPr>
                      <w:rFonts w:hint="eastAsia" w:ascii="Times New Roman" w:hAnsi="Times New Roman" w:cs="Times New Roman"/>
                      <w:color w:val="000000" w:themeColor="text1"/>
                      <w:sz w:val="21"/>
                      <w:szCs w:val="21"/>
                      <w:lang w:val="en-US" w:eastAsia="zh-CN"/>
                      <w14:textFill>
                        <w14:solidFill>
                          <w14:schemeClr w14:val="tx1"/>
                        </w14:solidFill>
                      </w14:textFill>
                    </w:rPr>
                    <w:t>小于2kg/h，且排放口风量小于20000m</w:t>
                  </w:r>
                  <w:r>
                    <w:rPr>
                      <w:rFonts w:hint="eastAsia" w:ascii="Times New Roman" w:hAnsi="Times New Roman" w:cs="Times New Roman"/>
                      <w:color w:val="000000" w:themeColor="text1"/>
                      <w:sz w:val="21"/>
                      <w:szCs w:val="21"/>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1"/>
                      <w:szCs w:val="21"/>
                      <w:lang w:val="en-US" w:eastAsia="zh-CN"/>
                      <w14:textFill>
                        <w14:solidFill>
                          <w14:schemeClr w14:val="tx1"/>
                        </w14:solidFill>
                      </w14:textFill>
                    </w:rPr>
                    <w:t>/h，故本项目不需要安装NMHC 在线监测设施（FID 检测器）</w:t>
                  </w:r>
                  <w:r>
                    <w:rPr>
                      <w:rFonts w:hint="eastAsia" w:ascii="Times New Roman" w:hAnsi="宋体" w:cs="Times New Roman"/>
                      <w:color w:val="000000" w:themeColor="text1"/>
                      <w:sz w:val="21"/>
                      <w:szCs w:val="21"/>
                      <w:highlight w:val="none"/>
                      <w:lang w:val="en-US" w:eastAsia="zh-CN"/>
                      <w14:textFill>
                        <w14:solidFill>
                          <w14:schemeClr w14:val="tx1"/>
                        </w14:solidFill>
                      </w14:textFill>
                    </w:rPr>
                    <w:t>；</w:t>
                  </w:r>
                </w:p>
                <w:p w14:paraId="6393D4AB">
                  <w:pPr>
                    <w:pStyle w:val="56"/>
                    <w:keepNext w:val="0"/>
                    <w:keepLines w:val="0"/>
                    <w:numPr>
                      <w:ilvl w:val="0"/>
                      <w:numId w:val="4"/>
                    </w:numPr>
                    <w:suppressLineNumbers w:val="0"/>
                    <w:adjustRightInd w:val="0"/>
                    <w:snapToGrid w:val="0"/>
                    <w:spacing w:before="0" w:beforeAutospacing="0" w:after="0" w:afterAutospacing="0" w:line="240" w:lineRule="auto"/>
                    <w:ind w:left="0" w:leftChars="0" w:right="0" w:rightChars="0" w:firstLine="0" w:firstLineChars="0"/>
                    <w:jc w:val="both"/>
                    <w:rPr>
                      <w:rFonts w:hint="eastAsia" w:ascii="Times New Roman" w:hAnsi="宋体" w:cs="Times New Roman"/>
                      <w:color w:val="000000"/>
                      <w:sz w:val="21"/>
                      <w:szCs w:val="21"/>
                      <w:lang w:val="en-US" w:eastAsia="zh-CN"/>
                    </w:rPr>
                  </w:pPr>
                  <w:r>
                    <w:rPr>
                      <w:rFonts w:hint="eastAsia" w:ascii="Times New Roman" w:hAnsi="Times New Roman" w:cs="Times New Roman"/>
                      <w:color w:val="000000"/>
                      <w:sz w:val="21"/>
                      <w:szCs w:val="21"/>
                      <w:lang w:val="en-US" w:eastAsia="zh-CN"/>
                    </w:rPr>
                    <w:t>按生态环境部门要求规范设置废气排放口标志牌、二维码标识和采样平台、采样孔；各废气排放口按照排污许可要求开展自行监测</w:t>
                  </w:r>
                  <w:r>
                    <w:rPr>
                      <w:rFonts w:hint="eastAsia" w:ascii="Times New Roman" w:hAnsi="宋体" w:cs="Times New Roman"/>
                      <w:color w:val="000000"/>
                      <w:sz w:val="21"/>
                      <w:szCs w:val="21"/>
                      <w:lang w:val="en-US" w:eastAsia="zh-CN"/>
                    </w:rPr>
                    <w:t>；</w:t>
                  </w:r>
                </w:p>
                <w:p w14:paraId="05185091">
                  <w:pPr>
                    <w:pStyle w:val="56"/>
                    <w:keepNext w:val="0"/>
                    <w:keepLines w:val="0"/>
                    <w:numPr>
                      <w:ilvl w:val="0"/>
                      <w:numId w:val="4"/>
                    </w:numPr>
                    <w:suppressLineNumbers w:val="0"/>
                    <w:adjustRightInd w:val="0"/>
                    <w:snapToGrid w:val="0"/>
                    <w:spacing w:before="0" w:beforeAutospacing="0" w:after="0" w:afterAutospacing="0" w:line="240" w:lineRule="auto"/>
                    <w:ind w:left="0" w:leftChars="0" w:right="0" w:rightChars="0" w:firstLine="0" w:firstLineChars="0"/>
                    <w:jc w:val="both"/>
                    <w:rPr>
                      <w:rFonts w:hint="eastAsia" w:ascii="Times New Roman" w:hAnsi="宋体" w:cs="Times New Roman"/>
                      <w:color w:val="000000"/>
                      <w:sz w:val="21"/>
                      <w:szCs w:val="21"/>
                      <w:lang w:val="en-US" w:eastAsia="zh-CN"/>
                    </w:rPr>
                  </w:pPr>
                  <w:r>
                    <w:rPr>
                      <w:rFonts w:hint="eastAsia" w:ascii="Times New Roman" w:hAnsi="宋体" w:cs="Times New Roman"/>
                      <w:color w:val="000000"/>
                      <w:sz w:val="21"/>
                      <w:szCs w:val="21"/>
                      <w:lang w:val="en-US" w:eastAsia="zh-CN"/>
                    </w:rPr>
                    <w:t>本项目将按照要求在涉气</w:t>
                  </w:r>
                  <w:r>
                    <w:rPr>
                      <w:rFonts w:hint="eastAsia" w:ascii="Times New Roman" w:hAnsi="Times New Roman" w:cs="Times New Roman"/>
                      <w:color w:val="000000"/>
                      <w:sz w:val="21"/>
                      <w:szCs w:val="21"/>
                      <w:lang w:val="en-US" w:eastAsia="zh-CN"/>
                    </w:rPr>
                    <w:t>生产设施主要投料口安装高清视频监控系统，视频监控数据保存6个月以上。</w:t>
                  </w:r>
                </w:p>
              </w:tc>
              <w:tc>
                <w:tcPr>
                  <w:tcW w:w="889" w:type="dxa"/>
                  <w:tcBorders>
                    <w:tl2br w:val="nil"/>
                    <w:tr2bl w:val="nil"/>
                  </w:tcBorders>
                  <w:vAlign w:val="center"/>
                </w:tcPr>
                <w:p w14:paraId="2BB8CB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 w:val="21"/>
                      <w:szCs w:val="21"/>
                    </w:rPr>
                  </w:pPr>
                  <w:r>
                    <w:rPr>
                      <w:rFonts w:hint="eastAsia"/>
                      <w:sz w:val="21"/>
                      <w:szCs w:val="21"/>
                    </w:rPr>
                    <w:t>相</w:t>
                  </w:r>
                  <w:r>
                    <w:rPr>
                      <w:rFonts w:hint="eastAsia"/>
                      <w:sz w:val="21"/>
                      <w:szCs w:val="21"/>
                      <w:lang w:val="en-US" w:eastAsia="zh-CN"/>
                    </w:rPr>
                    <w:t xml:space="preserve">  </w:t>
                  </w:r>
                  <w:r>
                    <w:rPr>
                      <w:rFonts w:hint="eastAsia"/>
                      <w:sz w:val="21"/>
                      <w:szCs w:val="21"/>
                    </w:rPr>
                    <w:t>符</w:t>
                  </w:r>
                </w:p>
              </w:tc>
            </w:tr>
            <w:tr w14:paraId="2769A5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dxa"/>
                  <w:vMerge w:val="restart"/>
                  <w:tcBorders>
                    <w:tl2br w:val="nil"/>
                    <w:tr2bl w:val="nil"/>
                  </w:tcBorders>
                  <w:vAlign w:val="center"/>
                </w:tcPr>
                <w:p w14:paraId="6BC17BF5">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hAnsi="宋体" w:eastAsia="宋体"/>
                      <w:color w:val="000000"/>
                      <w:sz w:val="21"/>
                      <w:szCs w:val="21"/>
                      <w:vertAlign w:val="baseline"/>
                      <w:lang w:val="en-US" w:eastAsia="zh-CN"/>
                    </w:rPr>
                  </w:pPr>
                  <w:r>
                    <w:rPr>
                      <w:rFonts w:hint="eastAsia" w:ascii="Times New Roman" w:hAnsi="宋体" w:cs="Times New Roman"/>
                      <w:color w:val="000000"/>
                      <w:sz w:val="21"/>
                      <w:szCs w:val="21"/>
                      <w:lang w:val="en-US" w:eastAsia="zh-CN"/>
                    </w:rPr>
                    <w:t>环境管理水平</w:t>
                  </w:r>
                </w:p>
              </w:tc>
              <w:tc>
                <w:tcPr>
                  <w:tcW w:w="586" w:type="dxa"/>
                  <w:tcBorders>
                    <w:tl2br w:val="nil"/>
                    <w:tr2bl w:val="nil"/>
                  </w:tcBorders>
                  <w:vAlign w:val="center"/>
                </w:tcPr>
                <w:p w14:paraId="3789110E">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hAnsi="宋体" w:eastAsia="宋体"/>
                      <w:color w:val="000000"/>
                      <w:sz w:val="21"/>
                      <w:szCs w:val="21"/>
                      <w:vertAlign w:val="baseline"/>
                      <w:lang w:val="en-US" w:eastAsia="zh-CN"/>
                    </w:rPr>
                  </w:pPr>
                  <w:r>
                    <w:rPr>
                      <w:rFonts w:hint="eastAsia" w:ascii="Times New Roman" w:hAnsi="宋体" w:cs="Times New Roman"/>
                      <w:color w:val="000000"/>
                      <w:sz w:val="21"/>
                      <w:szCs w:val="21"/>
                      <w:lang w:val="en-US" w:eastAsia="zh-CN"/>
                    </w:rPr>
                    <w:t>环保档案</w:t>
                  </w:r>
                </w:p>
              </w:tc>
              <w:tc>
                <w:tcPr>
                  <w:tcW w:w="4320" w:type="dxa"/>
                  <w:tcBorders>
                    <w:tl2br w:val="nil"/>
                    <w:tr2bl w:val="nil"/>
                  </w:tcBorders>
                  <w:vAlign w:val="center"/>
                </w:tcPr>
                <w:p w14:paraId="0EDA3BDE">
                  <w:pPr>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 xml:space="preserve">1.环评批复文件和竣工环保验收文件或环境现状评估备案证明； </w:t>
                  </w:r>
                </w:p>
                <w:p w14:paraId="28C8BC6A">
                  <w:pPr>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 xml:space="preserve">2.国家版排污许可证； </w:t>
                  </w:r>
                </w:p>
                <w:p w14:paraId="3662A13C">
                  <w:pPr>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 xml:space="preserve">3.环境管理制度（有组织、无组织排放长效管理机制，主要包括日常操作规程、岗位责任制度、污染物排放公示制度和定期巡查维护制度等）； </w:t>
                  </w:r>
                </w:p>
                <w:p w14:paraId="548EC34C">
                  <w:pPr>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 xml:space="preserve">4.废气污染治理设施稳定运行管理规程； </w:t>
                  </w:r>
                </w:p>
                <w:p w14:paraId="683D4930">
                  <w:pPr>
                    <w:keepNext w:val="0"/>
                    <w:keepLines w:val="0"/>
                    <w:widowControl/>
                    <w:suppressLineNumbers w:val="0"/>
                    <w:spacing w:before="0" w:beforeAutospacing="0" w:after="0" w:afterAutospacing="0"/>
                    <w:ind w:left="0" w:right="0"/>
                    <w:jc w:val="both"/>
                    <w:rPr>
                      <w:rFonts w:hint="default" w:hAnsi="宋体"/>
                      <w:color w:val="000000"/>
                      <w:sz w:val="21"/>
                      <w:szCs w:val="21"/>
                      <w:vertAlign w:val="baseline"/>
                    </w:rPr>
                  </w:pPr>
                  <w:r>
                    <w:rPr>
                      <w:rFonts w:hint="default" w:ascii="Times New Roman" w:hAnsi="Times New Roman" w:eastAsia="宋体" w:cs="Times New Roman"/>
                      <w:color w:val="000000"/>
                      <w:kern w:val="0"/>
                      <w:sz w:val="21"/>
                      <w:szCs w:val="21"/>
                      <w:lang w:val="en-US" w:eastAsia="zh-CN" w:bidi="ar"/>
                    </w:rPr>
                    <w:t>5.一年内废气监测报告（符合排污许可证监测项目及频次要求）。</w:t>
                  </w:r>
                </w:p>
              </w:tc>
              <w:tc>
                <w:tcPr>
                  <w:tcW w:w="2664" w:type="dxa"/>
                  <w:tcBorders>
                    <w:tl2br w:val="nil"/>
                    <w:tr2bl w:val="nil"/>
                  </w:tcBorders>
                  <w:vAlign w:val="center"/>
                </w:tcPr>
                <w:p w14:paraId="7F0F9C53">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both"/>
                    <w:rPr>
                      <w:rFonts w:hint="default" w:hAnsi="宋体"/>
                      <w:color w:val="000000"/>
                      <w:sz w:val="21"/>
                      <w:szCs w:val="21"/>
                      <w:vertAlign w:val="baseline"/>
                    </w:rPr>
                  </w:pPr>
                  <w:r>
                    <w:rPr>
                      <w:rFonts w:hint="eastAsia" w:ascii="Times New Roman" w:hAnsi="宋体" w:cs="Times New Roman"/>
                      <w:color w:val="000000"/>
                      <w:sz w:val="21"/>
                      <w:szCs w:val="21"/>
                      <w:lang w:val="en-US" w:eastAsia="zh-CN"/>
                    </w:rPr>
                    <w:t>本项目按照环保要求履行环保手续，按时申报排污许可证，定期进行年度监测，排污口设置排污口标识。</w:t>
                  </w:r>
                </w:p>
              </w:tc>
              <w:tc>
                <w:tcPr>
                  <w:tcW w:w="889" w:type="dxa"/>
                  <w:tcBorders>
                    <w:tl2br w:val="nil"/>
                    <w:tr2bl w:val="nil"/>
                  </w:tcBorders>
                  <w:vAlign w:val="center"/>
                </w:tcPr>
                <w:p w14:paraId="018F19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 w:val="21"/>
                      <w:szCs w:val="21"/>
                    </w:rPr>
                  </w:pPr>
                  <w:r>
                    <w:rPr>
                      <w:rFonts w:hint="eastAsia"/>
                      <w:sz w:val="21"/>
                      <w:szCs w:val="21"/>
                    </w:rPr>
                    <w:t>相</w:t>
                  </w:r>
                  <w:r>
                    <w:rPr>
                      <w:rFonts w:hint="eastAsia"/>
                      <w:sz w:val="21"/>
                      <w:szCs w:val="21"/>
                      <w:lang w:val="en-US" w:eastAsia="zh-CN"/>
                    </w:rPr>
                    <w:t xml:space="preserve">  </w:t>
                  </w:r>
                  <w:r>
                    <w:rPr>
                      <w:rFonts w:hint="eastAsia"/>
                      <w:sz w:val="21"/>
                      <w:szCs w:val="21"/>
                    </w:rPr>
                    <w:t>符</w:t>
                  </w:r>
                </w:p>
              </w:tc>
            </w:tr>
            <w:tr w14:paraId="29F524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dxa"/>
                  <w:vMerge w:val="continue"/>
                  <w:tcBorders>
                    <w:tl2br w:val="nil"/>
                    <w:tr2bl w:val="nil"/>
                  </w:tcBorders>
                  <w:vAlign w:val="center"/>
                </w:tcPr>
                <w:p w14:paraId="7B7151BF">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hAnsi="宋体" w:eastAsia="宋体"/>
                      <w:color w:val="000000"/>
                      <w:sz w:val="21"/>
                      <w:szCs w:val="21"/>
                      <w:vertAlign w:val="baseline"/>
                      <w:lang w:val="en-US" w:eastAsia="zh-CN"/>
                    </w:rPr>
                  </w:pPr>
                </w:p>
              </w:tc>
              <w:tc>
                <w:tcPr>
                  <w:tcW w:w="586" w:type="dxa"/>
                  <w:tcBorders>
                    <w:tl2br w:val="nil"/>
                    <w:tr2bl w:val="nil"/>
                  </w:tcBorders>
                  <w:vAlign w:val="center"/>
                </w:tcPr>
                <w:p w14:paraId="7157E7F3">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hAnsi="宋体" w:eastAsia="宋体"/>
                      <w:color w:val="000000"/>
                      <w:sz w:val="21"/>
                      <w:szCs w:val="21"/>
                      <w:vertAlign w:val="baseline"/>
                      <w:lang w:val="en-US" w:eastAsia="zh-CN"/>
                    </w:rPr>
                  </w:pPr>
                  <w:r>
                    <w:rPr>
                      <w:rFonts w:hint="eastAsia" w:ascii="Times New Roman" w:hAnsi="宋体" w:cs="Times New Roman"/>
                      <w:color w:val="000000"/>
                      <w:sz w:val="21"/>
                      <w:szCs w:val="21"/>
                      <w:lang w:val="en-US" w:eastAsia="zh-CN"/>
                    </w:rPr>
                    <w:t>台账记录</w:t>
                  </w:r>
                </w:p>
              </w:tc>
              <w:tc>
                <w:tcPr>
                  <w:tcW w:w="4320" w:type="dxa"/>
                  <w:tcBorders>
                    <w:tl2br w:val="nil"/>
                    <w:tr2bl w:val="nil"/>
                  </w:tcBorders>
                  <w:vAlign w:val="center"/>
                </w:tcPr>
                <w:p w14:paraId="26738914">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 xml:space="preserve">1.生产设施运行管理信息（生产时间、运行负荷、产品产量等）； </w:t>
                  </w:r>
                </w:p>
                <w:p w14:paraId="7C70C383">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 xml:space="preserve">2.废气污染治理设施运行、维护、管理信息（包括但不限于废气收集系统和污染治理设施的名称规格、设计参数、运行参数、巡检记录、污染治理易耗品与药剂用量（吸附剂、催化剂、脱硫剂、脱硝剂、过滤耗材等）、操作记录以及维护记录、运行要求等）； </w:t>
                  </w:r>
                </w:p>
                <w:p w14:paraId="6D2F9AC3">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 xml:space="preserve">3.监测记录信息（主要污染排放口废气排放记录等）； </w:t>
                  </w:r>
                </w:p>
                <w:p w14:paraId="259923DB">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 xml:space="preserve">4.主要原辅材料消耗记录； </w:t>
                  </w:r>
                </w:p>
                <w:p w14:paraId="18D6CC57">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 xml:space="preserve">5.燃料消耗记录； </w:t>
                  </w:r>
                </w:p>
                <w:p w14:paraId="0F35F5EE">
                  <w:pPr>
                    <w:keepNext w:val="0"/>
                    <w:keepLines w:val="0"/>
                    <w:widowControl/>
                    <w:suppressLineNumbers w:val="0"/>
                    <w:spacing w:before="0" w:beforeAutospacing="0" w:after="0" w:afterAutospacing="0"/>
                    <w:ind w:left="0" w:right="0"/>
                    <w:jc w:val="left"/>
                    <w:rPr>
                      <w:rFonts w:hint="default" w:hAnsi="宋体"/>
                      <w:color w:val="000000"/>
                      <w:sz w:val="21"/>
                      <w:szCs w:val="21"/>
                      <w:vertAlign w:val="baseline"/>
                    </w:rPr>
                  </w:pPr>
                  <w:r>
                    <w:rPr>
                      <w:rFonts w:hint="default" w:ascii="Times New Roman" w:hAnsi="Times New Roman" w:eastAsia="宋体" w:cs="Times New Roman"/>
                      <w:color w:val="000000"/>
                      <w:kern w:val="0"/>
                      <w:sz w:val="21"/>
                      <w:szCs w:val="21"/>
                      <w:lang w:val="en-US" w:eastAsia="zh-CN" w:bidi="ar"/>
                    </w:rPr>
                    <w:t>6.固废、危废暂存、处理记录。</w:t>
                  </w:r>
                </w:p>
              </w:tc>
              <w:tc>
                <w:tcPr>
                  <w:tcW w:w="2664" w:type="dxa"/>
                  <w:tcBorders>
                    <w:tl2br w:val="nil"/>
                    <w:tr2bl w:val="nil"/>
                  </w:tcBorders>
                  <w:vAlign w:val="center"/>
                </w:tcPr>
                <w:p w14:paraId="274DC355">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both"/>
                    <w:rPr>
                      <w:rFonts w:hint="default" w:hAnsi="宋体"/>
                      <w:color w:val="000000"/>
                      <w:sz w:val="21"/>
                      <w:szCs w:val="21"/>
                      <w:vertAlign w:val="baseline"/>
                    </w:rPr>
                  </w:pPr>
                  <w:r>
                    <w:rPr>
                      <w:rFonts w:hint="eastAsia" w:ascii="Times New Roman" w:hAnsi="宋体" w:cs="Times New Roman"/>
                      <w:color w:val="000000"/>
                      <w:sz w:val="21"/>
                      <w:szCs w:val="21"/>
                      <w:lang w:val="en-US" w:eastAsia="zh-CN"/>
                    </w:rPr>
                    <w:t>1、本环评要求企业设置生产设施运行管理信息；2、本环评要求企业按照要求设置废气污染治理台账；3、本环评要求企业按要求进行年度自行监测；4、本环评要求企业做好主要原辅料台账记录；5、本项目不使用燃料；6、本项目设置固废及危废台账记录。</w:t>
                  </w:r>
                </w:p>
              </w:tc>
              <w:tc>
                <w:tcPr>
                  <w:tcW w:w="889" w:type="dxa"/>
                  <w:tcBorders>
                    <w:tl2br w:val="nil"/>
                    <w:tr2bl w:val="nil"/>
                  </w:tcBorders>
                  <w:vAlign w:val="center"/>
                </w:tcPr>
                <w:p w14:paraId="2BEC66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 w:val="21"/>
                      <w:szCs w:val="21"/>
                    </w:rPr>
                  </w:pPr>
                  <w:r>
                    <w:rPr>
                      <w:rFonts w:hint="eastAsia"/>
                      <w:sz w:val="21"/>
                      <w:szCs w:val="21"/>
                    </w:rPr>
                    <w:t>相</w:t>
                  </w:r>
                  <w:r>
                    <w:rPr>
                      <w:rFonts w:hint="eastAsia"/>
                      <w:sz w:val="21"/>
                      <w:szCs w:val="21"/>
                      <w:lang w:val="en-US" w:eastAsia="zh-CN"/>
                    </w:rPr>
                    <w:t xml:space="preserve">  </w:t>
                  </w:r>
                  <w:r>
                    <w:rPr>
                      <w:rFonts w:hint="eastAsia"/>
                      <w:sz w:val="21"/>
                      <w:szCs w:val="21"/>
                    </w:rPr>
                    <w:t>符</w:t>
                  </w:r>
                </w:p>
              </w:tc>
            </w:tr>
            <w:tr w14:paraId="42048A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dxa"/>
                  <w:vMerge w:val="continue"/>
                  <w:tcBorders>
                    <w:tl2br w:val="nil"/>
                    <w:tr2bl w:val="nil"/>
                  </w:tcBorders>
                  <w:vAlign w:val="center"/>
                </w:tcPr>
                <w:p w14:paraId="633E313A">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hAnsi="宋体" w:eastAsia="宋体"/>
                      <w:color w:val="000000"/>
                      <w:sz w:val="21"/>
                      <w:szCs w:val="21"/>
                      <w:vertAlign w:val="baseline"/>
                      <w:lang w:val="en-US" w:eastAsia="zh-CN"/>
                    </w:rPr>
                  </w:pPr>
                </w:p>
              </w:tc>
              <w:tc>
                <w:tcPr>
                  <w:tcW w:w="586" w:type="dxa"/>
                  <w:tcBorders>
                    <w:tl2br w:val="nil"/>
                    <w:tr2bl w:val="nil"/>
                  </w:tcBorders>
                  <w:vAlign w:val="center"/>
                </w:tcPr>
                <w:p w14:paraId="55747551">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hAnsi="宋体" w:eastAsia="宋体"/>
                      <w:color w:val="000000"/>
                      <w:sz w:val="21"/>
                      <w:szCs w:val="21"/>
                      <w:vertAlign w:val="baseline"/>
                      <w:lang w:val="en-US" w:eastAsia="zh-CN"/>
                    </w:rPr>
                  </w:pPr>
                  <w:r>
                    <w:rPr>
                      <w:rFonts w:hint="eastAsia" w:ascii="Times New Roman" w:hAnsi="宋体" w:cs="Times New Roman"/>
                      <w:color w:val="000000"/>
                      <w:sz w:val="21"/>
                      <w:szCs w:val="21"/>
                      <w:lang w:val="en-US" w:eastAsia="zh-CN"/>
                    </w:rPr>
                    <w:t>人员配置</w:t>
                  </w:r>
                </w:p>
              </w:tc>
              <w:tc>
                <w:tcPr>
                  <w:tcW w:w="4320" w:type="dxa"/>
                  <w:tcBorders>
                    <w:tl2br w:val="nil"/>
                    <w:tr2bl w:val="nil"/>
                  </w:tcBorders>
                  <w:vAlign w:val="center"/>
                </w:tcPr>
                <w:p w14:paraId="3F2C7456">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both"/>
                    <w:rPr>
                      <w:rFonts w:hint="default" w:hAnsi="宋体"/>
                      <w:color w:val="000000"/>
                      <w:sz w:val="21"/>
                      <w:szCs w:val="21"/>
                      <w:vertAlign w:val="baseline"/>
                    </w:rPr>
                  </w:pPr>
                  <w:r>
                    <w:rPr>
                      <w:rFonts w:hint="eastAsia" w:ascii="Times New Roman" w:hAnsi="宋体" w:cs="Times New Roman"/>
                      <w:color w:val="000000"/>
                      <w:sz w:val="21"/>
                      <w:szCs w:val="21"/>
                      <w:lang w:val="en-US" w:eastAsia="zh-CN"/>
                    </w:rPr>
                    <w:t>设置环保部门，配备专职环保人员，并具备相应的环境管理能力（包括但不限于学历、培训、从业经验等）。</w:t>
                  </w:r>
                </w:p>
              </w:tc>
              <w:tc>
                <w:tcPr>
                  <w:tcW w:w="2664" w:type="dxa"/>
                  <w:tcBorders>
                    <w:tl2br w:val="nil"/>
                    <w:tr2bl w:val="nil"/>
                  </w:tcBorders>
                  <w:vAlign w:val="center"/>
                </w:tcPr>
                <w:p w14:paraId="43785402">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both"/>
                    <w:rPr>
                      <w:rFonts w:hint="default" w:hAnsi="宋体"/>
                      <w:color w:val="000000"/>
                      <w:sz w:val="21"/>
                      <w:szCs w:val="21"/>
                      <w:vertAlign w:val="baseline"/>
                    </w:rPr>
                  </w:pPr>
                  <w:r>
                    <w:rPr>
                      <w:rFonts w:hint="eastAsia" w:ascii="Times New Roman" w:hAnsi="宋体" w:cs="Times New Roman"/>
                      <w:color w:val="000000"/>
                      <w:sz w:val="21"/>
                      <w:szCs w:val="21"/>
                      <w:lang w:val="en-US" w:eastAsia="zh-CN"/>
                    </w:rPr>
                    <w:t>本环评要求企业按照要求建立专门的环保机构负责环保相关工作。</w:t>
                  </w:r>
                </w:p>
              </w:tc>
              <w:tc>
                <w:tcPr>
                  <w:tcW w:w="889" w:type="dxa"/>
                  <w:tcBorders>
                    <w:tl2br w:val="nil"/>
                    <w:tr2bl w:val="nil"/>
                  </w:tcBorders>
                  <w:vAlign w:val="center"/>
                </w:tcPr>
                <w:p w14:paraId="55B7BE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 w:val="21"/>
                      <w:szCs w:val="21"/>
                    </w:rPr>
                  </w:pPr>
                  <w:r>
                    <w:rPr>
                      <w:rFonts w:hint="eastAsia"/>
                      <w:sz w:val="21"/>
                      <w:szCs w:val="21"/>
                    </w:rPr>
                    <w:t>相</w:t>
                  </w:r>
                  <w:r>
                    <w:rPr>
                      <w:rFonts w:hint="eastAsia"/>
                      <w:sz w:val="21"/>
                      <w:szCs w:val="21"/>
                      <w:lang w:val="en-US" w:eastAsia="zh-CN"/>
                    </w:rPr>
                    <w:t xml:space="preserve">  </w:t>
                  </w:r>
                  <w:r>
                    <w:rPr>
                      <w:rFonts w:hint="eastAsia"/>
                      <w:sz w:val="21"/>
                      <w:szCs w:val="21"/>
                    </w:rPr>
                    <w:t>符</w:t>
                  </w:r>
                </w:p>
              </w:tc>
            </w:tr>
            <w:tr w14:paraId="300C86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gridSpan w:val="2"/>
                  <w:tcBorders>
                    <w:tl2br w:val="nil"/>
                    <w:tr2bl w:val="nil"/>
                  </w:tcBorders>
                  <w:vAlign w:val="center"/>
                </w:tcPr>
                <w:p w14:paraId="72D0B32E">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hAnsi="宋体"/>
                      <w:color w:val="000000"/>
                      <w:sz w:val="21"/>
                      <w:szCs w:val="21"/>
                      <w:vertAlign w:val="baseline"/>
                      <w:lang w:val="en-US" w:eastAsia="zh-CN"/>
                    </w:rPr>
                  </w:pPr>
                  <w:r>
                    <w:rPr>
                      <w:rFonts w:hint="eastAsia" w:ascii="Times New Roman" w:hAnsi="宋体" w:cs="Times New Roman"/>
                      <w:color w:val="000000"/>
                      <w:sz w:val="21"/>
                      <w:szCs w:val="21"/>
                      <w:lang w:val="en-US" w:eastAsia="zh-CN"/>
                    </w:rPr>
                    <w:t>运输方式</w:t>
                  </w:r>
                </w:p>
              </w:tc>
              <w:tc>
                <w:tcPr>
                  <w:tcW w:w="4320" w:type="dxa"/>
                  <w:tcBorders>
                    <w:tl2br w:val="nil"/>
                    <w:tr2bl w:val="nil"/>
                  </w:tcBorders>
                  <w:vAlign w:val="center"/>
                </w:tcPr>
                <w:p w14:paraId="24809402">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 xml:space="preserve">1.物料、产品公路运输全部使用国五及以上排放标准的重型载货车辆（重型燃气车辆达到国六排放标准）或新能源车辆； </w:t>
                  </w:r>
                </w:p>
                <w:p w14:paraId="14EDC9AA">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 xml:space="preserve">2.厂内车辆全部达到国五及以上排放标准（重型燃气车辆达到国六排放标准）或使用新能源车辆； </w:t>
                  </w:r>
                </w:p>
                <w:p w14:paraId="1110FD58">
                  <w:pPr>
                    <w:keepNext w:val="0"/>
                    <w:keepLines w:val="0"/>
                    <w:widowControl/>
                    <w:suppressLineNumbers w:val="0"/>
                    <w:spacing w:before="0" w:beforeAutospacing="0" w:after="0" w:afterAutospacing="0"/>
                    <w:ind w:left="0" w:right="0"/>
                    <w:jc w:val="left"/>
                    <w:rPr>
                      <w:rFonts w:hint="default" w:hAnsi="宋体"/>
                      <w:color w:val="000000"/>
                      <w:sz w:val="21"/>
                      <w:szCs w:val="21"/>
                      <w:vertAlign w:val="baseline"/>
                    </w:rPr>
                  </w:pPr>
                  <w:r>
                    <w:rPr>
                      <w:rFonts w:hint="default" w:ascii="Times New Roman" w:hAnsi="Times New Roman" w:eastAsia="宋体" w:cs="Times New Roman"/>
                      <w:color w:val="000000"/>
                      <w:kern w:val="0"/>
                      <w:sz w:val="21"/>
                      <w:szCs w:val="21"/>
                      <w:lang w:val="en-US" w:eastAsia="zh-CN" w:bidi="ar"/>
                    </w:rPr>
                    <w:t>3.厂内非道路移动机械达到国三及以上排放标准或使用新能源机械。</w:t>
                  </w:r>
                </w:p>
              </w:tc>
              <w:tc>
                <w:tcPr>
                  <w:tcW w:w="2664" w:type="dxa"/>
                  <w:tcBorders>
                    <w:tl2br w:val="nil"/>
                    <w:tr2bl w:val="nil"/>
                  </w:tcBorders>
                  <w:vAlign w:val="center"/>
                </w:tcPr>
                <w:p w14:paraId="31AC0565">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both"/>
                    <w:rPr>
                      <w:rFonts w:hint="default" w:hAnsi="宋体"/>
                      <w:color w:val="000000"/>
                      <w:sz w:val="21"/>
                      <w:szCs w:val="21"/>
                      <w:vertAlign w:val="baseline"/>
                    </w:rPr>
                  </w:pPr>
                  <w:r>
                    <w:rPr>
                      <w:rFonts w:hint="eastAsia" w:ascii="Times New Roman" w:hAnsi="宋体" w:cs="Times New Roman"/>
                      <w:color w:val="000000"/>
                      <w:sz w:val="21"/>
                      <w:szCs w:val="21"/>
                      <w:lang w:val="en-US" w:eastAsia="zh-CN"/>
                    </w:rPr>
                    <w:t>企业公路运输采用国五以上汽车，厂内运输车辆全部达国五及以上标准。</w:t>
                  </w:r>
                </w:p>
              </w:tc>
              <w:tc>
                <w:tcPr>
                  <w:tcW w:w="889" w:type="dxa"/>
                  <w:tcBorders>
                    <w:tl2br w:val="nil"/>
                    <w:tr2bl w:val="nil"/>
                  </w:tcBorders>
                  <w:vAlign w:val="center"/>
                </w:tcPr>
                <w:p w14:paraId="7C6BAB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hAnsi="宋体"/>
                      <w:color w:val="000000"/>
                      <w:sz w:val="21"/>
                      <w:szCs w:val="21"/>
                      <w:vertAlign w:val="baseline"/>
                    </w:rPr>
                  </w:pPr>
                  <w:r>
                    <w:rPr>
                      <w:rFonts w:hint="eastAsia"/>
                      <w:sz w:val="21"/>
                      <w:szCs w:val="21"/>
                    </w:rPr>
                    <w:t>相</w:t>
                  </w:r>
                  <w:r>
                    <w:rPr>
                      <w:rFonts w:hint="eastAsia"/>
                      <w:sz w:val="21"/>
                      <w:szCs w:val="21"/>
                      <w:lang w:val="en-US" w:eastAsia="zh-CN"/>
                    </w:rPr>
                    <w:t xml:space="preserve">  </w:t>
                  </w:r>
                  <w:r>
                    <w:rPr>
                      <w:rFonts w:hint="eastAsia"/>
                      <w:sz w:val="21"/>
                      <w:szCs w:val="21"/>
                    </w:rPr>
                    <w:t>符</w:t>
                  </w:r>
                </w:p>
              </w:tc>
            </w:tr>
            <w:tr w14:paraId="65CCE0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gridSpan w:val="2"/>
                  <w:tcBorders>
                    <w:bottom w:val="single" w:color="auto" w:sz="8" w:space="0"/>
                  </w:tcBorders>
                  <w:vAlign w:val="center"/>
                </w:tcPr>
                <w:p w14:paraId="1C7BB936">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hAnsi="宋体"/>
                      <w:color w:val="000000"/>
                      <w:sz w:val="21"/>
                      <w:szCs w:val="21"/>
                      <w:vertAlign w:val="baseline"/>
                      <w:lang w:val="en-US" w:eastAsia="zh-CN"/>
                    </w:rPr>
                  </w:pPr>
                  <w:r>
                    <w:rPr>
                      <w:rFonts w:hint="eastAsia" w:ascii="Times New Roman" w:hAnsi="宋体" w:cs="Times New Roman"/>
                      <w:color w:val="000000"/>
                      <w:sz w:val="21"/>
                      <w:szCs w:val="21"/>
                      <w:lang w:val="en-US" w:eastAsia="zh-CN"/>
                    </w:rPr>
                    <w:t>运输监管</w:t>
                  </w:r>
                </w:p>
              </w:tc>
              <w:tc>
                <w:tcPr>
                  <w:tcW w:w="4320" w:type="dxa"/>
                  <w:tcBorders>
                    <w:bottom w:val="single" w:color="auto" w:sz="8" w:space="0"/>
                  </w:tcBorders>
                  <w:vAlign w:val="center"/>
                </w:tcPr>
                <w:p w14:paraId="02192C4E">
                  <w:pPr>
                    <w:keepNext w:val="0"/>
                    <w:keepLines w:val="0"/>
                    <w:widowControl/>
                    <w:suppressLineNumbers w:val="0"/>
                    <w:spacing w:before="0" w:beforeAutospacing="0" w:after="0" w:afterAutospacing="0"/>
                    <w:ind w:left="0" w:right="0"/>
                    <w:jc w:val="both"/>
                    <w:rPr>
                      <w:rFonts w:hint="default" w:hAnsi="宋体"/>
                      <w:color w:val="000000"/>
                      <w:sz w:val="21"/>
                      <w:szCs w:val="21"/>
                      <w:vertAlign w:val="baseline"/>
                    </w:rPr>
                  </w:pPr>
                  <w:r>
                    <w:rPr>
                      <w:rFonts w:hint="default" w:ascii="Times New Roman" w:hAnsi="Times New Roman" w:eastAsia="宋体" w:cs="Times New Roman"/>
                      <w:color w:val="000000"/>
                      <w:kern w:val="0"/>
                      <w:sz w:val="21"/>
                      <w:szCs w:val="21"/>
                      <w:lang w:val="en-US" w:eastAsia="zh-CN" w:bidi="ar"/>
                    </w:rPr>
                    <w:t>日均进出货物 150 吨（或载货车辆日进出 10 辆次）及以上（货物包括原料、辅料、燃料、产品和其他与生产相关物料）的企业，参照《重污染天气重点行业移动源应急管理技术指南》建立门禁视频监控系统和电子台账；其他企业安装车辆运输视频监控（数据能保存 6 个月），并建立车辆运输手工台账。</w:t>
                  </w:r>
                </w:p>
              </w:tc>
              <w:tc>
                <w:tcPr>
                  <w:tcW w:w="2664" w:type="dxa"/>
                  <w:tcBorders>
                    <w:bottom w:val="single" w:color="auto" w:sz="8" w:space="0"/>
                  </w:tcBorders>
                  <w:vAlign w:val="center"/>
                </w:tcPr>
                <w:p w14:paraId="009D97F0">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both"/>
                    <w:rPr>
                      <w:rFonts w:hint="default" w:hAnsi="宋体"/>
                      <w:color w:val="000000"/>
                      <w:sz w:val="21"/>
                      <w:szCs w:val="21"/>
                      <w:vertAlign w:val="baseline"/>
                    </w:rPr>
                  </w:pPr>
                  <w:r>
                    <w:rPr>
                      <w:rFonts w:hint="eastAsia" w:ascii="Times New Roman" w:hAnsi="宋体" w:cs="Times New Roman"/>
                      <w:color w:val="000000"/>
                      <w:sz w:val="21"/>
                      <w:szCs w:val="21"/>
                      <w:lang w:val="en-US" w:eastAsia="zh-CN"/>
                    </w:rPr>
                    <w:t>本企业日均进出货物大于150吨，企业已建立门禁视频监控系统和电子台账。</w:t>
                  </w:r>
                </w:p>
              </w:tc>
              <w:tc>
                <w:tcPr>
                  <w:tcW w:w="889" w:type="dxa"/>
                  <w:tcBorders>
                    <w:bottom w:val="single" w:color="auto" w:sz="8" w:space="0"/>
                  </w:tcBorders>
                  <w:vAlign w:val="center"/>
                </w:tcPr>
                <w:p w14:paraId="6B779B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hAnsi="宋体"/>
                      <w:color w:val="000000"/>
                      <w:sz w:val="21"/>
                      <w:szCs w:val="21"/>
                      <w:vertAlign w:val="baseline"/>
                    </w:rPr>
                  </w:pPr>
                  <w:r>
                    <w:rPr>
                      <w:rFonts w:hint="eastAsia"/>
                      <w:sz w:val="21"/>
                      <w:szCs w:val="21"/>
                    </w:rPr>
                    <w:t>相</w:t>
                  </w:r>
                  <w:r>
                    <w:rPr>
                      <w:rFonts w:hint="eastAsia"/>
                      <w:sz w:val="21"/>
                      <w:szCs w:val="21"/>
                      <w:lang w:val="en-US" w:eastAsia="zh-CN"/>
                    </w:rPr>
                    <w:t xml:space="preserve">  </w:t>
                  </w:r>
                  <w:r>
                    <w:rPr>
                      <w:rFonts w:hint="eastAsia"/>
                      <w:sz w:val="21"/>
                      <w:szCs w:val="21"/>
                    </w:rPr>
                    <w:t>符</w:t>
                  </w:r>
                </w:p>
              </w:tc>
            </w:tr>
          </w:tbl>
          <w:p w14:paraId="494243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宋体" w:hAnsi="宋体" w:eastAsia="宋体" w:cs="宋体"/>
                <w:b w:val="0"/>
                <w:bCs w:val="0"/>
                <w:color w:val="auto"/>
                <w:kern w:val="0"/>
                <w:sz w:val="24"/>
                <w:szCs w:val="24"/>
                <w:highlight w:val="none"/>
                <w:u w:val="none"/>
                <w:lang w:val="en-US" w:eastAsia="zh-CN" w:bidi="ar"/>
              </w:rPr>
            </w:pPr>
            <w:r>
              <w:rPr>
                <w:rFonts w:hint="eastAsia" w:ascii="宋体" w:hAnsi="宋体" w:eastAsia="宋体" w:cs="宋体"/>
                <w:b w:val="0"/>
                <w:bCs w:val="0"/>
                <w:color w:val="auto"/>
                <w:kern w:val="2"/>
                <w:sz w:val="24"/>
                <w:szCs w:val="24"/>
                <w:highlight w:val="none"/>
                <w:u w:val="none"/>
                <w:lang w:val="en-US" w:eastAsia="zh-CN" w:bidi="ar"/>
              </w:rPr>
              <w:t>由上表可知，本项目符合《河南省重污染天气重点行业应急减排措施制定技术指南》（</w:t>
            </w:r>
            <w:r>
              <w:rPr>
                <w:rFonts w:hint="eastAsia" w:cs="Times New Roman"/>
                <w:b w:val="0"/>
                <w:bCs w:val="0"/>
                <w:color w:val="auto"/>
                <w:kern w:val="2"/>
                <w:sz w:val="24"/>
                <w:szCs w:val="24"/>
                <w:highlight w:val="none"/>
                <w:u w:val="none"/>
                <w:lang w:val="en-US" w:eastAsia="zh-CN" w:bidi="ar"/>
              </w:rPr>
              <w:t>2024年修订稿</w:t>
            </w:r>
            <w:r>
              <w:rPr>
                <w:rFonts w:hint="eastAsia" w:ascii="宋体" w:hAnsi="宋体" w:eastAsia="宋体" w:cs="宋体"/>
                <w:b w:val="0"/>
                <w:bCs w:val="0"/>
                <w:color w:val="auto"/>
                <w:kern w:val="2"/>
                <w:sz w:val="24"/>
                <w:szCs w:val="24"/>
                <w:highlight w:val="none"/>
                <w:u w:val="none"/>
                <w:lang w:val="en-US" w:eastAsia="zh-CN" w:bidi="ar"/>
              </w:rPr>
              <w:t>）中</w:t>
            </w:r>
            <w:r>
              <w:rPr>
                <w:rFonts w:hint="eastAsia" w:cs="Times New Roman"/>
                <w:color w:val="auto"/>
                <w:sz w:val="24"/>
                <w:lang w:val="en-US" w:eastAsia="zh-CN"/>
              </w:rPr>
              <w:t>电池制造</w:t>
            </w:r>
            <w:r>
              <w:rPr>
                <w:rFonts w:hint="default" w:ascii="Times New Roman" w:hAnsi="Times New Roman" w:cs="Times New Roman"/>
                <w:color w:val="auto"/>
                <w:sz w:val="24"/>
                <w:lang w:val="en-US" w:eastAsia="zh-CN"/>
              </w:rPr>
              <w:t>企业绩效</w:t>
            </w:r>
            <w:r>
              <w:rPr>
                <w:rFonts w:hint="eastAsia" w:ascii="Times New Roman" w:hAnsi="Times New Roman" w:cs="Times New Roman"/>
                <w:color w:val="auto"/>
                <w:sz w:val="24"/>
                <w:lang w:val="en-US" w:eastAsia="zh-CN"/>
              </w:rPr>
              <w:t>分级A级</w:t>
            </w:r>
            <w:r>
              <w:rPr>
                <w:rFonts w:hint="eastAsia" w:ascii="宋体" w:hAnsi="宋体" w:eastAsia="宋体" w:cs="宋体"/>
                <w:b w:val="0"/>
                <w:bCs w:val="0"/>
                <w:color w:val="auto"/>
                <w:kern w:val="0"/>
                <w:sz w:val="24"/>
                <w:szCs w:val="24"/>
                <w:highlight w:val="none"/>
                <w:u w:val="none"/>
                <w:lang w:val="en-US" w:eastAsia="zh-CN" w:bidi="ar"/>
              </w:rPr>
              <w:t>要求。</w:t>
            </w:r>
          </w:p>
          <w:p w14:paraId="21B74E21">
            <w:pPr>
              <w:pStyle w:val="2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firstLine="420" w:firstLineChars="200"/>
              <w:jc w:val="both"/>
              <w:textAlignment w:val="auto"/>
              <w:rPr>
                <w:rFonts w:hint="default" w:eastAsia="宋体"/>
                <w:lang w:val="en-US" w:eastAsia="zh-CN"/>
              </w:rPr>
            </w:pPr>
          </w:p>
        </w:tc>
      </w:tr>
    </w:tbl>
    <w:p w14:paraId="1034790F">
      <w:pPr>
        <w:pStyle w:val="19"/>
        <w:rPr>
          <w:rFonts w:hint="eastAsia" w:ascii="黑体" w:hAnsi="黑体" w:eastAsia="黑体"/>
          <w:snapToGrid w:val="0"/>
          <w:sz w:val="36"/>
          <w:szCs w:val="36"/>
          <w:lang w:eastAsia="zh-CN"/>
        </w:rPr>
        <w:sectPr>
          <w:pgSz w:w="11906" w:h="16838"/>
          <w:pgMar w:top="1531" w:right="1531" w:bottom="1531" w:left="1531" w:header="851" w:footer="851" w:gutter="0"/>
          <w:pgBorders>
            <w:top w:val="none" w:sz="0" w:space="0"/>
            <w:left w:val="none" w:sz="0" w:space="0"/>
            <w:bottom w:val="none" w:sz="0" w:space="0"/>
            <w:right w:val="none" w:sz="0" w:space="0"/>
          </w:pgBorders>
          <w:pgNumType w:fmt="decimal" w:start="1"/>
          <w:cols w:space="720" w:num="1"/>
          <w:docGrid w:linePitch="312" w:charSpace="0"/>
        </w:sectPr>
      </w:pPr>
    </w:p>
    <w:p w14:paraId="67E70C2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黑体" w:hAnsi="黑体" w:eastAsia="黑体" w:cs="黑体"/>
          <w:b w:val="0"/>
          <w:bCs w:val="0"/>
          <w:sz w:val="30"/>
          <w:szCs w:val="30"/>
        </w:rPr>
      </w:pPr>
      <w:r>
        <w:rPr>
          <w:rFonts w:hint="eastAsia" w:ascii="黑体" w:hAnsi="黑体" w:eastAsia="黑体" w:cs="黑体"/>
          <w:b w:val="0"/>
          <w:bCs w:val="0"/>
          <w:sz w:val="30"/>
          <w:szCs w:val="30"/>
        </w:rPr>
        <w:t>二、建设项目工程分析</w:t>
      </w:r>
    </w:p>
    <w:tbl>
      <w:tblPr>
        <w:tblStyle w:val="23"/>
        <w:tblW w:w="975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31"/>
        <w:gridCol w:w="9021"/>
      </w:tblGrid>
      <w:tr w14:paraId="5149FF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731" w:type="dxa"/>
            <w:noWrap w:val="0"/>
            <w:vAlign w:val="center"/>
          </w:tcPr>
          <w:p w14:paraId="41C0F3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szCs w:val="21"/>
                <w:lang w:val="en-US" w:eastAsia="zh-CN"/>
              </w:rPr>
            </w:pPr>
            <w:r>
              <w:rPr>
                <w:rFonts w:hint="default"/>
                <w:lang w:val="en-US" w:eastAsia="zh-CN"/>
              </w:rPr>
              <w:t>建设内容</w:t>
            </w:r>
          </w:p>
        </w:tc>
        <w:tc>
          <w:tcPr>
            <w:tcW w:w="9021" w:type="dxa"/>
            <w:noWrap w:val="0"/>
            <w:vAlign w:val="top"/>
          </w:tcPr>
          <w:p w14:paraId="72B4A75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textAlignment w:val="auto"/>
              <w:rPr>
                <w:rFonts w:hint="eastAsia" w:ascii="宋体" w:hAnsi="宋体"/>
                <w:color w:val="000000"/>
                <w:sz w:val="24"/>
                <w:lang w:val="en-US" w:eastAsia="zh-CN"/>
              </w:rPr>
            </w:pPr>
            <w:bookmarkStart w:id="4" w:name="_Toc262219100"/>
            <w:r>
              <w:rPr>
                <w:rFonts w:hint="eastAsia"/>
                <w:b/>
                <w:sz w:val="24"/>
              </w:rPr>
              <w:t>一、项目由来</w:t>
            </w:r>
            <w:bookmarkEnd w:id="4"/>
          </w:p>
          <w:p w14:paraId="755063D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auto"/>
              <w:rPr>
                <w:rFonts w:hint="default" w:eastAsia="宋体"/>
                <w:color w:val="000000" w:themeColor="text1"/>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新乡市弘力电源科技有限公司位于</w:t>
            </w:r>
            <w:r>
              <w:rPr>
                <w:rFonts w:hint="default" w:ascii="Times New Roman" w:hAnsi="Times New Roman" w:cs="Times New Roman"/>
                <w:color w:val="auto"/>
                <w:sz w:val="24"/>
                <w:szCs w:val="24"/>
                <w:lang w:val="en-US" w:eastAsia="zh-CN"/>
              </w:rPr>
              <w:t>河南省新乡市新乡县</w:t>
            </w:r>
            <w:r>
              <w:rPr>
                <w:rFonts w:hint="eastAsia" w:ascii="Times New Roman" w:hAnsi="Times New Roman" w:cs="Times New Roman"/>
                <w:color w:val="auto"/>
                <w:sz w:val="24"/>
                <w:szCs w:val="24"/>
                <w:lang w:val="en-US" w:eastAsia="zh-CN"/>
              </w:rPr>
              <w:t>经济开发区兴隆路西段</w:t>
            </w:r>
            <w:r>
              <w:rPr>
                <w:rFonts w:hint="eastAsia"/>
                <w:color w:val="000000" w:themeColor="text1"/>
                <w:highlight w:val="none"/>
                <w:lang w:val="en-US" w:eastAsia="zh-CN"/>
                <w14:textFill>
                  <w14:solidFill>
                    <w14:schemeClr w14:val="tx1"/>
                  </w14:solidFill>
                </w14:textFill>
              </w:rPr>
              <w:t>，是生产锂离子电池的企业</w:t>
            </w:r>
            <w:r>
              <w:rPr>
                <w:rFonts w:hint="eastAsia"/>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现有项目环评批复及验收情况如下表所示。</w:t>
            </w:r>
          </w:p>
          <w:p w14:paraId="36522C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C0C0C"/>
                <w:sz w:val="24"/>
                <w:szCs w:val="20"/>
                <w:lang w:val="en-US" w:eastAsia="zh-CN"/>
              </w:rPr>
            </w:pPr>
            <w:r>
              <w:rPr>
                <w:rFonts w:hint="default" w:ascii="Times New Roman" w:hAnsi="Times New Roman" w:eastAsia="宋体" w:cs="Times New Roman"/>
                <w:b/>
                <w:bCs/>
                <w:color w:val="0C0C0C"/>
                <w:sz w:val="24"/>
                <w:szCs w:val="20"/>
              </w:rPr>
              <w:t>表</w:t>
            </w:r>
            <w:r>
              <w:rPr>
                <w:rFonts w:hint="eastAsia" w:cs="Times New Roman"/>
                <w:b/>
                <w:bCs/>
                <w:color w:val="0C0C0C"/>
                <w:sz w:val="24"/>
                <w:szCs w:val="20"/>
                <w:lang w:val="en-US" w:eastAsia="zh-CN"/>
              </w:rPr>
              <w:t>10</w:t>
            </w:r>
            <w:r>
              <w:rPr>
                <w:rFonts w:hint="default" w:ascii="Times New Roman" w:hAnsi="Times New Roman" w:eastAsia="宋体" w:cs="Times New Roman"/>
                <w:b/>
                <w:bCs/>
                <w:color w:val="0C0C0C"/>
                <w:sz w:val="24"/>
                <w:szCs w:val="20"/>
              </w:rPr>
              <w:t xml:space="preserve"> </w:t>
            </w:r>
            <w:r>
              <w:rPr>
                <w:rFonts w:hint="eastAsia" w:cs="Times New Roman"/>
                <w:b/>
                <w:bCs/>
                <w:color w:val="0C0C0C"/>
                <w:sz w:val="24"/>
                <w:szCs w:val="20"/>
                <w:lang w:val="en-US" w:eastAsia="zh-CN"/>
              </w:rPr>
              <w:t>现有</w:t>
            </w:r>
            <w:r>
              <w:rPr>
                <w:rFonts w:hint="default" w:ascii="Times New Roman" w:hAnsi="Times New Roman" w:eastAsia="宋体" w:cs="Times New Roman"/>
                <w:b/>
                <w:bCs/>
                <w:color w:val="0C0C0C"/>
                <w:sz w:val="24"/>
                <w:szCs w:val="20"/>
              </w:rPr>
              <w:t>项目审批情况</w:t>
            </w:r>
            <w:r>
              <w:rPr>
                <w:rFonts w:hint="default" w:ascii="Times New Roman" w:hAnsi="Times New Roman" w:eastAsia="宋体" w:cs="Times New Roman"/>
                <w:b/>
                <w:bCs/>
                <w:color w:val="0C0C0C"/>
                <w:sz w:val="24"/>
                <w:szCs w:val="20"/>
                <w:lang w:val="en-US" w:eastAsia="zh-CN"/>
              </w:rPr>
              <w:t>一览表</w:t>
            </w:r>
          </w:p>
          <w:tbl>
            <w:tblPr>
              <w:tblStyle w:val="23"/>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11"/>
              <w:gridCol w:w="2521"/>
              <w:gridCol w:w="2354"/>
              <w:gridCol w:w="1707"/>
              <w:gridCol w:w="2"/>
              <w:gridCol w:w="1705"/>
              <w:gridCol w:w="5"/>
            </w:tblGrid>
            <w:tr w14:paraId="1F58D9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97" w:hRule="atLeast"/>
                <w:jc w:val="center"/>
              </w:trPr>
              <w:tc>
                <w:tcPr>
                  <w:tcW w:w="290" w:type="pct"/>
                  <w:tcBorders>
                    <w:top w:val="single" w:color="auto" w:sz="8" w:space="0"/>
                    <w:bottom w:val="single" w:color="auto" w:sz="8" w:space="0"/>
                  </w:tcBorders>
                  <w:noWrap w:val="0"/>
                  <w:vAlign w:val="center"/>
                </w:tcPr>
                <w:p w14:paraId="26A61F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outlineLvl w:val="9"/>
                    <w:rPr>
                      <w:rFonts w:hint="default" w:ascii="Times New Roman" w:hAnsi="Times New Roman" w:cs="Times New Roman"/>
                      <w:b/>
                      <w:color w:val="0C0C0C"/>
                      <w:sz w:val="21"/>
                      <w:szCs w:val="21"/>
                    </w:rPr>
                  </w:pPr>
                  <w:r>
                    <w:rPr>
                      <w:rFonts w:hint="default" w:ascii="Times New Roman" w:hAnsi="Times New Roman" w:cs="Times New Roman"/>
                      <w:b/>
                      <w:color w:val="0C0C0C"/>
                      <w:sz w:val="21"/>
                      <w:szCs w:val="21"/>
                    </w:rPr>
                    <w:t>序号</w:t>
                  </w:r>
                </w:p>
              </w:tc>
              <w:tc>
                <w:tcPr>
                  <w:tcW w:w="1431" w:type="pct"/>
                  <w:tcBorders>
                    <w:top w:val="single" w:color="auto" w:sz="8" w:space="0"/>
                    <w:bottom w:val="single" w:color="auto" w:sz="8" w:space="0"/>
                  </w:tcBorders>
                  <w:noWrap w:val="0"/>
                  <w:vAlign w:val="center"/>
                </w:tcPr>
                <w:p w14:paraId="44FE82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outlineLvl w:val="9"/>
                    <w:rPr>
                      <w:rFonts w:hint="default" w:ascii="Times New Roman" w:hAnsi="Times New Roman" w:cs="Times New Roman"/>
                      <w:b/>
                      <w:color w:val="0C0C0C"/>
                      <w:sz w:val="21"/>
                      <w:szCs w:val="21"/>
                    </w:rPr>
                  </w:pPr>
                  <w:r>
                    <w:rPr>
                      <w:rFonts w:hint="default" w:ascii="Times New Roman" w:hAnsi="Times New Roman" w:cs="Times New Roman"/>
                      <w:b/>
                      <w:color w:val="0C0C0C"/>
                      <w:sz w:val="21"/>
                      <w:szCs w:val="21"/>
                    </w:rPr>
                    <w:t>建设项目名称</w:t>
                  </w:r>
                </w:p>
              </w:tc>
              <w:tc>
                <w:tcPr>
                  <w:tcW w:w="1336" w:type="pct"/>
                  <w:tcBorders>
                    <w:top w:val="single" w:color="auto" w:sz="8" w:space="0"/>
                    <w:bottom w:val="single" w:color="auto" w:sz="8" w:space="0"/>
                  </w:tcBorders>
                  <w:noWrap w:val="0"/>
                  <w:vAlign w:val="center"/>
                </w:tcPr>
                <w:p w14:paraId="33B994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outlineLvl w:val="9"/>
                    <w:rPr>
                      <w:rFonts w:hint="default" w:ascii="Times New Roman" w:hAnsi="Times New Roman" w:cs="Times New Roman"/>
                      <w:b/>
                      <w:color w:val="0C0C0C"/>
                      <w:sz w:val="21"/>
                      <w:szCs w:val="21"/>
                    </w:rPr>
                  </w:pPr>
                  <w:r>
                    <w:rPr>
                      <w:rFonts w:hint="default" w:ascii="Times New Roman" w:hAnsi="Times New Roman" w:cs="Times New Roman"/>
                      <w:b/>
                      <w:color w:val="0C0C0C"/>
                      <w:sz w:val="21"/>
                      <w:szCs w:val="21"/>
                    </w:rPr>
                    <w:t>环评审批时间、单位、文号</w:t>
                  </w:r>
                </w:p>
              </w:tc>
              <w:tc>
                <w:tcPr>
                  <w:tcW w:w="969" w:type="pct"/>
                  <w:tcBorders>
                    <w:top w:val="single" w:color="auto" w:sz="8" w:space="0"/>
                    <w:bottom w:val="single" w:color="auto" w:sz="8" w:space="0"/>
                  </w:tcBorders>
                  <w:noWrap w:val="0"/>
                  <w:vAlign w:val="center"/>
                </w:tcPr>
                <w:p w14:paraId="6B67B0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outlineLvl w:val="9"/>
                    <w:rPr>
                      <w:rFonts w:hint="eastAsia" w:ascii="Times New Roman" w:hAnsi="Times New Roman" w:eastAsia="宋体" w:cs="Times New Roman"/>
                      <w:b/>
                      <w:color w:val="0C0C0C"/>
                      <w:sz w:val="21"/>
                      <w:szCs w:val="21"/>
                      <w:lang w:eastAsia="zh-CN"/>
                    </w:rPr>
                  </w:pPr>
                  <w:r>
                    <w:rPr>
                      <w:rFonts w:hint="default" w:ascii="Times New Roman" w:hAnsi="Times New Roman" w:cs="Times New Roman"/>
                      <w:b/>
                      <w:color w:val="0C0C0C"/>
                      <w:sz w:val="21"/>
                      <w:szCs w:val="21"/>
                    </w:rPr>
                    <w:t>验收审批时间、单位、文号</w:t>
                  </w:r>
                </w:p>
              </w:tc>
              <w:tc>
                <w:tcPr>
                  <w:tcW w:w="969" w:type="pct"/>
                  <w:gridSpan w:val="2"/>
                  <w:tcBorders>
                    <w:top w:val="single" w:color="auto" w:sz="8" w:space="0"/>
                    <w:bottom w:val="single" w:color="auto" w:sz="8" w:space="0"/>
                  </w:tcBorders>
                  <w:noWrap w:val="0"/>
                  <w:vAlign w:val="center"/>
                </w:tcPr>
                <w:p w14:paraId="220EB4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outlineLvl w:val="9"/>
                    <w:rPr>
                      <w:rFonts w:hint="eastAsia" w:ascii="Times New Roman" w:hAnsi="Times New Roman" w:eastAsia="宋体" w:cs="Times New Roman"/>
                      <w:b/>
                      <w:color w:val="0C0C0C"/>
                      <w:sz w:val="21"/>
                      <w:szCs w:val="21"/>
                      <w:lang w:val="en-US" w:eastAsia="zh-CN"/>
                    </w:rPr>
                  </w:pPr>
                  <w:r>
                    <w:rPr>
                      <w:rFonts w:hint="eastAsia" w:cs="Times New Roman"/>
                      <w:b/>
                      <w:color w:val="0C0C0C"/>
                      <w:sz w:val="21"/>
                      <w:szCs w:val="21"/>
                      <w:lang w:val="en-US" w:eastAsia="zh-CN"/>
                    </w:rPr>
                    <w:t>备注</w:t>
                  </w:r>
                </w:p>
              </w:tc>
            </w:tr>
            <w:tr w14:paraId="14B8DA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97" w:hRule="atLeast"/>
                <w:jc w:val="center"/>
              </w:trPr>
              <w:tc>
                <w:tcPr>
                  <w:tcW w:w="290" w:type="pct"/>
                  <w:tcBorders>
                    <w:top w:val="single" w:color="auto" w:sz="8" w:space="0"/>
                    <w:tl2br w:val="nil"/>
                    <w:tr2bl w:val="nil"/>
                  </w:tcBorders>
                  <w:noWrap w:val="0"/>
                  <w:vAlign w:val="center"/>
                </w:tcPr>
                <w:p w14:paraId="49EC6B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outlineLvl w:val="9"/>
                    <w:rPr>
                      <w:rFonts w:hint="default" w:ascii="Times New Roman" w:hAnsi="Times New Roman" w:cs="Times New Roman"/>
                      <w:color w:val="0C0C0C"/>
                      <w:sz w:val="21"/>
                      <w:szCs w:val="21"/>
                    </w:rPr>
                  </w:pPr>
                  <w:r>
                    <w:rPr>
                      <w:rFonts w:hint="default" w:ascii="Times New Roman" w:hAnsi="Times New Roman" w:cs="Times New Roman"/>
                      <w:color w:val="0C0C0C"/>
                      <w:sz w:val="21"/>
                      <w:szCs w:val="21"/>
                    </w:rPr>
                    <w:t>1</w:t>
                  </w:r>
                </w:p>
              </w:tc>
              <w:tc>
                <w:tcPr>
                  <w:tcW w:w="2521" w:type="dxa"/>
                  <w:tcBorders>
                    <w:top w:val="single" w:color="auto" w:sz="8" w:space="0"/>
                    <w:tl2br w:val="nil"/>
                    <w:tr2bl w:val="nil"/>
                  </w:tcBorders>
                  <w:noWrap w:val="0"/>
                  <w:vAlign w:val="center"/>
                </w:tcPr>
                <w:p w14:paraId="5DF8D5DC">
                  <w:pPr>
                    <w:keepNext w:val="0"/>
                    <w:keepLines w:val="0"/>
                    <w:suppressLineNumbers w:val="0"/>
                    <w:snapToGrid w:val="0"/>
                    <w:spacing w:before="0" w:beforeAutospacing="0" w:after="0" w:afterAutospacing="0" w:line="240" w:lineRule="auto"/>
                    <w:ind w:left="0" w:right="0" w:firstLine="0" w:firstLineChars="0"/>
                    <w:jc w:val="both"/>
                    <w:rPr>
                      <w:rFonts w:hint="default" w:ascii="Times New Roman" w:hAnsi="Times New Roman" w:eastAsia="宋体" w:cs="Times New Roman"/>
                      <w:color w:val="0C0C0C"/>
                      <w:sz w:val="21"/>
                      <w:szCs w:val="21"/>
                      <w:highlight w:val="none"/>
                      <w:lang w:val="en-US" w:eastAsia="zh-CN"/>
                    </w:rPr>
                  </w:pPr>
                  <w:r>
                    <w:rPr>
                      <w:rFonts w:hint="default"/>
                      <w:color w:val="000000"/>
                      <w:sz w:val="21"/>
                      <w:szCs w:val="21"/>
                      <w:highlight w:val="none"/>
                    </w:rPr>
                    <w:t>新乡市弘力电源科技有限公司</w:t>
                  </w:r>
                  <w:r>
                    <w:rPr>
                      <w:rFonts w:hint="default"/>
                      <w:sz w:val="21"/>
                      <w:szCs w:val="21"/>
                      <w:highlight w:val="none"/>
                    </w:rPr>
                    <w:t>年产2100吨锰酸锂和1.08亿安时锂离子电池项目</w:t>
                  </w:r>
                </w:p>
              </w:tc>
              <w:tc>
                <w:tcPr>
                  <w:tcW w:w="2354" w:type="dxa"/>
                  <w:tcBorders>
                    <w:top w:val="single" w:color="auto" w:sz="8" w:space="0"/>
                    <w:tl2br w:val="nil"/>
                    <w:tr2bl w:val="nil"/>
                  </w:tcBorders>
                  <w:noWrap w:val="0"/>
                  <w:vAlign w:val="center"/>
                </w:tcPr>
                <w:p w14:paraId="2DA4D5BD">
                  <w:pPr>
                    <w:keepNext w:val="0"/>
                    <w:keepLines w:val="0"/>
                    <w:suppressLineNumbers w:val="0"/>
                    <w:snapToGrid w:val="0"/>
                    <w:spacing w:before="0" w:beforeAutospacing="0" w:after="0" w:afterAutospacing="0" w:line="240" w:lineRule="auto"/>
                    <w:ind w:left="0" w:right="0" w:firstLine="0" w:firstLineChars="0"/>
                    <w:rPr>
                      <w:rFonts w:hint="default" w:ascii="Times New Roman" w:hAnsi="Times New Roman" w:cs="Times New Roman"/>
                      <w:color w:val="0C0C0C"/>
                      <w:sz w:val="21"/>
                      <w:szCs w:val="21"/>
                      <w:highlight w:val="none"/>
                    </w:rPr>
                  </w:pPr>
                  <w:r>
                    <w:rPr>
                      <w:rFonts w:hint="default"/>
                      <w:sz w:val="21"/>
                      <w:szCs w:val="21"/>
                      <w:highlight w:val="none"/>
                    </w:rPr>
                    <w:t>2016年11月21日由新乡县环保局以新环清备第07号予以环保备案</w:t>
                  </w:r>
                </w:p>
              </w:tc>
              <w:tc>
                <w:tcPr>
                  <w:tcW w:w="969" w:type="pct"/>
                  <w:tcBorders>
                    <w:top w:val="single" w:color="auto" w:sz="8" w:space="0"/>
                    <w:tl2br w:val="nil"/>
                    <w:tr2bl w:val="nil"/>
                  </w:tcBorders>
                  <w:noWrap w:val="0"/>
                  <w:vAlign w:val="center"/>
                </w:tcPr>
                <w:p w14:paraId="67B65B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outlineLvl w:val="9"/>
                    <w:rPr>
                      <w:rFonts w:hint="default" w:ascii="Times New Roman" w:hAnsi="Times New Roman" w:eastAsia="宋体" w:cs="Times New Roman"/>
                      <w:color w:val="0C0C0C"/>
                      <w:sz w:val="21"/>
                      <w:szCs w:val="21"/>
                      <w:highlight w:val="none"/>
                      <w:lang w:val="en-US" w:eastAsia="zh-CN"/>
                    </w:rPr>
                  </w:pPr>
                  <w:r>
                    <w:rPr>
                      <w:rFonts w:hint="default"/>
                      <w:sz w:val="21"/>
                      <w:szCs w:val="21"/>
                      <w:highlight w:val="none"/>
                    </w:rPr>
                    <w:t>已建成，运营正常。</w:t>
                  </w:r>
                </w:p>
              </w:tc>
              <w:tc>
                <w:tcPr>
                  <w:tcW w:w="969" w:type="pct"/>
                  <w:gridSpan w:val="2"/>
                  <w:tcBorders>
                    <w:top w:val="single" w:color="auto" w:sz="8" w:space="0"/>
                    <w:tl2br w:val="nil"/>
                    <w:tr2bl w:val="nil"/>
                  </w:tcBorders>
                  <w:noWrap w:val="0"/>
                  <w:vAlign w:val="center"/>
                </w:tcPr>
                <w:p w14:paraId="1D376C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outlineLvl w:val="9"/>
                    <w:rPr>
                      <w:rFonts w:hint="default" w:eastAsia="宋体"/>
                      <w:bCs/>
                      <w:color w:val="000000"/>
                      <w:sz w:val="21"/>
                      <w:szCs w:val="21"/>
                      <w:highlight w:val="none"/>
                      <w:lang w:val="en-US" w:eastAsia="zh-CN"/>
                    </w:rPr>
                  </w:pPr>
                  <w:r>
                    <w:rPr>
                      <w:rFonts w:hint="eastAsia"/>
                      <w:bCs/>
                      <w:color w:val="000000"/>
                      <w:sz w:val="21"/>
                      <w:szCs w:val="21"/>
                      <w:highlight w:val="none"/>
                      <w:lang w:val="en-US" w:eastAsia="zh-CN"/>
                    </w:rPr>
                    <w:t>北厂区生产</w:t>
                  </w:r>
                </w:p>
              </w:tc>
            </w:tr>
            <w:tr w14:paraId="58E26D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0" w:type="pct"/>
                  <w:tcBorders>
                    <w:tl2br w:val="nil"/>
                    <w:tr2bl w:val="nil"/>
                  </w:tcBorders>
                  <w:noWrap w:val="0"/>
                  <w:vAlign w:val="center"/>
                </w:tcPr>
                <w:p w14:paraId="109AF56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outlineLvl w:val="9"/>
                    <w:rPr>
                      <w:rFonts w:hint="default" w:ascii="Times New Roman" w:hAnsi="Times New Roman" w:cs="Times New Roman"/>
                      <w:color w:val="0C0C0C"/>
                      <w:sz w:val="21"/>
                      <w:szCs w:val="21"/>
                      <w:highlight w:val="none"/>
                    </w:rPr>
                  </w:pPr>
                  <w:r>
                    <w:rPr>
                      <w:rFonts w:hint="default" w:ascii="Times New Roman" w:hAnsi="Times New Roman" w:cs="Times New Roman"/>
                      <w:color w:val="0C0C0C"/>
                      <w:sz w:val="21"/>
                      <w:szCs w:val="21"/>
                      <w:highlight w:val="none"/>
                    </w:rPr>
                    <w:t>2</w:t>
                  </w:r>
                </w:p>
              </w:tc>
              <w:tc>
                <w:tcPr>
                  <w:tcW w:w="2521" w:type="dxa"/>
                  <w:tcBorders>
                    <w:tl2br w:val="nil"/>
                    <w:tr2bl w:val="nil"/>
                  </w:tcBorders>
                  <w:noWrap w:val="0"/>
                  <w:vAlign w:val="center"/>
                </w:tcPr>
                <w:p w14:paraId="6BB071E8">
                  <w:pPr>
                    <w:keepNext w:val="0"/>
                    <w:keepLines w:val="0"/>
                    <w:suppressLineNumbers w:val="0"/>
                    <w:snapToGrid w:val="0"/>
                    <w:spacing w:before="0" w:beforeAutospacing="0" w:after="0" w:afterAutospacing="0" w:line="240" w:lineRule="auto"/>
                    <w:ind w:left="0" w:right="0" w:firstLine="0" w:firstLineChars="0"/>
                    <w:jc w:val="both"/>
                    <w:rPr>
                      <w:rFonts w:hint="default" w:ascii="Times New Roman" w:hAnsi="Times New Roman" w:eastAsia="宋体" w:cs="Times New Roman"/>
                      <w:color w:val="0C0C0C"/>
                      <w:sz w:val="21"/>
                      <w:szCs w:val="21"/>
                      <w:highlight w:val="none"/>
                      <w:lang w:val="en-US" w:eastAsia="zh-CN"/>
                    </w:rPr>
                  </w:pPr>
                  <w:r>
                    <w:rPr>
                      <w:rFonts w:hint="default"/>
                      <w:color w:val="000000"/>
                      <w:sz w:val="21"/>
                      <w:szCs w:val="21"/>
                      <w:highlight w:val="none"/>
                    </w:rPr>
                    <w:t>新乡市弘力电源科技有限公司年产10亿瓦时锂离子电池项目</w:t>
                  </w:r>
                </w:p>
              </w:tc>
              <w:tc>
                <w:tcPr>
                  <w:tcW w:w="2354" w:type="dxa"/>
                  <w:tcBorders>
                    <w:tl2br w:val="nil"/>
                    <w:tr2bl w:val="nil"/>
                  </w:tcBorders>
                  <w:noWrap w:val="0"/>
                  <w:vAlign w:val="center"/>
                </w:tcPr>
                <w:p w14:paraId="22265268">
                  <w:pPr>
                    <w:keepNext w:val="0"/>
                    <w:keepLines w:val="0"/>
                    <w:suppressLineNumbers w:val="0"/>
                    <w:snapToGrid w:val="0"/>
                    <w:spacing w:before="0" w:beforeAutospacing="0" w:after="0" w:afterAutospacing="0" w:line="240" w:lineRule="auto"/>
                    <w:ind w:left="0" w:right="0" w:firstLine="0" w:firstLineChars="0"/>
                    <w:rPr>
                      <w:rFonts w:hint="default" w:ascii="Times New Roman" w:hAnsi="Times New Roman" w:cs="Times New Roman"/>
                      <w:color w:val="0C0C0C"/>
                      <w:sz w:val="21"/>
                      <w:szCs w:val="21"/>
                      <w:highlight w:val="none"/>
                    </w:rPr>
                  </w:pPr>
                  <w:r>
                    <w:rPr>
                      <w:rFonts w:hint="default"/>
                      <w:sz w:val="21"/>
                      <w:szCs w:val="21"/>
                      <w:highlight w:val="none"/>
                    </w:rPr>
                    <w:t>2019年1月23日由新乡市环保局以新环表审[2019]4号予以批复</w:t>
                  </w:r>
                </w:p>
              </w:tc>
              <w:tc>
                <w:tcPr>
                  <w:tcW w:w="970" w:type="pct"/>
                  <w:gridSpan w:val="2"/>
                  <w:tcBorders>
                    <w:tl2br w:val="nil"/>
                    <w:tr2bl w:val="nil"/>
                  </w:tcBorders>
                  <w:noWrap w:val="0"/>
                  <w:vAlign w:val="center"/>
                </w:tcPr>
                <w:p w14:paraId="15FE8213">
                  <w:pPr>
                    <w:keepNext w:val="0"/>
                    <w:keepLines w:val="0"/>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0C0C0C"/>
                      <w:sz w:val="21"/>
                      <w:szCs w:val="21"/>
                      <w:highlight w:val="none"/>
                      <w:lang w:val="en-US" w:eastAsia="zh-CN"/>
                    </w:rPr>
                  </w:pPr>
                  <w:r>
                    <w:rPr>
                      <w:rFonts w:hint="default"/>
                      <w:sz w:val="21"/>
                      <w:szCs w:val="21"/>
                      <w:highlight w:val="none"/>
                    </w:rPr>
                    <w:t>已建成，于2019年10月通过自主验收</w:t>
                  </w:r>
                  <w:r>
                    <w:rPr>
                      <w:rFonts w:hint="eastAsia"/>
                      <w:sz w:val="21"/>
                      <w:szCs w:val="21"/>
                      <w:highlight w:val="none"/>
                    </w:rPr>
                    <w:t>。</w:t>
                  </w:r>
                </w:p>
              </w:tc>
              <w:tc>
                <w:tcPr>
                  <w:tcW w:w="971" w:type="pct"/>
                  <w:gridSpan w:val="2"/>
                  <w:tcBorders>
                    <w:tl2br w:val="nil"/>
                    <w:tr2bl w:val="nil"/>
                  </w:tcBorders>
                  <w:noWrap w:val="0"/>
                  <w:vAlign w:val="center"/>
                </w:tcPr>
                <w:p w14:paraId="29056736">
                  <w:pPr>
                    <w:keepNext w:val="0"/>
                    <w:keepLines w:val="0"/>
                    <w:suppressLineNumbers w:val="0"/>
                    <w:adjustRightInd w:val="0"/>
                    <w:snapToGrid w:val="0"/>
                    <w:spacing w:before="0" w:beforeAutospacing="0" w:after="0" w:afterAutospacing="0"/>
                    <w:ind w:left="0" w:right="0"/>
                    <w:jc w:val="center"/>
                    <w:textAlignment w:val="baseline"/>
                    <w:rPr>
                      <w:rFonts w:hint="default" w:eastAsia="宋体"/>
                      <w:bCs/>
                      <w:color w:val="000000"/>
                      <w:sz w:val="21"/>
                      <w:szCs w:val="21"/>
                      <w:highlight w:val="none"/>
                      <w:lang w:val="en-US" w:eastAsia="zh-CN"/>
                    </w:rPr>
                  </w:pPr>
                  <w:r>
                    <w:rPr>
                      <w:rFonts w:hint="eastAsia"/>
                      <w:bCs/>
                      <w:color w:val="000000"/>
                      <w:sz w:val="21"/>
                      <w:szCs w:val="21"/>
                      <w:highlight w:val="none"/>
                      <w:lang w:val="en-US" w:eastAsia="zh-CN"/>
                    </w:rPr>
                    <w:t>北厂区生产</w:t>
                  </w:r>
                </w:p>
              </w:tc>
            </w:tr>
            <w:tr w14:paraId="4B5612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0" w:type="pct"/>
                  <w:tcBorders>
                    <w:tl2br w:val="nil"/>
                    <w:tr2bl w:val="nil"/>
                  </w:tcBorders>
                  <w:noWrap w:val="0"/>
                  <w:vAlign w:val="center"/>
                </w:tcPr>
                <w:p w14:paraId="6D9EB2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outlineLvl w:val="9"/>
                    <w:rPr>
                      <w:rFonts w:hint="default" w:ascii="Times New Roman" w:hAnsi="Times New Roman" w:cs="Times New Roman"/>
                      <w:color w:val="0C0C0C"/>
                      <w:sz w:val="21"/>
                      <w:szCs w:val="21"/>
                      <w:highlight w:val="none"/>
                    </w:rPr>
                  </w:pPr>
                  <w:r>
                    <w:rPr>
                      <w:rFonts w:hint="default" w:ascii="Times New Roman" w:hAnsi="Times New Roman" w:cs="Times New Roman"/>
                      <w:color w:val="0C0C0C"/>
                      <w:sz w:val="21"/>
                      <w:szCs w:val="21"/>
                      <w:highlight w:val="none"/>
                    </w:rPr>
                    <w:t>3</w:t>
                  </w:r>
                </w:p>
              </w:tc>
              <w:tc>
                <w:tcPr>
                  <w:tcW w:w="2521" w:type="dxa"/>
                  <w:tcBorders>
                    <w:tl2br w:val="nil"/>
                    <w:tr2bl w:val="nil"/>
                  </w:tcBorders>
                  <w:noWrap w:val="0"/>
                  <w:vAlign w:val="center"/>
                </w:tcPr>
                <w:p w14:paraId="2D6882F6">
                  <w:pPr>
                    <w:keepNext w:val="0"/>
                    <w:keepLines w:val="0"/>
                    <w:suppressLineNumbers w:val="0"/>
                    <w:snapToGrid w:val="0"/>
                    <w:spacing w:before="0" w:beforeAutospacing="0" w:after="0" w:afterAutospacing="0" w:line="240" w:lineRule="auto"/>
                    <w:ind w:left="0" w:right="0" w:firstLine="0" w:firstLineChars="0"/>
                    <w:jc w:val="both"/>
                    <w:rPr>
                      <w:rFonts w:hint="default" w:ascii="Times New Roman" w:hAnsi="Times New Roman" w:cs="Times New Roman"/>
                      <w:color w:val="auto"/>
                      <w:sz w:val="21"/>
                      <w:szCs w:val="21"/>
                      <w:highlight w:val="none"/>
                    </w:rPr>
                  </w:pPr>
                  <w:r>
                    <w:rPr>
                      <w:rFonts w:hint="default"/>
                      <w:sz w:val="21"/>
                      <w:szCs w:val="21"/>
                      <w:highlight w:val="none"/>
                    </w:rPr>
                    <w:t>新乡市弘力电源科技有限公司年产30亿瓦时锂离子电池项目</w:t>
                  </w:r>
                </w:p>
              </w:tc>
              <w:tc>
                <w:tcPr>
                  <w:tcW w:w="2354" w:type="dxa"/>
                  <w:tcBorders>
                    <w:tl2br w:val="nil"/>
                    <w:tr2bl w:val="nil"/>
                  </w:tcBorders>
                  <w:noWrap w:val="0"/>
                  <w:vAlign w:val="center"/>
                </w:tcPr>
                <w:p w14:paraId="4EF81C6B">
                  <w:pPr>
                    <w:keepNext w:val="0"/>
                    <w:keepLines w:val="0"/>
                    <w:suppressLineNumbers w:val="0"/>
                    <w:snapToGrid w:val="0"/>
                    <w:spacing w:before="0" w:beforeAutospacing="0" w:after="0"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sz w:val="21"/>
                      <w:szCs w:val="21"/>
                      <w:highlight w:val="none"/>
                    </w:rPr>
                    <w:t>2019年5月14日新乡市环保局以新环表审[2019]13号予以批复</w:t>
                  </w:r>
                </w:p>
              </w:tc>
              <w:tc>
                <w:tcPr>
                  <w:tcW w:w="970" w:type="pct"/>
                  <w:gridSpan w:val="2"/>
                  <w:tcBorders>
                    <w:tl2br w:val="nil"/>
                    <w:tr2bl w:val="nil"/>
                  </w:tcBorders>
                  <w:noWrap w:val="0"/>
                  <w:vAlign w:val="center"/>
                </w:tcPr>
                <w:p w14:paraId="05DC772B">
                  <w:pPr>
                    <w:keepNext w:val="0"/>
                    <w:keepLines w:val="0"/>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highlight w:val="none"/>
                      <w:lang w:val="en-US" w:eastAsia="zh-CN"/>
                    </w:rPr>
                  </w:pPr>
                  <w:r>
                    <w:rPr>
                      <w:rFonts w:hint="default"/>
                      <w:sz w:val="21"/>
                      <w:szCs w:val="21"/>
                      <w:highlight w:val="none"/>
                    </w:rPr>
                    <w:t>一期工程于2019年12月通过自主验收，运营正常。二期于20</w:t>
                  </w:r>
                  <w:r>
                    <w:rPr>
                      <w:rFonts w:hint="eastAsia"/>
                      <w:sz w:val="21"/>
                      <w:szCs w:val="21"/>
                      <w:highlight w:val="none"/>
                    </w:rPr>
                    <w:t>21</w:t>
                  </w:r>
                  <w:r>
                    <w:rPr>
                      <w:rFonts w:hint="default"/>
                      <w:sz w:val="21"/>
                      <w:szCs w:val="21"/>
                      <w:highlight w:val="none"/>
                    </w:rPr>
                    <w:t>年</w:t>
                  </w:r>
                  <w:r>
                    <w:rPr>
                      <w:rFonts w:hint="eastAsia"/>
                      <w:sz w:val="21"/>
                      <w:szCs w:val="21"/>
                      <w:highlight w:val="none"/>
                    </w:rPr>
                    <w:t>4</w:t>
                  </w:r>
                  <w:r>
                    <w:rPr>
                      <w:rFonts w:hint="default"/>
                      <w:sz w:val="21"/>
                      <w:szCs w:val="21"/>
                      <w:highlight w:val="none"/>
                    </w:rPr>
                    <w:t>月通过自主验收，</w:t>
                  </w:r>
                  <w:r>
                    <w:rPr>
                      <w:rFonts w:hint="eastAsia"/>
                      <w:sz w:val="21"/>
                      <w:szCs w:val="21"/>
                      <w:highlight w:val="none"/>
                    </w:rPr>
                    <w:t>目前</w:t>
                  </w:r>
                  <w:r>
                    <w:rPr>
                      <w:rFonts w:hint="default"/>
                      <w:sz w:val="21"/>
                      <w:szCs w:val="21"/>
                      <w:highlight w:val="none"/>
                    </w:rPr>
                    <w:t>运营正常。</w:t>
                  </w:r>
                </w:p>
              </w:tc>
              <w:tc>
                <w:tcPr>
                  <w:tcW w:w="971" w:type="pct"/>
                  <w:gridSpan w:val="2"/>
                  <w:tcBorders>
                    <w:tl2br w:val="nil"/>
                    <w:tr2bl w:val="nil"/>
                  </w:tcBorders>
                  <w:noWrap w:val="0"/>
                  <w:vAlign w:val="center"/>
                </w:tcPr>
                <w:p w14:paraId="155A390E">
                  <w:pPr>
                    <w:keepNext w:val="0"/>
                    <w:keepLines w:val="0"/>
                    <w:suppressLineNumbers w:val="0"/>
                    <w:adjustRightInd w:val="0"/>
                    <w:snapToGrid w:val="0"/>
                    <w:spacing w:before="0" w:beforeAutospacing="0" w:after="0" w:afterAutospacing="0"/>
                    <w:ind w:left="0" w:right="0"/>
                    <w:jc w:val="center"/>
                    <w:textAlignment w:val="baseline"/>
                    <w:rPr>
                      <w:rFonts w:hint="default" w:cs="Times New Roman"/>
                      <w:color w:val="0C0C0C"/>
                      <w:sz w:val="21"/>
                      <w:szCs w:val="21"/>
                      <w:highlight w:val="none"/>
                      <w:lang w:val="en-US" w:eastAsia="zh-CN"/>
                    </w:rPr>
                  </w:pPr>
                  <w:r>
                    <w:rPr>
                      <w:rFonts w:hint="eastAsia"/>
                      <w:sz w:val="21"/>
                      <w:szCs w:val="21"/>
                      <w:highlight w:val="none"/>
                    </w:rPr>
                    <w:t>一期工程位于北厂区、二期位于南厂区</w:t>
                  </w:r>
                </w:p>
              </w:tc>
            </w:tr>
            <w:tr w14:paraId="4E4A1C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90" w:type="pct"/>
                  <w:tcBorders>
                    <w:tl2br w:val="nil"/>
                    <w:tr2bl w:val="nil"/>
                  </w:tcBorders>
                  <w:noWrap w:val="0"/>
                  <w:vAlign w:val="center"/>
                </w:tcPr>
                <w:p w14:paraId="000B0D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outlineLvl w:val="9"/>
                    <w:rPr>
                      <w:rFonts w:hint="default" w:ascii="Times New Roman" w:hAnsi="Times New Roman" w:cs="Times New Roman"/>
                      <w:color w:val="0C0C0C"/>
                      <w:sz w:val="21"/>
                      <w:szCs w:val="21"/>
                      <w:highlight w:val="none"/>
                    </w:rPr>
                  </w:pPr>
                  <w:r>
                    <w:rPr>
                      <w:rFonts w:hint="default" w:ascii="Times New Roman" w:hAnsi="Times New Roman" w:cs="Times New Roman"/>
                      <w:color w:val="0C0C0C"/>
                      <w:sz w:val="21"/>
                      <w:szCs w:val="21"/>
                      <w:highlight w:val="none"/>
                    </w:rPr>
                    <w:t>4</w:t>
                  </w:r>
                </w:p>
              </w:tc>
              <w:tc>
                <w:tcPr>
                  <w:tcW w:w="2521" w:type="dxa"/>
                  <w:tcBorders>
                    <w:tl2br w:val="nil"/>
                    <w:tr2bl w:val="nil"/>
                  </w:tcBorders>
                  <w:noWrap w:val="0"/>
                  <w:vAlign w:val="center"/>
                </w:tcPr>
                <w:p w14:paraId="1C92DE8B">
                  <w:pPr>
                    <w:keepNext w:val="0"/>
                    <w:keepLines w:val="0"/>
                    <w:suppressLineNumbers w:val="0"/>
                    <w:snapToGrid w:val="0"/>
                    <w:spacing w:before="0" w:beforeAutospacing="0" w:after="0" w:afterAutospacing="0" w:line="240" w:lineRule="auto"/>
                    <w:ind w:left="0" w:right="0" w:firstLine="0" w:firstLineChars="0"/>
                    <w:jc w:val="both"/>
                    <w:rPr>
                      <w:rFonts w:hint="default" w:ascii="Times New Roman" w:hAnsi="Times New Roman" w:cs="Times New Roman"/>
                      <w:color w:val="0C0C0C"/>
                      <w:sz w:val="21"/>
                      <w:szCs w:val="21"/>
                      <w:highlight w:val="none"/>
                    </w:rPr>
                  </w:pPr>
                  <w:r>
                    <w:rPr>
                      <w:rFonts w:hint="eastAsia"/>
                      <w:sz w:val="21"/>
                      <w:szCs w:val="21"/>
                      <w:highlight w:val="none"/>
                    </w:rPr>
                    <w:t>新乡市弘力电源科技有限公司锂离子电池生产线绿色化改造项目</w:t>
                  </w:r>
                </w:p>
              </w:tc>
              <w:tc>
                <w:tcPr>
                  <w:tcW w:w="2354" w:type="dxa"/>
                  <w:tcBorders>
                    <w:tl2br w:val="nil"/>
                    <w:tr2bl w:val="nil"/>
                  </w:tcBorders>
                  <w:noWrap w:val="0"/>
                  <w:vAlign w:val="center"/>
                </w:tcPr>
                <w:p w14:paraId="696E3CBD">
                  <w:pPr>
                    <w:keepNext w:val="0"/>
                    <w:keepLines w:val="0"/>
                    <w:suppressLineNumbers w:val="0"/>
                    <w:snapToGrid w:val="0"/>
                    <w:spacing w:before="0" w:beforeAutospacing="0" w:after="0" w:afterAutospacing="0" w:line="240" w:lineRule="auto"/>
                    <w:ind w:left="0" w:right="0" w:firstLine="0" w:firstLineChars="0"/>
                    <w:rPr>
                      <w:rFonts w:hint="default" w:ascii="Times New Roman" w:hAnsi="Times New Roman" w:cs="Times New Roman"/>
                      <w:color w:val="0C0C0C"/>
                      <w:sz w:val="21"/>
                      <w:szCs w:val="21"/>
                      <w:highlight w:val="none"/>
                    </w:rPr>
                  </w:pPr>
                  <w:r>
                    <w:rPr>
                      <w:rFonts w:hint="eastAsia"/>
                      <w:sz w:val="21"/>
                      <w:szCs w:val="21"/>
                      <w:highlight w:val="none"/>
                    </w:rPr>
                    <w:t>2022年2月9日新乡县环保</w:t>
                  </w:r>
                  <w:r>
                    <w:rPr>
                      <w:rFonts w:hint="default"/>
                      <w:sz w:val="21"/>
                      <w:szCs w:val="21"/>
                      <w:highlight w:val="none"/>
                    </w:rPr>
                    <w:t>局以</w:t>
                  </w:r>
                  <w:r>
                    <w:rPr>
                      <w:rFonts w:hint="eastAsia"/>
                      <w:sz w:val="21"/>
                      <w:szCs w:val="21"/>
                      <w:highlight w:val="none"/>
                    </w:rPr>
                    <w:t>新</w:t>
                  </w:r>
                  <w:r>
                    <w:rPr>
                      <w:rFonts w:hint="default"/>
                      <w:sz w:val="21"/>
                      <w:szCs w:val="21"/>
                      <w:highlight w:val="none"/>
                    </w:rPr>
                    <w:t>环表审</w:t>
                  </w:r>
                  <w:r>
                    <w:rPr>
                      <w:rFonts w:hint="eastAsia"/>
                      <w:sz w:val="21"/>
                      <w:szCs w:val="21"/>
                      <w:highlight w:val="none"/>
                    </w:rPr>
                    <w:t>[</w:t>
                  </w:r>
                  <w:r>
                    <w:rPr>
                      <w:rFonts w:hint="default"/>
                      <w:sz w:val="21"/>
                      <w:szCs w:val="21"/>
                      <w:highlight w:val="none"/>
                    </w:rPr>
                    <w:t>202</w:t>
                  </w:r>
                  <w:r>
                    <w:rPr>
                      <w:rFonts w:hint="eastAsia"/>
                      <w:sz w:val="21"/>
                      <w:szCs w:val="21"/>
                      <w:highlight w:val="none"/>
                    </w:rPr>
                    <w:t>2]08号</w:t>
                  </w:r>
                  <w:r>
                    <w:rPr>
                      <w:rFonts w:hint="default"/>
                      <w:sz w:val="21"/>
                      <w:szCs w:val="21"/>
                      <w:highlight w:val="none"/>
                    </w:rPr>
                    <w:t>予以批复</w:t>
                  </w:r>
                </w:p>
              </w:tc>
              <w:tc>
                <w:tcPr>
                  <w:tcW w:w="1709" w:type="dxa"/>
                  <w:gridSpan w:val="2"/>
                  <w:tcBorders>
                    <w:tl2br w:val="nil"/>
                    <w:tr2bl w:val="nil"/>
                  </w:tcBorders>
                  <w:noWrap w:val="0"/>
                  <w:vAlign w:val="center"/>
                </w:tcPr>
                <w:p w14:paraId="17C9A417">
                  <w:pPr>
                    <w:keepNext w:val="0"/>
                    <w:keepLines w:val="0"/>
                    <w:suppressLineNumbers w:val="0"/>
                    <w:snapToGrid w:val="0"/>
                    <w:spacing w:before="0" w:beforeAutospacing="0" w:after="0" w:afterAutospacing="0" w:line="240" w:lineRule="auto"/>
                    <w:ind w:left="0" w:right="0" w:firstLine="0" w:firstLineChars="0"/>
                    <w:rPr>
                      <w:rFonts w:hint="default" w:ascii="Times New Roman" w:hAnsi="Times New Roman" w:eastAsia="宋体" w:cs="Times New Roman"/>
                      <w:color w:val="0C0C0C"/>
                      <w:sz w:val="21"/>
                      <w:szCs w:val="21"/>
                      <w:highlight w:val="none"/>
                      <w:lang w:val="en-US" w:eastAsia="zh-CN"/>
                    </w:rPr>
                  </w:pPr>
                  <w:r>
                    <w:rPr>
                      <w:rFonts w:hint="eastAsia"/>
                      <w:sz w:val="21"/>
                      <w:szCs w:val="21"/>
                      <w:highlight w:val="none"/>
                    </w:rPr>
                    <w:t>已建成，于</w:t>
                  </w:r>
                  <w:r>
                    <w:rPr>
                      <w:rFonts w:hint="default"/>
                      <w:sz w:val="21"/>
                      <w:szCs w:val="21"/>
                      <w:highlight w:val="none"/>
                    </w:rPr>
                    <w:t>20</w:t>
                  </w:r>
                  <w:r>
                    <w:rPr>
                      <w:rFonts w:hint="eastAsia"/>
                      <w:sz w:val="21"/>
                      <w:szCs w:val="21"/>
                      <w:highlight w:val="none"/>
                    </w:rPr>
                    <w:t>22</w:t>
                  </w:r>
                  <w:r>
                    <w:rPr>
                      <w:rFonts w:hint="default"/>
                      <w:sz w:val="21"/>
                      <w:szCs w:val="21"/>
                      <w:highlight w:val="none"/>
                    </w:rPr>
                    <w:t>年</w:t>
                  </w:r>
                  <w:r>
                    <w:rPr>
                      <w:rFonts w:hint="eastAsia"/>
                      <w:sz w:val="21"/>
                      <w:szCs w:val="21"/>
                      <w:highlight w:val="none"/>
                    </w:rPr>
                    <w:t>8</w:t>
                  </w:r>
                  <w:r>
                    <w:rPr>
                      <w:rFonts w:hint="default"/>
                      <w:sz w:val="21"/>
                      <w:szCs w:val="21"/>
                      <w:highlight w:val="none"/>
                    </w:rPr>
                    <w:t>月通过自主验收</w:t>
                  </w:r>
                </w:p>
              </w:tc>
              <w:tc>
                <w:tcPr>
                  <w:tcW w:w="971" w:type="pct"/>
                  <w:gridSpan w:val="2"/>
                  <w:tcBorders>
                    <w:tl2br w:val="nil"/>
                    <w:tr2bl w:val="nil"/>
                  </w:tcBorders>
                  <w:noWrap w:val="0"/>
                  <w:vAlign w:val="center"/>
                </w:tcPr>
                <w:p w14:paraId="5F698A4F">
                  <w:pPr>
                    <w:keepNext w:val="0"/>
                    <w:keepLines w:val="0"/>
                    <w:suppressLineNumbers w:val="0"/>
                    <w:adjustRightInd w:val="0"/>
                    <w:snapToGrid w:val="0"/>
                    <w:spacing w:before="0" w:beforeAutospacing="0" w:after="0" w:afterAutospacing="0"/>
                    <w:ind w:left="0" w:right="0"/>
                    <w:jc w:val="center"/>
                    <w:textAlignment w:val="baseline"/>
                    <w:rPr>
                      <w:rFonts w:hint="default" w:eastAsia="宋体"/>
                      <w:bCs/>
                      <w:color w:val="000000"/>
                      <w:sz w:val="21"/>
                      <w:szCs w:val="21"/>
                      <w:highlight w:val="none"/>
                      <w:lang w:val="en-US" w:eastAsia="zh-CN"/>
                    </w:rPr>
                  </w:pPr>
                  <w:r>
                    <w:rPr>
                      <w:rFonts w:hint="eastAsia"/>
                      <w:bCs/>
                      <w:color w:val="000000"/>
                      <w:sz w:val="21"/>
                      <w:szCs w:val="21"/>
                      <w:highlight w:val="none"/>
                      <w:lang w:val="en-US" w:eastAsia="zh-CN"/>
                    </w:rPr>
                    <w:t>北厂区生产</w:t>
                  </w:r>
                </w:p>
              </w:tc>
            </w:tr>
            <w:tr w14:paraId="060D36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0" w:type="pct"/>
                  <w:noWrap w:val="0"/>
                  <w:vAlign w:val="center"/>
                </w:tcPr>
                <w:p w14:paraId="572D51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outlineLvl w:val="9"/>
                    <w:rPr>
                      <w:rFonts w:hint="default" w:ascii="Times New Roman" w:hAnsi="Times New Roman" w:eastAsia="宋体" w:cs="Times New Roman"/>
                      <w:color w:val="0C0C0C"/>
                      <w:sz w:val="21"/>
                      <w:szCs w:val="21"/>
                      <w:highlight w:val="none"/>
                      <w:lang w:val="en-US" w:eastAsia="zh-CN"/>
                    </w:rPr>
                  </w:pPr>
                  <w:r>
                    <w:rPr>
                      <w:rFonts w:hint="default" w:ascii="Times New Roman" w:hAnsi="Times New Roman" w:cs="Times New Roman"/>
                      <w:color w:val="0C0C0C"/>
                      <w:sz w:val="21"/>
                      <w:szCs w:val="21"/>
                      <w:highlight w:val="none"/>
                      <w:lang w:val="en-US" w:eastAsia="zh-CN"/>
                    </w:rPr>
                    <w:t>5</w:t>
                  </w:r>
                </w:p>
              </w:tc>
              <w:tc>
                <w:tcPr>
                  <w:tcW w:w="2521" w:type="dxa"/>
                  <w:noWrap w:val="0"/>
                  <w:vAlign w:val="center"/>
                </w:tcPr>
                <w:p w14:paraId="22243F06">
                  <w:pPr>
                    <w:keepNext w:val="0"/>
                    <w:keepLines w:val="0"/>
                    <w:suppressLineNumbers w:val="0"/>
                    <w:snapToGrid w:val="0"/>
                    <w:spacing w:before="0" w:beforeAutospacing="0" w:after="0" w:afterAutospacing="0" w:line="240" w:lineRule="auto"/>
                    <w:ind w:left="0" w:right="0" w:firstLine="0" w:firstLineChars="0"/>
                    <w:jc w:val="both"/>
                    <w:rPr>
                      <w:rFonts w:hint="default" w:ascii="Times New Roman" w:hAnsi="Times New Roman" w:eastAsia="宋体" w:cs="Times New Roman"/>
                      <w:color w:val="0C0C0C"/>
                      <w:sz w:val="21"/>
                      <w:szCs w:val="21"/>
                      <w:highlight w:val="none"/>
                      <w:lang w:val="en-US" w:eastAsia="zh-CN"/>
                    </w:rPr>
                  </w:pPr>
                  <w:r>
                    <w:rPr>
                      <w:rFonts w:hint="eastAsia"/>
                      <w:sz w:val="21"/>
                      <w:szCs w:val="21"/>
                      <w:highlight w:val="none"/>
                    </w:rPr>
                    <w:t>新乡市弘力电源科技有限公司年产1.8万吨锂离子电池正极材料项目</w:t>
                  </w:r>
                </w:p>
              </w:tc>
              <w:tc>
                <w:tcPr>
                  <w:tcW w:w="2354" w:type="dxa"/>
                  <w:noWrap w:val="0"/>
                  <w:vAlign w:val="center"/>
                </w:tcPr>
                <w:p w14:paraId="1468968C">
                  <w:pPr>
                    <w:keepNext w:val="0"/>
                    <w:keepLines w:val="0"/>
                    <w:suppressLineNumbers w:val="0"/>
                    <w:snapToGrid w:val="0"/>
                    <w:spacing w:before="0" w:beforeAutospacing="0" w:after="0" w:afterAutospacing="0" w:line="240" w:lineRule="auto"/>
                    <w:ind w:left="0" w:right="0" w:firstLine="0" w:firstLineChars="0"/>
                    <w:rPr>
                      <w:rFonts w:hint="default" w:ascii="Times New Roman" w:hAnsi="Times New Roman" w:cs="Times New Roman"/>
                      <w:color w:val="0C0C0C"/>
                      <w:sz w:val="21"/>
                      <w:szCs w:val="21"/>
                      <w:highlight w:val="none"/>
                    </w:rPr>
                  </w:pPr>
                  <w:r>
                    <w:rPr>
                      <w:rFonts w:hint="eastAsia"/>
                      <w:sz w:val="21"/>
                      <w:szCs w:val="21"/>
                      <w:highlight w:val="none"/>
                    </w:rPr>
                    <w:t>2019年5月8日新乡县环保</w:t>
                  </w:r>
                  <w:r>
                    <w:rPr>
                      <w:rFonts w:hint="default"/>
                      <w:sz w:val="21"/>
                      <w:szCs w:val="21"/>
                      <w:highlight w:val="none"/>
                    </w:rPr>
                    <w:t>局以</w:t>
                  </w:r>
                  <w:r>
                    <w:rPr>
                      <w:rFonts w:hint="eastAsia"/>
                      <w:sz w:val="21"/>
                      <w:szCs w:val="21"/>
                      <w:highlight w:val="none"/>
                    </w:rPr>
                    <w:t>新</w:t>
                  </w:r>
                  <w:r>
                    <w:rPr>
                      <w:rFonts w:hint="default"/>
                      <w:sz w:val="21"/>
                      <w:szCs w:val="21"/>
                      <w:highlight w:val="none"/>
                    </w:rPr>
                    <w:t>环表审</w:t>
                  </w:r>
                  <w:r>
                    <w:rPr>
                      <w:rFonts w:hint="eastAsia"/>
                      <w:sz w:val="21"/>
                      <w:szCs w:val="21"/>
                      <w:highlight w:val="none"/>
                    </w:rPr>
                    <w:t>[</w:t>
                  </w:r>
                  <w:r>
                    <w:rPr>
                      <w:rFonts w:hint="default"/>
                      <w:sz w:val="21"/>
                      <w:szCs w:val="21"/>
                      <w:highlight w:val="none"/>
                    </w:rPr>
                    <w:t>20</w:t>
                  </w:r>
                  <w:r>
                    <w:rPr>
                      <w:rFonts w:hint="eastAsia"/>
                      <w:sz w:val="21"/>
                      <w:szCs w:val="21"/>
                      <w:highlight w:val="none"/>
                    </w:rPr>
                    <w:t>19]032号</w:t>
                  </w:r>
                  <w:r>
                    <w:rPr>
                      <w:rFonts w:hint="default"/>
                      <w:sz w:val="21"/>
                      <w:szCs w:val="21"/>
                      <w:highlight w:val="none"/>
                    </w:rPr>
                    <w:t>予以批复</w:t>
                  </w:r>
                </w:p>
              </w:tc>
              <w:tc>
                <w:tcPr>
                  <w:tcW w:w="1709" w:type="dxa"/>
                  <w:gridSpan w:val="2"/>
                  <w:noWrap w:val="0"/>
                  <w:vAlign w:val="center"/>
                </w:tcPr>
                <w:p w14:paraId="1E7A3DA9">
                  <w:pPr>
                    <w:keepNext w:val="0"/>
                    <w:keepLines w:val="0"/>
                    <w:suppressLineNumbers w:val="0"/>
                    <w:snapToGrid w:val="0"/>
                    <w:spacing w:before="0" w:beforeAutospacing="0" w:after="0" w:afterAutospacing="0" w:line="240" w:lineRule="auto"/>
                    <w:ind w:left="0" w:right="0" w:firstLine="0" w:firstLineChars="0"/>
                    <w:rPr>
                      <w:rFonts w:hint="default" w:ascii="Times New Roman" w:hAnsi="Times New Roman" w:eastAsia="宋体" w:cs="Times New Roman"/>
                      <w:color w:val="0C0C0C"/>
                      <w:sz w:val="21"/>
                      <w:szCs w:val="21"/>
                      <w:highlight w:val="none"/>
                      <w:lang w:val="en-US" w:eastAsia="zh-CN"/>
                    </w:rPr>
                  </w:pPr>
                  <w:r>
                    <w:rPr>
                      <w:rFonts w:hint="eastAsia"/>
                      <w:sz w:val="21"/>
                      <w:szCs w:val="21"/>
                      <w:highlight w:val="none"/>
                    </w:rPr>
                    <w:t>已建成，于</w:t>
                  </w:r>
                  <w:r>
                    <w:rPr>
                      <w:rFonts w:hint="default"/>
                      <w:sz w:val="21"/>
                      <w:szCs w:val="21"/>
                      <w:highlight w:val="none"/>
                    </w:rPr>
                    <w:t>20</w:t>
                  </w:r>
                  <w:r>
                    <w:rPr>
                      <w:rFonts w:hint="eastAsia"/>
                      <w:sz w:val="21"/>
                      <w:szCs w:val="21"/>
                      <w:highlight w:val="none"/>
                    </w:rPr>
                    <w:t>20</w:t>
                  </w:r>
                  <w:r>
                    <w:rPr>
                      <w:rFonts w:hint="default"/>
                      <w:sz w:val="21"/>
                      <w:szCs w:val="21"/>
                      <w:highlight w:val="none"/>
                    </w:rPr>
                    <w:t>年</w:t>
                  </w:r>
                  <w:r>
                    <w:rPr>
                      <w:rFonts w:hint="eastAsia"/>
                      <w:sz w:val="21"/>
                      <w:szCs w:val="21"/>
                      <w:highlight w:val="none"/>
                    </w:rPr>
                    <w:t>7</w:t>
                  </w:r>
                  <w:r>
                    <w:rPr>
                      <w:rFonts w:hint="default"/>
                      <w:sz w:val="21"/>
                      <w:szCs w:val="21"/>
                      <w:highlight w:val="none"/>
                    </w:rPr>
                    <w:t>月通过自主验收</w:t>
                  </w:r>
                </w:p>
              </w:tc>
              <w:tc>
                <w:tcPr>
                  <w:tcW w:w="971" w:type="pct"/>
                  <w:gridSpan w:val="2"/>
                  <w:noWrap w:val="0"/>
                  <w:vAlign w:val="center"/>
                </w:tcPr>
                <w:p w14:paraId="72921753">
                  <w:pPr>
                    <w:keepNext w:val="0"/>
                    <w:keepLines w:val="0"/>
                    <w:suppressLineNumbers w:val="0"/>
                    <w:adjustRightInd w:val="0"/>
                    <w:snapToGrid w:val="0"/>
                    <w:spacing w:before="0" w:beforeAutospacing="0" w:after="0" w:afterAutospacing="0"/>
                    <w:ind w:left="0" w:right="0"/>
                    <w:jc w:val="center"/>
                    <w:textAlignment w:val="baseline"/>
                    <w:rPr>
                      <w:rFonts w:hint="default" w:cs="Times New Roman"/>
                      <w:color w:val="0C0C0C"/>
                      <w:sz w:val="21"/>
                      <w:szCs w:val="21"/>
                      <w:highlight w:val="none"/>
                      <w:lang w:val="en-US" w:eastAsia="zh-CN"/>
                    </w:rPr>
                  </w:pPr>
                  <w:r>
                    <w:rPr>
                      <w:rFonts w:hint="eastAsia" w:cs="Times New Roman"/>
                      <w:color w:val="0C0C0C"/>
                      <w:sz w:val="21"/>
                      <w:szCs w:val="21"/>
                      <w:highlight w:val="none"/>
                      <w:lang w:val="en-US" w:eastAsia="zh-CN"/>
                    </w:rPr>
                    <w:t>南厂区正极材料车间</w:t>
                  </w:r>
                </w:p>
              </w:tc>
            </w:tr>
            <w:tr w14:paraId="68C42A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0" w:type="pct"/>
                  <w:tcBorders>
                    <w:bottom w:val="single" w:color="auto" w:sz="8" w:space="0"/>
                  </w:tcBorders>
                  <w:noWrap w:val="0"/>
                  <w:vAlign w:val="center"/>
                </w:tcPr>
                <w:p w14:paraId="28E1AE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outlineLvl w:val="9"/>
                    <w:rPr>
                      <w:rFonts w:hint="default" w:ascii="Times New Roman" w:hAnsi="Times New Roman" w:cs="Times New Roman"/>
                      <w:color w:val="0C0C0C"/>
                      <w:sz w:val="21"/>
                      <w:szCs w:val="21"/>
                      <w:highlight w:val="none"/>
                      <w:lang w:val="en-US" w:eastAsia="zh-CN"/>
                    </w:rPr>
                  </w:pPr>
                  <w:r>
                    <w:rPr>
                      <w:rFonts w:hint="eastAsia" w:ascii="Times New Roman" w:hAnsi="Times New Roman" w:cs="Times New Roman"/>
                      <w:color w:val="0C0C0C"/>
                      <w:sz w:val="21"/>
                      <w:szCs w:val="21"/>
                      <w:highlight w:val="none"/>
                      <w:lang w:val="en-US" w:eastAsia="zh-CN"/>
                    </w:rPr>
                    <w:t>6</w:t>
                  </w:r>
                </w:p>
              </w:tc>
              <w:tc>
                <w:tcPr>
                  <w:tcW w:w="2521" w:type="dxa"/>
                  <w:tcBorders>
                    <w:bottom w:val="single" w:color="auto" w:sz="8" w:space="0"/>
                  </w:tcBorders>
                  <w:noWrap w:val="0"/>
                  <w:vAlign w:val="center"/>
                </w:tcPr>
                <w:p w14:paraId="3F4ECEEA">
                  <w:pPr>
                    <w:keepNext w:val="0"/>
                    <w:keepLines w:val="0"/>
                    <w:suppressLineNumbers w:val="0"/>
                    <w:snapToGrid w:val="0"/>
                    <w:spacing w:before="0" w:beforeAutospacing="0" w:after="0" w:afterAutospacing="0" w:line="240" w:lineRule="auto"/>
                    <w:ind w:left="0" w:right="0" w:firstLine="0" w:firstLineChars="0"/>
                    <w:jc w:val="both"/>
                    <w:rPr>
                      <w:rFonts w:hint="eastAsia"/>
                      <w:sz w:val="21"/>
                      <w:szCs w:val="21"/>
                    </w:rPr>
                  </w:pPr>
                  <w:r>
                    <w:rPr>
                      <w:rFonts w:hint="eastAsia"/>
                      <w:sz w:val="21"/>
                      <w:szCs w:val="21"/>
                    </w:rPr>
                    <w:t>新乡市弘力电源科技有限公司年产9000万支高倍率高容量锂离子电池技改项目</w:t>
                  </w:r>
                </w:p>
              </w:tc>
              <w:tc>
                <w:tcPr>
                  <w:tcW w:w="2354" w:type="dxa"/>
                  <w:tcBorders>
                    <w:bottom w:val="single" w:color="auto" w:sz="8" w:space="0"/>
                  </w:tcBorders>
                  <w:noWrap w:val="0"/>
                  <w:vAlign w:val="center"/>
                </w:tcPr>
                <w:p w14:paraId="743CF33E">
                  <w:pPr>
                    <w:keepNext w:val="0"/>
                    <w:keepLines w:val="0"/>
                    <w:suppressLineNumbers w:val="0"/>
                    <w:snapToGrid w:val="0"/>
                    <w:spacing w:before="0" w:beforeAutospacing="0" w:after="0" w:afterAutospacing="0" w:line="240" w:lineRule="auto"/>
                    <w:ind w:left="0" w:right="0" w:firstLine="0" w:firstLineChars="0"/>
                    <w:rPr>
                      <w:rFonts w:hint="default" w:eastAsia="宋体"/>
                      <w:sz w:val="21"/>
                      <w:szCs w:val="21"/>
                      <w:lang w:val="en-US" w:eastAsia="zh-CN"/>
                    </w:rPr>
                  </w:pPr>
                  <w:r>
                    <w:rPr>
                      <w:rFonts w:hint="eastAsia"/>
                      <w:sz w:val="21"/>
                      <w:szCs w:val="21"/>
                      <w:lang w:val="en-US" w:eastAsia="zh-CN"/>
                    </w:rPr>
                    <w:t>2024年1月15日新乡市生态环境局新乡县分局以新环表告</w:t>
                  </w:r>
                  <w:r>
                    <w:rPr>
                      <w:rFonts w:hint="eastAsia"/>
                      <w:sz w:val="21"/>
                      <w:szCs w:val="21"/>
                    </w:rPr>
                    <w:t>[</w:t>
                  </w:r>
                  <w:r>
                    <w:rPr>
                      <w:rFonts w:hint="default"/>
                      <w:sz w:val="21"/>
                      <w:szCs w:val="21"/>
                    </w:rPr>
                    <w:t>20</w:t>
                  </w:r>
                  <w:r>
                    <w:rPr>
                      <w:rFonts w:hint="eastAsia"/>
                      <w:sz w:val="21"/>
                      <w:szCs w:val="21"/>
                      <w:lang w:val="en-US" w:eastAsia="zh-CN"/>
                    </w:rPr>
                    <w:t>24</w:t>
                  </w:r>
                  <w:r>
                    <w:rPr>
                      <w:rFonts w:hint="eastAsia"/>
                      <w:sz w:val="21"/>
                      <w:szCs w:val="21"/>
                    </w:rPr>
                    <w:t>]0</w:t>
                  </w:r>
                  <w:r>
                    <w:rPr>
                      <w:rFonts w:hint="eastAsia"/>
                      <w:sz w:val="21"/>
                      <w:szCs w:val="21"/>
                      <w:lang w:val="en-US" w:eastAsia="zh-CN"/>
                    </w:rPr>
                    <w:t>1</w:t>
                  </w:r>
                  <w:r>
                    <w:rPr>
                      <w:rFonts w:hint="eastAsia"/>
                      <w:sz w:val="21"/>
                      <w:szCs w:val="21"/>
                    </w:rPr>
                    <w:t>号</w:t>
                  </w:r>
                  <w:r>
                    <w:rPr>
                      <w:rFonts w:hint="default"/>
                      <w:sz w:val="21"/>
                      <w:szCs w:val="21"/>
                    </w:rPr>
                    <w:t>予以批复</w:t>
                  </w:r>
                </w:p>
              </w:tc>
              <w:tc>
                <w:tcPr>
                  <w:tcW w:w="1709" w:type="dxa"/>
                  <w:gridSpan w:val="2"/>
                  <w:tcBorders>
                    <w:bottom w:val="single" w:color="auto" w:sz="8" w:space="0"/>
                  </w:tcBorders>
                  <w:noWrap w:val="0"/>
                  <w:vAlign w:val="center"/>
                </w:tcPr>
                <w:p w14:paraId="7B4A1EE9">
                  <w:pPr>
                    <w:keepNext w:val="0"/>
                    <w:keepLines w:val="0"/>
                    <w:suppressLineNumbers w:val="0"/>
                    <w:snapToGrid w:val="0"/>
                    <w:spacing w:before="0" w:beforeAutospacing="0" w:after="0" w:afterAutospacing="0" w:line="240" w:lineRule="auto"/>
                    <w:ind w:left="0" w:right="0" w:firstLine="0" w:firstLineChars="0"/>
                    <w:rPr>
                      <w:rFonts w:hint="default" w:eastAsia="宋体"/>
                      <w:sz w:val="21"/>
                      <w:szCs w:val="21"/>
                      <w:lang w:val="en-US" w:eastAsia="zh-CN"/>
                    </w:rPr>
                  </w:pPr>
                  <w:r>
                    <w:rPr>
                      <w:rFonts w:hint="eastAsia"/>
                      <w:sz w:val="21"/>
                      <w:szCs w:val="21"/>
                      <w:lang w:val="en-US" w:eastAsia="zh-CN"/>
                    </w:rPr>
                    <w:t>已建成，于2024年9月通过自主验收</w:t>
                  </w:r>
                </w:p>
              </w:tc>
              <w:tc>
                <w:tcPr>
                  <w:tcW w:w="971" w:type="pct"/>
                  <w:gridSpan w:val="2"/>
                  <w:tcBorders>
                    <w:bottom w:val="single" w:color="auto" w:sz="8" w:space="0"/>
                  </w:tcBorders>
                  <w:noWrap w:val="0"/>
                  <w:vAlign w:val="center"/>
                </w:tcPr>
                <w:p w14:paraId="256B6F3A">
                  <w:pPr>
                    <w:keepNext w:val="0"/>
                    <w:keepLines w:val="0"/>
                    <w:suppressLineNumbers w:val="0"/>
                    <w:adjustRightInd w:val="0"/>
                    <w:snapToGrid w:val="0"/>
                    <w:spacing w:before="0" w:beforeAutospacing="0" w:after="0" w:afterAutospacing="0"/>
                    <w:ind w:left="0" w:right="0"/>
                    <w:jc w:val="center"/>
                    <w:textAlignment w:val="baseline"/>
                    <w:rPr>
                      <w:rFonts w:hint="default" w:cs="Times New Roman"/>
                      <w:color w:val="0C0C0C"/>
                      <w:sz w:val="21"/>
                      <w:szCs w:val="21"/>
                      <w:highlight w:val="none"/>
                      <w:lang w:val="en-US" w:eastAsia="zh-CN"/>
                    </w:rPr>
                  </w:pPr>
                  <w:r>
                    <w:rPr>
                      <w:rFonts w:hint="eastAsia" w:cs="Times New Roman"/>
                      <w:color w:val="0C0C0C"/>
                      <w:sz w:val="21"/>
                      <w:szCs w:val="21"/>
                      <w:highlight w:val="none"/>
                      <w:lang w:val="en-US" w:eastAsia="zh-CN"/>
                    </w:rPr>
                    <w:t>北厂区</w:t>
                  </w:r>
                </w:p>
              </w:tc>
            </w:tr>
          </w:tbl>
          <w:p w14:paraId="65467155">
            <w:pPr>
              <w:pStyle w:val="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ascii="Times New Roman" w:hAnsi="Times New Roman" w:eastAsia="宋体" w:cs="Times New Roman"/>
                <w:color w:val="000000" w:themeColor="text1"/>
                <w:sz w:val="24"/>
                <w:highlight w:val="none"/>
                <w:shd w:val="clear"/>
                <w:lang w:val="en-US" w:eastAsia="zh-CN"/>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根据市场需求以及企业自身发展规划，本项目计划淘汰部分老旧设备，更换全自动化设备，</w:t>
            </w:r>
            <w:r>
              <w:rPr>
                <w:rFonts w:hint="eastAsia" w:cs="Times New Roman"/>
                <w:color w:val="auto"/>
                <w:sz w:val="24"/>
                <w:szCs w:val="24"/>
                <w:highlight w:val="none"/>
                <w:lang w:val="en-US" w:eastAsia="zh-CN"/>
              </w:rPr>
              <w:t>包括全自动制片机、回馈式针床化成检测设备、自动上料机、自动装盒机等设备，</w:t>
            </w:r>
            <w:r>
              <w:rPr>
                <w:rFonts w:hint="eastAsia" w:cs="Times New Roman"/>
                <w:color w:val="000000" w:themeColor="text1"/>
                <w:sz w:val="24"/>
                <w:szCs w:val="24"/>
                <w:highlight w:val="none"/>
                <w:lang w:val="en-US" w:eastAsia="zh-CN"/>
                <w14:textFill>
                  <w14:solidFill>
                    <w14:schemeClr w14:val="tx1"/>
                  </w14:solidFill>
                </w14:textFill>
              </w:rPr>
              <w:t>实现制片、化成等工艺的升级和优化</w:t>
            </w:r>
            <w:r>
              <w:rPr>
                <w:rFonts w:hint="eastAsia" w:cs="Times New Roman"/>
                <w:color w:val="000000" w:themeColor="text1"/>
                <w:sz w:val="24"/>
                <w:highlight w:val="none"/>
                <w:lang w:val="en-US" w:eastAsia="zh-CN"/>
                <w14:textFill>
                  <w14:solidFill>
                    <w14:schemeClr w14:val="tx1"/>
                  </w14:solidFill>
                </w14:textFill>
              </w:rPr>
              <w:t>。项目建成后企业生产效率提升、节能降耗、提升企业自动化水平。本次全厂产品产能不发生变化。</w:t>
            </w:r>
            <w:r>
              <w:rPr>
                <w:rFonts w:hint="default" w:ascii="Times New Roman" w:hAnsi="Times New Roman" w:cs="Times New Roman"/>
                <w:color w:val="000000" w:themeColor="text1"/>
                <w:sz w:val="24"/>
                <w:highlight w:val="none"/>
                <w:shd w:val="clear"/>
                <w14:textFill>
                  <w14:solidFill>
                    <w14:schemeClr w14:val="tx1"/>
                  </w14:solidFill>
                </w14:textFill>
              </w:rPr>
              <w:t>项目已经</w:t>
            </w:r>
            <w:r>
              <w:rPr>
                <w:rFonts w:hint="eastAsia" w:cs="Times New Roman"/>
                <w:color w:val="000000" w:themeColor="text1"/>
                <w:sz w:val="24"/>
                <w:highlight w:val="none"/>
                <w:shd w:val="clear"/>
                <w:lang w:eastAsia="zh-CN"/>
                <w14:textFill>
                  <w14:solidFill>
                    <w14:schemeClr w14:val="tx1"/>
                  </w14:solidFill>
                </w14:textFill>
              </w:rPr>
              <w:t>在</w:t>
            </w:r>
            <w:r>
              <w:rPr>
                <w:rFonts w:hint="eastAsia" w:cs="Times New Roman"/>
                <w:color w:val="000000" w:themeColor="text1"/>
                <w:sz w:val="24"/>
                <w:highlight w:val="none"/>
                <w:shd w:val="clear"/>
                <w:lang w:val="en-US" w:eastAsia="zh-CN"/>
                <w14:textFill>
                  <w14:solidFill>
                    <w14:schemeClr w14:val="tx1"/>
                  </w14:solidFill>
                </w14:textFill>
              </w:rPr>
              <w:t>新乡县</w:t>
            </w:r>
            <w:r>
              <w:rPr>
                <w:rFonts w:hint="default" w:ascii="Times New Roman" w:hAnsi="Times New Roman" w:cs="Times New Roman"/>
                <w:color w:val="000000" w:themeColor="text1"/>
                <w:sz w:val="24"/>
                <w:highlight w:val="none"/>
                <w:shd w:val="clear"/>
                <w14:textFill>
                  <w14:solidFill>
                    <w14:schemeClr w14:val="tx1"/>
                  </w14:solidFill>
                </w14:textFill>
              </w:rPr>
              <w:t>发展和改革委员会备案，备案文号：</w:t>
            </w:r>
            <w:r>
              <w:rPr>
                <w:rFonts w:hint="eastAsia" w:cs="Times New Roman"/>
                <w:color w:val="auto"/>
                <w:sz w:val="24"/>
                <w:szCs w:val="24"/>
                <w:highlight w:val="none"/>
                <w:lang w:val="en-US" w:eastAsia="zh-CN"/>
              </w:rPr>
              <w:t>2510-410721-04-02-164289</w:t>
            </w:r>
            <w:r>
              <w:rPr>
                <w:rFonts w:hint="default" w:ascii="Times New Roman" w:hAnsi="Times New Roman" w:cs="Times New Roman"/>
                <w:color w:val="000000" w:themeColor="text1"/>
                <w:sz w:val="24"/>
                <w:highlight w:val="none"/>
                <w:shd w:val="clear"/>
                <w14:textFill>
                  <w14:solidFill>
                    <w14:schemeClr w14:val="tx1"/>
                  </w14:solidFill>
                </w14:textFill>
              </w:rPr>
              <w:t>。经现场勘察，本项目设备未到位，不具备生产能力，不属于未批先建。</w:t>
            </w:r>
          </w:p>
          <w:p w14:paraId="42FB509C">
            <w:pPr>
              <w:keepNext w:val="0"/>
              <w:keepLines w:val="0"/>
              <w:suppressLineNumbers w:val="0"/>
              <w:tabs>
                <w:tab w:val="center" w:pos="4709"/>
              </w:tabs>
              <w:adjustRightInd w:val="0"/>
              <w:snapToGrid w:val="0"/>
              <w:spacing w:before="0" w:beforeAutospacing="0" w:after="0" w:afterAutospacing="0" w:line="440" w:lineRule="exact"/>
              <w:ind w:left="0" w:right="0"/>
              <w:rPr>
                <w:rFonts w:hint="default"/>
                <w:b/>
                <w:sz w:val="24"/>
                <w:highlight w:val="none"/>
              </w:rPr>
            </w:pPr>
            <w:r>
              <w:rPr>
                <w:rFonts w:hint="eastAsia"/>
                <w:b/>
                <w:sz w:val="24"/>
                <w:highlight w:val="none"/>
              </w:rPr>
              <w:t>二、工程内容及规模</w:t>
            </w:r>
          </w:p>
          <w:p w14:paraId="144C35C1">
            <w:pPr>
              <w:keepNext w:val="0"/>
              <w:keepLines w:val="0"/>
              <w:suppressLineNumbers w:val="0"/>
              <w:adjustRightInd w:val="0"/>
              <w:snapToGrid w:val="0"/>
              <w:spacing w:before="0" w:beforeAutospacing="0" w:after="0" w:afterAutospacing="0" w:line="440" w:lineRule="exact"/>
              <w:ind w:left="0" w:right="0" w:firstLine="482" w:firstLineChars="200"/>
              <w:rPr>
                <w:rFonts w:hint="default"/>
                <w:sz w:val="24"/>
              </w:rPr>
            </w:pPr>
            <w:r>
              <w:rPr>
                <w:rFonts w:hint="default" w:ascii="宋体" w:hAnsi="宋体"/>
                <w:b/>
                <w:sz w:val="24"/>
              </w:rPr>
              <w:t>1、项目概况</w:t>
            </w:r>
          </w:p>
          <w:p w14:paraId="22B6D259">
            <w:pPr>
              <w:keepNext w:val="0"/>
              <w:keepLines w:val="0"/>
              <w:suppressLineNumbers w:val="0"/>
              <w:adjustRightInd w:val="0"/>
              <w:snapToGrid w:val="0"/>
              <w:spacing w:before="0" w:beforeAutospacing="0" w:after="0" w:afterAutospacing="0" w:line="440" w:lineRule="exact"/>
              <w:ind w:left="0" w:right="0" w:firstLine="480" w:firstLineChars="200"/>
              <w:rPr>
                <w:rFonts w:hint="default"/>
                <w:sz w:val="24"/>
              </w:rPr>
            </w:pPr>
            <w:r>
              <w:rPr>
                <w:rFonts w:hint="default"/>
                <w:sz w:val="24"/>
              </w:rPr>
              <w:t>项目的基本情</w:t>
            </w:r>
            <w:r>
              <w:rPr>
                <w:rFonts w:hint="default"/>
                <w:color w:val="auto"/>
                <w:sz w:val="24"/>
              </w:rPr>
              <w:t>况见</w:t>
            </w:r>
            <w:r>
              <w:rPr>
                <w:rFonts w:hint="eastAsia"/>
                <w:color w:val="auto"/>
                <w:sz w:val="24"/>
                <w:lang w:val="en-US" w:eastAsia="zh-CN"/>
              </w:rPr>
              <w:t>下表</w:t>
            </w:r>
            <w:r>
              <w:rPr>
                <w:rFonts w:hint="eastAsia"/>
                <w:color w:val="auto"/>
                <w:sz w:val="24"/>
              </w:rPr>
              <w:t>。</w:t>
            </w:r>
          </w:p>
          <w:p w14:paraId="076552B5">
            <w:pPr>
              <w:pStyle w:val="56"/>
              <w:keepNext w:val="0"/>
              <w:keepLines w:val="0"/>
              <w:suppressLineNumbers w:val="0"/>
              <w:spacing w:before="0" w:beforeAutospacing="0" w:after="0" w:afterAutospacing="0" w:line="440" w:lineRule="exact"/>
              <w:ind w:left="0" w:right="0" w:firstLine="0"/>
              <w:jc w:val="center"/>
              <w:rPr>
                <w:rFonts w:hint="default" w:hAnsi="宋体" w:cs="Times New Roman"/>
                <w:b/>
                <w:bCs/>
                <w:color w:val="000000"/>
                <w:sz w:val="24"/>
                <w:szCs w:val="24"/>
              </w:rPr>
            </w:pPr>
            <w:r>
              <w:rPr>
                <w:rFonts w:hint="default" w:ascii="Times New Roman" w:hAnsi="Times New Roman" w:cs="Times New Roman"/>
                <w:b/>
                <w:bCs/>
                <w:color w:val="auto"/>
                <w:sz w:val="24"/>
                <w:szCs w:val="24"/>
              </w:rPr>
              <w:t>表</w:t>
            </w:r>
            <w:r>
              <w:rPr>
                <w:rFonts w:hint="eastAsia" w:ascii="Times New Roman" w:hAnsi="Times New Roman" w:cs="Times New Roman"/>
                <w:b/>
                <w:bCs/>
                <w:color w:val="auto"/>
                <w:sz w:val="24"/>
                <w:szCs w:val="24"/>
                <w:lang w:val="en-US" w:eastAsia="zh-CN"/>
              </w:rPr>
              <w:t xml:space="preserve">11  </w:t>
            </w:r>
            <w:r>
              <w:rPr>
                <w:rFonts w:hint="eastAsia" w:hAnsi="宋体" w:cs="Times New Roman"/>
                <w:b/>
                <w:bCs/>
                <w:color w:val="000000"/>
                <w:sz w:val="24"/>
                <w:szCs w:val="24"/>
              </w:rPr>
              <w:t>项目基本情况</w:t>
            </w:r>
          </w:p>
          <w:tbl>
            <w:tblPr>
              <w:tblStyle w:val="23"/>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51"/>
              <w:gridCol w:w="1917"/>
              <w:gridCol w:w="6237"/>
            </w:tblGrid>
            <w:tr w14:paraId="3FFEBD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dxa"/>
                  <w:tcBorders>
                    <w:top w:val="single" w:color="auto" w:sz="8" w:space="0"/>
                    <w:bottom w:val="single" w:color="auto" w:sz="8" w:space="0"/>
                  </w:tcBorders>
                  <w:noWrap w:val="0"/>
                  <w:vAlign w:val="center"/>
                </w:tcPr>
                <w:p w14:paraId="70BC7197">
                  <w:pPr>
                    <w:keepNext w:val="0"/>
                    <w:keepLines w:val="0"/>
                    <w:suppressLineNumbers w:val="0"/>
                    <w:adjustRightInd w:val="0"/>
                    <w:snapToGrid w:val="0"/>
                    <w:spacing w:before="0" w:beforeAutospacing="0" w:after="0" w:afterAutospacing="0"/>
                    <w:ind w:left="0" w:right="0"/>
                    <w:jc w:val="center"/>
                    <w:rPr>
                      <w:rFonts w:hint="default"/>
                      <w:b/>
                      <w:sz w:val="21"/>
                      <w:szCs w:val="21"/>
                    </w:rPr>
                  </w:pPr>
                  <w:r>
                    <w:rPr>
                      <w:rFonts w:hint="default"/>
                      <w:b/>
                      <w:sz w:val="21"/>
                      <w:szCs w:val="21"/>
                    </w:rPr>
                    <w:t>序号</w:t>
                  </w:r>
                </w:p>
              </w:tc>
              <w:tc>
                <w:tcPr>
                  <w:tcW w:w="1917" w:type="dxa"/>
                  <w:tcBorders>
                    <w:top w:val="single" w:color="auto" w:sz="8" w:space="0"/>
                    <w:bottom w:val="single" w:color="auto" w:sz="8" w:space="0"/>
                  </w:tcBorders>
                  <w:noWrap w:val="0"/>
                  <w:vAlign w:val="center"/>
                </w:tcPr>
                <w:p w14:paraId="16F2D993">
                  <w:pPr>
                    <w:keepNext w:val="0"/>
                    <w:keepLines w:val="0"/>
                    <w:suppressLineNumbers w:val="0"/>
                    <w:adjustRightInd w:val="0"/>
                    <w:snapToGrid w:val="0"/>
                    <w:spacing w:before="0" w:beforeAutospacing="0" w:after="0" w:afterAutospacing="0"/>
                    <w:ind w:left="0" w:right="0"/>
                    <w:jc w:val="center"/>
                    <w:rPr>
                      <w:rFonts w:hint="default"/>
                      <w:b/>
                      <w:sz w:val="21"/>
                      <w:szCs w:val="21"/>
                    </w:rPr>
                  </w:pPr>
                  <w:r>
                    <w:rPr>
                      <w:rFonts w:hint="default"/>
                      <w:b/>
                      <w:sz w:val="21"/>
                      <w:szCs w:val="21"/>
                    </w:rPr>
                    <w:t>项目</w:t>
                  </w:r>
                </w:p>
              </w:tc>
              <w:tc>
                <w:tcPr>
                  <w:tcW w:w="6237" w:type="dxa"/>
                  <w:tcBorders>
                    <w:top w:val="single" w:color="auto" w:sz="8" w:space="0"/>
                    <w:bottom w:val="single" w:color="auto" w:sz="8" w:space="0"/>
                  </w:tcBorders>
                  <w:noWrap w:val="0"/>
                  <w:vAlign w:val="center"/>
                </w:tcPr>
                <w:p w14:paraId="3934DA9F">
                  <w:pPr>
                    <w:keepNext w:val="0"/>
                    <w:keepLines w:val="0"/>
                    <w:suppressLineNumbers w:val="0"/>
                    <w:adjustRightInd w:val="0"/>
                    <w:snapToGrid w:val="0"/>
                    <w:spacing w:before="0" w:beforeAutospacing="0" w:after="0" w:afterAutospacing="0"/>
                    <w:ind w:left="0" w:right="0"/>
                    <w:jc w:val="center"/>
                    <w:rPr>
                      <w:rFonts w:hint="default"/>
                      <w:b/>
                      <w:sz w:val="21"/>
                      <w:szCs w:val="21"/>
                    </w:rPr>
                  </w:pPr>
                  <w:r>
                    <w:rPr>
                      <w:rFonts w:hint="default"/>
                      <w:b/>
                      <w:sz w:val="21"/>
                      <w:szCs w:val="21"/>
                    </w:rPr>
                    <w:t>内容</w:t>
                  </w:r>
                </w:p>
              </w:tc>
            </w:tr>
            <w:tr w14:paraId="5794D1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dxa"/>
                  <w:tcBorders>
                    <w:top w:val="single" w:color="auto" w:sz="8" w:space="0"/>
                    <w:tl2br w:val="nil"/>
                    <w:tr2bl w:val="nil"/>
                  </w:tcBorders>
                  <w:noWrap w:val="0"/>
                  <w:vAlign w:val="center"/>
                </w:tcPr>
                <w:p w14:paraId="191C7D19">
                  <w:pPr>
                    <w:keepNext w:val="0"/>
                    <w:keepLines w:val="0"/>
                    <w:suppressLineNumbers w:val="0"/>
                    <w:adjustRightInd w:val="0"/>
                    <w:snapToGrid w:val="0"/>
                    <w:spacing w:before="0" w:beforeAutospacing="0" w:after="0" w:afterAutospacing="0"/>
                    <w:ind w:left="0" w:right="0"/>
                    <w:jc w:val="center"/>
                    <w:rPr>
                      <w:rFonts w:hint="default"/>
                      <w:sz w:val="21"/>
                      <w:szCs w:val="21"/>
                    </w:rPr>
                  </w:pPr>
                  <w:r>
                    <w:rPr>
                      <w:rFonts w:hint="default"/>
                      <w:sz w:val="21"/>
                      <w:szCs w:val="21"/>
                    </w:rPr>
                    <w:t>1</w:t>
                  </w:r>
                </w:p>
              </w:tc>
              <w:tc>
                <w:tcPr>
                  <w:tcW w:w="1917" w:type="dxa"/>
                  <w:tcBorders>
                    <w:top w:val="single" w:color="auto" w:sz="8" w:space="0"/>
                    <w:tl2br w:val="nil"/>
                    <w:tr2bl w:val="nil"/>
                  </w:tcBorders>
                  <w:noWrap w:val="0"/>
                  <w:vAlign w:val="center"/>
                </w:tcPr>
                <w:p w14:paraId="21C588C0">
                  <w:pPr>
                    <w:keepNext w:val="0"/>
                    <w:keepLines w:val="0"/>
                    <w:suppressLineNumbers w:val="0"/>
                    <w:adjustRightInd w:val="0"/>
                    <w:snapToGrid w:val="0"/>
                    <w:spacing w:before="0" w:beforeAutospacing="0" w:after="0" w:afterAutospacing="0"/>
                    <w:ind w:left="0" w:right="0"/>
                    <w:jc w:val="center"/>
                    <w:rPr>
                      <w:rFonts w:hint="default"/>
                      <w:sz w:val="21"/>
                      <w:szCs w:val="21"/>
                    </w:rPr>
                  </w:pPr>
                  <w:r>
                    <w:rPr>
                      <w:rFonts w:hint="default"/>
                      <w:sz w:val="21"/>
                      <w:szCs w:val="21"/>
                    </w:rPr>
                    <w:t>项目名称</w:t>
                  </w:r>
                </w:p>
              </w:tc>
              <w:tc>
                <w:tcPr>
                  <w:tcW w:w="6237" w:type="dxa"/>
                  <w:tcBorders>
                    <w:top w:val="single" w:color="auto" w:sz="8" w:space="0"/>
                    <w:tl2br w:val="nil"/>
                    <w:tr2bl w:val="nil"/>
                  </w:tcBorders>
                  <w:noWrap w:val="0"/>
                  <w:vAlign w:val="center"/>
                </w:tcPr>
                <w:p w14:paraId="05C00278">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u w:val="none"/>
                      <w:lang w:val="en-US"/>
                    </w:rPr>
                  </w:pPr>
                  <w:r>
                    <w:rPr>
                      <w:rFonts w:hint="eastAsia" w:cs="Times New Roman"/>
                      <w:color w:val="auto"/>
                      <w:sz w:val="21"/>
                      <w:szCs w:val="21"/>
                      <w:highlight w:val="none"/>
                      <w:lang w:val="en-US" w:eastAsia="zh-CN"/>
                    </w:rPr>
                    <w:t>新乡市弘力电源科技有限公司锂电生产线设备改造更新项目</w:t>
                  </w:r>
                </w:p>
              </w:tc>
            </w:tr>
            <w:tr w14:paraId="5C9D14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dxa"/>
                  <w:tcBorders>
                    <w:tl2br w:val="nil"/>
                    <w:tr2bl w:val="nil"/>
                  </w:tcBorders>
                  <w:noWrap w:val="0"/>
                  <w:vAlign w:val="center"/>
                </w:tcPr>
                <w:p w14:paraId="467AE1D8">
                  <w:pPr>
                    <w:keepNext w:val="0"/>
                    <w:keepLines w:val="0"/>
                    <w:suppressLineNumbers w:val="0"/>
                    <w:adjustRightInd w:val="0"/>
                    <w:snapToGrid w:val="0"/>
                    <w:spacing w:before="0" w:beforeAutospacing="0" w:after="0" w:afterAutospacing="0"/>
                    <w:ind w:left="0" w:right="0"/>
                    <w:jc w:val="center"/>
                    <w:rPr>
                      <w:rFonts w:hint="eastAsia" w:eastAsia="宋体"/>
                      <w:sz w:val="21"/>
                      <w:szCs w:val="21"/>
                      <w:lang w:val="en-US" w:eastAsia="zh-CN"/>
                    </w:rPr>
                  </w:pPr>
                  <w:r>
                    <w:rPr>
                      <w:rFonts w:hint="eastAsia"/>
                      <w:sz w:val="21"/>
                      <w:szCs w:val="21"/>
                      <w:lang w:val="en-US" w:eastAsia="zh-CN"/>
                    </w:rPr>
                    <w:t>2</w:t>
                  </w:r>
                </w:p>
              </w:tc>
              <w:tc>
                <w:tcPr>
                  <w:tcW w:w="1917" w:type="dxa"/>
                  <w:tcBorders>
                    <w:tl2br w:val="nil"/>
                    <w:tr2bl w:val="nil"/>
                  </w:tcBorders>
                  <w:noWrap w:val="0"/>
                  <w:vAlign w:val="center"/>
                </w:tcPr>
                <w:p w14:paraId="7ADF6520">
                  <w:pPr>
                    <w:keepNext w:val="0"/>
                    <w:keepLines w:val="0"/>
                    <w:suppressLineNumbers w:val="0"/>
                    <w:adjustRightInd w:val="0"/>
                    <w:snapToGrid w:val="0"/>
                    <w:spacing w:before="0" w:beforeAutospacing="0" w:after="0" w:afterAutospacing="0"/>
                    <w:ind w:left="0" w:right="0"/>
                    <w:jc w:val="center"/>
                    <w:rPr>
                      <w:rFonts w:hint="eastAsia" w:eastAsia="宋体"/>
                      <w:sz w:val="21"/>
                      <w:szCs w:val="21"/>
                      <w:lang w:val="en-US" w:eastAsia="zh-CN"/>
                    </w:rPr>
                  </w:pPr>
                  <w:r>
                    <w:rPr>
                      <w:rFonts w:hint="eastAsia"/>
                      <w:sz w:val="21"/>
                      <w:szCs w:val="21"/>
                      <w:lang w:val="en-US" w:eastAsia="zh-CN"/>
                    </w:rPr>
                    <w:t>建设规模</w:t>
                  </w:r>
                </w:p>
              </w:tc>
              <w:tc>
                <w:tcPr>
                  <w:tcW w:w="6237" w:type="dxa"/>
                  <w:tcBorders>
                    <w:tl2br w:val="nil"/>
                    <w:tr2bl w:val="nil"/>
                  </w:tcBorders>
                  <w:noWrap w:val="0"/>
                  <w:vAlign w:val="center"/>
                </w:tcPr>
                <w:p w14:paraId="1DB9A691">
                  <w:pPr>
                    <w:keepNext w:val="0"/>
                    <w:keepLines w:val="0"/>
                    <w:suppressLineNumbers w:val="0"/>
                    <w:adjustRightInd w:val="0"/>
                    <w:snapToGrid w:val="0"/>
                    <w:spacing w:before="0" w:beforeAutospacing="0" w:after="0" w:afterAutospacing="0"/>
                    <w:ind w:left="0" w:leftChars="0" w:right="0" w:rightChars="0"/>
                    <w:jc w:val="center"/>
                    <w:rPr>
                      <w:rFonts w:hint="default" w:ascii="宋体" w:hAnsi="宋体"/>
                      <w:color w:val="auto"/>
                      <w:sz w:val="21"/>
                      <w:szCs w:val="21"/>
                      <w:u w:val="none"/>
                      <w:lang w:val="en-US" w:eastAsia="zh-CN"/>
                    </w:rPr>
                  </w:pPr>
                  <w:r>
                    <w:rPr>
                      <w:rFonts w:hint="eastAsia" w:cs="Times New Roman"/>
                      <w:color w:val="auto"/>
                      <w:sz w:val="21"/>
                      <w:szCs w:val="21"/>
                      <w:highlight w:val="none"/>
                      <w:lang w:val="en-US" w:eastAsia="zh-CN"/>
                    </w:rPr>
                    <w:t>本项目不新增产能</w:t>
                  </w:r>
                </w:p>
              </w:tc>
            </w:tr>
            <w:tr w14:paraId="00AF4E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dxa"/>
                  <w:tcBorders>
                    <w:tl2br w:val="nil"/>
                    <w:tr2bl w:val="nil"/>
                  </w:tcBorders>
                  <w:noWrap w:val="0"/>
                  <w:vAlign w:val="center"/>
                </w:tcPr>
                <w:p w14:paraId="3FDE1F4A">
                  <w:pPr>
                    <w:keepNext w:val="0"/>
                    <w:keepLines w:val="0"/>
                    <w:suppressLineNumbers w:val="0"/>
                    <w:adjustRightInd w:val="0"/>
                    <w:snapToGrid w:val="0"/>
                    <w:spacing w:before="0" w:beforeAutospacing="0" w:after="0" w:afterAutospacing="0"/>
                    <w:ind w:left="0" w:right="0"/>
                    <w:jc w:val="center"/>
                    <w:rPr>
                      <w:rFonts w:hint="default"/>
                      <w:sz w:val="21"/>
                      <w:szCs w:val="21"/>
                      <w:lang w:val="en-US" w:eastAsia="zh-CN"/>
                    </w:rPr>
                  </w:pPr>
                  <w:r>
                    <w:rPr>
                      <w:rFonts w:hint="eastAsia"/>
                      <w:sz w:val="21"/>
                      <w:szCs w:val="21"/>
                      <w:lang w:val="en-US" w:eastAsia="zh-CN"/>
                    </w:rPr>
                    <w:t>3</w:t>
                  </w:r>
                </w:p>
              </w:tc>
              <w:tc>
                <w:tcPr>
                  <w:tcW w:w="1917" w:type="dxa"/>
                  <w:tcBorders>
                    <w:tl2br w:val="nil"/>
                    <w:tr2bl w:val="nil"/>
                  </w:tcBorders>
                  <w:noWrap w:val="0"/>
                  <w:vAlign w:val="center"/>
                </w:tcPr>
                <w:p w14:paraId="75AC88E1">
                  <w:pPr>
                    <w:keepNext w:val="0"/>
                    <w:keepLines w:val="0"/>
                    <w:suppressLineNumbers w:val="0"/>
                    <w:adjustRightInd w:val="0"/>
                    <w:snapToGrid w:val="0"/>
                    <w:spacing w:before="0" w:beforeAutospacing="0" w:after="0" w:afterAutospacing="0"/>
                    <w:ind w:left="0" w:right="0"/>
                    <w:jc w:val="center"/>
                    <w:rPr>
                      <w:rFonts w:hint="default"/>
                      <w:sz w:val="21"/>
                      <w:szCs w:val="21"/>
                      <w:lang w:val="en-US" w:eastAsia="zh-CN"/>
                    </w:rPr>
                  </w:pPr>
                  <w:r>
                    <w:rPr>
                      <w:rFonts w:hint="eastAsia"/>
                      <w:sz w:val="21"/>
                      <w:szCs w:val="21"/>
                      <w:lang w:val="en-US" w:eastAsia="zh-CN"/>
                    </w:rPr>
                    <w:t>建设性质</w:t>
                  </w:r>
                </w:p>
              </w:tc>
              <w:tc>
                <w:tcPr>
                  <w:tcW w:w="6237" w:type="dxa"/>
                  <w:tcBorders>
                    <w:tl2br w:val="nil"/>
                    <w:tr2bl w:val="nil"/>
                  </w:tcBorders>
                  <w:noWrap w:val="0"/>
                  <w:vAlign w:val="center"/>
                </w:tcPr>
                <w:p w14:paraId="1C59A929">
                  <w:pPr>
                    <w:keepNext w:val="0"/>
                    <w:keepLines w:val="0"/>
                    <w:suppressLineNumbers w:val="0"/>
                    <w:adjustRightInd w:val="0"/>
                    <w:snapToGrid w:val="0"/>
                    <w:spacing w:before="0" w:beforeAutospacing="0" w:after="0" w:afterAutospacing="0"/>
                    <w:ind w:left="0" w:leftChars="0" w:right="0" w:rightChars="0"/>
                    <w:jc w:val="center"/>
                    <w:rPr>
                      <w:rFonts w:hint="default"/>
                      <w:lang w:val="en-US" w:eastAsia="zh-CN"/>
                    </w:rPr>
                  </w:pPr>
                  <w:r>
                    <w:rPr>
                      <w:rFonts w:hint="eastAsia"/>
                      <w:sz w:val="21"/>
                      <w:szCs w:val="21"/>
                      <w:lang w:val="en-US" w:eastAsia="zh-CN"/>
                    </w:rPr>
                    <w:t>改建</w:t>
                  </w:r>
                </w:p>
              </w:tc>
            </w:tr>
            <w:tr w14:paraId="75C23D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dxa"/>
                  <w:tcBorders>
                    <w:tl2br w:val="nil"/>
                    <w:tr2bl w:val="nil"/>
                  </w:tcBorders>
                  <w:noWrap w:val="0"/>
                  <w:vAlign w:val="center"/>
                </w:tcPr>
                <w:p w14:paraId="30AFFFC0">
                  <w:pPr>
                    <w:keepNext w:val="0"/>
                    <w:keepLines w:val="0"/>
                    <w:suppressLineNumbers w:val="0"/>
                    <w:adjustRightInd w:val="0"/>
                    <w:snapToGrid w:val="0"/>
                    <w:spacing w:before="0" w:beforeAutospacing="0" w:after="0" w:afterAutospacing="0"/>
                    <w:ind w:left="0" w:right="0"/>
                    <w:jc w:val="center"/>
                    <w:rPr>
                      <w:rFonts w:hint="eastAsia" w:eastAsia="宋体"/>
                      <w:sz w:val="21"/>
                      <w:szCs w:val="21"/>
                      <w:lang w:eastAsia="zh-CN"/>
                    </w:rPr>
                  </w:pPr>
                  <w:r>
                    <w:rPr>
                      <w:rFonts w:hint="eastAsia"/>
                      <w:sz w:val="21"/>
                      <w:szCs w:val="21"/>
                      <w:lang w:val="en-US" w:eastAsia="zh-CN"/>
                    </w:rPr>
                    <w:t>4</w:t>
                  </w:r>
                </w:p>
              </w:tc>
              <w:tc>
                <w:tcPr>
                  <w:tcW w:w="1917" w:type="dxa"/>
                  <w:tcBorders>
                    <w:tl2br w:val="nil"/>
                    <w:tr2bl w:val="nil"/>
                  </w:tcBorders>
                  <w:noWrap w:val="0"/>
                  <w:vAlign w:val="center"/>
                </w:tcPr>
                <w:p w14:paraId="4F6C6422">
                  <w:pPr>
                    <w:keepNext w:val="0"/>
                    <w:keepLines w:val="0"/>
                    <w:suppressLineNumbers w:val="0"/>
                    <w:adjustRightInd w:val="0"/>
                    <w:snapToGrid w:val="0"/>
                    <w:spacing w:before="0" w:beforeAutospacing="0" w:after="0" w:afterAutospacing="0"/>
                    <w:ind w:left="0" w:leftChars="0" w:right="0" w:rightChars="0"/>
                    <w:jc w:val="center"/>
                    <w:rPr>
                      <w:rFonts w:hint="default"/>
                      <w:sz w:val="21"/>
                      <w:szCs w:val="21"/>
                    </w:rPr>
                  </w:pPr>
                  <w:r>
                    <w:rPr>
                      <w:rFonts w:hint="eastAsia"/>
                      <w:sz w:val="21"/>
                      <w:szCs w:val="21"/>
                    </w:rPr>
                    <w:t>建设单位</w:t>
                  </w:r>
                </w:p>
              </w:tc>
              <w:tc>
                <w:tcPr>
                  <w:tcW w:w="6237" w:type="dxa"/>
                  <w:tcBorders>
                    <w:tl2br w:val="nil"/>
                    <w:tr2bl w:val="nil"/>
                  </w:tcBorders>
                  <w:noWrap w:val="0"/>
                  <w:vAlign w:val="center"/>
                </w:tcPr>
                <w:p w14:paraId="177BC335">
                  <w:pPr>
                    <w:keepNext w:val="0"/>
                    <w:keepLines w:val="0"/>
                    <w:suppressLineNumbers w:val="0"/>
                    <w:adjustRightInd w:val="0"/>
                    <w:snapToGrid w:val="0"/>
                    <w:spacing w:before="0" w:beforeAutospacing="0" w:after="0" w:afterAutospacing="0"/>
                    <w:ind w:left="0" w:leftChars="0" w:right="0" w:rightChars="0"/>
                    <w:jc w:val="center"/>
                    <w:rPr>
                      <w:rFonts w:hint="eastAsia" w:eastAsia="宋体"/>
                      <w:color w:val="auto"/>
                      <w:sz w:val="21"/>
                      <w:szCs w:val="21"/>
                      <w:u w:val="none"/>
                      <w:lang w:val="en-US" w:eastAsia="zh-CN"/>
                    </w:rPr>
                  </w:pPr>
                  <w:r>
                    <w:rPr>
                      <w:rFonts w:hint="eastAsia" w:cs="Times New Roman"/>
                      <w:color w:val="auto"/>
                      <w:sz w:val="21"/>
                      <w:szCs w:val="21"/>
                      <w:highlight w:val="none"/>
                      <w:lang w:val="en-US" w:eastAsia="zh-CN"/>
                    </w:rPr>
                    <w:t>新乡市弘力电源科技有限公司</w:t>
                  </w:r>
                </w:p>
              </w:tc>
            </w:tr>
            <w:tr w14:paraId="65E320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651" w:type="dxa"/>
                  <w:tcBorders>
                    <w:tl2br w:val="nil"/>
                    <w:tr2bl w:val="nil"/>
                  </w:tcBorders>
                  <w:noWrap w:val="0"/>
                  <w:vAlign w:val="center"/>
                </w:tcPr>
                <w:p w14:paraId="6352E95D">
                  <w:pPr>
                    <w:keepNext w:val="0"/>
                    <w:keepLines w:val="0"/>
                    <w:suppressLineNumbers w:val="0"/>
                    <w:adjustRightInd w:val="0"/>
                    <w:snapToGrid w:val="0"/>
                    <w:spacing w:before="0" w:beforeAutospacing="0" w:after="0" w:afterAutospacing="0"/>
                    <w:ind w:left="0" w:right="0"/>
                    <w:jc w:val="center"/>
                    <w:rPr>
                      <w:rFonts w:hint="eastAsia" w:eastAsia="宋体"/>
                      <w:sz w:val="21"/>
                      <w:szCs w:val="21"/>
                      <w:lang w:eastAsia="zh-CN"/>
                    </w:rPr>
                  </w:pPr>
                  <w:r>
                    <w:rPr>
                      <w:rFonts w:hint="eastAsia"/>
                      <w:sz w:val="21"/>
                      <w:szCs w:val="21"/>
                      <w:lang w:val="en-US" w:eastAsia="zh-CN"/>
                    </w:rPr>
                    <w:t>5</w:t>
                  </w:r>
                </w:p>
              </w:tc>
              <w:tc>
                <w:tcPr>
                  <w:tcW w:w="1917" w:type="dxa"/>
                  <w:tcBorders>
                    <w:tl2br w:val="nil"/>
                    <w:tr2bl w:val="nil"/>
                  </w:tcBorders>
                  <w:noWrap w:val="0"/>
                  <w:vAlign w:val="center"/>
                </w:tcPr>
                <w:p w14:paraId="289BF2E3">
                  <w:pPr>
                    <w:keepNext w:val="0"/>
                    <w:keepLines w:val="0"/>
                    <w:suppressLineNumbers w:val="0"/>
                    <w:adjustRightInd w:val="0"/>
                    <w:snapToGrid w:val="0"/>
                    <w:spacing w:before="0" w:beforeAutospacing="0" w:after="0" w:afterAutospacing="0"/>
                    <w:ind w:left="0" w:leftChars="0" w:right="0" w:rightChars="0"/>
                    <w:jc w:val="center"/>
                    <w:rPr>
                      <w:rFonts w:hint="default"/>
                      <w:sz w:val="21"/>
                      <w:szCs w:val="21"/>
                    </w:rPr>
                  </w:pPr>
                  <w:r>
                    <w:rPr>
                      <w:rFonts w:hint="eastAsia"/>
                      <w:sz w:val="21"/>
                      <w:szCs w:val="21"/>
                    </w:rPr>
                    <w:t>项目选址</w:t>
                  </w:r>
                </w:p>
              </w:tc>
              <w:tc>
                <w:tcPr>
                  <w:tcW w:w="6237" w:type="dxa"/>
                  <w:tcBorders>
                    <w:tl2br w:val="nil"/>
                    <w:tr2bl w:val="nil"/>
                  </w:tcBorders>
                  <w:noWrap w:val="0"/>
                  <w:vAlign w:val="center"/>
                </w:tcPr>
                <w:p w14:paraId="0FC6E3A0">
                  <w:pPr>
                    <w:keepNext w:val="0"/>
                    <w:keepLines w:val="0"/>
                    <w:suppressLineNumbers w:val="0"/>
                    <w:adjustRightInd w:val="0"/>
                    <w:snapToGrid w:val="0"/>
                    <w:spacing w:before="0" w:beforeAutospacing="0" w:after="0" w:afterAutospacing="0"/>
                    <w:ind w:left="0" w:leftChars="0" w:right="0" w:rightChars="0"/>
                    <w:jc w:val="center"/>
                    <w:rPr>
                      <w:rFonts w:hint="default" w:eastAsia="宋体"/>
                      <w:color w:val="auto"/>
                      <w:sz w:val="21"/>
                      <w:szCs w:val="21"/>
                      <w:u w:val="none"/>
                      <w:lang w:val="en-US" w:eastAsia="zh-CN"/>
                    </w:rPr>
                  </w:pPr>
                  <w:r>
                    <w:rPr>
                      <w:rFonts w:hint="default" w:ascii="Times New Roman" w:hAnsi="Times New Roman" w:cs="Times New Roman"/>
                      <w:color w:val="auto"/>
                      <w:sz w:val="21"/>
                      <w:szCs w:val="21"/>
                      <w:lang w:val="en-US" w:eastAsia="zh-CN"/>
                    </w:rPr>
                    <w:t>河南省新乡市新乡县经济开发区兴隆路西段</w:t>
                  </w:r>
                </w:p>
              </w:tc>
            </w:tr>
            <w:tr w14:paraId="596769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dxa"/>
                  <w:tcBorders>
                    <w:tl2br w:val="nil"/>
                    <w:tr2bl w:val="nil"/>
                  </w:tcBorders>
                  <w:noWrap w:val="0"/>
                  <w:vAlign w:val="center"/>
                </w:tcPr>
                <w:p w14:paraId="2BCD5B85">
                  <w:pPr>
                    <w:keepNext w:val="0"/>
                    <w:keepLines w:val="0"/>
                    <w:suppressLineNumbers w:val="0"/>
                    <w:adjustRightInd w:val="0"/>
                    <w:snapToGrid w:val="0"/>
                    <w:spacing w:before="0" w:beforeAutospacing="0" w:after="0" w:afterAutospacing="0"/>
                    <w:ind w:left="0" w:right="0"/>
                    <w:jc w:val="center"/>
                    <w:rPr>
                      <w:rFonts w:hint="eastAsia" w:eastAsia="宋体"/>
                      <w:sz w:val="21"/>
                      <w:szCs w:val="21"/>
                      <w:lang w:val="en-US" w:eastAsia="zh-CN"/>
                    </w:rPr>
                  </w:pPr>
                  <w:r>
                    <w:rPr>
                      <w:rFonts w:hint="eastAsia"/>
                      <w:sz w:val="21"/>
                      <w:szCs w:val="21"/>
                      <w:lang w:val="en-US" w:eastAsia="zh-CN"/>
                    </w:rPr>
                    <w:t>6</w:t>
                  </w:r>
                </w:p>
              </w:tc>
              <w:tc>
                <w:tcPr>
                  <w:tcW w:w="1917" w:type="dxa"/>
                  <w:tcBorders>
                    <w:tl2br w:val="nil"/>
                    <w:tr2bl w:val="nil"/>
                  </w:tcBorders>
                  <w:noWrap w:val="0"/>
                  <w:vAlign w:val="center"/>
                </w:tcPr>
                <w:p w14:paraId="539932BD">
                  <w:pPr>
                    <w:keepNext w:val="0"/>
                    <w:keepLines w:val="0"/>
                    <w:suppressLineNumbers w:val="0"/>
                    <w:adjustRightInd w:val="0"/>
                    <w:snapToGrid w:val="0"/>
                    <w:spacing w:before="0" w:beforeAutospacing="0" w:after="0" w:afterAutospacing="0"/>
                    <w:ind w:left="0" w:leftChars="0" w:right="0" w:rightChars="0"/>
                    <w:jc w:val="center"/>
                    <w:rPr>
                      <w:rFonts w:hint="eastAsia"/>
                      <w:sz w:val="21"/>
                      <w:szCs w:val="21"/>
                    </w:rPr>
                  </w:pPr>
                  <w:r>
                    <w:rPr>
                      <w:rFonts w:hint="default"/>
                      <w:sz w:val="21"/>
                      <w:szCs w:val="21"/>
                    </w:rPr>
                    <w:t>占地面积</w:t>
                  </w:r>
                </w:p>
              </w:tc>
              <w:tc>
                <w:tcPr>
                  <w:tcW w:w="6237" w:type="dxa"/>
                  <w:tcBorders>
                    <w:tl2br w:val="nil"/>
                    <w:tr2bl w:val="nil"/>
                  </w:tcBorders>
                  <w:noWrap w:val="0"/>
                  <w:vAlign w:val="center"/>
                </w:tcPr>
                <w:p w14:paraId="65834FEF">
                  <w:pPr>
                    <w:keepNext w:val="0"/>
                    <w:keepLines w:val="0"/>
                    <w:suppressLineNumbers w:val="0"/>
                    <w:adjustRightInd w:val="0"/>
                    <w:snapToGrid w:val="0"/>
                    <w:spacing w:before="0" w:beforeAutospacing="0" w:after="0" w:afterAutospacing="0"/>
                    <w:ind w:left="0" w:leftChars="0" w:right="0" w:rightChars="0"/>
                    <w:jc w:val="center"/>
                    <w:rPr>
                      <w:rFonts w:hint="default" w:ascii="宋体" w:hAnsi="宋体" w:eastAsia="宋体"/>
                      <w:color w:val="auto"/>
                      <w:sz w:val="21"/>
                      <w:szCs w:val="21"/>
                      <w:u w:val="none"/>
                      <w:lang w:val="en-US" w:eastAsia="zh-CN"/>
                    </w:rPr>
                  </w:pPr>
                  <w:r>
                    <w:rPr>
                      <w:rFonts w:hint="eastAsia"/>
                      <w:color w:val="auto"/>
                      <w:sz w:val="21"/>
                      <w:szCs w:val="21"/>
                      <w:highlight w:val="none"/>
                      <w:u w:val="none"/>
                      <w:lang w:val="en-US" w:eastAsia="zh-CN"/>
                    </w:rPr>
                    <w:t>在现有车间内改造，不新增用地</w:t>
                  </w:r>
                </w:p>
              </w:tc>
            </w:tr>
            <w:tr w14:paraId="3C6A83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dxa"/>
                  <w:tcBorders>
                    <w:tl2br w:val="nil"/>
                    <w:tr2bl w:val="nil"/>
                  </w:tcBorders>
                  <w:noWrap w:val="0"/>
                  <w:vAlign w:val="center"/>
                </w:tcPr>
                <w:p w14:paraId="399F3A09">
                  <w:pPr>
                    <w:keepNext w:val="0"/>
                    <w:keepLines w:val="0"/>
                    <w:suppressLineNumbers w:val="0"/>
                    <w:adjustRightInd w:val="0"/>
                    <w:snapToGrid w:val="0"/>
                    <w:spacing w:before="0" w:beforeAutospacing="0" w:after="0" w:afterAutospacing="0"/>
                    <w:ind w:left="0" w:right="0"/>
                    <w:jc w:val="center"/>
                    <w:rPr>
                      <w:rFonts w:hint="eastAsia" w:eastAsia="宋体"/>
                      <w:sz w:val="21"/>
                      <w:szCs w:val="21"/>
                      <w:lang w:eastAsia="zh-CN"/>
                    </w:rPr>
                  </w:pPr>
                  <w:r>
                    <w:rPr>
                      <w:rFonts w:hint="eastAsia"/>
                      <w:sz w:val="21"/>
                      <w:szCs w:val="21"/>
                      <w:lang w:val="en-US" w:eastAsia="zh-CN"/>
                    </w:rPr>
                    <w:t>7</w:t>
                  </w:r>
                </w:p>
              </w:tc>
              <w:tc>
                <w:tcPr>
                  <w:tcW w:w="1917" w:type="dxa"/>
                  <w:tcBorders>
                    <w:tl2br w:val="nil"/>
                    <w:tr2bl w:val="nil"/>
                  </w:tcBorders>
                  <w:noWrap w:val="0"/>
                  <w:vAlign w:val="center"/>
                </w:tcPr>
                <w:p w14:paraId="1C87B2F6">
                  <w:pPr>
                    <w:keepNext w:val="0"/>
                    <w:keepLines w:val="0"/>
                    <w:suppressLineNumbers w:val="0"/>
                    <w:adjustRightInd w:val="0"/>
                    <w:snapToGrid w:val="0"/>
                    <w:spacing w:before="0" w:beforeAutospacing="0" w:after="0" w:afterAutospacing="0"/>
                    <w:ind w:left="0" w:right="0"/>
                    <w:jc w:val="center"/>
                    <w:rPr>
                      <w:rFonts w:hint="default"/>
                      <w:sz w:val="21"/>
                      <w:szCs w:val="21"/>
                    </w:rPr>
                  </w:pPr>
                  <w:r>
                    <w:rPr>
                      <w:rFonts w:hint="default"/>
                      <w:sz w:val="21"/>
                      <w:szCs w:val="21"/>
                    </w:rPr>
                    <w:t>总投资</w:t>
                  </w:r>
                </w:p>
              </w:tc>
              <w:tc>
                <w:tcPr>
                  <w:tcW w:w="6237" w:type="dxa"/>
                  <w:tcBorders>
                    <w:tl2br w:val="nil"/>
                    <w:tr2bl w:val="nil"/>
                  </w:tcBorders>
                  <w:noWrap w:val="0"/>
                  <w:vAlign w:val="center"/>
                </w:tcPr>
                <w:p w14:paraId="33E4C67F">
                  <w:pPr>
                    <w:keepNext w:val="0"/>
                    <w:keepLines w:val="0"/>
                    <w:suppressLineNumbers w:val="0"/>
                    <w:adjustRightInd w:val="0"/>
                    <w:snapToGrid w:val="0"/>
                    <w:spacing w:before="0" w:beforeAutospacing="0" w:after="0" w:afterAutospacing="0"/>
                    <w:ind w:left="0" w:leftChars="0" w:right="0" w:rightChars="0"/>
                    <w:jc w:val="center"/>
                    <w:rPr>
                      <w:rFonts w:hint="eastAsia" w:eastAsia="宋体"/>
                      <w:color w:val="000000" w:themeColor="text1"/>
                      <w:sz w:val="21"/>
                      <w:szCs w:val="21"/>
                      <w:u w:val="none"/>
                      <w:lang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3000</w:t>
                  </w:r>
                  <w:r>
                    <w:rPr>
                      <w:rFonts w:hint="eastAsia"/>
                      <w:color w:val="000000" w:themeColor="text1"/>
                      <w:sz w:val="21"/>
                      <w:szCs w:val="21"/>
                      <w:u w:val="none"/>
                      <w14:textFill>
                        <w14:solidFill>
                          <w14:schemeClr w14:val="tx1"/>
                        </w14:solidFill>
                      </w14:textFill>
                    </w:rPr>
                    <w:t>万元</w:t>
                  </w:r>
                </w:p>
              </w:tc>
            </w:tr>
            <w:tr w14:paraId="1F5C48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dxa"/>
                  <w:tcBorders>
                    <w:bottom w:val="single" w:color="auto" w:sz="8" w:space="0"/>
                  </w:tcBorders>
                  <w:noWrap w:val="0"/>
                  <w:vAlign w:val="center"/>
                </w:tcPr>
                <w:p w14:paraId="3C0B15D5">
                  <w:pPr>
                    <w:keepNext w:val="0"/>
                    <w:keepLines w:val="0"/>
                    <w:suppressLineNumbers w:val="0"/>
                    <w:adjustRightInd w:val="0"/>
                    <w:snapToGrid w:val="0"/>
                    <w:spacing w:before="0" w:beforeAutospacing="0" w:after="0" w:afterAutospacing="0"/>
                    <w:ind w:left="0" w:right="0"/>
                    <w:jc w:val="center"/>
                    <w:rPr>
                      <w:rFonts w:hint="eastAsia" w:eastAsia="宋体"/>
                      <w:sz w:val="21"/>
                      <w:szCs w:val="21"/>
                      <w:lang w:eastAsia="zh-CN"/>
                    </w:rPr>
                  </w:pPr>
                  <w:r>
                    <w:rPr>
                      <w:rFonts w:hint="eastAsia"/>
                      <w:sz w:val="21"/>
                      <w:szCs w:val="21"/>
                      <w:lang w:val="en-US" w:eastAsia="zh-CN"/>
                    </w:rPr>
                    <w:t>8</w:t>
                  </w:r>
                </w:p>
              </w:tc>
              <w:tc>
                <w:tcPr>
                  <w:tcW w:w="1917" w:type="dxa"/>
                  <w:tcBorders>
                    <w:bottom w:val="single" w:color="auto" w:sz="8" w:space="0"/>
                  </w:tcBorders>
                  <w:noWrap w:val="0"/>
                  <w:vAlign w:val="center"/>
                </w:tcPr>
                <w:p w14:paraId="4A288CD4">
                  <w:pPr>
                    <w:keepNext w:val="0"/>
                    <w:keepLines w:val="0"/>
                    <w:suppressLineNumbers w:val="0"/>
                    <w:adjustRightInd w:val="0"/>
                    <w:snapToGrid w:val="0"/>
                    <w:spacing w:before="0" w:beforeAutospacing="0" w:after="0" w:afterAutospacing="0"/>
                    <w:ind w:left="0" w:right="0"/>
                    <w:jc w:val="center"/>
                    <w:rPr>
                      <w:rFonts w:hint="default"/>
                      <w:sz w:val="21"/>
                      <w:szCs w:val="21"/>
                    </w:rPr>
                  </w:pPr>
                  <w:r>
                    <w:rPr>
                      <w:rFonts w:hint="eastAsia"/>
                      <w:sz w:val="21"/>
                      <w:szCs w:val="21"/>
                    </w:rPr>
                    <w:t>劳动定员与制度</w:t>
                  </w:r>
                </w:p>
              </w:tc>
              <w:tc>
                <w:tcPr>
                  <w:tcW w:w="6237" w:type="dxa"/>
                  <w:tcBorders>
                    <w:bottom w:val="single" w:color="auto" w:sz="8" w:space="0"/>
                  </w:tcBorders>
                  <w:noWrap w:val="0"/>
                  <w:vAlign w:val="center"/>
                </w:tcPr>
                <w:p w14:paraId="563E200A">
                  <w:pPr>
                    <w:keepNext w:val="0"/>
                    <w:keepLines w:val="0"/>
                    <w:suppressLineNumbers w:val="0"/>
                    <w:adjustRightInd w:val="0"/>
                    <w:snapToGrid w:val="0"/>
                    <w:spacing w:before="0" w:beforeAutospacing="0" w:after="0" w:afterAutospacing="0"/>
                    <w:ind w:left="0" w:leftChars="0" w:right="0" w:rightChars="0"/>
                    <w:jc w:val="center"/>
                    <w:rPr>
                      <w:rFonts w:hint="default" w:eastAsia="宋体"/>
                      <w:color w:val="000000" w:themeColor="text1"/>
                      <w:sz w:val="21"/>
                      <w:szCs w:val="21"/>
                      <w:u w:val="none"/>
                      <w:lang w:val="en-US" w:eastAsia="zh-CN"/>
                      <w14:textFill>
                        <w14:solidFill>
                          <w14:schemeClr w14:val="tx1"/>
                        </w14:solidFill>
                      </w14:textFill>
                    </w:rPr>
                  </w:pPr>
                  <w:r>
                    <w:rPr>
                      <w:rFonts w:hint="eastAsia"/>
                      <w:color w:val="000000" w:themeColor="text1"/>
                      <w:sz w:val="21"/>
                      <w:szCs w:val="21"/>
                      <w:highlight w:val="none"/>
                      <w:u w:val="none"/>
                      <w:lang w:val="en-US" w:eastAsia="zh-CN"/>
                      <w14:textFill>
                        <w14:solidFill>
                          <w14:schemeClr w14:val="tx1"/>
                        </w14:solidFill>
                      </w14:textFill>
                    </w:rPr>
                    <w:t>本项目不新增员工</w:t>
                  </w:r>
                  <w:r>
                    <w:rPr>
                      <w:rFonts w:hint="eastAsia"/>
                      <w:color w:val="0000FF"/>
                      <w:sz w:val="21"/>
                      <w:szCs w:val="21"/>
                      <w:highlight w:val="none"/>
                      <w:u w:val="none"/>
                    </w:rPr>
                    <w:t>，</w:t>
                  </w:r>
                  <w:r>
                    <w:rPr>
                      <w:rFonts w:hint="eastAsia"/>
                      <w:color w:val="000000" w:themeColor="text1"/>
                      <w:sz w:val="21"/>
                      <w:szCs w:val="21"/>
                      <w:highlight w:val="none"/>
                      <w:u w:val="none"/>
                      <w:lang w:val="en-US" w:eastAsia="zh-CN"/>
                      <w14:textFill>
                        <w14:solidFill>
                          <w14:schemeClr w14:val="tx1"/>
                        </w14:solidFill>
                      </w14:textFill>
                    </w:rPr>
                    <w:t>三班生产，每班8小时，年工作330天</w:t>
                  </w:r>
                </w:p>
              </w:tc>
            </w:tr>
          </w:tbl>
          <w:p w14:paraId="7294A535">
            <w:pPr>
              <w:keepNext w:val="0"/>
              <w:keepLines w:val="0"/>
              <w:suppressLineNumbers w:val="0"/>
              <w:spacing w:before="0" w:beforeAutospacing="0" w:after="0" w:afterAutospacing="0" w:line="440" w:lineRule="exact"/>
              <w:ind w:left="0" w:right="0" w:firstLine="482" w:firstLineChars="200"/>
              <w:rPr>
                <w:rFonts w:hint="eastAsia" w:eastAsia="宋体"/>
                <w:b/>
                <w:sz w:val="24"/>
                <w:lang w:eastAsia="zh-CN"/>
              </w:rPr>
            </w:pPr>
            <w:r>
              <w:rPr>
                <w:rFonts w:hint="default"/>
                <w:b/>
                <w:sz w:val="24"/>
              </w:rPr>
              <w:t>2</w:t>
            </w:r>
            <w:r>
              <w:rPr>
                <w:rFonts w:hint="eastAsia"/>
                <w:b/>
                <w:sz w:val="24"/>
              </w:rPr>
              <w:t>、项目建设</w:t>
            </w:r>
            <w:r>
              <w:rPr>
                <w:rFonts w:hint="eastAsia"/>
                <w:b/>
                <w:sz w:val="24"/>
                <w:lang w:val="en-US" w:eastAsia="zh-CN"/>
              </w:rPr>
              <w:t>内容</w:t>
            </w:r>
          </w:p>
          <w:p w14:paraId="12739D04">
            <w:pPr>
              <w:keepNext w:val="0"/>
              <w:keepLines w:val="0"/>
              <w:suppressLineNumbers w:val="0"/>
              <w:spacing w:before="0" w:beforeAutospacing="0" w:after="0" w:afterAutospacing="0" w:line="440" w:lineRule="exact"/>
              <w:ind w:left="0" w:right="0" w:firstLine="480" w:firstLineChars="200"/>
              <w:rPr>
                <w:rFonts w:hint="default" w:hAnsi="宋体" w:cs="Times New Roman"/>
                <w:b/>
                <w:bCs/>
                <w:color w:val="auto"/>
                <w:sz w:val="24"/>
                <w:szCs w:val="24"/>
              </w:rPr>
            </w:pPr>
            <w:r>
              <w:rPr>
                <w:rFonts w:hint="eastAsia"/>
                <w:sz w:val="24"/>
              </w:rPr>
              <w:t>本项目</w:t>
            </w:r>
            <w:r>
              <w:rPr>
                <w:rFonts w:hint="eastAsia"/>
                <w:sz w:val="24"/>
                <w:lang w:val="en-US" w:eastAsia="zh-CN"/>
              </w:rPr>
              <w:t>仅对现有设备进行升级改造，生产工艺、原辅材料、产品产能、主体设施等均不发生变化。</w:t>
            </w:r>
            <w:r>
              <w:rPr>
                <w:rFonts w:hint="eastAsia"/>
                <w:sz w:val="24"/>
              </w:rPr>
              <w:t>主要工程组成见表</w:t>
            </w:r>
            <w:r>
              <w:rPr>
                <w:rFonts w:hint="eastAsia"/>
                <w:color w:val="auto"/>
                <w:sz w:val="24"/>
                <w:lang w:val="en-US" w:eastAsia="zh-CN"/>
              </w:rPr>
              <w:t>12</w:t>
            </w:r>
            <w:r>
              <w:rPr>
                <w:rFonts w:hint="eastAsia"/>
                <w:color w:val="auto"/>
                <w:sz w:val="24"/>
              </w:rPr>
              <w:t>。</w:t>
            </w:r>
          </w:p>
          <w:p w14:paraId="4682BFD3">
            <w:pPr>
              <w:pStyle w:val="56"/>
              <w:keepNext w:val="0"/>
              <w:keepLines w:val="0"/>
              <w:suppressLineNumbers w:val="0"/>
              <w:spacing w:before="0" w:beforeAutospacing="0" w:after="0" w:afterAutospacing="0" w:line="440" w:lineRule="exact"/>
              <w:ind w:left="0" w:right="0" w:firstLine="0"/>
              <w:jc w:val="center"/>
              <w:rPr>
                <w:rFonts w:hint="default" w:ascii="Times New Roman" w:hAnsi="Times New Roman" w:cs="Times New Roman"/>
                <w:color w:val="auto"/>
                <w:sz w:val="24"/>
                <w:szCs w:val="24"/>
              </w:rPr>
            </w:pPr>
            <w:r>
              <w:rPr>
                <w:rFonts w:hint="default" w:hAnsi="宋体" w:cs="Times New Roman"/>
                <w:b/>
                <w:bCs/>
                <w:color w:val="auto"/>
                <w:sz w:val="24"/>
                <w:szCs w:val="24"/>
              </w:rPr>
              <w:t>表</w:t>
            </w:r>
            <w:r>
              <w:rPr>
                <w:rFonts w:hint="eastAsia" w:ascii="Times New Roman" w:hAnsi="Times New Roman" w:cs="Times New Roman"/>
                <w:b/>
                <w:bCs/>
                <w:color w:val="auto"/>
                <w:sz w:val="24"/>
                <w:szCs w:val="24"/>
                <w:lang w:val="en-US" w:eastAsia="zh-CN"/>
              </w:rPr>
              <w:t>12</w:t>
            </w:r>
            <w:r>
              <w:rPr>
                <w:rFonts w:hint="default" w:ascii="Times New Roman" w:hAnsi="Times New Roman" w:cs="Times New Roman"/>
                <w:b/>
                <w:bCs/>
                <w:color w:val="auto"/>
                <w:sz w:val="24"/>
                <w:szCs w:val="24"/>
                <w:lang w:val="en-US" w:eastAsia="zh-CN"/>
              </w:rPr>
              <w:t xml:space="preserve"> </w:t>
            </w:r>
            <w:r>
              <w:rPr>
                <w:rFonts w:hint="eastAsia" w:hAnsi="宋体" w:cs="Times New Roman"/>
                <w:b/>
                <w:bCs/>
                <w:color w:val="auto"/>
                <w:sz w:val="24"/>
                <w:szCs w:val="24"/>
                <w:lang w:val="en-US" w:eastAsia="zh-CN"/>
              </w:rPr>
              <w:t xml:space="preserve"> </w:t>
            </w:r>
            <w:r>
              <w:rPr>
                <w:rFonts w:hint="default" w:hAnsi="宋体" w:cs="Times New Roman"/>
                <w:b/>
                <w:bCs/>
                <w:color w:val="auto"/>
                <w:sz w:val="24"/>
                <w:szCs w:val="24"/>
              </w:rPr>
              <w:t>本项目组成情况</w:t>
            </w:r>
          </w:p>
          <w:tbl>
            <w:tblPr>
              <w:tblStyle w:val="23"/>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62"/>
              <w:gridCol w:w="1081"/>
              <w:gridCol w:w="720"/>
              <w:gridCol w:w="528"/>
              <w:gridCol w:w="69"/>
              <w:gridCol w:w="4218"/>
              <w:gridCol w:w="1114"/>
              <w:gridCol w:w="13"/>
            </w:tblGrid>
            <w:tr w14:paraId="6D9D81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3" w:type="dxa"/>
                <w:trHeight w:val="397" w:hRule="atLeast"/>
                <w:jc w:val="center"/>
              </w:trPr>
              <w:tc>
                <w:tcPr>
                  <w:tcW w:w="1062" w:type="dxa"/>
                  <w:tcBorders>
                    <w:top w:val="single" w:color="auto" w:sz="8" w:space="0"/>
                    <w:bottom w:val="single" w:color="auto" w:sz="8" w:space="0"/>
                  </w:tcBorders>
                  <w:noWrap w:val="0"/>
                  <w:vAlign w:val="center"/>
                </w:tcPr>
                <w:p w14:paraId="10973336">
                  <w:pPr>
                    <w:keepNext w:val="0"/>
                    <w:keepLines w:val="0"/>
                    <w:suppressLineNumbers w:val="0"/>
                    <w:snapToGrid w:val="0"/>
                    <w:spacing w:before="0" w:beforeAutospacing="0" w:after="0" w:afterAutospacing="0" w:line="240" w:lineRule="auto"/>
                    <w:ind w:left="0" w:leftChars="0" w:right="0" w:rightChars="0"/>
                    <w:jc w:val="center"/>
                    <w:rPr>
                      <w:rFonts w:hint="default"/>
                      <w:b/>
                      <w:color w:val="auto"/>
                      <w:sz w:val="21"/>
                      <w:szCs w:val="21"/>
                      <w:highlight w:val="none"/>
                    </w:rPr>
                  </w:pPr>
                  <w:r>
                    <w:rPr>
                      <w:rFonts w:hint="default"/>
                      <w:b/>
                      <w:color w:val="auto"/>
                      <w:sz w:val="21"/>
                      <w:szCs w:val="21"/>
                      <w:highlight w:val="none"/>
                    </w:rPr>
                    <w:t>项目</w:t>
                  </w:r>
                </w:p>
              </w:tc>
              <w:tc>
                <w:tcPr>
                  <w:tcW w:w="1081" w:type="dxa"/>
                  <w:tcBorders>
                    <w:top w:val="single" w:color="auto" w:sz="8" w:space="0"/>
                    <w:bottom w:val="single" w:color="auto" w:sz="8" w:space="0"/>
                  </w:tcBorders>
                  <w:noWrap w:val="0"/>
                  <w:vAlign w:val="center"/>
                </w:tcPr>
                <w:p w14:paraId="069E9C66">
                  <w:pPr>
                    <w:keepNext w:val="0"/>
                    <w:keepLines w:val="0"/>
                    <w:suppressLineNumbers w:val="0"/>
                    <w:snapToGrid w:val="0"/>
                    <w:spacing w:before="0" w:beforeAutospacing="0" w:after="0" w:afterAutospacing="0" w:line="240" w:lineRule="auto"/>
                    <w:ind w:left="0" w:leftChars="0" w:right="0" w:rightChars="0"/>
                    <w:jc w:val="center"/>
                    <w:rPr>
                      <w:rFonts w:hint="default"/>
                      <w:b/>
                      <w:color w:val="auto"/>
                      <w:sz w:val="21"/>
                      <w:szCs w:val="21"/>
                      <w:highlight w:val="none"/>
                    </w:rPr>
                  </w:pPr>
                  <w:r>
                    <w:rPr>
                      <w:rFonts w:hint="default"/>
                      <w:b/>
                      <w:color w:val="auto"/>
                      <w:sz w:val="21"/>
                      <w:szCs w:val="21"/>
                      <w:highlight w:val="none"/>
                    </w:rPr>
                    <w:t>建设</w:t>
                  </w:r>
                  <w:r>
                    <w:rPr>
                      <w:rFonts w:hint="eastAsia"/>
                      <w:b/>
                      <w:color w:val="auto"/>
                      <w:sz w:val="21"/>
                      <w:szCs w:val="21"/>
                      <w:highlight w:val="none"/>
                      <w:lang w:val="en-US" w:eastAsia="zh-CN"/>
                    </w:rPr>
                    <w:t>名称</w:t>
                  </w:r>
                </w:p>
              </w:tc>
              <w:tc>
                <w:tcPr>
                  <w:tcW w:w="5535" w:type="dxa"/>
                  <w:gridSpan w:val="4"/>
                  <w:tcBorders>
                    <w:top w:val="single" w:color="auto" w:sz="8" w:space="0"/>
                    <w:bottom w:val="single" w:color="auto" w:sz="8" w:space="0"/>
                  </w:tcBorders>
                  <w:noWrap w:val="0"/>
                  <w:vAlign w:val="center"/>
                </w:tcPr>
                <w:p w14:paraId="3A545EF8">
                  <w:pPr>
                    <w:keepNext w:val="0"/>
                    <w:keepLines w:val="0"/>
                    <w:suppressLineNumbers w:val="0"/>
                    <w:snapToGrid w:val="0"/>
                    <w:spacing w:before="0" w:beforeAutospacing="0" w:after="0" w:afterAutospacing="0"/>
                    <w:ind w:left="0" w:right="0"/>
                    <w:jc w:val="center"/>
                    <w:rPr>
                      <w:rFonts w:hint="eastAsia" w:eastAsia="宋体"/>
                      <w:b/>
                      <w:color w:val="auto"/>
                      <w:sz w:val="21"/>
                      <w:szCs w:val="21"/>
                      <w:highlight w:val="none"/>
                      <w:lang w:eastAsia="zh-CN"/>
                    </w:rPr>
                  </w:pPr>
                  <w:r>
                    <w:rPr>
                      <w:rFonts w:hint="eastAsia"/>
                      <w:b/>
                      <w:color w:val="auto"/>
                      <w:sz w:val="21"/>
                      <w:szCs w:val="21"/>
                      <w:highlight w:val="none"/>
                      <w:lang w:val="en-US" w:eastAsia="zh-CN"/>
                    </w:rPr>
                    <w:t>建设内容</w:t>
                  </w:r>
                </w:p>
              </w:tc>
              <w:tc>
                <w:tcPr>
                  <w:tcW w:w="1114" w:type="dxa"/>
                  <w:tcBorders>
                    <w:top w:val="single" w:color="auto" w:sz="8" w:space="0"/>
                    <w:bottom w:val="single" w:color="auto" w:sz="8" w:space="0"/>
                  </w:tcBorders>
                  <w:noWrap w:val="0"/>
                  <w:vAlign w:val="center"/>
                </w:tcPr>
                <w:p w14:paraId="36FA7887">
                  <w:pPr>
                    <w:keepNext w:val="0"/>
                    <w:keepLines w:val="0"/>
                    <w:suppressLineNumbers w:val="0"/>
                    <w:snapToGrid w:val="0"/>
                    <w:spacing w:before="0" w:beforeAutospacing="0" w:after="0" w:afterAutospacing="0"/>
                    <w:ind w:left="0" w:right="0"/>
                    <w:jc w:val="center"/>
                    <w:rPr>
                      <w:rFonts w:hint="eastAsia" w:eastAsia="宋体"/>
                      <w:b/>
                      <w:color w:val="auto"/>
                      <w:sz w:val="21"/>
                      <w:szCs w:val="21"/>
                      <w:highlight w:val="none"/>
                      <w:lang w:val="en-US" w:eastAsia="zh-CN"/>
                    </w:rPr>
                  </w:pPr>
                  <w:r>
                    <w:rPr>
                      <w:rFonts w:hint="eastAsia"/>
                      <w:b/>
                      <w:color w:val="auto"/>
                      <w:sz w:val="21"/>
                      <w:szCs w:val="21"/>
                      <w:highlight w:val="none"/>
                      <w:lang w:val="en-US" w:eastAsia="zh-CN"/>
                    </w:rPr>
                    <w:t>备注</w:t>
                  </w:r>
                </w:p>
              </w:tc>
            </w:tr>
            <w:tr w14:paraId="661BF6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3" w:type="dxa"/>
                <w:trHeight w:val="397" w:hRule="atLeast"/>
                <w:jc w:val="center"/>
              </w:trPr>
              <w:tc>
                <w:tcPr>
                  <w:tcW w:w="1062" w:type="dxa"/>
                  <w:vMerge w:val="restart"/>
                  <w:tcBorders>
                    <w:top w:val="single" w:color="auto" w:sz="8" w:space="0"/>
                    <w:tl2br w:val="nil"/>
                    <w:tr2bl w:val="nil"/>
                  </w:tcBorders>
                  <w:noWrap w:val="0"/>
                  <w:vAlign w:val="center"/>
                </w:tcPr>
                <w:p w14:paraId="5F003F31">
                  <w:pPr>
                    <w:keepNext w:val="0"/>
                    <w:keepLines w:val="0"/>
                    <w:suppressLineNumbers w:val="0"/>
                    <w:snapToGrid w:val="0"/>
                    <w:spacing w:before="0" w:beforeAutospacing="0" w:after="0" w:afterAutospacing="0" w:line="240" w:lineRule="auto"/>
                    <w:ind w:left="0" w:leftChars="0" w:right="0" w:rightChars="0"/>
                    <w:jc w:val="center"/>
                    <w:rPr>
                      <w:rFonts w:hint="default"/>
                      <w:color w:val="auto"/>
                      <w:sz w:val="21"/>
                      <w:szCs w:val="21"/>
                      <w:highlight w:val="none"/>
                    </w:rPr>
                  </w:pPr>
                  <w:r>
                    <w:rPr>
                      <w:rFonts w:hint="default"/>
                      <w:color w:val="auto"/>
                      <w:sz w:val="21"/>
                      <w:szCs w:val="21"/>
                      <w:highlight w:val="none"/>
                    </w:rPr>
                    <w:t>主体工程</w:t>
                  </w:r>
                </w:p>
              </w:tc>
              <w:tc>
                <w:tcPr>
                  <w:tcW w:w="1081" w:type="dxa"/>
                  <w:vMerge w:val="restart"/>
                  <w:tcBorders>
                    <w:top w:val="single" w:color="auto" w:sz="8" w:space="0"/>
                  </w:tcBorders>
                  <w:noWrap w:val="0"/>
                  <w:vAlign w:val="center"/>
                </w:tcPr>
                <w:p w14:paraId="1C49E496">
                  <w:pPr>
                    <w:keepNext w:val="0"/>
                    <w:keepLines w:val="0"/>
                    <w:suppressLineNumbers w:val="0"/>
                    <w:snapToGrid w:val="0"/>
                    <w:spacing w:before="0" w:beforeAutospacing="0" w:after="0" w:afterAutospacing="0" w:line="240" w:lineRule="auto"/>
                    <w:ind w:left="0" w:leftChars="0" w:right="0" w:right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生产车间</w:t>
                  </w:r>
                </w:p>
              </w:tc>
              <w:tc>
                <w:tcPr>
                  <w:tcW w:w="1248" w:type="dxa"/>
                  <w:gridSpan w:val="2"/>
                  <w:vMerge w:val="restart"/>
                  <w:tcBorders>
                    <w:top w:val="single" w:color="auto" w:sz="8" w:space="0"/>
                    <w:bottom w:val="single" w:color="auto" w:sz="4" w:space="0"/>
                  </w:tcBorders>
                  <w:noWrap w:val="0"/>
                  <w:vAlign w:val="center"/>
                </w:tcPr>
                <w:p w14:paraId="0E670D0B">
                  <w:pPr>
                    <w:keepNext w:val="0"/>
                    <w:keepLines w:val="0"/>
                    <w:suppressLineNumbers w:val="0"/>
                    <w:snapToGrid w:val="0"/>
                    <w:spacing w:before="0" w:beforeAutospacing="0" w:after="0" w:afterAutospacing="0"/>
                    <w:ind w:left="0" w:leftChars="0" w:right="0" w:rightChars="0" w:firstLine="132" w:firstLine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北厂区</w:t>
                  </w:r>
                </w:p>
              </w:tc>
              <w:tc>
                <w:tcPr>
                  <w:tcW w:w="4287" w:type="dxa"/>
                  <w:gridSpan w:val="2"/>
                  <w:tcBorders>
                    <w:top w:val="single" w:color="auto" w:sz="8" w:space="0"/>
                    <w:bottom w:val="single" w:color="auto" w:sz="4" w:space="0"/>
                  </w:tcBorders>
                  <w:noWrap w:val="0"/>
                  <w:vAlign w:val="center"/>
                </w:tcPr>
                <w:p w14:paraId="73619B10">
                  <w:pPr>
                    <w:keepNext w:val="0"/>
                    <w:keepLines w:val="0"/>
                    <w:suppressLineNumbers w:val="0"/>
                    <w:snapToGrid w:val="0"/>
                    <w:spacing w:before="0" w:beforeAutospacing="0" w:after="0" w:afterAutospacing="0"/>
                    <w:ind w:left="0" w:leftChars="0" w:right="0" w:rightChars="0" w:firstLine="132" w:firstLineChars="0"/>
                    <w:jc w:val="center"/>
                    <w:rPr>
                      <w:rFonts w:hint="eastAsia"/>
                      <w:color w:val="auto"/>
                      <w:sz w:val="21"/>
                      <w:szCs w:val="21"/>
                      <w:highlight w:val="none"/>
                      <w:lang w:val="en-US" w:eastAsia="zh-CN"/>
                    </w:rPr>
                  </w:pPr>
                  <w:r>
                    <w:rPr>
                      <w:rFonts w:hint="eastAsia"/>
                      <w:color w:val="auto"/>
                      <w:sz w:val="21"/>
                      <w:szCs w:val="21"/>
                      <w:highlight w:val="none"/>
                      <w:lang w:val="en-US" w:eastAsia="zh-CN"/>
                    </w:rPr>
                    <w:t>1#车间，建筑面积4600</w:t>
                  </w:r>
                  <w:r>
                    <w:rPr>
                      <w:rFonts w:hint="eastAsia"/>
                      <w:color w:val="auto"/>
                      <w:sz w:val="21"/>
                      <w:szCs w:val="21"/>
                      <w:highlight w:val="none"/>
                    </w:rPr>
                    <w:t>m</w:t>
                  </w:r>
                  <w:r>
                    <w:rPr>
                      <w:rFonts w:hint="default" w:ascii="Times New Roman" w:hAnsi="Times New Roman" w:cs="Times New Roman"/>
                      <w:color w:val="auto"/>
                      <w:sz w:val="21"/>
                      <w:szCs w:val="21"/>
                      <w:highlight w:val="none"/>
                    </w:rPr>
                    <w:t>²</w:t>
                  </w:r>
                </w:p>
              </w:tc>
              <w:tc>
                <w:tcPr>
                  <w:tcW w:w="1114" w:type="dxa"/>
                  <w:vMerge w:val="restart"/>
                  <w:tcBorders>
                    <w:top w:val="single" w:color="auto" w:sz="8" w:space="0"/>
                  </w:tcBorders>
                  <w:noWrap w:val="0"/>
                  <w:vAlign w:val="center"/>
                </w:tcPr>
                <w:p w14:paraId="796CB7B4">
                  <w:pPr>
                    <w:keepNext w:val="0"/>
                    <w:keepLines w:val="0"/>
                    <w:suppressLineNumbers w:val="0"/>
                    <w:snapToGrid w:val="0"/>
                    <w:spacing w:before="0" w:beforeAutospacing="0" w:after="0" w:afterAutospacing="0"/>
                    <w:ind w:left="0" w:leftChars="0" w:right="0" w:right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依托现有</w:t>
                  </w:r>
                </w:p>
              </w:tc>
            </w:tr>
            <w:tr w14:paraId="0BEC22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3" w:type="dxa"/>
                <w:trHeight w:val="397" w:hRule="atLeast"/>
                <w:jc w:val="center"/>
              </w:trPr>
              <w:tc>
                <w:tcPr>
                  <w:tcW w:w="1062" w:type="dxa"/>
                  <w:vMerge w:val="continue"/>
                  <w:tcBorders>
                    <w:tl2br w:val="nil"/>
                    <w:tr2bl w:val="nil"/>
                  </w:tcBorders>
                  <w:noWrap w:val="0"/>
                  <w:vAlign w:val="center"/>
                </w:tcPr>
                <w:p w14:paraId="7B3562E5">
                  <w:pPr>
                    <w:keepNext w:val="0"/>
                    <w:keepLines w:val="0"/>
                    <w:suppressLineNumbers w:val="0"/>
                    <w:snapToGrid w:val="0"/>
                    <w:spacing w:before="0" w:beforeAutospacing="0" w:after="0" w:afterAutospacing="0" w:line="240" w:lineRule="auto"/>
                    <w:ind w:left="0" w:leftChars="0" w:right="0" w:rightChars="0"/>
                    <w:jc w:val="center"/>
                    <w:rPr>
                      <w:rFonts w:hint="default"/>
                      <w:color w:val="auto"/>
                      <w:sz w:val="21"/>
                      <w:szCs w:val="21"/>
                      <w:highlight w:val="none"/>
                    </w:rPr>
                  </w:pPr>
                </w:p>
              </w:tc>
              <w:tc>
                <w:tcPr>
                  <w:tcW w:w="1081" w:type="dxa"/>
                  <w:vMerge w:val="continue"/>
                  <w:noWrap w:val="0"/>
                  <w:vAlign w:val="center"/>
                </w:tcPr>
                <w:p w14:paraId="2AF19562">
                  <w:pPr>
                    <w:keepNext w:val="0"/>
                    <w:keepLines w:val="0"/>
                    <w:suppressLineNumbers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p>
              </w:tc>
              <w:tc>
                <w:tcPr>
                  <w:tcW w:w="1248" w:type="dxa"/>
                  <w:gridSpan w:val="2"/>
                  <w:vMerge w:val="continue"/>
                  <w:tcBorders>
                    <w:top w:val="single" w:color="auto" w:sz="4" w:space="0"/>
                    <w:bottom w:val="single" w:color="auto" w:sz="4" w:space="0"/>
                  </w:tcBorders>
                  <w:noWrap w:val="0"/>
                  <w:vAlign w:val="center"/>
                </w:tcPr>
                <w:p w14:paraId="30519CAA">
                  <w:pPr>
                    <w:keepNext w:val="0"/>
                    <w:keepLines w:val="0"/>
                    <w:suppressLineNumbers w:val="0"/>
                    <w:snapToGrid w:val="0"/>
                    <w:spacing w:before="0" w:beforeAutospacing="0" w:after="0" w:afterAutospacing="0"/>
                    <w:ind w:left="0" w:leftChars="0" w:right="0" w:rightChars="0" w:firstLine="132" w:firstLineChars="0"/>
                    <w:jc w:val="center"/>
                    <w:rPr>
                      <w:rFonts w:hint="default" w:eastAsia="宋体"/>
                      <w:color w:val="auto"/>
                      <w:sz w:val="21"/>
                      <w:szCs w:val="21"/>
                      <w:highlight w:val="none"/>
                      <w:lang w:val="en-US" w:eastAsia="zh-CN"/>
                    </w:rPr>
                  </w:pPr>
                </w:p>
              </w:tc>
              <w:tc>
                <w:tcPr>
                  <w:tcW w:w="4287" w:type="dxa"/>
                  <w:gridSpan w:val="2"/>
                  <w:tcBorders>
                    <w:top w:val="single" w:color="auto" w:sz="4" w:space="0"/>
                    <w:bottom w:val="single" w:color="auto" w:sz="4" w:space="0"/>
                  </w:tcBorders>
                  <w:noWrap w:val="0"/>
                  <w:vAlign w:val="center"/>
                </w:tcPr>
                <w:p w14:paraId="0F269CCB">
                  <w:pPr>
                    <w:keepNext w:val="0"/>
                    <w:keepLines w:val="0"/>
                    <w:suppressLineNumbers w:val="0"/>
                    <w:snapToGrid w:val="0"/>
                    <w:spacing w:before="0" w:beforeAutospacing="0" w:after="0" w:afterAutospacing="0"/>
                    <w:ind w:left="0" w:leftChars="0" w:right="0" w:rightChars="0" w:firstLine="132" w:firstLineChars="0"/>
                    <w:jc w:val="center"/>
                    <w:rPr>
                      <w:rFonts w:hint="eastAsia"/>
                      <w:color w:val="auto"/>
                      <w:sz w:val="21"/>
                      <w:szCs w:val="21"/>
                      <w:highlight w:val="none"/>
                      <w:lang w:val="en-US" w:eastAsia="zh-CN"/>
                    </w:rPr>
                  </w:pPr>
                  <w:r>
                    <w:rPr>
                      <w:rFonts w:hint="eastAsia"/>
                      <w:color w:val="auto"/>
                      <w:sz w:val="21"/>
                      <w:szCs w:val="21"/>
                      <w:highlight w:val="none"/>
                      <w:lang w:val="en-US" w:eastAsia="zh-CN"/>
                    </w:rPr>
                    <w:t>2#车间，建筑面积4600</w:t>
                  </w:r>
                  <w:r>
                    <w:rPr>
                      <w:rFonts w:hint="eastAsia"/>
                      <w:color w:val="auto"/>
                      <w:sz w:val="21"/>
                      <w:szCs w:val="21"/>
                      <w:highlight w:val="none"/>
                    </w:rPr>
                    <w:t>m</w:t>
                  </w:r>
                  <w:r>
                    <w:rPr>
                      <w:rFonts w:hint="default" w:ascii="Times New Roman" w:hAnsi="Times New Roman" w:cs="Times New Roman"/>
                      <w:color w:val="auto"/>
                      <w:sz w:val="21"/>
                      <w:szCs w:val="21"/>
                      <w:highlight w:val="none"/>
                    </w:rPr>
                    <w:t>²</w:t>
                  </w:r>
                </w:p>
              </w:tc>
              <w:tc>
                <w:tcPr>
                  <w:tcW w:w="1114" w:type="dxa"/>
                  <w:vMerge w:val="continue"/>
                  <w:noWrap w:val="0"/>
                  <w:vAlign w:val="center"/>
                </w:tcPr>
                <w:p w14:paraId="76685C8A">
                  <w:pPr>
                    <w:keepNext w:val="0"/>
                    <w:keepLines w:val="0"/>
                    <w:suppressLineNumbers w:val="0"/>
                    <w:snapToGrid w:val="0"/>
                    <w:spacing w:before="0" w:beforeAutospacing="0" w:after="0" w:afterAutospacing="0"/>
                    <w:ind w:left="0" w:leftChars="0" w:right="0" w:rightChars="0"/>
                    <w:jc w:val="center"/>
                    <w:rPr>
                      <w:rFonts w:hint="eastAsia"/>
                      <w:color w:val="auto"/>
                      <w:sz w:val="21"/>
                      <w:szCs w:val="21"/>
                      <w:highlight w:val="none"/>
                      <w:lang w:val="en-US" w:eastAsia="zh-CN"/>
                    </w:rPr>
                  </w:pPr>
                </w:p>
              </w:tc>
            </w:tr>
            <w:tr w14:paraId="2740AE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3" w:type="dxa"/>
                <w:trHeight w:val="397" w:hRule="atLeast"/>
                <w:jc w:val="center"/>
              </w:trPr>
              <w:tc>
                <w:tcPr>
                  <w:tcW w:w="1062" w:type="dxa"/>
                  <w:vMerge w:val="continue"/>
                  <w:tcBorders>
                    <w:tl2br w:val="nil"/>
                    <w:tr2bl w:val="nil"/>
                  </w:tcBorders>
                  <w:noWrap w:val="0"/>
                  <w:vAlign w:val="center"/>
                </w:tcPr>
                <w:p w14:paraId="6FF73910">
                  <w:pPr>
                    <w:keepNext w:val="0"/>
                    <w:keepLines w:val="0"/>
                    <w:suppressLineNumbers w:val="0"/>
                    <w:snapToGrid w:val="0"/>
                    <w:spacing w:before="0" w:beforeAutospacing="0" w:after="0" w:afterAutospacing="0" w:line="240" w:lineRule="auto"/>
                    <w:ind w:left="0" w:leftChars="0" w:right="0" w:rightChars="0"/>
                    <w:jc w:val="center"/>
                    <w:rPr>
                      <w:rFonts w:hint="default"/>
                      <w:color w:val="auto"/>
                      <w:sz w:val="21"/>
                      <w:szCs w:val="21"/>
                      <w:highlight w:val="none"/>
                    </w:rPr>
                  </w:pPr>
                </w:p>
              </w:tc>
              <w:tc>
                <w:tcPr>
                  <w:tcW w:w="1081" w:type="dxa"/>
                  <w:vMerge w:val="continue"/>
                  <w:noWrap w:val="0"/>
                  <w:vAlign w:val="center"/>
                </w:tcPr>
                <w:p w14:paraId="5F68E67D">
                  <w:pPr>
                    <w:keepNext w:val="0"/>
                    <w:keepLines w:val="0"/>
                    <w:suppressLineNumbers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p>
              </w:tc>
              <w:tc>
                <w:tcPr>
                  <w:tcW w:w="1248" w:type="dxa"/>
                  <w:gridSpan w:val="2"/>
                  <w:vMerge w:val="continue"/>
                  <w:tcBorders>
                    <w:top w:val="single" w:color="auto" w:sz="4" w:space="0"/>
                    <w:bottom w:val="single" w:color="auto" w:sz="4" w:space="0"/>
                  </w:tcBorders>
                  <w:noWrap w:val="0"/>
                  <w:vAlign w:val="center"/>
                </w:tcPr>
                <w:p w14:paraId="35135A41">
                  <w:pPr>
                    <w:keepNext w:val="0"/>
                    <w:keepLines w:val="0"/>
                    <w:suppressLineNumbers w:val="0"/>
                    <w:snapToGrid w:val="0"/>
                    <w:spacing w:before="0" w:beforeAutospacing="0" w:after="0" w:afterAutospacing="0"/>
                    <w:ind w:left="0" w:leftChars="0" w:right="0" w:rightChars="0" w:firstLine="132" w:firstLineChars="0"/>
                    <w:jc w:val="center"/>
                    <w:rPr>
                      <w:rFonts w:hint="default" w:eastAsia="宋体"/>
                      <w:color w:val="auto"/>
                      <w:sz w:val="21"/>
                      <w:szCs w:val="21"/>
                      <w:highlight w:val="none"/>
                      <w:lang w:val="en-US" w:eastAsia="zh-CN"/>
                    </w:rPr>
                  </w:pPr>
                </w:p>
              </w:tc>
              <w:tc>
                <w:tcPr>
                  <w:tcW w:w="4287" w:type="dxa"/>
                  <w:gridSpan w:val="2"/>
                  <w:tcBorders>
                    <w:top w:val="single" w:color="auto" w:sz="4" w:space="0"/>
                    <w:bottom w:val="single" w:color="auto" w:sz="4" w:space="0"/>
                  </w:tcBorders>
                  <w:noWrap w:val="0"/>
                  <w:vAlign w:val="center"/>
                </w:tcPr>
                <w:p w14:paraId="75A9366E">
                  <w:pPr>
                    <w:keepNext w:val="0"/>
                    <w:keepLines w:val="0"/>
                    <w:suppressLineNumbers w:val="0"/>
                    <w:snapToGrid w:val="0"/>
                    <w:spacing w:before="0" w:beforeAutospacing="0" w:after="0" w:afterAutospacing="0"/>
                    <w:ind w:left="0" w:leftChars="0" w:right="0" w:rightChars="0" w:firstLine="132" w:firstLineChars="0"/>
                    <w:jc w:val="center"/>
                    <w:rPr>
                      <w:rFonts w:hint="eastAsia"/>
                      <w:color w:val="auto"/>
                      <w:sz w:val="21"/>
                      <w:szCs w:val="21"/>
                      <w:highlight w:val="none"/>
                      <w:lang w:val="en-US" w:eastAsia="zh-CN"/>
                    </w:rPr>
                  </w:pPr>
                  <w:r>
                    <w:rPr>
                      <w:rFonts w:hint="eastAsia"/>
                      <w:color w:val="auto"/>
                      <w:sz w:val="21"/>
                      <w:szCs w:val="21"/>
                      <w:highlight w:val="none"/>
                      <w:lang w:val="en-US" w:eastAsia="zh-CN"/>
                    </w:rPr>
                    <w:t>3#车间，建筑面积4600</w:t>
                  </w:r>
                  <w:r>
                    <w:rPr>
                      <w:rFonts w:hint="eastAsia"/>
                      <w:color w:val="auto"/>
                      <w:sz w:val="21"/>
                      <w:szCs w:val="21"/>
                      <w:highlight w:val="none"/>
                    </w:rPr>
                    <w:t>m</w:t>
                  </w:r>
                  <w:r>
                    <w:rPr>
                      <w:rFonts w:hint="default" w:ascii="Times New Roman" w:hAnsi="Times New Roman" w:cs="Times New Roman"/>
                      <w:color w:val="auto"/>
                      <w:sz w:val="21"/>
                      <w:szCs w:val="21"/>
                      <w:highlight w:val="none"/>
                    </w:rPr>
                    <w:t>²</w:t>
                  </w:r>
                </w:p>
              </w:tc>
              <w:tc>
                <w:tcPr>
                  <w:tcW w:w="1114" w:type="dxa"/>
                  <w:vMerge w:val="continue"/>
                  <w:noWrap w:val="0"/>
                  <w:vAlign w:val="center"/>
                </w:tcPr>
                <w:p w14:paraId="2A590111">
                  <w:pPr>
                    <w:keepNext w:val="0"/>
                    <w:keepLines w:val="0"/>
                    <w:suppressLineNumbers w:val="0"/>
                    <w:snapToGrid w:val="0"/>
                    <w:spacing w:before="0" w:beforeAutospacing="0" w:after="0" w:afterAutospacing="0"/>
                    <w:ind w:left="0" w:leftChars="0" w:right="0" w:rightChars="0"/>
                    <w:jc w:val="center"/>
                    <w:rPr>
                      <w:rFonts w:hint="eastAsia"/>
                      <w:color w:val="auto"/>
                      <w:sz w:val="21"/>
                      <w:szCs w:val="21"/>
                      <w:highlight w:val="none"/>
                      <w:lang w:val="en-US" w:eastAsia="zh-CN"/>
                    </w:rPr>
                  </w:pPr>
                </w:p>
              </w:tc>
            </w:tr>
            <w:tr w14:paraId="313D89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3" w:type="dxa"/>
                <w:trHeight w:val="397" w:hRule="atLeast"/>
                <w:jc w:val="center"/>
              </w:trPr>
              <w:tc>
                <w:tcPr>
                  <w:tcW w:w="1062" w:type="dxa"/>
                  <w:vMerge w:val="continue"/>
                  <w:tcBorders>
                    <w:tl2br w:val="nil"/>
                    <w:tr2bl w:val="nil"/>
                  </w:tcBorders>
                  <w:noWrap w:val="0"/>
                  <w:vAlign w:val="center"/>
                </w:tcPr>
                <w:p w14:paraId="10F92963">
                  <w:pPr>
                    <w:keepNext w:val="0"/>
                    <w:keepLines w:val="0"/>
                    <w:suppressLineNumbers w:val="0"/>
                    <w:snapToGrid w:val="0"/>
                    <w:spacing w:before="0" w:beforeAutospacing="0" w:after="0" w:afterAutospacing="0" w:line="240" w:lineRule="auto"/>
                    <w:ind w:left="0" w:leftChars="0" w:right="0" w:rightChars="0"/>
                    <w:jc w:val="center"/>
                    <w:rPr>
                      <w:rFonts w:hint="default"/>
                      <w:color w:val="auto"/>
                      <w:sz w:val="21"/>
                      <w:szCs w:val="21"/>
                      <w:highlight w:val="none"/>
                    </w:rPr>
                  </w:pPr>
                </w:p>
              </w:tc>
              <w:tc>
                <w:tcPr>
                  <w:tcW w:w="1081" w:type="dxa"/>
                  <w:vMerge w:val="continue"/>
                  <w:noWrap w:val="0"/>
                  <w:vAlign w:val="center"/>
                </w:tcPr>
                <w:p w14:paraId="72AB2837">
                  <w:pPr>
                    <w:keepNext w:val="0"/>
                    <w:keepLines w:val="0"/>
                    <w:suppressLineNumbers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p>
              </w:tc>
              <w:tc>
                <w:tcPr>
                  <w:tcW w:w="1248" w:type="dxa"/>
                  <w:gridSpan w:val="2"/>
                  <w:vMerge w:val="continue"/>
                  <w:tcBorders>
                    <w:top w:val="single" w:color="auto" w:sz="4" w:space="0"/>
                    <w:bottom w:val="single" w:color="auto" w:sz="4" w:space="0"/>
                  </w:tcBorders>
                  <w:noWrap w:val="0"/>
                  <w:vAlign w:val="center"/>
                </w:tcPr>
                <w:p w14:paraId="2538F33A">
                  <w:pPr>
                    <w:keepNext w:val="0"/>
                    <w:keepLines w:val="0"/>
                    <w:suppressLineNumbers w:val="0"/>
                    <w:snapToGrid w:val="0"/>
                    <w:spacing w:before="0" w:beforeAutospacing="0" w:after="0" w:afterAutospacing="0"/>
                    <w:ind w:left="0" w:leftChars="0" w:right="0" w:rightChars="0" w:firstLine="132" w:firstLineChars="0"/>
                    <w:jc w:val="center"/>
                    <w:rPr>
                      <w:rFonts w:hint="default" w:eastAsia="宋体"/>
                      <w:color w:val="auto"/>
                      <w:sz w:val="21"/>
                      <w:szCs w:val="21"/>
                      <w:highlight w:val="none"/>
                      <w:lang w:val="en-US" w:eastAsia="zh-CN"/>
                    </w:rPr>
                  </w:pPr>
                </w:p>
              </w:tc>
              <w:tc>
                <w:tcPr>
                  <w:tcW w:w="4287" w:type="dxa"/>
                  <w:gridSpan w:val="2"/>
                  <w:tcBorders>
                    <w:top w:val="single" w:color="auto" w:sz="4" w:space="0"/>
                    <w:bottom w:val="single" w:color="auto" w:sz="4" w:space="0"/>
                  </w:tcBorders>
                  <w:noWrap w:val="0"/>
                  <w:vAlign w:val="center"/>
                </w:tcPr>
                <w:p w14:paraId="2F5DD0F5">
                  <w:pPr>
                    <w:keepNext w:val="0"/>
                    <w:keepLines w:val="0"/>
                    <w:suppressLineNumbers w:val="0"/>
                    <w:snapToGrid w:val="0"/>
                    <w:spacing w:before="0" w:beforeAutospacing="0" w:after="0" w:afterAutospacing="0"/>
                    <w:ind w:left="0" w:leftChars="0" w:right="0" w:rightChars="0" w:firstLine="132" w:firstLineChars="0"/>
                    <w:jc w:val="center"/>
                    <w:rPr>
                      <w:rFonts w:hint="eastAsia"/>
                      <w:color w:val="auto"/>
                      <w:sz w:val="21"/>
                      <w:szCs w:val="21"/>
                      <w:highlight w:val="none"/>
                      <w:lang w:val="en-US" w:eastAsia="zh-CN"/>
                    </w:rPr>
                  </w:pPr>
                  <w:r>
                    <w:rPr>
                      <w:rFonts w:hint="eastAsia"/>
                      <w:color w:val="auto"/>
                      <w:sz w:val="21"/>
                      <w:szCs w:val="21"/>
                      <w:highlight w:val="none"/>
                      <w:lang w:val="en-US" w:eastAsia="zh-CN"/>
                    </w:rPr>
                    <w:t>4#车间、涂布、CNT车间，建筑面积10712.54</w:t>
                  </w:r>
                  <w:r>
                    <w:rPr>
                      <w:rFonts w:hint="eastAsia"/>
                      <w:color w:val="auto"/>
                      <w:sz w:val="21"/>
                      <w:szCs w:val="21"/>
                      <w:highlight w:val="none"/>
                    </w:rPr>
                    <w:t>m</w:t>
                  </w:r>
                  <w:r>
                    <w:rPr>
                      <w:rFonts w:hint="default" w:ascii="Times New Roman" w:hAnsi="Times New Roman" w:cs="Times New Roman"/>
                      <w:color w:val="auto"/>
                      <w:sz w:val="21"/>
                      <w:szCs w:val="21"/>
                      <w:highlight w:val="none"/>
                    </w:rPr>
                    <w:t>²</w:t>
                  </w:r>
                </w:p>
              </w:tc>
              <w:tc>
                <w:tcPr>
                  <w:tcW w:w="1114" w:type="dxa"/>
                  <w:vMerge w:val="continue"/>
                  <w:noWrap w:val="0"/>
                  <w:vAlign w:val="center"/>
                </w:tcPr>
                <w:p w14:paraId="7E8D8AF8">
                  <w:pPr>
                    <w:keepNext w:val="0"/>
                    <w:keepLines w:val="0"/>
                    <w:suppressLineNumbers w:val="0"/>
                    <w:snapToGrid w:val="0"/>
                    <w:spacing w:before="0" w:beforeAutospacing="0" w:after="0" w:afterAutospacing="0"/>
                    <w:ind w:left="0" w:leftChars="0" w:right="0" w:rightChars="0"/>
                    <w:jc w:val="center"/>
                    <w:rPr>
                      <w:rFonts w:hint="eastAsia"/>
                      <w:color w:val="auto"/>
                      <w:sz w:val="21"/>
                      <w:szCs w:val="21"/>
                      <w:highlight w:val="none"/>
                      <w:lang w:val="en-US" w:eastAsia="zh-CN"/>
                    </w:rPr>
                  </w:pPr>
                </w:p>
              </w:tc>
            </w:tr>
            <w:tr w14:paraId="739FCF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3" w:type="dxa"/>
                <w:trHeight w:val="397" w:hRule="atLeast"/>
                <w:jc w:val="center"/>
              </w:trPr>
              <w:tc>
                <w:tcPr>
                  <w:tcW w:w="1062" w:type="dxa"/>
                  <w:vMerge w:val="continue"/>
                  <w:tcBorders>
                    <w:tl2br w:val="nil"/>
                    <w:tr2bl w:val="nil"/>
                  </w:tcBorders>
                  <w:noWrap w:val="0"/>
                  <w:vAlign w:val="center"/>
                </w:tcPr>
                <w:p w14:paraId="48619265">
                  <w:pPr>
                    <w:keepNext w:val="0"/>
                    <w:keepLines w:val="0"/>
                    <w:suppressLineNumbers w:val="0"/>
                    <w:snapToGrid w:val="0"/>
                    <w:spacing w:before="0" w:beforeAutospacing="0" w:after="0" w:afterAutospacing="0" w:line="240" w:lineRule="auto"/>
                    <w:ind w:left="0" w:leftChars="0" w:right="0" w:rightChars="0"/>
                    <w:jc w:val="center"/>
                    <w:rPr>
                      <w:rFonts w:hint="default"/>
                      <w:color w:val="auto"/>
                      <w:sz w:val="21"/>
                      <w:szCs w:val="21"/>
                      <w:highlight w:val="none"/>
                    </w:rPr>
                  </w:pPr>
                </w:p>
              </w:tc>
              <w:tc>
                <w:tcPr>
                  <w:tcW w:w="1081" w:type="dxa"/>
                  <w:vMerge w:val="continue"/>
                  <w:noWrap w:val="0"/>
                  <w:vAlign w:val="center"/>
                </w:tcPr>
                <w:p w14:paraId="00AF8165">
                  <w:pPr>
                    <w:keepNext w:val="0"/>
                    <w:keepLines w:val="0"/>
                    <w:suppressLineNumbers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p>
              </w:tc>
              <w:tc>
                <w:tcPr>
                  <w:tcW w:w="1248" w:type="dxa"/>
                  <w:gridSpan w:val="2"/>
                  <w:vMerge w:val="continue"/>
                  <w:tcBorders>
                    <w:top w:val="single" w:color="auto" w:sz="4" w:space="0"/>
                    <w:bottom w:val="single" w:color="auto" w:sz="4" w:space="0"/>
                  </w:tcBorders>
                  <w:noWrap w:val="0"/>
                  <w:vAlign w:val="center"/>
                </w:tcPr>
                <w:p w14:paraId="2737B483">
                  <w:pPr>
                    <w:keepNext w:val="0"/>
                    <w:keepLines w:val="0"/>
                    <w:suppressLineNumbers w:val="0"/>
                    <w:snapToGrid w:val="0"/>
                    <w:spacing w:before="0" w:beforeAutospacing="0" w:after="0" w:afterAutospacing="0"/>
                    <w:ind w:left="0" w:leftChars="0" w:right="0" w:rightChars="0" w:firstLine="132" w:firstLineChars="0"/>
                    <w:jc w:val="center"/>
                    <w:rPr>
                      <w:rFonts w:hint="default" w:eastAsia="宋体"/>
                      <w:color w:val="auto"/>
                      <w:sz w:val="21"/>
                      <w:szCs w:val="21"/>
                      <w:highlight w:val="none"/>
                      <w:lang w:val="en-US" w:eastAsia="zh-CN"/>
                    </w:rPr>
                  </w:pPr>
                </w:p>
              </w:tc>
              <w:tc>
                <w:tcPr>
                  <w:tcW w:w="4287" w:type="dxa"/>
                  <w:gridSpan w:val="2"/>
                  <w:tcBorders>
                    <w:top w:val="single" w:color="auto" w:sz="4" w:space="0"/>
                    <w:bottom w:val="single" w:color="auto" w:sz="4" w:space="0"/>
                  </w:tcBorders>
                  <w:noWrap w:val="0"/>
                  <w:vAlign w:val="center"/>
                </w:tcPr>
                <w:p w14:paraId="71ECE5C5">
                  <w:pPr>
                    <w:keepNext w:val="0"/>
                    <w:keepLines w:val="0"/>
                    <w:suppressLineNumbers w:val="0"/>
                    <w:snapToGrid w:val="0"/>
                    <w:spacing w:before="0" w:beforeAutospacing="0" w:after="0" w:afterAutospacing="0"/>
                    <w:ind w:left="0" w:leftChars="0" w:right="0" w:rightChars="0" w:firstLine="132" w:firstLineChars="0"/>
                    <w:jc w:val="center"/>
                    <w:rPr>
                      <w:rFonts w:hint="eastAsia"/>
                      <w:color w:val="auto"/>
                      <w:sz w:val="21"/>
                      <w:szCs w:val="21"/>
                      <w:highlight w:val="none"/>
                      <w:lang w:val="en-US" w:eastAsia="zh-CN"/>
                    </w:rPr>
                  </w:pPr>
                  <w:r>
                    <w:rPr>
                      <w:rFonts w:hint="eastAsia"/>
                      <w:color w:val="auto"/>
                      <w:sz w:val="21"/>
                      <w:szCs w:val="21"/>
                      <w:highlight w:val="none"/>
                      <w:lang w:val="en-US" w:eastAsia="zh-CN"/>
                    </w:rPr>
                    <w:t>正极材料车间，建筑面积2300</w:t>
                  </w:r>
                  <w:r>
                    <w:rPr>
                      <w:rFonts w:hint="eastAsia"/>
                      <w:color w:val="auto"/>
                      <w:sz w:val="21"/>
                      <w:szCs w:val="21"/>
                      <w:highlight w:val="none"/>
                    </w:rPr>
                    <w:t>m</w:t>
                  </w:r>
                  <w:r>
                    <w:rPr>
                      <w:rFonts w:hint="default" w:ascii="Times New Roman" w:hAnsi="Times New Roman" w:cs="Times New Roman"/>
                      <w:color w:val="auto"/>
                      <w:sz w:val="21"/>
                      <w:szCs w:val="21"/>
                      <w:highlight w:val="none"/>
                    </w:rPr>
                    <w:t>²</w:t>
                  </w:r>
                </w:p>
              </w:tc>
              <w:tc>
                <w:tcPr>
                  <w:tcW w:w="1114" w:type="dxa"/>
                  <w:vMerge w:val="continue"/>
                  <w:noWrap w:val="0"/>
                  <w:vAlign w:val="center"/>
                </w:tcPr>
                <w:p w14:paraId="19C492DC">
                  <w:pPr>
                    <w:keepNext w:val="0"/>
                    <w:keepLines w:val="0"/>
                    <w:suppressLineNumbers w:val="0"/>
                    <w:snapToGrid w:val="0"/>
                    <w:spacing w:before="0" w:beforeAutospacing="0" w:after="0" w:afterAutospacing="0"/>
                    <w:ind w:left="0" w:leftChars="0" w:right="0" w:rightChars="0"/>
                    <w:jc w:val="center"/>
                    <w:rPr>
                      <w:rFonts w:hint="eastAsia"/>
                      <w:color w:val="auto"/>
                      <w:sz w:val="21"/>
                      <w:szCs w:val="21"/>
                      <w:highlight w:val="none"/>
                      <w:lang w:val="en-US" w:eastAsia="zh-CN"/>
                    </w:rPr>
                  </w:pPr>
                </w:p>
              </w:tc>
            </w:tr>
            <w:tr w14:paraId="7437EF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3" w:type="dxa"/>
                <w:trHeight w:val="397" w:hRule="atLeast"/>
                <w:jc w:val="center"/>
              </w:trPr>
              <w:tc>
                <w:tcPr>
                  <w:tcW w:w="1062" w:type="dxa"/>
                  <w:vMerge w:val="continue"/>
                  <w:tcBorders>
                    <w:tl2br w:val="nil"/>
                    <w:tr2bl w:val="nil"/>
                  </w:tcBorders>
                  <w:noWrap w:val="0"/>
                  <w:vAlign w:val="center"/>
                </w:tcPr>
                <w:p w14:paraId="7A0AFFB5">
                  <w:pPr>
                    <w:keepNext w:val="0"/>
                    <w:keepLines w:val="0"/>
                    <w:suppressLineNumbers w:val="0"/>
                    <w:snapToGrid w:val="0"/>
                    <w:spacing w:before="0" w:beforeAutospacing="0" w:after="0" w:afterAutospacing="0" w:line="240" w:lineRule="auto"/>
                    <w:ind w:left="0" w:leftChars="0" w:right="0" w:rightChars="0"/>
                    <w:jc w:val="center"/>
                    <w:rPr>
                      <w:rFonts w:hint="default"/>
                      <w:color w:val="auto"/>
                      <w:sz w:val="21"/>
                      <w:szCs w:val="21"/>
                      <w:highlight w:val="none"/>
                    </w:rPr>
                  </w:pPr>
                </w:p>
              </w:tc>
              <w:tc>
                <w:tcPr>
                  <w:tcW w:w="1081" w:type="dxa"/>
                  <w:vMerge w:val="continue"/>
                  <w:noWrap w:val="0"/>
                  <w:vAlign w:val="center"/>
                </w:tcPr>
                <w:p w14:paraId="299A70B8">
                  <w:pPr>
                    <w:keepNext w:val="0"/>
                    <w:keepLines w:val="0"/>
                    <w:suppressLineNumbers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p>
              </w:tc>
              <w:tc>
                <w:tcPr>
                  <w:tcW w:w="1248" w:type="dxa"/>
                  <w:gridSpan w:val="2"/>
                  <w:vMerge w:val="restart"/>
                  <w:tcBorders>
                    <w:top w:val="single" w:color="auto" w:sz="4" w:space="0"/>
                    <w:bottom w:val="single" w:color="auto" w:sz="4" w:space="0"/>
                  </w:tcBorders>
                  <w:noWrap w:val="0"/>
                  <w:vAlign w:val="center"/>
                </w:tcPr>
                <w:p w14:paraId="51BCA798">
                  <w:pPr>
                    <w:keepNext w:val="0"/>
                    <w:keepLines w:val="0"/>
                    <w:suppressLineNumbers w:val="0"/>
                    <w:snapToGrid w:val="0"/>
                    <w:spacing w:before="0" w:beforeAutospacing="0" w:after="0" w:afterAutospacing="0"/>
                    <w:ind w:left="0" w:leftChars="0" w:right="0" w:rightChars="0" w:firstLine="132"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南厂区</w:t>
                  </w:r>
                </w:p>
              </w:tc>
              <w:tc>
                <w:tcPr>
                  <w:tcW w:w="4287" w:type="dxa"/>
                  <w:gridSpan w:val="2"/>
                  <w:tcBorders>
                    <w:top w:val="single" w:color="auto" w:sz="4" w:space="0"/>
                    <w:bottom w:val="single" w:color="auto" w:sz="4" w:space="0"/>
                  </w:tcBorders>
                  <w:noWrap w:val="0"/>
                  <w:vAlign w:val="center"/>
                </w:tcPr>
                <w:p w14:paraId="04DBFBD2">
                  <w:pPr>
                    <w:keepNext w:val="0"/>
                    <w:keepLines w:val="0"/>
                    <w:suppressLineNumbers w:val="0"/>
                    <w:snapToGrid w:val="0"/>
                    <w:spacing w:before="0" w:beforeAutospacing="0" w:after="0" w:afterAutospacing="0"/>
                    <w:ind w:left="0" w:leftChars="0" w:right="0" w:rightChars="0" w:firstLine="132" w:firstLineChars="0"/>
                    <w:jc w:val="center"/>
                    <w:rPr>
                      <w:rFonts w:hint="eastAsia"/>
                      <w:color w:val="auto"/>
                      <w:sz w:val="21"/>
                      <w:szCs w:val="21"/>
                      <w:highlight w:val="none"/>
                      <w:lang w:val="en-US" w:eastAsia="zh-CN"/>
                    </w:rPr>
                  </w:pPr>
                  <w:r>
                    <w:rPr>
                      <w:rFonts w:hint="eastAsia"/>
                      <w:color w:val="auto"/>
                      <w:sz w:val="21"/>
                      <w:szCs w:val="21"/>
                      <w:highlight w:val="none"/>
                      <w:lang w:val="en-US" w:eastAsia="zh-CN"/>
                    </w:rPr>
                    <w:t>5#车间，建筑面积13885.04</w:t>
                  </w:r>
                  <w:r>
                    <w:rPr>
                      <w:rFonts w:hint="eastAsia"/>
                      <w:color w:val="auto"/>
                      <w:sz w:val="21"/>
                      <w:szCs w:val="21"/>
                      <w:highlight w:val="none"/>
                    </w:rPr>
                    <w:t>m</w:t>
                  </w:r>
                  <w:r>
                    <w:rPr>
                      <w:rFonts w:hint="default" w:ascii="Times New Roman" w:hAnsi="Times New Roman" w:cs="Times New Roman"/>
                      <w:color w:val="auto"/>
                      <w:sz w:val="21"/>
                      <w:szCs w:val="21"/>
                      <w:highlight w:val="none"/>
                    </w:rPr>
                    <w:t>²</w:t>
                  </w:r>
                </w:p>
              </w:tc>
              <w:tc>
                <w:tcPr>
                  <w:tcW w:w="1114" w:type="dxa"/>
                  <w:vMerge w:val="continue"/>
                  <w:noWrap w:val="0"/>
                  <w:vAlign w:val="center"/>
                </w:tcPr>
                <w:p w14:paraId="7B61184C">
                  <w:pPr>
                    <w:keepNext w:val="0"/>
                    <w:keepLines w:val="0"/>
                    <w:suppressLineNumbers w:val="0"/>
                    <w:snapToGrid w:val="0"/>
                    <w:spacing w:before="0" w:beforeAutospacing="0" w:after="0" w:afterAutospacing="0"/>
                    <w:ind w:left="0" w:leftChars="0" w:right="0" w:rightChars="0"/>
                    <w:jc w:val="center"/>
                    <w:rPr>
                      <w:rFonts w:hint="eastAsia"/>
                      <w:color w:val="auto"/>
                      <w:sz w:val="21"/>
                      <w:szCs w:val="21"/>
                      <w:highlight w:val="none"/>
                      <w:lang w:val="en-US" w:eastAsia="zh-CN"/>
                    </w:rPr>
                  </w:pPr>
                </w:p>
              </w:tc>
            </w:tr>
            <w:tr w14:paraId="5E9FED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3" w:type="dxa"/>
                <w:trHeight w:val="397" w:hRule="atLeast"/>
                <w:jc w:val="center"/>
              </w:trPr>
              <w:tc>
                <w:tcPr>
                  <w:tcW w:w="1062" w:type="dxa"/>
                  <w:vMerge w:val="continue"/>
                  <w:tcBorders>
                    <w:tl2br w:val="nil"/>
                    <w:tr2bl w:val="nil"/>
                  </w:tcBorders>
                  <w:noWrap w:val="0"/>
                  <w:vAlign w:val="center"/>
                </w:tcPr>
                <w:p w14:paraId="667A43CE">
                  <w:pPr>
                    <w:keepNext w:val="0"/>
                    <w:keepLines w:val="0"/>
                    <w:suppressLineNumbers w:val="0"/>
                    <w:snapToGrid w:val="0"/>
                    <w:spacing w:before="0" w:beforeAutospacing="0" w:after="0" w:afterAutospacing="0" w:line="240" w:lineRule="auto"/>
                    <w:ind w:left="0" w:leftChars="0" w:right="0" w:rightChars="0"/>
                    <w:jc w:val="center"/>
                    <w:rPr>
                      <w:rFonts w:hint="default"/>
                      <w:color w:val="auto"/>
                      <w:sz w:val="21"/>
                      <w:szCs w:val="21"/>
                      <w:highlight w:val="none"/>
                    </w:rPr>
                  </w:pPr>
                </w:p>
              </w:tc>
              <w:tc>
                <w:tcPr>
                  <w:tcW w:w="1081" w:type="dxa"/>
                  <w:vMerge w:val="continue"/>
                  <w:noWrap w:val="0"/>
                  <w:vAlign w:val="center"/>
                </w:tcPr>
                <w:p w14:paraId="5C0BFFC1">
                  <w:pPr>
                    <w:keepNext w:val="0"/>
                    <w:keepLines w:val="0"/>
                    <w:suppressLineNumbers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p>
              </w:tc>
              <w:tc>
                <w:tcPr>
                  <w:tcW w:w="1248" w:type="dxa"/>
                  <w:gridSpan w:val="2"/>
                  <w:vMerge w:val="continue"/>
                  <w:tcBorders>
                    <w:top w:val="single" w:color="auto" w:sz="4" w:space="0"/>
                    <w:bottom w:val="single" w:color="auto" w:sz="4" w:space="0"/>
                  </w:tcBorders>
                  <w:noWrap w:val="0"/>
                  <w:vAlign w:val="center"/>
                </w:tcPr>
                <w:p w14:paraId="64D9A879">
                  <w:pPr>
                    <w:keepNext w:val="0"/>
                    <w:keepLines w:val="0"/>
                    <w:suppressLineNumbers w:val="0"/>
                    <w:snapToGrid w:val="0"/>
                    <w:spacing w:before="0" w:beforeAutospacing="0" w:after="0" w:afterAutospacing="0"/>
                    <w:ind w:left="0" w:leftChars="0" w:right="0" w:rightChars="0" w:firstLine="132" w:firstLineChars="0"/>
                    <w:jc w:val="center"/>
                    <w:rPr>
                      <w:rFonts w:hint="eastAsia"/>
                      <w:color w:val="auto"/>
                      <w:sz w:val="21"/>
                      <w:szCs w:val="21"/>
                      <w:highlight w:val="none"/>
                      <w:lang w:val="en-US" w:eastAsia="zh-CN"/>
                    </w:rPr>
                  </w:pPr>
                </w:p>
              </w:tc>
              <w:tc>
                <w:tcPr>
                  <w:tcW w:w="4287" w:type="dxa"/>
                  <w:gridSpan w:val="2"/>
                  <w:tcBorders>
                    <w:top w:val="single" w:color="auto" w:sz="4" w:space="0"/>
                    <w:bottom w:val="single" w:color="auto" w:sz="4" w:space="0"/>
                  </w:tcBorders>
                  <w:noWrap w:val="0"/>
                  <w:vAlign w:val="center"/>
                </w:tcPr>
                <w:p w14:paraId="51F83E21">
                  <w:pPr>
                    <w:keepNext w:val="0"/>
                    <w:keepLines w:val="0"/>
                    <w:suppressLineNumbers w:val="0"/>
                    <w:snapToGrid w:val="0"/>
                    <w:spacing w:before="0" w:beforeAutospacing="0" w:after="0" w:afterAutospacing="0"/>
                    <w:ind w:left="0" w:leftChars="0" w:right="0" w:rightChars="0" w:firstLine="132" w:firstLineChars="0"/>
                    <w:jc w:val="center"/>
                    <w:rPr>
                      <w:rFonts w:hint="eastAsia"/>
                      <w:color w:val="auto"/>
                      <w:sz w:val="21"/>
                      <w:szCs w:val="21"/>
                      <w:highlight w:val="none"/>
                      <w:lang w:val="en-US" w:eastAsia="zh-CN"/>
                    </w:rPr>
                  </w:pPr>
                  <w:r>
                    <w:rPr>
                      <w:rFonts w:hint="eastAsia"/>
                      <w:color w:val="auto"/>
                      <w:sz w:val="21"/>
                      <w:szCs w:val="21"/>
                      <w:highlight w:val="none"/>
                      <w:lang w:val="en-US" w:eastAsia="zh-CN"/>
                    </w:rPr>
                    <w:t>6#车间，建筑面积13885.04</w:t>
                  </w:r>
                  <w:r>
                    <w:rPr>
                      <w:rFonts w:hint="eastAsia"/>
                      <w:color w:val="auto"/>
                      <w:sz w:val="21"/>
                      <w:szCs w:val="21"/>
                      <w:highlight w:val="none"/>
                    </w:rPr>
                    <w:t>m</w:t>
                  </w:r>
                  <w:r>
                    <w:rPr>
                      <w:rFonts w:hint="default" w:ascii="Times New Roman" w:hAnsi="Times New Roman" w:cs="Times New Roman"/>
                      <w:color w:val="auto"/>
                      <w:sz w:val="21"/>
                      <w:szCs w:val="21"/>
                      <w:highlight w:val="none"/>
                    </w:rPr>
                    <w:t>²</w:t>
                  </w:r>
                </w:p>
              </w:tc>
              <w:tc>
                <w:tcPr>
                  <w:tcW w:w="1114" w:type="dxa"/>
                  <w:vMerge w:val="continue"/>
                  <w:noWrap w:val="0"/>
                  <w:vAlign w:val="center"/>
                </w:tcPr>
                <w:p w14:paraId="63FC0F65">
                  <w:pPr>
                    <w:keepNext w:val="0"/>
                    <w:keepLines w:val="0"/>
                    <w:suppressLineNumbers w:val="0"/>
                    <w:snapToGrid w:val="0"/>
                    <w:spacing w:before="0" w:beforeAutospacing="0" w:after="0" w:afterAutospacing="0"/>
                    <w:ind w:left="0" w:leftChars="0" w:right="0" w:rightChars="0"/>
                    <w:jc w:val="center"/>
                    <w:rPr>
                      <w:rFonts w:hint="eastAsia"/>
                      <w:color w:val="auto"/>
                      <w:sz w:val="21"/>
                      <w:szCs w:val="21"/>
                      <w:highlight w:val="none"/>
                      <w:lang w:val="en-US" w:eastAsia="zh-CN"/>
                    </w:rPr>
                  </w:pPr>
                </w:p>
              </w:tc>
            </w:tr>
            <w:tr w14:paraId="0EB173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3" w:type="dxa"/>
                <w:trHeight w:val="397" w:hRule="atLeast"/>
                <w:jc w:val="center"/>
              </w:trPr>
              <w:tc>
                <w:tcPr>
                  <w:tcW w:w="1062" w:type="dxa"/>
                  <w:vMerge w:val="continue"/>
                  <w:tcBorders>
                    <w:tl2br w:val="nil"/>
                    <w:tr2bl w:val="nil"/>
                  </w:tcBorders>
                  <w:noWrap w:val="0"/>
                  <w:vAlign w:val="center"/>
                </w:tcPr>
                <w:p w14:paraId="5AB1039C">
                  <w:pPr>
                    <w:keepNext w:val="0"/>
                    <w:keepLines w:val="0"/>
                    <w:suppressLineNumbers w:val="0"/>
                    <w:snapToGrid w:val="0"/>
                    <w:spacing w:before="0" w:beforeAutospacing="0" w:after="0" w:afterAutospacing="0" w:line="240" w:lineRule="auto"/>
                    <w:ind w:left="0" w:leftChars="0" w:right="0" w:rightChars="0"/>
                    <w:jc w:val="center"/>
                    <w:rPr>
                      <w:rFonts w:hint="default"/>
                      <w:color w:val="auto"/>
                      <w:sz w:val="21"/>
                      <w:szCs w:val="21"/>
                      <w:highlight w:val="none"/>
                    </w:rPr>
                  </w:pPr>
                </w:p>
              </w:tc>
              <w:tc>
                <w:tcPr>
                  <w:tcW w:w="1081" w:type="dxa"/>
                  <w:vMerge w:val="continue"/>
                  <w:noWrap w:val="0"/>
                  <w:vAlign w:val="center"/>
                </w:tcPr>
                <w:p w14:paraId="4B0B414B">
                  <w:pPr>
                    <w:keepNext w:val="0"/>
                    <w:keepLines w:val="0"/>
                    <w:suppressLineNumbers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p>
              </w:tc>
              <w:tc>
                <w:tcPr>
                  <w:tcW w:w="1248" w:type="dxa"/>
                  <w:gridSpan w:val="2"/>
                  <w:vMerge w:val="continue"/>
                  <w:tcBorders>
                    <w:top w:val="single" w:color="auto" w:sz="4" w:space="0"/>
                    <w:bottom w:val="single" w:color="auto" w:sz="4" w:space="0"/>
                  </w:tcBorders>
                  <w:noWrap w:val="0"/>
                  <w:vAlign w:val="center"/>
                </w:tcPr>
                <w:p w14:paraId="64A8C567">
                  <w:pPr>
                    <w:keepNext w:val="0"/>
                    <w:keepLines w:val="0"/>
                    <w:suppressLineNumbers w:val="0"/>
                    <w:snapToGrid w:val="0"/>
                    <w:spacing w:before="0" w:beforeAutospacing="0" w:after="0" w:afterAutospacing="0"/>
                    <w:ind w:left="0" w:leftChars="0" w:right="0" w:rightChars="0" w:firstLine="132" w:firstLineChars="0"/>
                    <w:jc w:val="center"/>
                    <w:rPr>
                      <w:rFonts w:hint="eastAsia"/>
                      <w:color w:val="auto"/>
                      <w:sz w:val="21"/>
                      <w:szCs w:val="21"/>
                      <w:highlight w:val="none"/>
                      <w:lang w:val="en-US" w:eastAsia="zh-CN"/>
                    </w:rPr>
                  </w:pPr>
                </w:p>
              </w:tc>
              <w:tc>
                <w:tcPr>
                  <w:tcW w:w="4287" w:type="dxa"/>
                  <w:gridSpan w:val="2"/>
                  <w:tcBorders>
                    <w:top w:val="single" w:color="auto" w:sz="4" w:space="0"/>
                    <w:bottom w:val="single" w:color="auto" w:sz="4" w:space="0"/>
                  </w:tcBorders>
                  <w:noWrap w:val="0"/>
                  <w:vAlign w:val="center"/>
                </w:tcPr>
                <w:p w14:paraId="0F356740">
                  <w:pPr>
                    <w:keepNext w:val="0"/>
                    <w:keepLines w:val="0"/>
                    <w:suppressLineNumbers w:val="0"/>
                    <w:snapToGrid w:val="0"/>
                    <w:spacing w:before="0" w:beforeAutospacing="0" w:after="0" w:afterAutospacing="0"/>
                    <w:ind w:left="0" w:leftChars="0" w:right="0" w:rightChars="0" w:firstLine="132" w:firstLineChars="0"/>
                    <w:jc w:val="center"/>
                    <w:rPr>
                      <w:rFonts w:hint="eastAsia"/>
                      <w:color w:val="auto"/>
                      <w:sz w:val="21"/>
                      <w:szCs w:val="21"/>
                      <w:highlight w:val="none"/>
                      <w:lang w:val="en-US" w:eastAsia="zh-CN"/>
                    </w:rPr>
                  </w:pPr>
                  <w:r>
                    <w:rPr>
                      <w:rFonts w:hint="eastAsia"/>
                      <w:color w:val="auto"/>
                      <w:sz w:val="21"/>
                      <w:szCs w:val="21"/>
                      <w:highlight w:val="none"/>
                      <w:lang w:val="en-US" w:eastAsia="zh-CN"/>
                    </w:rPr>
                    <w:t>锰酸锂车间和仓库，</w:t>
                  </w:r>
                  <w:r>
                    <w:rPr>
                      <w:rFonts w:hint="eastAsia"/>
                      <w:color w:val="auto"/>
                      <w:sz w:val="21"/>
                      <w:szCs w:val="21"/>
                      <w:highlight w:val="none"/>
                    </w:rPr>
                    <w:t>建筑面积</w:t>
                  </w:r>
                  <w:r>
                    <w:rPr>
                      <w:rFonts w:hint="eastAsia"/>
                      <w:color w:val="auto"/>
                      <w:sz w:val="21"/>
                      <w:szCs w:val="21"/>
                      <w:highlight w:val="none"/>
                      <w:lang w:eastAsia="zh-CN"/>
                    </w:rPr>
                    <w:t>约</w:t>
                  </w:r>
                  <w:r>
                    <w:rPr>
                      <w:rFonts w:hint="eastAsia"/>
                      <w:color w:val="auto"/>
                      <w:sz w:val="21"/>
                      <w:szCs w:val="21"/>
                      <w:highlight w:val="none"/>
                    </w:rPr>
                    <w:t>为</w:t>
                  </w:r>
                  <w:r>
                    <w:rPr>
                      <w:rFonts w:hint="eastAsia"/>
                      <w:color w:val="auto"/>
                      <w:sz w:val="21"/>
                      <w:szCs w:val="21"/>
                      <w:highlight w:val="none"/>
                      <w:lang w:val="en-US" w:eastAsia="zh-CN"/>
                    </w:rPr>
                    <w:t>1827</w:t>
                  </w:r>
                  <w:r>
                    <w:rPr>
                      <w:rFonts w:hint="eastAsia"/>
                      <w:color w:val="auto"/>
                      <w:sz w:val="21"/>
                      <w:szCs w:val="21"/>
                      <w:highlight w:val="none"/>
                    </w:rPr>
                    <w:t>m</w:t>
                  </w:r>
                  <w:r>
                    <w:rPr>
                      <w:rFonts w:hint="default" w:ascii="Times New Roman" w:hAnsi="Times New Roman" w:cs="Times New Roman"/>
                      <w:color w:val="auto"/>
                      <w:sz w:val="21"/>
                      <w:szCs w:val="21"/>
                      <w:highlight w:val="none"/>
                    </w:rPr>
                    <w:t>²</w:t>
                  </w:r>
                </w:p>
              </w:tc>
              <w:tc>
                <w:tcPr>
                  <w:tcW w:w="1114" w:type="dxa"/>
                  <w:vMerge w:val="continue"/>
                  <w:noWrap w:val="0"/>
                  <w:vAlign w:val="center"/>
                </w:tcPr>
                <w:p w14:paraId="45E4D18D">
                  <w:pPr>
                    <w:keepNext w:val="0"/>
                    <w:keepLines w:val="0"/>
                    <w:suppressLineNumbers w:val="0"/>
                    <w:snapToGrid w:val="0"/>
                    <w:spacing w:before="0" w:beforeAutospacing="0" w:after="0" w:afterAutospacing="0"/>
                    <w:ind w:left="0" w:leftChars="0" w:right="0" w:rightChars="0"/>
                    <w:jc w:val="center"/>
                    <w:rPr>
                      <w:rFonts w:hint="eastAsia"/>
                      <w:color w:val="auto"/>
                      <w:sz w:val="21"/>
                      <w:szCs w:val="21"/>
                      <w:highlight w:val="none"/>
                      <w:lang w:val="en-US" w:eastAsia="zh-CN"/>
                    </w:rPr>
                  </w:pPr>
                </w:p>
              </w:tc>
            </w:tr>
            <w:tr w14:paraId="598ED0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3" w:type="dxa"/>
                <w:trHeight w:val="397" w:hRule="atLeast"/>
                <w:jc w:val="center"/>
              </w:trPr>
              <w:tc>
                <w:tcPr>
                  <w:tcW w:w="1062" w:type="dxa"/>
                  <w:tcBorders>
                    <w:tl2br w:val="nil"/>
                    <w:tr2bl w:val="nil"/>
                  </w:tcBorders>
                  <w:noWrap w:val="0"/>
                  <w:vAlign w:val="center"/>
                </w:tcPr>
                <w:p w14:paraId="3020A800">
                  <w:pPr>
                    <w:keepNext w:val="0"/>
                    <w:keepLines w:val="0"/>
                    <w:suppressLineNumbers w:val="0"/>
                    <w:snapToGrid w:val="0"/>
                    <w:spacing w:before="0" w:beforeAutospacing="0" w:after="0" w:afterAutospacing="0" w:line="240" w:lineRule="auto"/>
                    <w:ind w:left="0" w:leftChars="0" w:right="0" w:right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辅助工程</w:t>
                  </w:r>
                </w:p>
              </w:tc>
              <w:tc>
                <w:tcPr>
                  <w:tcW w:w="1081" w:type="dxa"/>
                  <w:tcBorders>
                    <w:top w:val="single" w:color="auto" w:sz="4" w:space="0"/>
                  </w:tcBorders>
                  <w:noWrap w:val="0"/>
                  <w:vAlign w:val="center"/>
                </w:tcPr>
                <w:p w14:paraId="311E5BB7">
                  <w:pPr>
                    <w:keepNext w:val="0"/>
                    <w:keepLines w:val="0"/>
                    <w:suppressLineNumbers w:val="0"/>
                    <w:snapToGrid w:val="0"/>
                    <w:spacing w:before="0" w:beforeAutospacing="0" w:after="0" w:afterAutospacing="0" w:line="240" w:lineRule="auto"/>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办公室</w:t>
                  </w:r>
                </w:p>
              </w:tc>
              <w:tc>
                <w:tcPr>
                  <w:tcW w:w="5535" w:type="dxa"/>
                  <w:gridSpan w:val="4"/>
                  <w:tcBorders>
                    <w:top w:val="single" w:color="auto" w:sz="4" w:space="0"/>
                  </w:tcBorders>
                  <w:noWrap w:val="0"/>
                  <w:vAlign w:val="center"/>
                </w:tcPr>
                <w:p w14:paraId="06200C6D">
                  <w:pPr>
                    <w:keepNext w:val="0"/>
                    <w:keepLines w:val="0"/>
                    <w:suppressLineNumbers w:val="0"/>
                    <w:snapToGrid w:val="0"/>
                    <w:spacing w:before="0" w:beforeAutospacing="0" w:after="0" w:afterAutospacing="0"/>
                    <w:ind w:left="0" w:leftChars="0" w:right="0" w:rightChars="0" w:firstLine="132" w:firstLine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依托现有办公楼，建筑面积11506.86</w:t>
                  </w:r>
                  <w:r>
                    <w:rPr>
                      <w:rFonts w:hint="eastAsia"/>
                      <w:color w:val="auto"/>
                      <w:sz w:val="21"/>
                      <w:szCs w:val="21"/>
                      <w:highlight w:val="none"/>
                    </w:rPr>
                    <w:t>m</w:t>
                  </w:r>
                  <w:r>
                    <w:rPr>
                      <w:rFonts w:hint="default" w:ascii="Times New Roman" w:hAnsi="Times New Roman" w:cs="Times New Roman"/>
                      <w:color w:val="auto"/>
                      <w:sz w:val="21"/>
                      <w:szCs w:val="21"/>
                      <w:highlight w:val="none"/>
                    </w:rPr>
                    <w:t>²</w:t>
                  </w:r>
                </w:p>
              </w:tc>
              <w:tc>
                <w:tcPr>
                  <w:tcW w:w="1114" w:type="dxa"/>
                  <w:tcBorders>
                    <w:top w:val="single" w:color="auto" w:sz="4" w:space="0"/>
                  </w:tcBorders>
                  <w:noWrap w:val="0"/>
                  <w:vAlign w:val="center"/>
                </w:tcPr>
                <w:p w14:paraId="714F962C">
                  <w:pPr>
                    <w:keepNext w:val="0"/>
                    <w:keepLines w:val="0"/>
                    <w:suppressLineNumbers w:val="0"/>
                    <w:snapToGrid w:val="0"/>
                    <w:spacing w:before="0" w:beforeAutospacing="0" w:after="0" w:afterAutospacing="0"/>
                    <w:ind w:left="0" w:leftChars="0" w:right="0" w:rightChars="0"/>
                    <w:jc w:val="center"/>
                    <w:rPr>
                      <w:rFonts w:hint="default" w:hAnsi="宋体"/>
                      <w:color w:val="000000"/>
                      <w:sz w:val="21"/>
                      <w:szCs w:val="21"/>
                      <w:lang w:val="en-US" w:eastAsia="zh-CN"/>
                    </w:rPr>
                  </w:pPr>
                  <w:r>
                    <w:rPr>
                      <w:rFonts w:hint="eastAsia" w:hAnsi="宋体"/>
                      <w:color w:val="000000"/>
                      <w:sz w:val="21"/>
                      <w:szCs w:val="21"/>
                      <w:lang w:val="en-US" w:eastAsia="zh-CN"/>
                    </w:rPr>
                    <w:t>依托现有</w:t>
                  </w:r>
                </w:p>
              </w:tc>
            </w:tr>
            <w:tr w14:paraId="241B0D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3" w:type="dxa"/>
                <w:trHeight w:val="397" w:hRule="atLeast"/>
                <w:jc w:val="center"/>
              </w:trPr>
              <w:tc>
                <w:tcPr>
                  <w:tcW w:w="1062" w:type="dxa"/>
                  <w:vMerge w:val="restart"/>
                  <w:tcBorders>
                    <w:tl2br w:val="nil"/>
                    <w:tr2bl w:val="nil"/>
                  </w:tcBorders>
                  <w:noWrap w:val="0"/>
                  <w:vAlign w:val="center"/>
                </w:tcPr>
                <w:p w14:paraId="418C986F">
                  <w:pPr>
                    <w:keepNext w:val="0"/>
                    <w:keepLines w:val="0"/>
                    <w:suppressLineNumbers w:val="0"/>
                    <w:snapToGrid w:val="0"/>
                    <w:spacing w:before="0" w:beforeAutospacing="0" w:after="0" w:afterAutospacing="0" w:line="240" w:lineRule="auto"/>
                    <w:ind w:left="0" w:leftChars="0" w:right="0" w:right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储运工程</w:t>
                  </w:r>
                </w:p>
              </w:tc>
              <w:tc>
                <w:tcPr>
                  <w:tcW w:w="1081" w:type="dxa"/>
                  <w:vMerge w:val="restart"/>
                  <w:tcBorders>
                    <w:tl2br w:val="nil"/>
                    <w:tr2bl w:val="nil"/>
                  </w:tcBorders>
                  <w:noWrap w:val="0"/>
                  <w:vAlign w:val="center"/>
                </w:tcPr>
                <w:p w14:paraId="35267134">
                  <w:pPr>
                    <w:keepNext w:val="0"/>
                    <w:keepLines w:val="0"/>
                    <w:suppressLineNumbers w:val="0"/>
                    <w:snapToGrid w:val="0"/>
                    <w:spacing w:before="0" w:beforeAutospacing="0" w:after="0" w:afterAutospacing="0" w:line="240" w:lineRule="auto"/>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仓库</w:t>
                  </w:r>
                </w:p>
              </w:tc>
              <w:tc>
                <w:tcPr>
                  <w:tcW w:w="1317" w:type="dxa"/>
                  <w:gridSpan w:val="3"/>
                  <w:vMerge w:val="restart"/>
                  <w:tcBorders>
                    <w:tl2br w:val="nil"/>
                    <w:tr2bl w:val="nil"/>
                  </w:tcBorders>
                  <w:noWrap w:val="0"/>
                  <w:vAlign w:val="center"/>
                </w:tcPr>
                <w:p w14:paraId="08509696">
                  <w:pPr>
                    <w:keepNext w:val="0"/>
                    <w:keepLines w:val="0"/>
                    <w:suppressLineNumbers w:val="0"/>
                    <w:snapToGrid w:val="0"/>
                    <w:spacing w:before="0" w:beforeAutospacing="0" w:after="0" w:afterAutospacing="0"/>
                    <w:ind w:left="0" w:leftChars="0" w:right="0" w:rightChars="0" w:firstLine="132" w:firstLine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北厂区</w:t>
                  </w:r>
                </w:p>
              </w:tc>
              <w:tc>
                <w:tcPr>
                  <w:tcW w:w="4218" w:type="dxa"/>
                  <w:tcBorders>
                    <w:tl2br w:val="nil"/>
                    <w:tr2bl w:val="nil"/>
                  </w:tcBorders>
                  <w:noWrap w:val="0"/>
                  <w:vAlign w:val="center"/>
                </w:tcPr>
                <w:p w14:paraId="44F596A7">
                  <w:pPr>
                    <w:keepNext w:val="0"/>
                    <w:keepLines w:val="0"/>
                    <w:suppressLineNumbers w:val="0"/>
                    <w:snapToGrid w:val="0"/>
                    <w:spacing w:before="0" w:beforeAutospacing="0" w:after="0" w:afterAutospacing="0"/>
                    <w:ind w:left="0" w:leftChars="0" w:right="0" w:rightChars="0" w:firstLine="132" w:firstLineChars="0"/>
                    <w:jc w:val="center"/>
                    <w:rPr>
                      <w:rFonts w:hint="eastAsia"/>
                      <w:color w:val="auto"/>
                      <w:sz w:val="21"/>
                      <w:szCs w:val="21"/>
                      <w:highlight w:val="none"/>
                      <w:lang w:val="en-US" w:eastAsia="zh-CN"/>
                    </w:rPr>
                  </w:pPr>
                  <w:r>
                    <w:rPr>
                      <w:rFonts w:hint="eastAsia"/>
                      <w:color w:val="auto"/>
                      <w:sz w:val="21"/>
                      <w:szCs w:val="21"/>
                      <w:highlight w:val="none"/>
                      <w:lang w:val="en-US" w:eastAsia="zh-CN"/>
                    </w:rPr>
                    <w:t>原材料仓库</w:t>
                  </w:r>
                  <w:r>
                    <w:rPr>
                      <w:rFonts w:hint="eastAsia"/>
                      <w:color w:val="auto"/>
                      <w:sz w:val="21"/>
                      <w:szCs w:val="21"/>
                      <w:highlight w:val="none"/>
                      <w:lang w:eastAsia="zh-CN"/>
                    </w:rPr>
                    <w:t>，</w:t>
                  </w:r>
                  <w:r>
                    <w:rPr>
                      <w:rFonts w:hint="eastAsia"/>
                      <w:color w:val="auto"/>
                      <w:sz w:val="21"/>
                      <w:szCs w:val="21"/>
                      <w:highlight w:val="none"/>
                    </w:rPr>
                    <w:t>建筑面积</w:t>
                  </w:r>
                  <w:r>
                    <w:rPr>
                      <w:rFonts w:hint="eastAsia"/>
                      <w:color w:val="auto"/>
                      <w:sz w:val="21"/>
                      <w:szCs w:val="21"/>
                      <w:highlight w:val="none"/>
                      <w:lang w:eastAsia="zh-CN"/>
                    </w:rPr>
                    <w:t>约</w:t>
                  </w:r>
                  <w:r>
                    <w:rPr>
                      <w:rFonts w:hint="eastAsia"/>
                      <w:color w:val="auto"/>
                      <w:sz w:val="21"/>
                      <w:szCs w:val="21"/>
                      <w:highlight w:val="none"/>
                    </w:rPr>
                    <w:t>为</w:t>
                  </w:r>
                  <w:r>
                    <w:rPr>
                      <w:rFonts w:hint="eastAsia"/>
                      <w:color w:val="auto"/>
                      <w:sz w:val="21"/>
                      <w:szCs w:val="21"/>
                      <w:highlight w:val="none"/>
                      <w:lang w:val="en-US" w:eastAsia="zh-CN"/>
                    </w:rPr>
                    <w:t>1786</w:t>
                  </w:r>
                  <w:r>
                    <w:rPr>
                      <w:rFonts w:hint="eastAsia"/>
                      <w:color w:val="auto"/>
                      <w:sz w:val="21"/>
                      <w:szCs w:val="21"/>
                      <w:highlight w:val="none"/>
                    </w:rPr>
                    <w:t>m</w:t>
                  </w:r>
                  <w:r>
                    <w:rPr>
                      <w:rFonts w:hint="default" w:ascii="Times New Roman" w:hAnsi="Times New Roman" w:cs="Times New Roman"/>
                      <w:color w:val="auto"/>
                      <w:sz w:val="21"/>
                      <w:szCs w:val="21"/>
                      <w:highlight w:val="none"/>
                    </w:rPr>
                    <w:t>²</w:t>
                  </w:r>
                </w:p>
              </w:tc>
              <w:tc>
                <w:tcPr>
                  <w:tcW w:w="1114" w:type="dxa"/>
                  <w:vMerge w:val="restart"/>
                  <w:tcBorders>
                    <w:tl2br w:val="nil"/>
                    <w:tr2bl w:val="nil"/>
                  </w:tcBorders>
                  <w:noWrap w:val="0"/>
                  <w:vAlign w:val="center"/>
                </w:tcPr>
                <w:p w14:paraId="79A759F3">
                  <w:pPr>
                    <w:keepNext w:val="0"/>
                    <w:keepLines w:val="0"/>
                    <w:suppressLineNumbers w:val="0"/>
                    <w:snapToGrid w:val="0"/>
                    <w:spacing w:before="0" w:beforeAutospacing="0" w:after="0" w:afterAutospacing="0"/>
                    <w:ind w:left="0" w:leftChars="0" w:right="0" w:rightChars="0"/>
                    <w:jc w:val="center"/>
                    <w:rPr>
                      <w:rFonts w:hint="eastAsia" w:eastAsia="宋体"/>
                      <w:color w:val="auto"/>
                      <w:sz w:val="21"/>
                      <w:szCs w:val="21"/>
                      <w:highlight w:val="none"/>
                      <w:lang w:val="en-US" w:eastAsia="zh-CN"/>
                    </w:rPr>
                  </w:pPr>
                  <w:r>
                    <w:rPr>
                      <w:rFonts w:hint="eastAsia" w:hAnsi="宋体"/>
                      <w:color w:val="000000"/>
                      <w:sz w:val="21"/>
                      <w:szCs w:val="21"/>
                      <w:lang w:val="en-US" w:eastAsia="zh-CN"/>
                    </w:rPr>
                    <w:t>依托现有</w:t>
                  </w:r>
                </w:p>
              </w:tc>
            </w:tr>
            <w:tr w14:paraId="709998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3" w:type="dxa"/>
                <w:trHeight w:val="397" w:hRule="atLeast"/>
                <w:jc w:val="center"/>
              </w:trPr>
              <w:tc>
                <w:tcPr>
                  <w:tcW w:w="1062" w:type="dxa"/>
                  <w:vMerge w:val="continue"/>
                  <w:tcBorders>
                    <w:tl2br w:val="nil"/>
                    <w:tr2bl w:val="nil"/>
                  </w:tcBorders>
                  <w:noWrap w:val="0"/>
                  <w:vAlign w:val="center"/>
                </w:tcPr>
                <w:p w14:paraId="34EB7479">
                  <w:pPr>
                    <w:keepNext w:val="0"/>
                    <w:keepLines w:val="0"/>
                    <w:suppressLineNumbers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p>
              </w:tc>
              <w:tc>
                <w:tcPr>
                  <w:tcW w:w="1081" w:type="dxa"/>
                  <w:vMerge w:val="continue"/>
                  <w:tcBorders>
                    <w:tl2br w:val="nil"/>
                    <w:tr2bl w:val="nil"/>
                  </w:tcBorders>
                  <w:noWrap w:val="0"/>
                  <w:vAlign w:val="center"/>
                </w:tcPr>
                <w:p w14:paraId="0005EE41">
                  <w:pPr>
                    <w:keepNext w:val="0"/>
                    <w:keepLines w:val="0"/>
                    <w:suppressLineNumbers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p>
              </w:tc>
              <w:tc>
                <w:tcPr>
                  <w:tcW w:w="1317" w:type="dxa"/>
                  <w:gridSpan w:val="3"/>
                  <w:vMerge w:val="continue"/>
                  <w:tcBorders>
                    <w:tl2br w:val="nil"/>
                    <w:tr2bl w:val="nil"/>
                  </w:tcBorders>
                  <w:noWrap w:val="0"/>
                  <w:vAlign w:val="center"/>
                </w:tcPr>
                <w:p w14:paraId="63A907DA">
                  <w:pPr>
                    <w:keepNext w:val="0"/>
                    <w:keepLines w:val="0"/>
                    <w:suppressLineNumbers w:val="0"/>
                    <w:snapToGrid w:val="0"/>
                    <w:spacing w:before="0" w:beforeAutospacing="0" w:after="0" w:afterAutospacing="0"/>
                    <w:ind w:left="0" w:leftChars="0" w:right="0" w:rightChars="0" w:firstLine="132" w:firstLineChars="0"/>
                    <w:jc w:val="center"/>
                    <w:rPr>
                      <w:rFonts w:hint="default" w:eastAsia="宋体"/>
                      <w:color w:val="auto"/>
                      <w:sz w:val="21"/>
                      <w:szCs w:val="21"/>
                      <w:highlight w:val="none"/>
                      <w:lang w:val="en-US" w:eastAsia="zh-CN"/>
                    </w:rPr>
                  </w:pPr>
                </w:p>
              </w:tc>
              <w:tc>
                <w:tcPr>
                  <w:tcW w:w="4218" w:type="dxa"/>
                  <w:tcBorders>
                    <w:tl2br w:val="nil"/>
                    <w:tr2bl w:val="nil"/>
                  </w:tcBorders>
                  <w:noWrap w:val="0"/>
                  <w:vAlign w:val="center"/>
                </w:tcPr>
                <w:p w14:paraId="5F5DCF88">
                  <w:pPr>
                    <w:keepNext w:val="0"/>
                    <w:keepLines w:val="0"/>
                    <w:suppressLineNumbers w:val="0"/>
                    <w:snapToGrid w:val="0"/>
                    <w:spacing w:before="0" w:beforeAutospacing="0" w:after="0" w:afterAutospacing="0"/>
                    <w:ind w:left="0" w:leftChars="0" w:right="0" w:rightChars="0" w:firstLine="132" w:firstLineChars="0"/>
                    <w:jc w:val="center"/>
                    <w:rPr>
                      <w:rFonts w:hint="eastAsia"/>
                      <w:color w:val="auto"/>
                      <w:sz w:val="21"/>
                      <w:szCs w:val="21"/>
                      <w:highlight w:val="none"/>
                      <w:lang w:val="en-US" w:eastAsia="zh-CN"/>
                    </w:rPr>
                  </w:pPr>
                  <w:r>
                    <w:rPr>
                      <w:rFonts w:hint="eastAsia"/>
                      <w:color w:val="auto"/>
                      <w:sz w:val="21"/>
                      <w:szCs w:val="21"/>
                      <w:highlight w:val="none"/>
                      <w:lang w:val="en-US" w:eastAsia="zh-CN"/>
                    </w:rPr>
                    <w:t>成品仓库（北）</w:t>
                  </w:r>
                  <w:r>
                    <w:rPr>
                      <w:rFonts w:hint="eastAsia"/>
                      <w:color w:val="auto"/>
                      <w:sz w:val="21"/>
                      <w:szCs w:val="21"/>
                      <w:highlight w:val="none"/>
                      <w:lang w:eastAsia="zh-CN"/>
                    </w:rPr>
                    <w:t>，</w:t>
                  </w:r>
                  <w:r>
                    <w:rPr>
                      <w:rFonts w:hint="eastAsia"/>
                      <w:color w:val="auto"/>
                      <w:sz w:val="21"/>
                      <w:szCs w:val="21"/>
                      <w:highlight w:val="none"/>
                    </w:rPr>
                    <w:t>建筑面积</w:t>
                  </w:r>
                  <w:r>
                    <w:rPr>
                      <w:rFonts w:hint="eastAsia"/>
                      <w:color w:val="auto"/>
                      <w:sz w:val="21"/>
                      <w:szCs w:val="21"/>
                      <w:highlight w:val="none"/>
                      <w:lang w:eastAsia="zh-CN"/>
                    </w:rPr>
                    <w:t>约</w:t>
                  </w:r>
                  <w:r>
                    <w:rPr>
                      <w:rFonts w:hint="eastAsia"/>
                      <w:color w:val="auto"/>
                      <w:sz w:val="21"/>
                      <w:szCs w:val="21"/>
                      <w:highlight w:val="none"/>
                    </w:rPr>
                    <w:t>为</w:t>
                  </w:r>
                  <w:r>
                    <w:rPr>
                      <w:rFonts w:hint="eastAsia"/>
                      <w:color w:val="auto"/>
                      <w:sz w:val="21"/>
                      <w:szCs w:val="21"/>
                      <w:highlight w:val="none"/>
                      <w:lang w:val="en-US" w:eastAsia="zh-CN"/>
                    </w:rPr>
                    <w:t>1050</w:t>
                  </w:r>
                  <w:r>
                    <w:rPr>
                      <w:rFonts w:hint="eastAsia"/>
                      <w:color w:val="auto"/>
                      <w:sz w:val="21"/>
                      <w:szCs w:val="21"/>
                      <w:highlight w:val="none"/>
                    </w:rPr>
                    <w:t>m</w:t>
                  </w:r>
                  <w:r>
                    <w:rPr>
                      <w:rFonts w:hint="default" w:ascii="Times New Roman" w:hAnsi="Times New Roman" w:cs="Times New Roman"/>
                      <w:color w:val="auto"/>
                      <w:sz w:val="21"/>
                      <w:szCs w:val="21"/>
                      <w:highlight w:val="none"/>
                    </w:rPr>
                    <w:t>²</w:t>
                  </w:r>
                </w:p>
              </w:tc>
              <w:tc>
                <w:tcPr>
                  <w:tcW w:w="1114" w:type="dxa"/>
                  <w:vMerge w:val="continue"/>
                  <w:tcBorders>
                    <w:tl2br w:val="nil"/>
                    <w:tr2bl w:val="nil"/>
                  </w:tcBorders>
                  <w:noWrap w:val="0"/>
                  <w:vAlign w:val="center"/>
                </w:tcPr>
                <w:p w14:paraId="37CFE313">
                  <w:pPr>
                    <w:keepNext w:val="0"/>
                    <w:keepLines w:val="0"/>
                    <w:suppressLineNumbers w:val="0"/>
                    <w:snapToGrid w:val="0"/>
                    <w:spacing w:before="0" w:beforeAutospacing="0" w:after="0" w:afterAutospacing="0"/>
                    <w:ind w:left="0" w:leftChars="0" w:right="0" w:rightChars="0"/>
                    <w:jc w:val="center"/>
                    <w:rPr>
                      <w:rFonts w:hint="eastAsia" w:hAnsi="宋体"/>
                      <w:color w:val="000000"/>
                      <w:sz w:val="21"/>
                      <w:szCs w:val="21"/>
                      <w:lang w:val="en-US" w:eastAsia="zh-CN"/>
                    </w:rPr>
                  </w:pPr>
                </w:p>
              </w:tc>
            </w:tr>
            <w:tr w14:paraId="0BA5EF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3" w:type="dxa"/>
                <w:trHeight w:val="397" w:hRule="atLeast"/>
                <w:jc w:val="center"/>
              </w:trPr>
              <w:tc>
                <w:tcPr>
                  <w:tcW w:w="1062" w:type="dxa"/>
                  <w:vMerge w:val="continue"/>
                  <w:tcBorders>
                    <w:tl2br w:val="nil"/>
                    <w:tr2bl w:val="nil"/>
                  </w:tcBorders>
                  <w:noWrap w:val="0"/>
                  <w:vAlign w:val="center"/>
                </w:tcPr>
                <w:p w14:paraId="6BAFD3A8">
                  <w:pPr>
                    <w:keepNext w:val="0"/>
                    <w:keepLines w:val="0"/>
                    <w:suppressLineNumbers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p>
              </w:tc>
              <w:tc>
                <w:tcPr>
                  <w:tcW w:w="1081" w:type="dxa"/>
                  <w:vMerge w:val="continue"/>
                  <w:tcBorders>
                    <w:tl2br w:val="nil"/>
                    <w:tr2bl w:val="nil"/>
                  </w:tcBorders>
                  <w:noWrap w:val="0"/>
                  <w:vAlign w:val="center"/>
                </w:tcPr>
                <w:p w14:paraId="1562A453">
                  <w:pPr>
                    <w:keepNext w:val="0"/>
                    <w:keepLines w:val="0"/>
                    <w:suppressLineNumbers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p>
              </w:tc>
              <w:tc>
                <w:tcPr>
                  <w:tcW w:w="1317" w:type="dxa"/>
                  <w:gridSpan w:val="3"/>
                  <w:vMerge w:val="continue"/>
                  <w:tcBorders>
                    <w:tl2br w:val="nil"/>
                    <w:tr2bl w:val="nil"/>
                  </w:tcBorders>
                  <w:noWrap w:val="0"/>
                  <w:vAlign w:val="center"/>
                </w:tcPr>
                <w:p w14:paraId="037D0D1B">
                  <w:pPr>
                    <w:keepNext w:val="0"/>
                    <w:keepLines w:val="0"/>
                    <w:suppressLineNumbers w:val="0"/>
                    <w:snapToGrid w:val="0"/>
                    <w:spacing w:before="0" w:beforeAutospacing="0" w:after="0" w:afterAutospacing="0"/>
                    <w:ind w:left="0" w:leftChars="0" w:right="0" w:rightChars="0" w:firstLine="132" w:firstLineChars="0"/>
                    <w:jc w:val="center"/>
                    <w:rPr>
                      <w:rFonts w:hint="eastAsia"/>
                      <w:color w:val="auto"/>
                      <w:sz w:val="21"/>
                      <w:szCs w:val="21"/>
                      <w:highlight w:val="none"/>
                    </w:rPr>
                  </w:pPr>
                </w:p>
              </w:tc>
              <w:tc>
                <w:tcPr>
                  <w:tcW w:w="4218" w:type="dxa"/>
                  <w:tcBorders>
                    <w:tl2br w:val="nil"/>
                    <w:tr2bl w:val="nil"/>
                  </w:tcBorders>
                  <w:noWrap w:val="0"/>
                  <w:vAlign w:val="center"/>
                </w:tcPr>
                <w:p w14:paraId="3FAC52BB">
                  <w:pPr>
                    <w:keepNext w:val="0"/>
                    <w:keepLines w:val="0"/>
                    <w:suppressLineNumbers w:val="0"/>
                    <w:snapToGrid w:val="0"/>
                    <w:spacing w:before="0" w:beforeAutospacing="0" w:after="0" w:afterAutospacing="0"/>
                    <w:ind w:left="0" w:leftChars="0" w:right="0" w:rightChars="0" w:firstLine="132" w:firstLineChars="0"/>
                    <w:jc w:val="center"/>
                    <w:rPr>
                      <w:rFonts w:hint="eastAsia"/>
                      <w:color w:val="auto"/>
                      <w:sz w:val="21"/>
                      <w:szCs w:val="21"/>
                      <w:highlight w:val="none"/>
                      <w:lang w:val="en-US" w:eastAsia="zh-CN"/>
                    </w:rPr>
                  </w:pPr>
                  <w:r>
                    <w:rPr>
                      <w:rFonts w:hint="eastAsia"/>
                      <w:color w:val="auto"/>
                      <w:sz w:val="21"/>
                      <w:szCs w:val="21"/>
                      <w:highlight w:val="none"/>
                      <w:lang w:val="en-US" w:eastAsia="zh-CN"/>
                    </w:rPr>
                    <w:t>成品仓库（南）</w:t>
                  </w:r>
                  <w:r>
                    <w:rPr>
                      <w:rFonts w:hint="eastAsia"/>
                      <w:color w:val="auto"/>
                      <w:sz w:val="21"/>
                      <w:szCs w:val="21"/>
                      <w:highlight w:val="none"/>
                      <w:lang w:eastAsia="zh-CN"/>
                    </w:rPr>
                    <w:t>，</w:t>
                  </w:r>
                  <w:r>
                    <w:rPr>
                      <w:rFonts w:hint="eastAsia"/>
                      <w:color w:val="auto"/>
                      <w:sz w:val="21"/>
                      <w:szCs w:val="21"/>
                      <w:highlight w:val="none"/>
                    </w:rPr>
                    <w:t>建筑面积</w:t>
                  </w:r>
                  <w:r>
                    <w:rPr>
                      <w:rFonts w:hint="eastAsia"/>
                      <w:color w:val="auto"/>
                      <w:sz w:val="21"/>
                      <w:szCs w:val="21"/>
                      <w:highlight w:val="none"/>
                      <w:lang w:eastAsia="zh-CN"/>
                    </w:rPr>
                    <w:t>约</w:t>
                  </w:r>
                  <w:r>
                    <w:rPr>
                      <w:rFonts w:hint="eastAsia"/>
                      <w:color w:val="auto"/>
                      <w:sz w:val="21"/>
                      <w:szCs w:val="21"/>
                      <w:highlight w:val="none"/>
                    </w:rPr>
                    <w:t>为</w:t>
                  </w:r>
                  <w:r>
                    <w:rPr>
                      <w:rFonts w:hint="eastAsia"/>
                      <w:color w:val="auto"/>
                      <w:sz w:val="21"/>
                      <w:szCs w:val="21"/>
                      <w:highlight w:val="none"/>
                      <w:lang w:val="en-US" w:eastAsia="zh-CN"/>
                    </w:rPr>
                    <w:t>1827</w:t>
                  </w:r>
                  <w:r>
                    <w:rPr>
                      <w:rFonts w:hint="eastAsia"/>
                      <w:color w:val="auto"/>
                      <w:sz w:val="21"/>
                      <w:szCs w:val="21"/>
                      <w:highlight w:val="none"/>
                    </w:rPr>
                    <w:t>m</w:t>
                  </w:r>
                  <w:r>
                    <w:rPr>
                      <w:rFonts w:hint="default" w:ascii="Times New Roman" w:hAnsi="Times New Roman" w:cs="Times New Roman"/>
                      <w:color w:val="auto"/>
                      <w:sz w:val="21"/>
                      <w:szCs w:val="21"/>
                      <w:highlight w:val="none"/>
                    </w:rPr>
                    <w:t>²</w:t>
                  </w:r>
                </w:p>
              </w:tc>
              <w:tc>
                <w:tcPr>
                  <w:tcW w:w="1114" w:type="dxa"/>
                  <w:vMerge w:val="continue"/>
                  <w:tcBorders>
                    <w:tl2br w:val="nil"/>
                    <w:tr2bl w:val="nil"/>
                  </w:tcBorders>
                  <w:noWrap w:val="0"/>
                  <w:vAlign w:val="center"/>
                </w:tcPr>
                <w:p w14:paraId="6A4F842C">
                  <w:pPr>
                    <w:keepNext w:val="0"/>
                    <w:keepLines w:val="0"/>
                    <w:suppressLineNumbers w:val="0"/>
                    <w:snapToGrid w:val="0"/>
                    <w:spacing w:before="0" w:beforeAutospacing="0" w:after="0" w:afterAutospacing="0"/>
                    <w:ind w:left="0" w:leftChars="0" w:right="0" w:rightChars="0"/>
                    <w:jc w:val="center"/>
                    <w:rPr>
                      <w:rFonts w:hint="eastAsia" w:hAnsi="宋体"/>
                      <w:color w:val="000000"/>
                      <w:sz w:val="21"/>
                      <w:szCs w:val="21"/>
                      <w:lang w:val="en-US" w:eastAsia="zh-CN"/>
                    </w:rPr>
                  </w:pPr>
                </w:p>
              </w:tc>
            </w:tr>
            <w:tr w14:paraId="3F83160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3" w:type="dxa"/>
                <w:trHeight w:val="397" w:hRule="atLeast"/>
                <w:jc w:val="center"/>
              </w:trPr>
              <w:tc>
                <w:tcPr>
                  <w:tcW w:w="1062" w:type="dxa"/>
                  <w:vMerge w:val="continue"/>
                  <w:tcBorders>
                    <w:tl2br w:val="nil"/>
                    <w:tr2bl w:val="nil"/>
                  </w:tcBorders>
                  <w:noWrap w:val="0"/>
                  <w:vAlign w:val="center"/>
                </w:tcPr>
                <w:p w14:paraId="031D66AA">
                  <w:pPr>
                    <w:keepNext w:val="0"/>
                    <w:keepLines w:val="0"/>
                    <w:suppressLineNumbers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p>
              </w:tc>
              <w:tc>
                <w:tcPr>
                  <w:tcW w:w="1081" w:type="dxa"/>
                  <w:vMerge w:val="continue"/>
                  <w:tcBorders>
                    <w:tl2br w:val="nil"/>
                    <w:tr2bl w:val="nil"/>
                  </w:tcBorders>
                  <w:noWrap w:val="0"/>
                  <w:vAlign w:val="center"/>
                </w:tcPr>
                <w:p w14:paraId="4CC4926E">
                  <w:pPr>
                    <w:keepNext w:val="0"/>
                    <w:keepLines w:val="0"/>
                    <w:suppressLineNumbers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p>
              </w:tc>
              <w:tc>
                <w:tcPr>
                  <w:tcW w:w="1317" w:type="dxa"/>
                  <w:gridSpan w:val="3"/>
                  <w:tcBorders>
                    <w:tl2br w:val="nil"/>
                    <w:tr2bl w:val="nil"/>
                  </w:tcBorders>
                  <w:noWrap w:val="0"/>
                  <w:vAlign w:val="center"/>
                </w:tcPr>
                <w:p w14:paraId="431E8DB0">
                  <w:pPr>
                    <w:keepNext w:val="0"/>
                    <w:keepLines w:val="0"/>
                    <w:suppressLineNumbers w:val="0"/>
                    <w:snapToGrid w:val="0"/>
                    <w:spacing w:before="0" w:beforeAutospacing="0" w:after="0" w:afterAutospacing="0"/>
                    <w:ind w:left="0" w:leftChars="0" w:right="0" w:rightChars="0" w:firstLine="132" w:firstLineChars="0"/>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南厂区</w:t>
                  </w:r>
                </w:p>
              </w:tc>
              <w:tc>
                <w:tcPr>
                  <w:tcW w:w="4218" w:type="dxa"/>
                  <w:tcBorders>
                    <w:tl2br w:val="nil"/>
                    <w:tr2bl w:val="nil"/>
                  </w:tcBorders>
                  <w:noWrap w:val="0"/>
                  <w:vAlign w:val="center"/>
                </w:tcPr>
                <w:p w14:paraId="219F5EE4">
                  <w:pPr>
                    <w:keepNext w:val="0"/>
                    <w:keepLines w:val="0"/>
                    <w:suppressLineNumbers w:val="0"/>
                    <w:snapToGrid w:val="0"/>
                    <w:spacing w:before="0" w:beforeAutospacing="0" w:after="0" w:afterAutospacing="0"/>
                    <w:ind w:left="0" w:leftChars="0" w:right="0" w:rightChars="0" w:firstLine="132"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成品仓库</w:t>
                  </w:r>
                  <w:r>
                    <w:rPr>
                      <w:rFonts w:hint="eastAsia"/>
                      <w:color w:val="auto"/>
                      <w:sz w:val="21"/>
                      <w:szCs w:val="21"/>
                      <w:highlight w:val="none"/>
                      <w:lang w:eastAsia="zh-CN"/>
                    </w:rPr>
                    <w:t>，</w:t>
                  </w:r>
                  <w:r>
                    <w:rPr>
                      <w:rFonts w:hint="eastAsia"/>
                      <w:color w:val="auto"/>
                      <w:sz w:val="21"/>
                      <w:szCs w:val="21"/>
                      <w:highlight w:val="none"/>
                    </w:rPr>
                    <w:t>建筑面积</w:t>
                  </w:r>
                  <w:r>
                    <w:rPr>
                      <w:rFonts w:hint="eastAsia"/>
                      <w:color w:val="auto"/>
                      <w:sz w:val="21"/>
                      <w:szCs w:val="21"/>
                      <w:highlight w:val="none"/>
                      <w:lang w:eastAsia="zh-CN"/>
                    </w:rPr>
                    <w:t>约</w:t>
                  </w:r>
                  <w:r>
                    <w:rPr>
                      <w:rFonts w:hint="eastAsia"/>
                      <w:color w:val="auto"/>
                      <w:sz w:val="21"/>
                      <w:szCs w:val="21"/>
                      <w:highlight w:val="none"/>
                    </w:rPr>
                    <w:t>为</w:t>
                  </w:r>
                  <w:r>
                    <w:rPr>
                      <w:rFonts w:hint="eastAsia"/>
                      <w:color w:val="auto"/>
                      <w:sz w:val="21"/>
                      <w:szCs w:val="21"/>
                      <w:highlight w:val="none"/>
                      <w:lang w:val="en-US" w:eastAsia="zh-CN"/>
                    </w:rPr>
                    <w:t>7376.64</w:t>
                  </w:r>
                  <w:r>
                    <w:rPr>
                      <w:rFonts w:hint="eastAsia"/>
                      <w:color w:val="auto"/>
                      <w:sz w:val="21"/>
                      <w:szCs w:val="21"/>
                      <w:highlight w:val="none"/>
                    </w:rPr>
                    <w:t>m</w:t>
                  </w:r>
                  <w:r>
                    <w:rPr>
                      <w:rFonts w:hint="default" w:ascii="Times New Roman" w:hAnsi="Times New Roman" w:cs="Times New Roman"/>
                      <w:color w:val="auto"/>
                      <w:sz w:val="21"/>
                      <w:szCs w:val="21"/>
                      <w:highlight w:val="none"/>
                    </w:rPr>
                    <w:t>²</w:t>
                  </w:r>
                </w:p>
              </w:tc>
              <w:tc>
                <w:tcPr>
                  <w:tcW w:w="1114" w:type="dxa"/>
                  <w:vMerge w:val="continue"/>
                  <w:tcBorders>
                    <w:tl2br w:val="nil"/>
                    <w:tr2bl w:val="nil"/>
                  </w:tcBorders>
                  <w:noWrap w:val="0"/>
                  <w:vAlign w:val="center"/>
                </w:tcPr>
                <w:p w14:paraId="4E8A4AC9">
                  <w:pPr>
                    <w:keepNext w:val="0"/>
                    <w:keepLines w:val="0"/>
                    <w:suppressLineNumbers w:val="0"/>
                    <w:snapToGrid w:val="0"/>
                    <w:spacing w:before="0" w:beforeAutospacing="0" w:after="0" w:afterAutospacing="0"/>
                    <w:ind w:left="0" w:leftChars="0" w:right="0" w:rightChars="0"/>
                    <w:jc w:val="center"/>
                    <w:rPr>
                      <w:rFonts w:hint="eastAsia" w:hAnsi="宋体"/>
                      <w:color w:val="000000"/>
                      <w:sz w:val="21"/>
                      <w:szCs w:val="21"/>
                      <w:lang w:val="en-US" w:eastAsia="zh-CN"/>
                    </w:rPr>
                  </w:pPr>
                </w:p>
              </w:tc>
            </w:tr>
            <w:tr w14:paraId="7978AC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2" w:type="dxa"/>
                  <w:vMerge w:val="restart"/>
                  <w:tcBorders>
                    <w:tl2br w:val="nil"/>
                    <w:tr2bl w:val="nil"/>
                  </w:tcBorders>
                  <w:noWrap w:val="0"/>
                  <w:vAlign w:val="center"/>
                </w:tcPr>
                <w:p w14:paraId="1423F226">
                  <w:pPr>
                    <w:keepNext w:val="0"/>
                    <w:keepLines w:val="0"/>
                    <w:suppressLineNumbers w:val="0"/>
                    <w:snapToGrid w:val="0"/>
                    <w:spacing w:before="0" w:beforeAutospacing="0" w:after="0" w:afterAutospacing="0" w:line="240" w:lineRule="auto"/>
                    <w:ind w:left="0" w:leftChars="0" w:right="0" w:right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公用工程</w:t>
                  </w:r>
                </w:p>
              </w:tc>
              <w:tc>
                <w:tcPr>
                  <w:tcW w:w="1081" w:type="dxa"/>
                  <w:tcBorders>
                    <w:tl2br w:val="nil"/>
                    <w:tr2bl w:val="nil"/>
                  </w:tcBorders>
                  <w:noWrap w:val="0"/>
                  <w:vAlign w:val="center"/>
                </w:tcPr>
                <w:p w14:paraId="16D4C8ED">
                  <w:pPr>
                    <w:keepNext w:val="0"/>
                    <w:keepLines w:val="0"/>
                    <w:suppressLineNumbers w:val="0"/>
                    <w:snapToGrid w:val="0"/>
                    <w:spacing w:before="0" w:beforeAutospacing="0" w:after="0" w:afterAutospacing="0" w:line="240" w:lineRule="auto"/>
                    <w:ind w:left="0" w:right="0" w:rightChars="0"/>
                    <w:jc w:val="center"/>
                    <w:rPr>
                      <w:rFonts w:hint="default"/>
                      <w:color w:val="auto"/>
                      <w:sz w:val="21"/>
                      <w:szCs w:val="21"/>
                      <w:highlight w:val="none"/>
                    </w:rPr>
                  </w:pPr>
                  <w:r>
                    <w:rPr>
                      <w:rFonts w:hint="default"/>
                      <w:color w:val="auto"/>
                      <w:sz w:val="21"/>
                      <w:szCs w:val="21"/>
                      <w:highlight w:val="none"/>
                    </w:rPr>
                    <w:t>给水</w:t>
                  </w:r>
                </w:p>
              </w:tc>
              <w:tc>
                <w:tcPr>
                  <w:tcW w:w="5535" w:type="dxa"/>
                  <w:gridSpan w:val="4"/>
                  <w:tcBorders>
                    <w:tl2br w:val="nil"/>
                    <w:tr2bl w:val="nil"/>
                  </w:tcBorders>
                  <w:noWrap w:val="0"/>
                  <w:vAlign w:val="center"/>
                </w:tcPr>
                <w:p w14:paraId="00A1D78F">
                  <w:pPr>
                    <w:keepNext w:val="0"/>
                    <w:keepLines w:val="0"/>
                    <w:suppressLineNumbers w:val="0"/>
                    <w:snapToGrid w:val="0"/>
                    <w:spacing w:before="0" w:beforeAutospacing="0" w:after="0" w:afterAutospacing="0"/>
                    <w:ind w:left="0" w:right="0"/>
                    <w:jc w:val="center"/>
                    <w:rPr>
                      <w:rFonts w:hint="default" w:eastAsia="宋体"/>
                      <w:color w:val="auto"/>
                      <w:sz w:val="21"/>
                      <w:szCs w:val="21"/>
                      <w:highlight w:val="none"/>
                      <w:lang w:val="en-US" w:eastAsia="zh-CN"/>
                    </w:rPr>
                  </w:pPr>
                  <w:r>
                    <w:rPr>
                      <w:rFonts w:hint="eastAsia"/>
                      <w:color w:val="000000" w:themeColor="text1"/>
                      <w:sz w:val="21"/>
                      <w:szCs w:val="21"/>
                      <w:highlight w:val="none"/>
                      <w:lang w:val="en-US" w:eastAsia="zh-CN"/>
                      <w14:textFill>
                        <w14:solidFill>
                          <w14:schemeClr w14:val="tx1"/>
                        </w14:solidFill>
                      </w14:textFill>
                    </w:rPr>
                    <w:t>市政统一供水</w:t>
                  </w:r>
                </w:p>
              </w:tc>
              <w:tc>
                <w:tcPr>
                  <w:tcW w:w="1127" w:type="dxa"/>
                  <w:gridSpan w:val="2"/>
                  <w:tcBorders>
                    <w:tl2br w:val="nil"/>
                    <w:tr2bl w:val="nil"/>
                  </w:tcBorders>
                  <w:noWrap w:val="0"/>
                  <w:vAlign w:val="center"/>
                </w:tcPr>
                <w:p w14:paraId="3223398E">
                  <w:pPr>
                    <w:keepNext w:val="0"/>
                    <w:keepLines w:val="0"/>
                    <w:suppressLineNumbers w:val="0"/>
                    <w:snapToGrid w:val="0"/>
                    <w:spacing w:before="0" w:beforeAutospacing="0" w:after="0" w:afterAutospacing="0"/>
                    <w:ind w:left="0" w:right="0"/>
                    <w:jc w:val="center"/>
                    <w:rPr>
                      <w:rFonts w:hint="eastAsia" w:eastAsia="宋体"/>
                      <w:color w:val="auto"/>
                      <w:sz w:val="21"/>
                      <w:szCs w:val="21"/>
                      <w:highlight w:val="none"/>
                      <w:lang w:val="en-US" w:eastAsia="zh-CN"/>
                    </w:rPr>
                  </w:pPr>
                  <w:r>
                    <w:rPr>
                      <w:rFonts w:hint="eastAsia" w:hAnsi="宋体"/>
                      <w:color w:val="000000"/>
                      <w:sz w:val="21"/>
                      <w:szCs w:val="21"/>
                      <w:lang w:val="en-US" w:eastAsia="zh-CN"/>
                    </w:rPr>
                    <w:t>依托现有</w:t>
                  </w:r>
                </w:p>
              </w:tc>
            </w:tr>
            <w:tr w14:paraId="0239D5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1062" w:type="dxa"/>
                  <w:vMerge w:val="continue"/>
                  <w:tcBorders>
                    <w:tl2br w:val="nil"/>
                    <w:tr2bl w:val="nil"/>
                  </w:tcBorders>
                  <w:noWrap w:val="0"/>
                  <w:vAlign w:val="center"/>
                </w:tcPr>
                <w:p w14:paraId="6EC729A3">
                  <w:pPr>
                    <w:keepNext w:val="0"/>
                    <w:keepLines w:val="0"/>
                    <w:suppressLineNumbers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p>
              </w:tc>
              <w:tc>
                <w:tcPr>
                  <w:tcW w:w="1081" w:type="dxa"/>
                  <w:tcBorders>
                    <w:tl2br w:val="nil"/>
                    <w:tr2bl w:val="nil"/>
                  </w:tcBorders>
                  <w:noWrap w:val="0"/>
                  <w:vAlign w:val="center"/>
                </w:tcPr>
                <w:p w14:paraId="4CC7DE7C">
                  <w:pPr>
                    <w:keepNext w:val="0"/>
                    <w:keepLines w:val="0"/>
                    <w:suppressLineNumbers w:val="0"/>
                    <w:snapToGrid w:val="0"/>
                    <w:spacing w:before="0" w:beforeAutospacing="0" w:after="0" w:afterAutospacing="0" w:line="240" w:lineRule="auto"/>
                    <w:ind w:left="0" w:leftChars="0" w:right="0" w:rightChars="0"/>
                    <w:jc w:val="center"/>
                    <w:rPr>
                      <w:rFonts w:hint="default"/>
                      <w:color w:val="auto"/>
                      <w:sz w:val="21"/>
                      <w:szCs w:val="21"/>
                      <w:highlight w:val="none"/>
                    </w:rPr>
                  </w:pPr>
                  <w:r>
                    <w:rPr>
                      <w:rFonts w:hint="default"/>
                      <w:color w:val="auto"/>
                      <w:sz w:val="21"/>
                      <w:szCs w:val="21"/>
                      <w:highlight w:val="none"/>
                    </w:rPr>
                    <w:t>供电</w:t>
                  </w:r>
                </w:p>
              </w:tc>
              <w:tc>
                <w:tcPr>
                  <w:tcW w:w="5535" w:type="dxa"/>
                  <w:gridSpan w:val="4"/>
                  <w:tcBorders>
                    <w:tl2br w:val="nil"/>
                    <w:tr2bl w:val="nil"/>
                  </w:tcBorders>
                  <w:noWrap w:val="0"/>
                  <w:vAlign w:val="center"/>
                </w:tcPr>
                <w:p w14:paraId="21A30A42">
                  <w:pPr>
                    <w:keepNext w:val="0"/>
                    <w:keepLines w:val="0"/>
                    <w:suppressLineNumbers w:val="0"/>
                    <w:snapToGrid w:val="0"/>
                    <w:spacing w:before="0" w:beforeAutospacing="0" w:after="0" w:afterAutospacing="0"/>
                    <w:ind w:left="0" w:right="0"/>
                    <w:jc w:val="center"/>
                    <w:rPr>
                      <w:rFonts w:hint="eastAsia"/>
                      <w:b w:val="0"/>
                      <w:bCs/>
                      <w:color w:val="auto"/>
                      <w:sz w:val="21"/>
                      <w:szCs w:val="21"/>
                      <w:highlight w:val="none"/>
                      <w:u w:val="none"/>
                      <w:lang w:val="en-US" w:eastAsia="zh-CN"/>
                    </w:rPr>
                  </w:pPr>
                  <w:r>
                    <w:rPr>
                      <w:rFonts w:hint="default"/>
                      <w:color w:val="000000"/>
                      <w:sz w:val="21"/>
                      <w:szCs w:val="21"/>
                    </w:rPr>
                    <w:t>由国家电网供给</w:t>
                  </w:r>
                </w:p>
              </w:tc>
              <w:tc>
                <w:tcPr>
                  <w:tcW w:w="1127" w:type="dxa"/>
                  <w:gridSpan w:val="2"/>
                  <w:tcBorders>
                    <w:tl2br w:val="nil"/>
                    <w:tr2bl w:val="nil"/>
                  </w:tcBorders>
                  <w:noWrap w:val="0"/>
                  <w:vAlign w:val="center"/>
                </w:tcPr>
                <w:p w14:paraId="2005B319">
                  <w:pPr>
                    <w:keepNext w:val="0"/>
                    <w:keepLines w:val="0"/>
                    <w:suppressLineNumbers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hAnsi="宋体"/>
                      <w:color w:val="000000"/>
                      <w:sz w:val="21"/>
                      <w:szCs w:val="21"/>
                      <w:lang w:val="en-US" w:eastAsia="zh-CN"/>
                    </w:rPr>
                    <w:t>依托现有</w:t>
                  </w:r>
                </w:p>
              </w:tc>
            </w:tr>
            <w:tr w14:paraId="2E62E7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2" w:type="dxa"/>
                  <w:vMerge w:val="restart"/>
                  <w:noWrap w:val="0"/>
                  <w:vAlign w:val="center"/>
                </w:tcPr>
                <w:p w14:paraId="7B0A175C">
                  <w:pPr>
                    <w:keepNext w:val="0"/>
                    <w:keepLines w:val="0"/>
                    <w:widowControl/>
                    <w:suppressLineNumbers w:val="0"/>
                    <w:snapToGrid w:val="0"/>
                    <w:spacing w:before="0" w:beforeAutospacing="0" w:after="0" w:afterAutospacing="0" w:line="240" w:lineRule="auto"/>
                    <w:ind w:left="0" w:leftChars="0" w:right="0" w:right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环保工程</w:t>
                  </w:r>
                </w:p>
              </w:tc>
              <w:tc>
                <w:tcPr>
                  <w:tcW w:w="1081" w:type="dxa"/>
                  <w:vMerge w:val="restart"/>
                  <w:noWrap w:val="0"/>
                  <w:vAlign w:val="center"/>
                </w:tcPr>
                <w:p w14:paraId="0983E7F9">
                  <w:pPr>
                    <w:keepNext w:val="0"/>
                    <w:keepLines w:val="0"/>
                    <w:suppressLineNumbers w:val="0"/>
                    <w:snapToGrid w:val="0"/>
                    <w:spacing w:before="0" w:beforeAutospacing="0" w:after="0" w:afterAutospacing="0" w:line="240" w:lineRule="auto"/>
                    <w:ind w:left="0" w:right="0" w:rightChars="0"/>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废气治理</w:t>
                  </w:r>
                </w:p>
              </w:tc>
              <w:tc>
                <w:tcPr>
                  <w:tcW w:w="720" w:type="dxa"/>
                  <w:vMerge w:val="restart"/>
                  <w:noWrap w:val="0"/>
                  <w:vAlign w:val="center"/>
                </w:tcPr>
                <w:p w14:paraId="4EF8702E">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both"/>
                    <w:textAlignment w:val="auto"/>
                    <w:rPr>
                      <w:rFonts w:hint="default" w:cs="Times New Roman" w:eastAsiaTheme="minorEastAsia"/>
                      <w:color w:val="000000" w:themeColor="text1"/>
                      <w:sz w:val="21"/>
                      <w:szCs w:val="21"/>
                      <w:highlight w:val="none"/>
                      <w:lang w:val="en-US" w:eastAsia="zh-CN"/>
                      <w14:textFill>
                        <w14:solidFill>
                          <w14:schemeClr w14:val="tx1"/>
                        </w14:solidFill>
                      </w14:textFill>
                    </w:rPr>
                  </w:pPr>
                  <w:r>
                    <w:rPr>
                      <w:rFonts w:hint="eastAsia" w:cs="Times New Roman" w:eastAsiaTheme="minorEastAsia"/>
                      <w:color w:val="000000" w:themeColor="text1"/>
                      <w:sz w:val="21"/>
                      <w:szCs w:val="21"/>
                      <w:highlight w:val="none"/>
                      <w:lang w:val="en-US" w:eastAsia="zh-CN"/>
                      <w14:textFill>
                        <w14:solidFill>
                          <w14:schemeClr w14:val="tx1"/>
                        </w14:solidFill>
                      </w14:textFill>
                    </w:rPr>
                    <w:t>北厂区</w:t>
                  </w:r>
                </w:p>
              </w:tc>
              <w:tc>
                <w:tcPr>
                  <w:tcW w:w="4815" w:type="dxa"/>
                  <w:gridSpan w:val="3"/>
                  <w:noWrap w:val="0"/>
                  <w:vAlign w:val="center"/>
                </w:tcPr>
                <w:p w14:paraId="07440A3E">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both"/>
                    <w:textAlignment w:val="auto"/>
                    <w:rPr>
                      <w:rFonts w:hint="default" w:cs="Times New Roman" w:eastAsiaTheme="minorEastAsia"/>
                      <w:color w:val="000000" w:themeColor="text1"/>
                      <w:sz w:val="21"/>
                      <w:szCs w:val="21"/>
                      <w:highlight w:val="none"/>
                      <w:lang w:val="en-US" w:eastAsia="zh-CN"/>
                      <w14:textFill>
                        <w14:solidFill>
                          <w14:schemeClr w14:val="tx1"/>
                        </w14:solidFill>
                      </w14:textFill>
                    </w:rPr>
                  </w:pPr>
                  <w:r>
                    <w:rPr>
                      <w:rFonts w:hint="eastAsia" w:cs="Times New Roman" w:eastAsiaTheme="minorEastAsia"/>
                      <w:color w:val="000000" w:themeColor="text1"/>
                      <w:sz w:val="21"/>
                      <w:szCs w:val="21"/>
                      <w:highlight w:val="none"/>
                      <w:lang w:val="en-US" w:eastAsia="zh-CN"/>
                      <w14:textFill>
                        <w14:solidFill>
                          <w14:schemeClr w14:val="tx1"/>
                        </w14:solidFill>
                      </w14:textFill>
                    </w:rPr>
                    <w:t>正极材料配料（投料）废气废气经负压收集至袋式除尘器治理后提供过15米高排气筒（DA001）排放。</w:t>
                  </w:r>
                </w:p>
              </w:tc>
              <w:tc>
                <w:tcPr>
                  <w:tcW w:w="1127" w:type="dxa"/>
                  <w:gridSpan w:val="2"/>
                  <w:vMerge w:val="restart"/>
                  <w:noWrap w:val="0"/>
                  <w:vAlign w:val="center"/>
                </w:tcPr>
                <w:p w14:paraId="7BF3CD2C">
                  <w:pPr>
                    <w:keepNext w:val="0"/>
                    <w:keepLines w:val="0"/>
                    <w:widowControl/>
                    <w:suppressLineNumbers w:val="0"/>
                    <w:snapToGrid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hAnsi="宋体"/>
                      <w:color w:val="000000"/>
                      <w:sz w:val="21"/>
                      <w:szCs w:val="21"/>
                      <w:highlight w:val="none"/>
                      <w:lang w:val="en-US" w:eastAsia="zh-CN"/>
                    </w:rPr>
                    <w:t>依托现有</w:t>
                  </w:r>
                </w:p>
              </w:tc>
            </w:tr>
            <w:tr w14:paraId="764C9C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2" w:type="dxa"/>
                  <w:vMerge w:val="continue"/>
                  <w:noWrap w:val="0"/>
                  <w:vAlign w:val="center"/>
                </w:tcPr>
                <w:p w14:paraId="051A7113">
                  <w:pPr>
                    <w:keepNext w:val="0"/>
                    <w:keepLines w:val="0"/>
                    <w:widowControl/>
                    <w:suppressLineNumbers w:val="0"/>
                    <w:snapToGrid w:val="0"/>
                    <w:spacing w:before="0" w:beforeAutospacing="0" w:after="0" w:afterAutospacing="0" w:line="240" w:lineRule="auto"/>
                    <w:ind w:left="0" w:leftChars="0" w:right="0" w:rightChars="0"/>
                    <w:jc w:val="center"/>
                    <w:rPr>
                      <w:rFonts w:hint="eastAsia"/>
                      <w:color w:val="000000" w:themeColor="text1"/>
                      <w:sz w:val="21"/>
                      <w:szCs w:val="21"/>
                      <w:highlight w:val="none"/>
                      <w:lang w:val="en-US" w:eastAsia="zh-CN"/>
                      <w14:textFill>
                        <w14:solidFill>
                          <w14:schemeClr w14:val="tx1"/>
                        </w14:solidFill>
                      </w14:textFill>
                    </w:rPr>
                  </w:pPr>
                </w:p>
              </w:tc>
              <w:tc>
                <w:tcPr>
                  <w:tcW w:w="1081" w:type="dxa"/>
                  <w:vMerge w:val="continue"/>
                  <w:noWrap w:val="0"/>
                  <w:vAlign w:val="center"/>
                </w:tcPr>
                <w:p w14:paraId="6ED1D908">
                  <w:pPr>
                    <w:keepNext w:val="0"/>
                    <w:keepLines w:val="0"/>
                    <w:suppressLineNumbers w:val="0"/>
                    <w:snapToGrid w:val="0"/>
                    <w:spacing w:before="0" w:beforeAutospacing="0" w:after="0" w:afterAutospacing="0" w:line="240" w:lineRule="auto"/>
                    <w:ind w:left="0" w:right="0" w:rightChars="0"/>
                    <w:jc w:val="center"/>
                    <w:rPr>
                      <w:rFonts w:hint="eastAsia"/>
                      <w:color w:val="000000" w:themeColor="text1"/>
                      <w:sz w:val="21"/>
                      <w:szCs w:val="21"/>
                      <w:highlight w:val="none"/>
                      <w:lang w:val="en-US" w:eastAsia="zh-CN"/>
                      <w14:textFill>
                        <w14:solidFill>
                          <w14:schemeClr w14:val="tx1"/>
                        </w14:solidFill>
                      </w14:textFill>
                    </w:rPr>
                  </w:pPr>
                </w:p>
              </w:tc>
              <w:tc>
                <w:tcPr>
                  <w:tcW w:w="720" w:type="dxa"/>
                  <w:vMerge w:val="continue"/>
                  <w:noWrap w:val="0"/>
                  <w:vAlign w:val="center"/>
                </w:tcPr>
                <w:p w14:paraId="07972D3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both"/>
                    <w:textAlignment w:val="auto"/>
                    <w:rPr>
                      <w:rFonts w:hint="default" w:hAnsi="宋体"/>
                      <w:bCs/>
                      <w:color w:val="auto"/>
                      <w:sz w:val="21"/>
                      <w:szCs w:val="21"/>
                      <w:highlight w:val="none"/>
                      <w:lang w:val="en-US" w:eastAsia="zh-CN"/>
                    </w:rPr>
                  </w:pPr>
                </w:p>
              </w:tc>
              <w:tc>
                <w:tcPr>
                  <w:tcW w:w="4815" w:type="dxa"/>
                  <w:gridSpan w:val="3"/>
                  <w:noWrap w:val="0"/>
                  <w:vAlign w:val="center"/>
                </w:tcPr>
                <w:p w14:paraId="3B782412">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both"/>
                    <w:textAlignment w:val="auto"/>
                    <w:rPr>
                      <w:rFonts w:hint="eastAsia" w:hAnsi="宋体" w:eastAsia="宋体"/>
                      <w:bCs/>
                      <w:color w:val="auto"/>
                      <w:sz w:val="21"/>
                      <w:szCs w:val="21"/>
                      <w:highlight w:val="none"/>
                      <w:lang w:val="en-US" w:eastAsia="zh-CN"/>
                    </w:rPr>
                  </w:pPr>
                  <w:r>
                    <w:rPr>
                      <w:rFonts w:hint="eastAsia" w:hAnsi="宋体"/>
                      <w:bCs/>
                      <w:color w:val="auto"/>
                      <w:sz w:val="21"/>
                      <w:szCs w:val="21"/>
                      <w:highlight w:val="none"/>
                      <w:lang w:val="en-US" w:eastAsia="zh-CN"/>
                    </w:rPr>
                    <w:t>涂布烘干、储罐呼吸废气经负压收集至</w:t>
                  </w:r>
                  <w:r>
                    <w:rPr>
                      <w:rFonts w:hint="eastAsia"/>
                      <w:sz w:val="21"/>
                      <w:szCs w:val="21"/>
                      <w:highlight w:val="none"/>
                    </w:rPr>
                    <w:t>NMP高塔回收系统一并治理后通入3#生产车间顶层排气筒（DA003）排出</w:t>
                  </w:r>
                  <w:r>
                    <w:rPr>
                      <w:rFonts w:hint="eastAsia"/>
                      <w:sz w:val="21"/>
                      <w:szCs w:val="21"/>
                      <w:highlight w:val="none"/>
                      <w:lang w:eastAsia="zh-CN"/>
                    </w:rPr>
                    <w:t>。</w:t>
                  </w:r>
                </w:p>
              </w:tc>
              <w:tc>
                <w:tcPr>
                  <w:tcW w:w="1127" w:type="dxa"/>
                  <w:gridSpan w:val="2"/>
                  <w:vMerge w:val="continue"/>
                  <w:noWrap w:val="0"/>
                  <w:vAlign w:val="center"/>
                </w:tcPr>
                <w:p w14:paraId="40E646A8">
                  <w:pPr>
                    <w:keepNext w:val="0"/>
                    <w:keepLines w:val="0"/>
                    <w:widowControl/>
                    <w:suppressLineNumbers w:val="0"/>
                    <w:snapToGrid w:val="0"/>
                    <w:spacing w:before="0" w:beforeAutospacing="0" w:after="0" w:afterAutospacing="0"/>
                    <w:ind w:left="0" w:right="0"/>
                    <w:jc w:val="center"/>
                    <w:rPr>
                      <w:rFonts w:hint="eastAsia" w:hAnsi="宋体"/>
                      <w:color w:val="000000"/>
                      <w:sz w:val="21"/>
                      <w:szCs w:val="21"/>
                      <w:highlight w:val="none"/>
                      <w:lang w:val="en-US" w:eastAsia="zh-CN"/>
                    </w:rPr>
                  </w:pPr>
                </w:p>
              </w:tc>
            </w:tr>
            <w:tr w14:paraId="2540E4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2" w:type="dxa"/>
                  <w:vMerge w:val="continue"/>
                  <w:noWrap w:val="0"/>
                  <w:vAlign w:val="center"/>
                </w:tcPr>
                <w:p w14:paraId="4D3F21B3">
                  <w:pPr>
                    <w:keepNext w:val="0"/>
                    <w:keepLines w:val="0"/>
                    <w:widowControl/>
                    <w:suppressLineNumbers w:val="0"/>
                    <w:snapToGrid w:val="0"/>
                    <w:spacing w:before="0" w:beforeAutospacing="0" w:after="0" w:afterAutospacing="0" w:line="240" w:lineRule="auto"/>
                    <w:ind w:left="0" w:leftChars="0" w:right="0" w:rightChars="0"/>
                    <w:jc w:val="center"/>
                    <w:rPr>
                      <w:rFonts w:hint="eastAsia"/>
                      <w:color w:val="000000" w:themeColor="text1"/>
                      <w:sz w:val="21"/>
                      <w:szCs w:val="21"/>
                      <w:highlight w:val="none"/>
                      <w:lang w:val="en-US" w:eastAsia="zh-CN"/>
                      <w14:textFill>
                        <w14:solidFill>
                          <w14:schemeClr w14:val="tx1"/>
                        </w14:solidFill>
                      </w14:textFill>
                    </w:rPr>
                  </w:pPr>
                </w:p>
              </w:tc>
              <w:tc>
                <w:tcPr>
                  <w:tcW w:w="1081" w:type="dxa"/>
                  <w:vMerge w:val="continue"/>
                  <w:noWrap w:val="0"/>
                  <w:vAlign w:val="center"/>
                </w:tcPr>
                <w:p w14:paraId="07761D8E">
                  <w:pPr>
                    <w:keepNext w:val="0"/>
                    <w:keepLines w:val="0"/>
                    <w:suppressLineNumbers w:val="0"/>
                    <w:snapToGrid w:val="0"/>
                    <w:spacing w:before="0" w:beforeAutospacing="0" w:after="0" w:afterAutospacing="0" w:line="240" w:lineRule="auto"/>
                    <w:ind w:left="0" w:right="0" w:rightChars="0"/>
                    <w:jc w:val="center"/>
                    <w:rPr>
                      <w:rFonts w:hint="eastAsia"/>
                      <w:color w:val="000000" w:themeColor="text1"/>
                      <w:sz w:val="21"/>
                      <w:szCs w:val="21"/>
                      <w:highlight w:val="none"/>
                      <w:lang w:val="en-US" w:eastAsia="zh-CN"/>
                      <w14:textFill>
                        <w14:solidFill>
                          <w14:schemeClr w14:val="tx1"/>
                        </w14:solidFill>
                      </w14:textFill>
                    </w:rPr>
                  </w:pPr>
                </w:p>
              </w:tc>
              <w:tc>
                <w:tcPr>
                  <w:tcW w:w="720" w:type="dxa"/>
                  <w:vMerge w:val="continue"/>
                  <w:noWrap w:val="0"/>
                  <w:vAlign w:val="center"/>
                </w:tcPr>
                <w:p w14:paraId="3279B3F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both"/>
                    <w:textAlignment w:val="auto"/>
                    <w:rPr>
                      <w:rFonts w:hint="default" w:hAnsi="宋体"/>
                      <w:bCs/>
                      <w:color w:val="auto"/>
                      <w:sz w:val="21"/>
                      <w:szCs w:val="21"/>
                      <w:highlight w:val="none"/>
                      <w:lang w:val="en-US" w:eastAsia="zh-CN"/>
                    </w:rPr>
                  </w:pPr>
                </w:p>
              </w:tc>
              <w:tc>
                <w:tcPr>
                  <w:tcW w:w="4815" w:type="dxa"/>
                  <w:gridSpan w:val="3"/>
                  <w:noWrap w:val="0"/>
                  <w:vAlign w:val="center"/>
                </w:tcPr>
                <w:p w14:paraId="2FB322BF">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both"/>
                    <w:textAlignment w:val="auto"/>
                    <w:rPr>
                      <w:rFonts w:hint="default" w:hAnsi="宋体"/>
                      <w:bCs/>
                      <w:color w:val="auto"/>
                      <w:sz w:val="21"/>
                      <w:szCs w:val="21"/>
                      <w:highlight w:val="none"/>
                      <w:lang w:val="en-US" w:eastAsia="zh-CN"/>
                    </w:rPr>
                  </w:pPr>
                  <w:r>
                    <w:rPr>
                      <w:rFonts w:hint="eastAsia" w:hAnsi="宋体"/>
                      <w:bCs/>
                      <w:color w:val="auto"/>
                      <w:sz w:val="21"/>
                      <w:szCs w:val="21"/>
                      <w:highlight w:val="none"/>
                      <w:lang w:val="en-US" w:eastAsia="zh-CN"/>
                    </w:rPr>
                    <w:t>注液工序废气经</w:t>
                  </w:r>
                  <w:r>
                    <w:rPr>
                      <w:rFonts w:hint="eastAsia"/>
                      <w:sz w:val="21"/>
                      <w:szCs w:val="21"/>
                      <w:highlight w:val="none"/>
                    </w:rPr>
                    <w:t>活性炭吸附装置-脱附+催化燃烧装置处理后通入3#车间排气筒（DA003）排出。</w:t>
                  </w:r>
                </w:p>
              </w:tc>
              <w:tc>
                <w:tcPr>
                  <w:tcW w:w="1127" w:type="dxa"/>
                  <w:gridSpan w:val="2"/>
                  <w:vMerge w:val="continue"/>
                  <w:noWrap w:val="0"/>
                  <w:vAlign w:val="center"/>
                </w:tcPr>
                <w:p w14:paraId="56BDAADE">
                  <w:pPr>
                    <w:keepNext w:val="0"/>
                    <w:keepLines w:val="0"/>
                    <w:widowControl/>
                    <w:suppressLineNumbers w:val="0"/>
                    <w:snapToGrid w:val="0"/>
                    <w:spacing w:before="0" w:beforeAutospacing="0" w:after="0" w:afterAutospacing="0"/>
                    <w:ind w:left="0" w:right="0"/>
                    <w:jc w:val="center"/>
                    <w:rPr>
                      <w:rFonts w:hint="default" w:hAnsi="宋体"/>
                      <w:color w:val="000000"/>
                      <w:sz w:val="21"/>
                      <w:szCs w:val="21"/>
                      <w:highlight w:val="none"/>
                      <w:lang w:val="en-US" w:eastAsia="zh-CN"/>
                    </w:rPr>
                  </w:pPr>
                </w:p>
              </w:tc>
            </w:tr>
            <w:tr w14:paraId="0BBD14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2" w:type="dxa"/>
                  <w:vMerge w:val="continue"/>
                  <w:noWrap w:val="0"/>
                  <w:vAlign w:val="center"/>
                </w:tcPr>
                <w:p w14:paraId="3C0AD07F">
                  <w:pPr>
                    <w:keepNext w:val="0"/>
                    <w:keepLines w:val="0"/>
                    <w:widowControl/>
                    <w:suppressLineNumbers w:val="0"/>
                    <w:snapToGrid w:val="0"/>
                    <w:spacing w:before="0" w:beforeAutospacing="0" w:after="0" w:afterAutospacing="0" w:line="240" w:lineRule="auto"/>
                    <w:ind w:left="0" w:leftChars="0" w:right="0" w:rightChars="0"/>
                    <w:jc w:val="center"/>
                    <w:rPr>
                      <w:rFonts w:hint="eastAsia"/>
                      <w:color w:val="000000" w:themeColor="text1"/>
                      <w:sz w:val="21"/>
                      <w:szCs w:val="21"/>
                      <w:highlight w:val="none"/>
                      <w:lang w:val="en-US" w:eastAsia="zh-CN"/>
                      <w14:textFill>
                        <w14:solidFill>
                          <w14:schemeClr w14:val="tx1"/>
                        </w14:solidFill>
                      </w14:textFill>
                    </w:rPr>
                  </w:pPr>
                </w:p>
              </w:tc>
              <w:tc>
                <w:tcPr>
                  <w:tcW w:w="1081" w:type="dxa"/>
                  <w:vMerge w:val="continue"/>
                  <w:noWrap w:val="0"/>
                  <w:vAlign w:val="center"/>
                </w:tcPr>
                <w:p w14:paraId="30AE42B3">
                  <w:pPr>
                    <w:keepNext w:val="0"/>
                    <w:keepLines w:val="0"/>
                    <w:suppressLineNumbers w:val="0"/>
                    <w:snapToGrid w:val="0"/>
                    <w:spacing w:before="0" w:beforeAutospacing="0" w:after="0" w:afterAutospacing="0" w:line="240" w:lineRule="auto"/>
                    <w:ind w:left="0" w:right="0" w:rightChars="0"/>
                    <w:jc w:val="center"/>
                    <w:rPr>
                      <w:rFonts w:hint="eastAsia"/>
                      <w:color w:val="000000" w:themeColor="text1"/>
                      <w:sz w:val="21"/>
                      <w:szCs w:val="21"/>
                      <w:highlight w:val="none"/>
                      <w:lang w:val="en-US" w:eastAsia="zh-CN"/>
                      <w14:textFill>
                        <w14:solidFill>
                          <w14:schemeClr w14:val="tx1"/>
                        </w14:solidFill>
                      </w14:textFill>
                    </w:rPr>
                  </w:pPr>
                </w:p>
              </w:tc>
              <w:tc>
                <w:tcPr>
                  <w:tcW w:w="720" w:type="dxa"/>
                  <w:vMerge w:val="restart"/>
                  <w:noWrap w:val="0"/>
                  <w:vAlign w:val="center"/>
                </w:tcPr>
                <w:p w14:paraId="1FF8B25E">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both"/>
                    <w:textAlignment w:val="auto"/>
                    <w:rPr>
                      <w:rFonts w:hint="default" w:hAnsi="宋体"/>
                      <w:bCs/>
                      <w:color w:val="auto"/>
                      <w:sz w:val="21"/>
                      <w:szCs w:val="21"/>
                      <w:highlight w:val="none"/>
                      <w:lang w:val="en-US" w:eastAsia="zh-CN"/>
                    </w:rPr>
                  </w:pPr>
                  <w:r>
                    <w:rPr>
                      <w:rFonts w:hint="eastAsia" w:hAnsi="宋体"/>
                      <w:bCs/>
                      <w:color w:val="auto"/>
                      <w:sz w:val="21"/>
                      <w:szCs w:val="21"/>
                      <w:highlight w:val="none"/>
                      <w:lang w:val="en-US" w:eastAsia="zh-CN"/>
                    </w:rPr>
                    <w:t>南厂区</w:t>
                  </w:r>
                </w:p>
              </w:tc>
              <w:tc>
                <w:tcPr>
                  <w:tcW w:w="4815" w:type="dxa"/>
                  <w:gridSpan w:val="3"/>
                  <w:noWrap w:val="0"/>
                  <w:vAlign w:val="center"/>
                </w:tcPr>
                <w:p w14:paraId="05C0ED30">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both"/>
                    <w:textAlignment w:val="auto"/>
                    <w:rPr>
                      <w:rFonts w:hint="default" w:hAnsi="宋体"/>
                      <w:bCs/>
                      <w:color w:val="auto"/>
                      <w:sz w:val="21"/>
                      <w:szCs w:val="21"/>
                      <w:highlight w:val="yellow"/>
                      <w:lang w:val="en-US" w:eastAsia="zh-CN"/>
                    </w:rPr>
                  </w:pPr>
                  <w:r>
                    <w:rPr>
                      <w:rFonts w:hint="eastAsia" w:cs="Times New Roman" w:eastAsiaTheme="minorEastAsia"/>
                      <w:color w:val="000000" w:themeColor="text1"/>
                      <w:sz w:val="21"/>
                      <w:szCs w:val="21"/>
                      <w:highlight w:val="none"/>
                      <w:lang w:val="en-US" w:eastAsia="zh-CN"/>
                      <w14:textFill>
                        <w14:solidFill>
                          <w14:schemeClr w14:val="tx1"/>
                        </w14:solidFill>
                      </w14:textFill>
                    </w:rPr>
                    <w:t>正极材料配料（投料）废气经负压收集至袋式除尘器治理后提供过15米高排气筒（DA002）排放。</w:t>
                  </w:r>
                </w:p>
              </w:tc>
              <w:tc>
                <w:tcPr>
                  <w:tcW w:w="1127" w:type="dxa"/>
                  <w:gridSpan w:val="2"/>
                  <w:vMerge w:val="restart"/>
                  <w:noWrap w:val="0"/>
                  <w:vAlign w:val="center"/>
                </w:tcPr>
                <w:p w14:paraId="378B6961">
                  <w:pPr>
                    <w:keepNext w:val="0"/>
                    <w:keepLines w:val="0"/>
                    <w:widowControl/>
                    <w:suppressLineNumbers w:val="0"/>
                    <w:snapToGrid w:val="0"/>
                    <w:spacing w:before="0" w:beforeAutospacing="0" w:after="0" w:afterAutospacing="0"/>
                    <w:ind w:left="0" w:right="0"/>
                    <w:jc w:val="center"/>
                    <w:rPr>
                      <w:rFonts w:hint="default" w:hAnsi="宋体"/>
                      <w:color w:val="000000"/>
                      <w:sz w:val="21"/>
                      <w:szCs w:val="21"/>
                      <w:highlight w:val="none"/>
                      <w:lang w:val="en-US" w:eastAsia="zh-CN"/>
                    </w:rPr>
                  </w:pPr>
                  <w:r>
                    <w:rPr>
                      <w:rFonts w:hint="eastAsia" w:hAnsi="宋体"/>
                      <w:color w:val="000000"/>
                      <w:sz w:val="21"/>
                      <w:szCs w:val="21"/>
                      <w:highlight w:val="none"/>
                      <w:lang w:val="en-US" w:eastAsia="zh-CN"/>
                    </w:rPr>
                    <w:t>依托现有</w:t>
                  </w:r>
                </w:p>
              </w:tc>
            </w:tr>
            <w:tr w14:paraId="433E79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2" w:type="dxa"/>
                  <w:vMerge w:val="continue"/>
                  <w:noWrap w:val="0"/>
                  <w:vAlign w:val="center"/>
                </w:tcPr>
                <w:p w14:paraId="01A6FC7E">
                  <w:pPr>
                    <w:keepNext w:val="0"/>
                    <w:keepLines w:val="0"/>
                    <w:widowControl/>
                    <w:suppressLineNumbers w:val="0"/>
                    <w:snapToGrid w:val="0"/>
                    <w:spacing w:before="0" w:beforeAutospacing="0" w:after="0" w:afterAutospacing="0" w:line="240" w:lineRule="auto"/>
                    <w:ind w:left="0" w:leftChars="0" w:right="0" w:rightChars="0"/>
                    <w:jc w:val="center"/>
                    <w:rPr>
                      <w:rFonts w:hint="eastAsia"/>
                      <w:color w:val="000000" w:themeColor="text1"/>
                      <w:sz w:val="21"/>
                      <w:szCs w:val="21"/>
                      <w:highlight w:val="none"/>
                      <w:lang w:val="en-US" w:eastAsia="zh-CN"/>
                      <w14:textFill>
                        <w14:solidFill>
                          <w14:schemeClr w14:val="tx1"/>
                        </w14:solidFill>
                      </w14:textFill>
                    </w:rPr>
                  </w:pPr>
                </w:p>
              </w:tc>
              <w:tc>
                <w:tcPr>
                  <w:tcW w:w="1081" w:type="dxa"/>
                  <w:vMerge w:val="continue"/>
                  <w:noWrap w:val="0"/>
                  <w:vAlign w:val="center"/>
                </w:tcPr>
                <w:p w14:paraId="3489FEBA">
                  <w:pPr>
                    <w:keepNext w:val="0"/>
                    <w:keepLines w:val="0"/>
                    <w:suppressLineNumbers w:val="0"/>
                    <w:snapToGrid w:val="0"/>
                    <w:spacing w:before="0" w:beforeAutospacing="0" w:after="0" w:afterAutospacing="0" w:line="240" w:lineRule="auto"/>
                    <w:ind w:left="0" w:right="0" w:rightChars="0"/>
                    <w:jc w:val="center"/>
                    <w:rPr>
                      <w:rFonts w:hint="eastAsia"/>
                      <w:color w:val="000000" w:themeColor="text1"/>
                      <w:sz w:val="21"/>
                      <w:szCs w:val="21"/>
                      <w:highlight w:val="none"/>
                      <w:lang w:val="en-US" w:eastAsia="zh-CN"/>
                      <w14:textFill>
                        <w14:solidFill>
                          <w14:schemeClr w14:val="tx1"/>
                        </w14:solidFill>
                      </w14:textFill>
                    </w:rPr>
                  </w:pPr>
                </w:p>
              </w:tc>
              <w:tc>
                <w:tcPr>
                  <w:tcW w:w="720" w:type="dxa"/>
                  <w:vMerge w:val="continue"/>
                  <w:noWrap w:val="0"/>
                  <w:vAlign w:val="center"/>
                </w:tcPr>
                <w:p w14:paraId="3F2D9FE0">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both"/>
                    <w:textAlignment w:val="auto"/>
                    <w:rPr>
                      <w:rFonts w:hint="default" w:hAnsi="宋体"/>
                      <w:bCs/>
                      <w:color w:val="auto"/>
                      <w:sz w:val="21"/>
                      <w:szCs w:val="21"/>
                      <w:highlight w:val="yellow"/>
                      <w:lang w:val="en-US" w:eastAsia="zh-CN"/>
                    </w:rPr>
                  </w:pPr>
                </w:p>
              </w:tc>
              <w:tc>
                <w:tcPr>
                  <w:tcW w:w="4815" w:type="dxa"/>
                  <w:gridSpan w:val="3"/>
                  <w:noWrap w:val="0"/>
                  <w:vAlign w:val="center"/>
                </w:tcPr>
                <w:p w14:paraId="04F6A21E">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both"/>
                    <w:textAlignment w:val="auto"/>
                    <w:rPr>
                      <w:rFonts w:hint="default" w:hAnsi="宋体"/>
                      <w:bCs/>
                      <w:color w:val="auto"/>
                      <w:sz w:val="21"/>
                      <w:szCs w:val="21"/>
                      <w:highlight w:val="yellow"/>
                      <w:lang w:val="en-US" w:eastAsia="zh-CN"/>
                    </w:rPr>
                  </w:pPr>
                  <w:r>
                    <w:rPr>
                      <w:rFonts w:hint="eastAsia" w:hAnsi="宋体"/>
                      <w:bCs/>
                      <w:color w:val="auto"/>
                      <w:sz w:val="21"/>
                      <w:szCs w:val="21"/>
                      <w:highlight w:val="none"/>
                      <w:lang w:val="en-US" w:eastAsia="zh-CN"/>
                    </w:rPr>
                    <w:t>涂布烘干、储罐呼吸废气经负压收集至</w:t>
                  </w:r>
                  <w:r>
                    <w:rPr>
                      <w:rFonts w:hint="eastAsia"/>
                      <w:sz w:val="21"/>
                      <w:szCs w:val="21"/>
                      <w:highlight w:val="none"/>
                    </w:rPr>
                    <w:t>NMP高塔回收系统一并治理后通入</w:t>
                  </w:r>
                  <w:r>
                    <w:rPr>
                      <w:rFonts w:hint="eastAsia"/>
                      <w:sz w:val="21"/>
                      <w:szCs w:val="21"/>
                      <w:highlight w:val="none"/>
                      <w:lang w:val="en-US" w:eastAsia="zh-CN"/>
                    </w:rPr>
                    <w:t>5</w:t>
                  </w:r>
                  <w:r>
                    <w:rPr>
                      <w:rFonts w:hint="eastAsia"/>
                      <w:sz w:val="21"/>
                      <w:szCs w:val="21"/>
                      <w:highlight w:val="none"/>
                    </w:rPr>
                    <w:t>#生产车间顶层排气筒（DA00</w:t>
                  </w:r>
                  <w:r>
                    <w:rPr>
                      <w:rFonts w:hint="eastAsia"/>
                      <w:sz w:val="21"/>
                      <w:szCs w:val="21"/>
                      <w:highlight w:val="none"/>
                      <w:lang w:val="en-US" w:eastAsia="zh-CN"/>
                    </w:rPr>
                    <w:t>4</w:t>
                  </w:r>
                  <w:r>
                    <w:rPr>
                      <w:rFonts w:hint="eastAsia"/>
                      <w:sz w:val="21"/>
                      <w:szCs w:val="21"/>
                      <w:highlight w:val="none"/>
                    </w:rPr>
                    <w:t>）排出</w:t>
                  </w:r>
                  <w:r>
                    <w:rPr>
                      <w:rFonts w:hint="eastAsia"/>
                      <w:sz w:val="21"/>
                      <w:szCs w:val="21"/>
                      <w:highlight w:val="none"/>
                      <w:lang w:eastAsia="zh-CN"/>
                    </w:rPr>
                    <w:t>。</w:t>
                  </w:r>
                </w:p>
              </w:tc>
              <w:tc>
                <w:tcPr>
                  <w:tcW w:w="1127" w:type="dxa"/>
                  <w:gridSpan w:val="2"/>
                  <w:vMerge w:val="continue"/>
                  <w:noWrap w:val="0"/>
                  <w:vAlign w:val="center"/>
                </w:tcPr>
                <w:p w14:paraId="7B004517">
                  <w:pPr>
                    <w:keepNext w:val="0"/>
                    <w:keepLines w:val="0"/>
                    <w:widowControl/>
                    <w:suppressLineNumbers w:val="0"/>
                    <w:snapToGrid w:val="0"/>
                    <w:spacing w:before="0" w:beforeAutospacing="0" w:after="0" w:afterAutospacing="0"/>
                    <w:ind w:left="0" w:right="0"/>
                    <w:jc w:val="center"/>
                    <w:rPr>
                      <w:rFonts w:hint="eastAsia" w:hAnsi="宋体"/>
                      <w:color w:val="000000"/>
                      <w:sz w:val="21"/>
                      <w:szCs w:val="21"/>
                      <w:highlight w:val="none"/>
                      <w:lang w:val="en-US" w:eastAsia="zh-CN"/>
                    </w:rPr>
                  </w:pPr>
                </w:p>
              </w:tc>
            </w:tr>
            <w:tr w14:paraId="74E28D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2" w:type="dxa"/>
                  <w:vMerge w:val="continue"/>
                  <w:noWrap w:val="0"/>
                  <w:vAlign w:val="center"/>
                </w:tcPr>
                <w:p w14:paraId="170A29B1">
                  <w:pPr>
                    <w:keepNext w:val="0"/>
                    <w:keepLines w:val="0"/>
                    <w:widowControl/>
                    <w:suppressLineNumbers w:val="0"/>
                    <w:snapToGrid w:val="0"/>
                    <w:spacing w:before="0" w:beforeAutospacing="0" w:after="0" w:afterAutospacing="0" w:line="240" w:lineRule="auto"/>
                    <w:ind w:left="0" w:leftChars="0" w:right="0" w:rightChars="0"/>
                    <w:jc w:val="center"/>
                    <w:rPr>
                      <w:rFonts w:hint="eastAsia"/>
                      <w:color w:val="000000" w:themeColor="text1"/>
                      <w:sz w:val="21"/>
                      <w:szCs w:val="21"/>
                      <w:highlight w:val="none"/>
                      <w:lang w:val="en-US" w:eastAsia="zh-CN"/>
                      <w14:textFill>
                        <w14:solidFill>
                          <w14:schemeClr w14:val="tx1"/>
                        </w14:solidFill>
                      </w14:textFill>
                    </w:rPr>
                  </w:pPr>
                </w:p>
              </w:tc>
              <w:tc>
                <w:tcPr>
                  <w:tcW w:w="1081" w:type="dxa"/>
                  <w:vMerge w:val="continue"/>
                  <w:noWrap w:val="0"/>
                  <w:vAlign w:val="center"/>
                </w:tcPr>
                <w:p w14:paraId="2D127B5F">
                  <w:pPr>
                    <w:keepNext w:val="0"/>
                    <w:keepLines w:val="0"/>
                    <w:suppressLineNumbers w:val="0"/>
                    <w:snapToGrid w:val="0"/>
                    <w:spacing w:before="0" w:beforeAutospacing="0" w:after="0" w:afterAutospacing="0" w:line="240" w:lineRule="auto"/>
                    <w:ind w:left="0" w:right="0" w:rightChars="0"/>
                    <w:jc w:val="center"/>
                    <w:rPr>
                      <w:rFonts w:hint="eastAsia"/>
                      <w:color w:val="000000" w:themeColor="text1"/>
                      <w:sz w:val="21"/>
                      <w:szCs w:val="21"/>
                      <w:highlight w:val="none"/>
                      <w:lang w:val="en-US" w:eastAsia="zh-CN"/>
                      <w14:textFill>
                        <w14:solidFill>
                          <w14:schemeClr w14:val="tx1"/>
                        </w14:solidFill>
                      </w14:textFill>
                    </w:rPr>
                  </w:pPr>
                </w:p>
              </w:tc>
              <w:tc>
                <w:tcPr>
                  <w:tcW w:w="720" w:type="dxa"/>
                  <w:vMerge w:val="continue"/>
                  <w:noWrap w:val="0"/>
                  <w:vAlign w:val="center"/>
                </w:tcPr>
                <w:p w14:paraId="069FF0C5">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both"/>
                    <w:textAlignment w:val="auto"/>
                    <w:rPr>
                      <w:rFonts w:hint="default" w:hAnsi="宋体"/>
                      <w:bCs/>
                      <w:color w:val="auto"/>
                      <w:sz w:val="21"/>
                      <w:szCs w:val="21"/>
                      <w:highlight w:val="yellow"/>
                      <w:lang w:val="en-US" w:eastAsia="zh-CN"/>
                    </w:rPr>
                  </w:pPr>
                </w:p>
              </w:tc>
              <w:tc>
                <w:tcPr>
                  <w:tcW w:w="4815" w:type="dxa"/>
                  <w:gridSpan w:val="3"/>
                  <w:noWrap w:val="0"/>
                  <w:vAlign w:val="center"/>
                </w:tcPr>
                <w:p w14:paraId="6C40CFDF">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both"/>
                    <w:textAlignment w:val="auto"/>
                    <w:rPr>
                      <w:rFonts w:hint="default" w:hAnsi="宋体"/>
                      <w:bCs/>
                      <w:color w:val="auto"/>
                      <w:sz w:val="21"/>
                      <w:szCs w:val="21"/>
                      <w:highlight w:val="yellow"/>
                      <w:lang w:val="en-US" w:eastAsia="zh-CN"/>
                    </w:rPr>
                  </w:pPr>
                  <w:r>
                    <w:rPr>
                      <w:rFonts w:hint="eastAsia" w:hAnsi="宋体"/>
                      <w:bCs/>
                      <w:color w:val="auto"/>
                      <w:sz w:val="21"/>
                      <w:szCs w:val="21"/>
                      <w:highlight w:val="none"/>
                      <w:lang w:val="en-US" w:eastAsia="zh-CN"/>
                    </w:rPr>
                    <w:t>注液工序废气经</w:t>
                  </w:r>
                  <w:r>
                    <w:rPr>
                      <w:rFonts w:hint="eastAsia"/>
                      <w:sz w:val="21"/>
                      <w:szCs w:val="21"/>
                      <w:highlight w:val="none"/>
                    </w:rPr>
                    <w:t>活性炭吸附装置-脱附+催化燃烧装置处理后通入</w:t>
                  </w:r>
                  <w:r>
                    <w:rPr>
                      <w:rFonts w:hint="eastAsia"/>
                      <w:sz w:val="21"/>
                      <w:szCs w:val="21"/>
                      <w:highlight w:val="none"/>
                      <w:lang w:val="en-US" w:eastAsia="zh-CN"/>
                    </w:rPr>
                    <w:t>5</w:t>
                  </w:r>
                  <w:r>
                    <w:rPr>
                      <w:rFonts w:hint="eastAsia"/>
                      <w:sz w:val="21"/>
                      <w:szCs w:val="21"/>
                      <w:highlight w:val="none"/>
                    </w:rPr>
                    <w:t>#车间排气筒（DA00</w:t>
                  </w:r>
                  <w:r>
                    <w:rPr>
                      <w:rFonts w:hint="eastAsia"/>
                      <w:sz w:val="21"/>
                      <w:szCs w:val="21"/>
                      <w:highlight w:val="none"/>
                      <w:lang w:val="en-US" w:eastAsia="zh-CN"/>
                    </w:rPr>
                    <w:t>4</w:t>
                  </w:r>
                  <w:r>
                    <w:rPr>
                      <w:rFonts w:hint="eastAsia"/>
                      <w:sz w:val="21"/>
                      <w:szCs w:val="21"/>
                      <w:highlight w:val="none"/>
                    </w:rPr>
                    <w:t>）排出。</w:t>
                  </w:r>
                </w:p>
              </w:tc>
              <w:tc>
                <w:tcPr>
                  <w:tcW w:w="1127" w:type="dxa"/>
                  <w:gridSpan w:val="2"/>
                  <w:vMerge w:val="continue"/>
                  <w:noWrap w:val="0"/>
                  <w:vAlign w:val="center"/>
                </w:tcPr>
                <w:p w14:paraId="46CFB743">
                  <w:pPr>
                    <w:keepNext w:val="0"/>
                    <w:keepLines w:val="0"/>
                    <w:widowControl/>
                    <w:suppressLineNumbers w:val="0"/>
                    <w:snapToGrid w:val="0"/>
                    <w:spacing w:before="0" w:beforeAutospacing="0" w:after="0" w:afterAutospacing="0"/>
                    <w:ind w:left="0" w:right="0"/>
                    <w:jc w:val="center"/>
                    <w:rPr>
                      <w:rFonts w:hint="eastAsia" w:hAnsi="宋体"/>
                      <w:color w:val="000000"/>
                      <w:sz w:val="21"/>
                      <w:szCs w:val="21"/>
                      <w:highlight w:val="none"/>
                      <w:lang w:val="en-US" w:eastAsia="zh-CN"/>
                    </w:rPr>
                  </w:pPr>
                </w:p>
              </w:tc>
            </w:tr>
            <w:tr w14:paraId="1DD1F3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2" w:type="dxa"/>
                  <w:vMerge w:val="continue"/>
                  <w:noWrap w:val="0"/>
                  <w:vAlign w:val="center"/>
                </w:tcPr>
                <w:p w14:paraId="281AF451">
                  <w:pPr>
                    <w:keepNext w:val="0"/>
                    <w:keepLines w:val="0"/>
                    <w:widowControl/>
                    <w:suppressLineNumbers w:val="0"/>
                    <w:snapToGrid w:val="0"/>
                    <w:spacing w:before="0" w:beforeAutospacing="0" w:after="0" w:afterAutospacing="0" w:line="240" w:lineRule="auto"/>
                    <w:ind w:left="0" w:leftChars="0" w:right="0" w:rightChars="0"/>
                    <w:jc w:val="center"/>
                    <w:rPr>
                      <w:rFonts w:hint="eastAsia"/>
                      <w:color w:val="000000" w:themeColor="text1"/>
                      <w:sz w:val="21"/>
                      <w:szCs w:val="21"/>
                      <w:highlight w:val="none"/>
                      <w:lang w:val="en-US" w:eastAsia="zh-CN"/>
                      <w14:textFill>
                        <w14:solidFill>
                          <w14:schemeClr w14:val="tx1"/>
                        </w14:solidFill>
                      </w14:textFill>
                    </w:rPr>
                  </w:pPr>
                </w:p>
              </w:tc>
              <w:tc>
                <w:tcPr>
                  <w:tcW w:w="1081" w:type="dxa"/>
                  <w:noWrap w:val="0"/>
                  <w:vAlign w:val="center"/>
                </w:tcPr>
                <w:p w14:paraId="6F4BC784">
                  <w:pPr>
                    <w:keepNext w:val="0"/>
                    <w:keepLines w:val="0"/>
                    <w:suppressLineNumbers w:val="0"/>
                    <w:snapToGrid w:val="0"/>
                    <w:spacing w:before="0" w:beforeAutospacing="0" w:after="0" w:afterAutospacing="0" w:line="240" w:lineRule="auto"/>
                    <w:ind w:left="0" w:right="0" w:right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废水治理</w:t>
                  </w:r>
                </w:p>
              </w:tc>
              <w:tc>
                <w:tcPr>
                  <w:tcW w:w="5535" w:type="dxa"/>
                  <w:gridSpan w:val="4"/>
                  <w:noWrap w:val="0"/>
                  <w:vAlign w:val="center"/>
                </w:tcPr>
                <w:p w14:paraId="7503AC01">
                  <w:pPr>
                    <w:keepNext w:val="0"/>
                    <w:keepLines w:val="0"/>
                    <w:widowControl/>
                    <w:suppressLineNumbers w:val="0"/>
                    <w:spacing w:before="0" w:beforeAutospacing="0" w:after="0" w:afterAutospacing="0"/>
                    <w:ind w:left="0" w:right="0"/>
                    <w:jc w:val="left"/>
                    <w:rPr>
                      <w:rFonts w:hint="default"/>
                    </w:rPr>
                  </w:pPr>
                  <w:r>
                    <w:rPr>
                      <w:rFonts w:hint="eastAsia" w:ascii="宋体" w:hAnsi="宋体" w:eastAsia="宋体" w:cs="宋体"/>
                      <w:color w:val="000000"/>
                      <w:kern w:val="0"/>
                      <w:sz w:val="21"/>
                      <w:szCs w:val="21"/>
                      <w:lang w:val="en-US" w:eastAsia="zh-CN" w:bidi="ar"/>
                    </w:rPr>
                    <w:t>生产废水经沉淀池沉淀后排入厂区污水处理站处理（处理能力：</w:t>
                  </w:r>
                  <w:r>
                    <w:rPr>
                      <w:rFonts w:hint="eastAsia" w:cs="Times New Roman"/>
                      <w:color w:val="000000"/>
                      <w:kern w:val="0"/>
                      <w:sz w:val="21"/>
                      <w:szCs w:val="21"/>
                      <w:lang w:val="en-US" w:eastAsia="zh-CN" w:bidi="ar"/>
                    </w:rPr>
                    <w:t>30</w:t>
                  </w:r>
                  <w:r>
                    <w:rPr>
                      <w:rFonts w:hint="default" w:ascii="Times New Roman" w:hAnsi="Times New Roman" w:eastAsia="宋体" w:cs="Times New Roman"/>
                      <w:color w:val="000000"/>
                      <w:kern w:val="0"/>
                      <w:sz w:val="21"/>
                      <w:szCs w:val="21"/>
                      <w:lang w:val="en-US" w:eastAsia="zh-CN" w:bidi="ar"/>
                    </w:rPr>
                    <w:t>0t/d</w:t>
                  </w:r>
                  <w:r>
                    <w:rPr>
                      <w:rFonts w:hint="eastAsia" w:ascii="宋体" w:hAnsi="宋体" w:eastAsia="宋体" w:cs="宋体"/>
                      <w:color w:val="000000"/>
                      <w:kern w:val="0"/>
                      <w:sz w:val="21"/>
                      <w:szCs w:val="21"/>
                      <w:lang w:val="en-US" w:eastAsia="zh-CN" w:bidi="ar"/>
                    </w:rPr>
                    <w:t>；处理工艺：“混凝沉淀</w:t>
                  </w:r>
                  <w:r>
                    <w:rPr>
                      <w:rFonts w:hint="default" w:ascii="Times New Roman" w:hAnsi="Times New Roman" w:eastAsia="宋体" w:cs="Times New Roman"/>
                      <w:color w:val="000000"/>
                      <w:kern w:val="0"/>
                      <w:sz w:val="21"/>
                      <w:szCs w:val="21"/>
                      <w:lang w:val="en-US" w:eastAsia="zh-CN" w:bidi="ar"/>
                    </w:rPr>
                    <w:t>+</w:t>
                  </w:r>
                  <w:r>
                    <w:rPr>
                      <w:rFonts w:hint="eastAsia" w:ascii="宋体" w:hAnsi="宋体" w:eastAsia="宋体" w:cs="宋体"/>
                      <w:color w:val="000000"/>
                      <w:kern w:val="0"/>
                      <w:sz w:val="21"/>
                      <w:szCs w:val="21"/>
                      <w:lang w:val="en-US" w:eastAsia="zh-CN" w:bidi="ar"/>
                    </w:rPr>
                    <w:t>水解酸化（厌氧）</w:t>
                  </w:r>
                </w:p>
                <w:p w14:paraId="3BB6EC23">
                  <w:pPr>
                    <w:keepNext w:val="0"/>
                    <w:keepLines w:val="0"/>
                    <w:widowControl/>
                    <w:suppressLineNumbers w:val="0"/>
                    <w:spacing w:before="0" w:beforeAutospacing="0" w:after="0" w:afterAutospacing="0"/>
                    <w:ind w:left="0" w:right="0"/>
                    <w:jc w:val="left"/>
                    <w:rPr>
                      <w:rFonts w:hint="default" w:hAnsi="宋体"/>
                      <w:bCs/>
                      <w:color w:val="auto"/>
                      <w:sz w:val="21"/>
                      <w:szCs w:val="21"/>
                      <w:highlight w:val="none"/>
                      <w:lang w:val="en-US" w:eastAsia="zh-CN"/>
                    </w:rPr>
                  </w:pPr>
                  <w:r>
                    <w:rPr>
                      <w:rFonts w:hint="default" w:ascii="Times New Roman" w:hAnsi="Times New Roman" w:eastAsia="宋体" w:cs="Times New Roman"/>
                      <w:color w:val="000000"/>
                      <w:kern w:val="0"/>
                      <w:sz w:val="21"/>
                      <w:szCs w:val="21"/>
                      <w:lang w:val="en-US" w:eastAsia="zh-CN" w:bidi="ar"/>
                    </w:rPr>
                    <w:t xml:space="preserve">+AO </w:t>
                  </w:r>
                  <w:r>
                    <w:rPr>
                      <w:rFonts w:hint="eastAsia" w:ascii="宋体" w:hAnsi="宋体" w:eastAsia="宋体" w:cs="宋体"/>
                      <w:color w:val="000000"/>
                      <w:kern w:val="0"/>
                      <w:sz w:val="21"/>
                      <w:szCs w:val="21"/>
                      <w:lang w:val="en-US" w:eastAsia="zh-CN" w:bidi="ar"/>
                    </w:rPr>
                    <w:t>工艺”）处理后，经厂区总排口排入新乡县综合污水处理厂进一步处理；</w:t>
                  </w:r>
                </w:p>
              </w:tc>
              <w:tc>
                <w:tcPr>
                  <w:tcW w:w="1127" w:type="dxa"/>
                  <w:gridSpan w:val="2"/>
                  <w:noWrap w:val="0"/>
                  <w:vAlign w:val="center"/>
                </w:tcPr>
                <w:p w14:paraId="416C14A3">
                  <w:pPr>
                    <w:keepNext w:val="0"/>
                    <w:keepLines w:val="0"/>
                    <w:widowControl/>
                    <w:suppressLineNumbers w:val="0"/>
                    <w:snapToGrid w:val="0"/>
                    <w:spacing w:before="0" w:beforeAutospacing="0" w:after="0" w:afterAutospacing="0"/>
                    <w:ind w:left="0" w:right="0"/>
                    <w:jc w:val="center"/>
                    <w:rPr>
                      <w:rFonts w:hint="default" w:hAnsi="宋体"/>
                      <w:color w:val="000000"/>
                      <w:sz w:val="21"/>
                      <w:szCs w:val="21"/>
                      <w:highlight w:val="none"/>
                      <w:lang w:val="en-US" w:eastAsia="zh-CN"/>
                    </w:rPr>
                  </w:pPr>
                  <w:r>
                    <w:rPr>
                      <w:rFonts w:hint="eastAsia" w:hAnsi="宋体"/>
                      <w:color w:val="000000"/>
                      <w:sz w:val="21"/>
                      <w:szCs w:val="21"/>
                      <w:lang w:val="en-US" w:eastAsia="zh-CN"/>
                    </w:rPr>
                    <w:t>依托现有</w:t>
                  </w:r>
                </w:p>
              </w:tc>
            </w:tr>
            <w:tr w14:paraId="3BEC0A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2" w:type="dxa"/>
                  <w:vMerge w:val="continue"/>
                  <w:noWrap w:val="0"/>
                  <w:vAlign w:val="center"/>
                </w:tcPr>
                <w:p w14:paraId="4F5585B5">
                  <w:pPr>
                    <w:keepNext w:val="0"/>
                    <w:keepLines w:val="0"/>
                    <w:widowControl/>
                    <w:suppressLineNumbers w:val="0"/>
                    <w:snapToGrid w:val="0"/>
                    <w:spacing w:before="0" w:beforeAutospacing="0" w:after="0" w:afterAutospacing="0" w:line="240" w:lineRule="auto"/>
                    <w:ind w:left="0" w:right="0"/>
                    <w:jc w:val="left"/>
                    <w:rPr>
                      <w:rFonts w:hint="default"/>
                      <w:color w:val="000000" w:themeColor="text1"/>
                      <w:sz w:val="21"/>
                      <w:szCs w:val="21"/>
                      <w:highlight w:val="none"/>
                      <w14:textFill>
                        <w14:solidFill>
                          <w14:schemeClr w14:val="tx1"/>
                        </w14:solidFill>
                      </w14:textFill>
                    </w:rPr>
                  </w:pPr>
                </w:p>
              </w:tc>
              <w:tc>
                <w:tcPr>
                  <w:tcW w:w="1081" w:type="dxa"/>
                  <w:noWrap w:val="0"/>
                  <w:vAlign w:val="center"/>
                </w:tcPr>
                <w:p w14:paraId="3530EE21">
                  <w:pPr>
                    <w:keepNext w:val="0"/>
                    <w:keepLines w:val="0"/>
                    <w:suppressLineNumbers w:val="0"/>
                    <w:snapToGrid w:val="0"/>
                    <w:spacing w:before="0" w:beforeAutospacing="0" w:after="0" w:afterAutospacing="0" w:line="240" w:lineRule="auto"/>
                    <w:ind w:left="0" w:leftChars="0" w:right="0" w:right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噪声治理</w:t>
                  </w:r>
                </w:p>
              </w:tc>
              <w:tc>
                <w:tcPr>
                  <w:tcW w:w="5535" w:type="dxa"/>
                  <w:gridSpan w:val="4"/>
                  <w:noWrap w:val="0"/>
                  <w:vAlign w:val="center"/>
                </w:tcPr>
                <w:p w14:paraId="59C9B94C">
                  <w:pPr>
                    <w:keepNext w:val="0"/>
                    <w:keepLines w:val="0"/>
                    <w:suppressLineNumbers w:val="0"/>
                    <w:snapToGrid w:val="0"/>
                    <w:spacing w:before="0" w:beforeAutospacing="0" w:after="0" w:afterAutospacing="0"/>
                    <w:ind w:left="0" w:leftChars="0" w:right="0" w:rightChars="0" w:firstLine="132"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距离衰减、厂房隔声等</w:t>
                  </w:r>
                </w:p>
              </w:tc>
              <w:tc>
                <w:tcPr>
                  <w:tcW w:w="1127" w:type="dxa"/>
                  <w:gridSpan w:val="2"/>
                  <w:noWrap w:val="0"/>
                  <w:vAlign w:val="center"/>
                </w:tcPr>
                <w:p w14:paraId="147544B7">
                  <w:pPr>
                    <w:keepNext w:val="0"/>
                    <w:keepLines w:val="0"/>
                    <w:widowControl/>
                    <w:suppressLineNumbers w:val="0"/>
                    <w:snapToGrid w:val="0"/>
                    <w:spacing w:before="0" w:beforeAutospacing="0" w:after="0" w:afterAutospacing="0"/>
                    <w:ind w:left="0" w:leftChars="0" w:right="0" w:rightChars="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hAnsi="宋体"/>
                      <w:color w:val="000000"/>
                      <w:sz w:val="21"/>
                      <w:szCs w:val="21"/>
                      <w:lang w:val="en-US" w:eastAsia="zh-CN"/>
                    </w:rPr>
                    <w:t>依托现有</w:t>
                  </w:r>
                </w:p>
              </w:tc>
            </w:tr>
            <w:tr w14:paraId="69149A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2" w:type="dxa"/>
                  <w:vMerge w:val="continue"/>
                  <w:noWrap w:val="0"/>
                  <w:vAlign w:val="center"/>
                </w:tcPr>
                <w:p w14:paraId="5054F9C3">
                  <w:pPr>
                    <w:keepNext w:val="0"/>
                    <w:keepLines w:val="0"/>
                    <w:widowControl/>
                    <w:suppressLineNumbers w:val="0"/>
                    <w:snapToGrid w:val="0"/>
                    <w:spacing w:before="0" w:beforeAutospacing="0" w:after="0" w:afterAutospacing="0" w:line="240" w:lineRule="auto"/>
                    <w:ind w:left="0" w:right="0"/>
                    <w:jc w:val="left"/>
                    <w:rPr>
                      <w:rFonts w:hint="default"/>
                      <w:color w:val="000000" w:themeColor="text1"/>
                      <w:sz w:val="21"/>
                      <w:szCs w:val="21"/>
                      <w:highlight w:val="none"/>
                      <w14:textFill>
                        <w14:solidFill>
                          <w14:schemeClr w14:val="tx1"/>
                        </w14:solidFill>
                      </w14:textFill>
                    </w:rPr>
                  </w:pPr>
                </w:p>
              </w:tc>
              <w:tc>
                <w:tcPr>
                  <w:tcW w:w="1081" w:type="dxa"/>
                  <w:vMerge w:val="restart"/>
                  <w:noWrap w:val="0"/>
                  <w:vAlign w:val="center"/>
                </w:tcPr>
                <w:p w14:paraId="4ED02BD5">
                  <w:pPr>
                    <w:keepNext w:val="0"/>
                    <w:keepLines w:val="0"/>
                    <w:suppressLineNumbers w:val="0"/>
                    <w:snapToGrid w:val="0"/>
                    <w:spacing w:before="0" w:beforeAutospacing="0" w:after="0" w:afterAutospacing="0" w:line="240" w:lineRule="auto"/>
                    <w:ind w:left="0" w:leftChars="0" w:right="0" w:right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固废</w:t>
                  </w:r>
                </w:p>
              </w:tc>
              <w:tc>
                <w:tcPr>
                  <w:tcW w:w="5535" w:type="dxa"/>
                  <w:gridSpan w:val="4"/>
                  <w:noWrap w:val="0"/>
                  <w:vAlign w:val="center"/>
                </w:tcPr>
                <w:p w14:paraId="021C2807">
                  <w:pPr>
                    <w:keepNext w:val="0"/>
                    <w:keepLines w:val="0"/>
                    <w:suppressLineNumbers w:val="0"/>
                    <w:snapToGrid w:val="0"/>
                    <w:spacing w:before="0" w:beforeAutospacing="0" w:after="0" w:afterAutospacing="0"/>
                    <w:ind w:left="0" w:leftChars="0" w:right="0" w:rightChars="0" w:firstLine="132"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一般固废暂存间</w:t>
                  </w:r>
                  <w:r>
                    <w:rPr>
                      <w:rFonts w:hint="eastAsia" w:ascii="Times New Roman" w:hAnsi="Times New Roman" w:eastAsia="宋体" w:cs="Times New Roman"/>
                      <w:color w:val="000000" w:themeColor="text1"/>
                      <w:sz w:val="21"/>
                      <w:szCs w:val="21"/>
                      <w:highlight w:val="none"/>
                      <w:u w:val="none"/>
                      <w:lang w:eastAsia="zh-CN"/>
                      <w14:textFill>
                        <w14:solidFill>
                          <w14:schemeClr w14:val="tx1"/>
                        </w14:solidFill>
                      </w14:textFill>
                    </w:rPr>
                    <w:t>一座</w:t>
                  </w: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u w:val="none"/>
                      <w:lang w:eastAsia="zh-CN"/>
                      <w14:textFill>
                        <w14:solidFill>
                          <w14:schemeClr w14:val="tx1"/>
                        </w14:solidFill>
                      </w14:textFill>
                    </w:rPr>
                    <w:t>面积</w:t>
                  </w:r>
                  <w:r>
                    <w:rPr>
                      <w:rFonts w:hint="eastAsia" w:cs="Times New Roman"/>
                      <w:color w:val="000000" w:themeColor="text1"/>
                      <w:sz w:val="21"/>
                      <w:szCs w:val="21"/>
                      <w:highlight w:val="none"/>
                      <w:u w:val="none"/>
                      <w:lang w:val="en-US" w:eastAsia="zh-CN"/>
                      <w14:textFill>
                        <w14:solidFill>
                          <w14:schemeClr w14:val="tx1"/>
                        </w14:solidFill>
                      </w14:textFill>
                    </w:rPr>
                    <w:t>350</w:t>
                  </w: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m²</w:t>
                  </w:r>
                </w:p>
              </w:tc>
              <w:tc>
                <w:tcPr>
                  <w:tcW w:w="1127" w:type="dxa"/>
                  <w:gridSpan w:val="2"/>
                  <w:noWrap w:val="0"/>
                  <w:vAlign w:val="center"/>
                </w:tcPr>
                <w:p w14:paraId="7C8F30C5">
                  <w:pPr>
                    <w:keepNext w:val="0"/>
                    <w:keepLines w:val="0"/>
                    <w:widowControl/>
                    <w:suppressLineNumbers w:val="0"/>
                    <w:snapToGrid w:val="0"/>
                    <w:spacing w:before="0" w:beforeAutospacing="0" w:after="0" w:afterAutospacing="0"/>
                    <w:ind w:left="0" w:leftChars="0" w:right="0" w:rightChars="0"/>
                    <w:jc w:val="center"/>
                    <w:rPr>
                      <w:rFonts w:hint="default" w:hAnsiTheme="minorEastAsia" w:eastAsiaTheme="minorEastAsia"/>
                      <w:color w:val="000000" w:themeColor="text1"/>
                      <w:sz w:val="21"/>
                      <w:szCs w:val="21"/>
                      <w:highlight w:val="none"/>
                      <w:lang w:val="en-US" w:eastAsia="zh-CN"/>
                      <w14:textFill>
                        <w14:solidFill>
                          <w14:schemeClr w14:val="tx1"/>
                        </w14:solidFill>
                      </w14:textFill>
                    </w:rPr>
                  </w:pPr>
                  <w:r>
                    <w:rPr>
                      <w:rFonts w:hint="eastAsia" w:hAnsi="宋体"/>
                      <w:color w:val="000000"/>
                      <w:sz w:val="21"/>
                      <w:szCs w:val="21"/>
                      <w:lang w:val="en-US" w:eastAsia="zh-CN"/>
                    </w:rPr>
                    <w:t>依托现有</w:t>
                  </w:r>
                </w:p>
              </w:tc>
            </w:tr>
            <w:tr w14:paraId="134259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2" w:type="dxa"/>
                  <w:vMerge w:val="continue"/>
                  <w:tcBorders>
                    <w:bottom w:val="single" w:color="auto" w:sz="8" w:space="0"/>
                  </w:tcBorders>
                  <w:noWrap w:val="0"/>
                  <w:vAlign w:val="center"/>
                </w:tcPr>
                <w:p w14:paraId="4DB9E9DE">
                  <w:pPr>
                    <w:keepNext w:val="0"/>
                    <w:keepLines w:val="0"/>
                    <w:widowControl/>
                    <w:suppressLineNumbers w:val="0"/>
                    <w:snapToGrid w:val="0"/>
                    <w:spacing w:before="0" w:beforeAutospacing="0" w:after="0" w:afterAutospacing="0" w:line="240" w:lineRule="auto"/>
                    <w:ind w:left="0" w:right="0"/>
                    <w:jc w:val="left"/>
                    <w:rPr>
                      <w:rFonts w:hint="default"/>
                      <w:color w:val="000000" w:themeColor="text1"/>
                      <w:sz w:val="21"/>
                      <w:szCs w:val="21"/>
                      <w:highlight w:val="none"/>
                      <w14:textFill>
                        <w14:solidFill>
                          <w14:schemeClr w14:val="tx1"/>
                        </w14:solidFill>
                      </w14:textFill>
                    </w:rPr>
                  </w:pPr>
                </w:p>
              </w:tc>
              <w:tc>
                <w:tcPr>
                  <w:tcW w:w="1081" w:type="dxa"/>
                  <w:vMerge w:val="continue"/>
                  <w:tcBorders>
                    <w:bottom w:val="single" w:color="auto" w:sz="8" w:space="0"/>
                  </w:tcBorders>
                  <w:noWrap w:val="0"/>
                  <w:vAlign w:val="center"/>
                </w:tcPr>
                <w:p w14:paraId="38E7E50A">
                  <w:pPr>
                    <w:keepNext w:val="0"/>
                    <w:keepLines w:val="0"/>
                    <w:suppressLineNumbers w:val="0"/>
                    <w:snapToGrid w:val="0"/>
                    <w:spacing w:before="0" w:beforeAutospacing="0" w:after="0" w:afterAutospacing="0" w:line="240" w:lineRule="auto"/>
                    <w:ind w:left="0" w:leftChars="0" w:right="0" w:rightChars="0"/>
                    <w:jc w:val="center"/>
                    <w:rPr>
                      <w:rFonts w:hint="eastAsia"/>
                      <w:color w:val="000000" w:themeColor="text1"/>
                      <w:sz w:val="21"/>
                      <w:szCs w:val="21"/>
                      <w:highlight w:val="none"/>
                      <w:lang w:val="en-US" w:eastAsia="zh-CN"/>
                      <w14:textFill>
                        <w14:solidFill>
                          <w14:schemeClr w14:val="tx1"/>
                        </w14:solidFill>
                      </w14:textFill>
                    </w:rPr>
                  </w:pPr>
                </w:p>
              </w:tc>
              <w:tc>
                <w:tcPr>
                  <w:tcW w:w="5535" w:type="dxa"/>
                  <w:gridSpan w:val="4"/>
                  <w:tcBorders>
                    <w:bottom w:val="single" w:color="auto" w:sz="8" w:space="0"/>
                  </w:tcBorders>
                  <w:noWrap w:val="0"/>
                  <w:vAlign w:val="center"/>
                </w:tcPr>
                <w:p w14:paraId="6351691C">
                  <w:pPr>
                    <w:keepNext w:val="0"/>
                    <w:keepLines w:val="0"/>
                    <w:suppressLineNumbers w:val="0"/>
                    <w:snapToGrid w:val="0"/>
                    <w:spacing w:before="0" w:beforeAutospacing="0" w:after="0" w:afterAutospacing="0"/>
                    <w:ind w:left="0" w:leftChars="0" w:right="0" w:rightChars="0" w:firstLine="132" w:firstLineChars="0"/>
                    <w:jc w:val="center"/>
                    <w:rPr>
                      <w:rFonts w:hint="default" w:ascii="Times New Roman" w:hAnsi="Times New Roman" w:eastAsia="宋体" w:cs="Times New Roman"/>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危险废物暂存间</w:t>
                  </w:r>
                  <w:r>
                    <w:rPr>
                      <w:rFonts w:hint="eastAsia" w:ascii="Times New Roman" w:hAnsi="Times New Roman" w:eastAsia="宋体" w:cs="Times New Roman"/>
                      <w:color w:val="000000" w:themeColor="text1"/>
                      <w:sz w:val="21"/>
                      <w:szCs w:val="21"/>
                      <w:highlight w:val="none"/>
                      <w:u w:val="none"/>
                      <w:lang w:eastAsia="zh-CN"/>
                      <w14:textFill>
                        <w14:solidFill>
                          <w14:schemeClr w14:val="tx1"/>
                        </w14:solidFill>
                      </w14:textFill>
                    </w:rPr>
                    <w:t>一座</w:t>
                  </w: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u w:val="none"/>
                      <w:lang w:eastAsia="zh-CN"/>
                      <w14:textFill>
                        <w14:solidFill>
                          <w14:schemeClr w14:val="tx1"/>
                        </w14:solidFill>
                      </w14:textFill>
                    </w:rPr>
                    <w:t>面积</w:t>
                  </w:r>
                  <w:r>
                    <w:rPr>
                      <w:rFonts w:hint="eastAsia" w:cs="Times New Roman"/>
                      <w:color w:val="000000" w:themeColor="text1"/>
                      <w:sz w:val="21"/>
                      <w:szCs w:val="21"/>
                      <w:highlight w:val="none"/>
                      <w:u w:val="none"/>
                      <w:lang w:val="en-US" w:eastAsia="zh-CN"/>
                      <w14:textFill>
                        <w14:solidFill>
                          <w14:schemeClr w14:val="tx1"/>
                        </w14:solidFill>
                      </w14:textFill>
                    </w:rPr>
                    <w:t>20</w:t>
                  </w: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m²</w:t>
                  </w:r>
                </w:p>
              </w:tc>
              <w:tc>
                <w:tcPr>
                  <w:tcW w:w="1127" w:type="dxa"/>
                  <w:gridSpan w:val="2"/>
                  <w:tcBorders>
                    <w:bottom w:val="single" w:color="auto" w:sz="8" w:space="0"/>
                  </w:tcBorders>
                  <w:noWrap w:val="0"/>
                  <w:vAlign w:val="center"/>
                </w:tcPr>
                <w:p w14:paraId="7BFF9B20">
                  <w:pPr>
                    <w:keepNext w:val="0"/>
                    <w:keepLines w:val="0"/>
                    <w:widowControl/>
                    <w:suppressLineNumbers w:val="0"/>
                    <w:snapToGrid w:val="0"/>
                    <w:spacing w:before="0" w:beforeAutospacing="0" w:after="0" w:afterAutospacing="0"/>
                    <w:ind w:left="0" w:leftChars="0" w:right="0" w:rightChars="0"/>
                    <w:jc w:val="center"/>
                    <w:rPr>
                      <w:rFonts w:hint="default"/>
                      <w:color w:val="000000" w:themeColor="text1"/>
                      <w:sz w:val="21"/>
                      <w:szCs w:val="21"/>
                      <w:highlight w:val="none"/>
                      <w:lang w:val="en-US" w:eastAsia="zh-CN"/>
                      <w14:textFill>
                        <w14:solidFill>
                          <w14:schemeClr w14:val="tx1"/>
                        </w14:solidFill>
                      </w14:textFill>
                    </w:rPr>
                  </w:pPr>
                  <w:r>
                    <w:rPr>
                      <w:rFonts w:hint="eastAsia" w:hAnsi="宋体"/>
                      <w:color w:val="000000"/>
                      <w:sz w:val="21"/>
                      <w:szCs w:val="21"/>
                      <w:lang w:val="en-US" w:eastAsia="zh-CN"/>
                    </w:rPr>
                    <w:t>依托现有</w:t>
                  </w:r>
                </w:p>
              </w:tc>
            </w:tr>
          </w:tbl>
          <w:p w14:paraId="350B8744">
            <w:pPr>
              <w:keepNext w:val="0"/>
              <w:keepLines w:val="0"/>
              <w:suppressLineNumbers w:val="0"/>
              <w:spacing w:before="0" w:beforeAutospacing="0" w:after="0" w:afterAutospacing="0" w:line="440" w:lineRule="exact"/>
              <w:ind w:left="0" w:right="0" w:firstLine="482" w:firstLineChars="200"/>
              <w:rPr>
                <w:rFonts w:hint="default"/>
                <w:b/>
                <w:sz w:val="24"/>
                <w:lang w:val="en-US"/>
              </w:rPr>
            </w:pPr>
            <w:r>
              <w:rPr>
                <w:rFonts w:hint="eastAsia"/>
                <w:b/>
                <w:sz w:val="24"/>
              </w:rPr>
              <w:t>3、</w:t>
            </w:r>
            <w:r>
              <w:rPr>
                <w:rFonts w:hint="eastAsia" w:cs="Times New Roman"/>
                <w:b/>
                <w:bCs/>
                <w:color w:val="000000"/>
                <w:sz w:val="24"/>
                <w:szCs w:val="24"/>
                <w:lang w:val="en-US" w:eastAsia="zh-CN"/>
              </w:rPr>
              <w:t>本项目产品方案</w:t>
            </w:r>
          </w:p>
          <w:p w14:paraId="22385CBF">
            <w:pPr>
              <w:keepNext w:val="0"/>
              <w:keepLines w:val="0"/>
              <w:suppressLineNumbers w:val="0"/>
              <w:spacing w:before="0" w:beforeAutospacing="0" w:after="0" w:afterAutospacing="0" w:line="440" w:lineRule="exact"/>
              <w:ind w:left="0" w:right="0" w:firstLine="480" w:firstLineChars="200"/>
              <w:rPr>
                <w:rFonts w:hint="default"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本项目不新增产品产能，全厂产品方案见下表。</w:t>
            </w:r>
          </w:p>
          <w:p w14:paraId="25579848">
            <w:pPr>
              <w:pStyle w:val="56"/>
              <w:keepNext w:val="0"/>
              <w:keepLines w:val="0"/>
              <w:suppressLineNumbers w:val="0"/>
              <w:spacing w:before="0" w:beforeAutospacing="0" w:after="0" w:afterAutospacing="0" w:line="440" w:lineRule="exact"/>
              <w:ind w:left="0" w:right="0" w:firstLine="0"/>
              <w:jc w:val="center"/>
              <w:rPr>
                <w:rFonts w:hint="default"/>
                <w:sz w:val="24"/>
              </w:rPr>
            </w:pPr>
            <w:r>
              <w:rPr>
                <w:rFonts w:hint="eastAsia" w:ascii="Times New Roman" w:hAnsi="Times New Roman" w:cs="Times New Roman"/>
                <w:b/>
                <w:bCs/>
                <w:color w:val="auto"/>
                <w:sz w:val="24"/>
                <w:szCs w:val="24"/>
                <w:lang w:val="en-US" w:eastAsia="zh-CN"/>
              </w:rPr>
              <w:t>表13</w:t>
            </w:r>
            <w:r>
              <w:rPr>
                <w:rFonts w:hint="eastAsia" w:hAnsi="宋体" w:cs="Times New Roman"/>
                <w:b/>
                <w:bCs/>
                <w:color w:val="000000"/>
                <w:sz w:val="24"/>
                <w:szCs w:val="24"/>
                <w:lang w:val="en-US" w:eastAsia="zh-CN"/>
              </w:rPr>
              <w:t xml:space="preserve"> 企业产品</w:t>
            </w:r>
            <w:r>
              <w:rPr>
                <w:rFonts w:hint="default" w:hAnsi="宋体" w:cs="Times New Roman"/>
                <w:b/>
                <w:bCs/>
                <w:color w:val="000000"/>
                <w:sz w:val="24"/>
                <w:szCs w:val="24"/>
              </w:rPr>
              <w:t>方案</w:t>
            </w:r>
            <w:r>
              <w:rPr>
                <w:rFonts w:hint="eastAsia" w:hAnsi="宋体" w:cs="Times New Roman"/>
                <w:b/>
                <w:bCs/>
                <w:color w:val="000000"/>
                <w:sz w:val="24"/>
                <w:szCs w:val="24"/>
                <w:lang w:val="en-US" w:eastAsia="zh-CN"/>
              </w:rPr>
              <w:t>一览表</w:t>
            </w:r>
          </w:p>
          <w:tbl>
            <w:tblPr>
              <w:tblStyle w:val="23"/>
              <w:tblW w:w="5000"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850"/>
              <w:gridCol w:w="1545"/>
              <w:gridCol w:w="2528"/>
              <w:gridCol w:w="3882"/>
            </w:tblGrid>
            <w:tr w14:paraId="5843DB50">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850" w:type="dxa"/>
                  <w:tcBorders>
                    <w:left w:val="nil"/>
                    <w:bottom w:val="single" w:color="auto" w:sz="8" w:space="0"/>
                    <w:right w:val="single" w:color="auto" w:sz="4" w:space="0"/>
                  </w:tcBorders>
                  <w:noWrap w:val="0"/>
                  <w:vAlign w:val="center"/>
                </w:tcPr>
                <w:p w14:paraId="4F8DB431">
                  <w:pPr>
                    <w:keepNext w:val="0"/>
                    <w:keepLines w:val="0"/>
                    <w:suppressLineNumbers w:val="0"/>
                    <w:adjustRightInd w:val="0"/>
                    <w:snapToGrid w:val="0"/>
                    <w:spacing w:before="0" w:beforeAutospacing="0" w:after="0" w:afterAutospacing="0"/>
                    <w:ind w:left="0" w:right="0"/>
                    <w:jc w:val="center"/>
                    <w:rPr>
                      <w:rFonts w:hint="eastAsia" w:eastAsia="宋体"/>
                      <w:b/>
                      <w:sz w:val="21"/>
                      <w:szCs w:val="21"/>
                      <w:lang w:eastAsia="zh-CN"/>
                    </w:rPr>
                  </w:pPr>
                  <w:r>
                    <w:rPr>
                      <w:rFonts w:hint="eastAsia"/>
                      <w:b/>
                      <w:sz w:val="21"/>
                      <w:szCs w:val="21"/>
                      <w:lang w:val="en-US" w:eastAsia="zh-CN"/>
                    </w:rPr>
                    <w:t>序号</w:t>
                  </w:r>
                </w:p>
              </w:tc>
              <w:tc>
                <w:tcPr>
                  <w:tcW w:w="1545" w:type="dxa"/>
                  <w:tcBorders>
                    <w:left w:val="single" w:color="auto" w:sz="4" w:space="0"/>
                    <w:bottom w:val="single" w:color="auto" w:sz="8" w:space="0"/>
                    <w:right w:val="single" w:color="auto" w:sz="4" w:space="0"/>
                  </w:tcBorders>
                  <w:noWrap w:val="0"/>
                  <w:vAlign w:val="center"/>
                </w:tcPr>
                <w:p w14:paraId="02E85AC7">
                  <w:pPr>
                    <w:keepNext w:val="0"/>
                    <w:keepLines w:val="0"/>
                    <w:suppressLineNumbers w:val="0"/>
                    <w:adjustRightInd w:val="0"/>
                    <w:snapToGrid w:val="0"/>
                    <w:spacing w:before="0" w:beforeAutospacing="0" w:after="0" w:afterAutospacing="0"/>
                    <w:ind w:left="0" w:right="0"/>
                    <w:jc w:val="center"/>
                    <w:rPr>
                      <w:rFonts w:hint="default" w:eastAsia="宋体"/>
                      <w:b/>
                      <w:sz w:val="21"/>
                      <w:szCs w:val="21"/>
                      <w:lang w:val="en-US" w:eastAsia="zh-CN"/>
                    </w:rPr>
                  </w:pPr>
                  <w:r>
                    <w:rPr>
                      <w:rFonts w:hint="eastAsia"/>
                      <w:b/>
                      <w:sz w:val="21"/>
                      <w:szCs w:val="21"/>
                      <w:lang w:val="en-US" w:eastAsia="zh-CN"/>
                    </w:rPr>
                    <w:t>名称</w:t>
                  </w:r>
                </w:p>
              </w:tc>
              <w:tc>
                <w:tcPr>
                  <w:tcW w:w="2528" w:type="dxa"/>
                  <w:tcBorders>
                    <w:left w:val="single" w:color="auto" w:sz="4" w:space="0"/>
                    <w:bottom w:val="single" w:color="auto" w:sz="8" w:space="0"/>
                    <w:right w:val="single" w:color="auto" w:sz="4" w:space="0"/>
                  </w:tcBorders>
                  <w:noWrap w:val="0"/>
                  <w:vAlign w:val="center"/>
                </w:tcPr>
                <w:p w14:paraId="7A4D8FCD">
                  <w:pPr>
                    <w:keepNext w:val="0"/>
                    <w:keepLines w:val="0"/>
                    <w:suppressLineNumbers w:val="0"/>
                    <w:adjustRightInd w:val="0"/>
                    <w:snapToGrid w:val="0"/>
                    <w:spacing w:before="0" w:beforeAutospacing="0" w:after="0" w:afterAutospacing="0"/>
                    <w:ind w:left="0" w:right="0"/>
                    <w:jc w:val="center"/>
                    <w:rPr>
                      <w:rFonts w:hint="default"/>
                      <w:b/>
                      <w:bCs w:val="0"/>
                      <w:sz w:val="21"/>
                      <w:szCs w:val="21"/>
                      <w:lang w:val="en-US" w:eastAsia="zh-CN"/>
                    </w:rPr>
                  </w:pPr>
                  <w:r>
                    <w:rPr>
                      <w:rFonts w:hint="eastAsia"/>
                      <w:b/>
                      <w:bCs w:val="0"/>
                      <w:sz w:val="21"/>
                      <w:szCs w:val="21"/>
                      <w:lang w:val="en-US" w:eastAsia="zh-CN"/>
                    </w:rPr>
                    <w:t>产品产能</w:t>
                  </w:r>
                  <w:r>
                    <w:rPr>
                      <w:rFonts w:hint="eastAsia"/>
                      <w:b/>
                      <w:bCs w:val="0"/>
                      <w:color w:val="auto"/>
                      <w:sz w:val="21"/>
                      <w:szCs w:val="21"/>
                      <w:lang w:val="en-US" w:eastAsia="zh-CN"/>
                    </w:rPr>
                    <w:t>t/a</w:t>
                  </w:r>
                </w:p>
              </w:tc>
              <w:tc>
                <w:tcPr>
                  <w:tcW w:w="3882" w:type="dxa"/>
                  <w:tcBorders>
                    <w:left w:val="single" w:color="auto" w:sz="4" w:space="0"/>
                    <w:bottom w:val="single" w:color="auto" w:sz="8" w:space="0"/>
                  </w:tcBorders>
                  <w:noWrap w:val="0"/>
                  <w:vAlign w:val="center"/>
                </w:tcPr>
                <w:p w14:paraId="6C8B0CC0">
                  <w:pPr>
                    <w:keepNext w:val="0"/>
                    <w:keepLines w:val="0"/>
                    <w:suppressLineNumbers w:val="0"/>
                    <w:adjustRightInd w:val="0"/>
                    <w:snapToGrid w:val="0"/>
                    <w:spacing w:before="0" w:beforeAutospacing="0" w:after="0" w:afterAutospacing="0"/>
                    <w:ind w:left="0" w:leftChars="0" w:right="0" w:rightChars="0"/>
                    <w:jc w:val="center"/>
                    <w:rPr>
                      <w:rFonts w:hint="eastAsia"/>
                      <w:b/>
                      <w:sz w:val="21"/>
                      <w:szCs w:val="21"/>
                      <w:lang w:val="en-US" w:eastAsia="zh-CN"/>
                    </w:rPr>
                  </w:pPr>
                  <w:r>
                    <w:rPr>
                      <w:rFonts w:hint="eastAsia"/>
                      <w:b/>
                      <w:sz w:val="21"/>
                      <w:szCs w:val="21"/>
                      <w:lang w:val="en-US" w:eastAsia="zh-CN"/>
                    </w:rPr>
                    <w:t>备注</w:t>
                  </w:r>
                </w:p>
              </w:tc>
            </w:tr>
            <w:tr w14:paraId="4C84BEBD">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62" w:hRule="atLeast"/>
                <w:jc w:val="center"/>
              </w:trPr>
              <w:tc>
                <w:tcPr>
                  <w:tcW w:w="850" w:type="dxa"/>
                  <w:tcBorders>
                    <w:top w:val="single" w:color="auto" w:sz="8" w:space="0"/>
                    <w:left w:val="nil"/>
                    <w:bottom w:val="single" w:color="auto" w:sz="4" w:space="0"/>
                    <w:right w:val="single" w:color="auto" w:sz="4" w:space="0"/>
                  </w:tcBorders>
                  <w:shd w:val="clear" w:color="auto" w:fill="auto"/>
                  <w:noWrap w:val="0"/>
                  <w:vAlign w:val="center"/>
                </w:tcPr>
                <w:p w14:paraId="48CF1BCA">
                  <w:pPr>
                    <w:keepNext w:val="0"/>
                    <w:keepLines w:val="0"/>
                    <w:numPr>
                      <w:ilvl w:val="0"/>
                      <w:numId w:val="0"/>
                    </w:numPr>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1545" w:type="dxa"/>
                  <w:tcBorders>
                    <w:top w:val="single" w:color="auto" w:sz="8" w:space="0"/>
                    <w:left w:val="single" w:color="auto" w:sz="4" w:space="0"/>
                    <w:bottom w:val="single" w:color="auto" w:sz="4" w:space="0"/>
                    <w:right w:val="single" w:color="auto" w:sz="4" w:space="0"/>
                  </w:tcBorders>
                  <w:shd w:val="clear" w:color="auto" w:fill="auto"/>
                  <w:noWrap w:val="0"/>
                  <w:vAlign w:val="center"/>
                </w:tcPr>
                <w:p w14:paraId="76FB2827">
                  <w:pPr>
                    <w:pStyle w:val="51"/>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auto"/>
                      <w:sz w:val="21"/>
                      <w:szCs w:val="21"/>
                      <w:highlight w:val="none"/>
                      <w:lang w:val="en-US" w:eastAsia="zh-CN"/>
                    </w:rPr>
                  </w:pPr>
                  <w:r>
                    <w:rPr>
                      <w:rFonts w:hint="eastAsia"/>
                      <w:sz w:val="21"/>
                      <w:szCs w:val="21"/>
                      <w:highlight w:val="none"/>
                    </w:rPr>
                    <w:t>锰酸锂</w:t>
                  </w:r>
                </w:p>
              </w:tc>
              <w:tc>
                <w:tcPr>
                  <w:tcW w:w="2528" w:type="dxa"/>
                  <w:tcBorders>
                    <w:top w:val="single" w:color="auto" w:sz="8" w:space="0"/>
                    <w:left w:val="single" w:color="auto" w:sz="4" w:space="0"/>
                    <w:bottom w:val="single" w:color="auto" w:sz="4" w:space="0"/>
                    <w:right w:val="single" w:color="auto" w:sz="4" w:space="0"/>
                  </w:tcBorders>
                  <w:shd w:val="clear" w:color="auto" w:fill="auto"/>
                  <w:noWrap w:val="0"/>
                  <w:vAlign w:val="center"/>
                </w:tcPr>
                <w:p w14:paraId="7313AB90">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eastAsia"/>
                      <w:b w:val="0"/>
                      <w:bCs w:val="0"/>
                      <w:color w:val="000000"/>
                      <w:sz w:val="21"/>
                      <w:szCs w:val="21"/>
                      <w:highlight w:val="none"/>
                      <w:u w:val="none"/>
                      <w:lang w:val="en-US" w:eastAsia="zh-CN"/>
                    </w:rPr>
                    <w:t>2.01万吨/年</w:t>
                  </w:r>
                </w:p>
              </w:tc>
              <w:tc>
                <w:tcPr>
                  <w:tcW w:w="3882" w:type="dxa"/>
                  <w:tcBorders>
                    <w:top w:val="single" w:color="auto" w:sz="8" w:space="0"/>
                    <w:left w:val="single" w:color="auto" w:sz="4" w:space="0"/>
                    <w:bottom w:val="single" w:color="auto" w:sz="4" w:space="0"/>
                  </w:tcBorders>
                  <w:shd w:val="clear" w:color="auto" w:fill="auto"/>
                  <w:noWrap w:val="0"/>
                  <w:vAlign w:val="center"/>
                </w:tcPr>
                <w:p w14:paraId="02DF4F3E">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000000"/>
                      <w:sz w:val="21"/>
                      <w:szCs w:val="21"/>
                      <w:highlight w:val="none"/>
                      <w:lang w:val="en-US" w:eastAsia="zh-CN"/>
                    </w:rPr>
                  </w:pPr>
                  <w:r>
                    <w:rPr>
                      <w:rFonts w:hint="eastAsia" w:cs="Times New Roman"/>
                      <w:color w:val="000000"/>
                      <w:sz w:val="21"/>
                      <w:szCs w:val="21"/>
                      <w:highlight w:val="none"/>
                      <w:lang w:val="en-US" w:eastAsia="zh-CN"/>
                    </w:rPr>
                    <w:t>/</w:t>
                  </w:r>
                </w:p>
              </w:tc>
            </w:tr>
            <w:tr w14:paraId="6C1A33BC">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62" w:hRule="atLeast"/>
                <w:jc w:val="center"/>
              </w:trPr>
              <w:tc>
                <w:tcPr>
                  <w:tcW w:w="850" w:type="dxa"/>
                  <w:tcBorders>
                    <w:top w:val="single" w:color="auto" w:sz="4" w:space="0"/>
                    <w:left w:val="nil"/>
                    <w:bottom w:val="single" w:color="auto" w:sz="4" w:space="0"/>
                    <w:right w:val="single" w:color="auto" w:sz="4" w:space="0"/>
                  </w:tcBorders>
                  <w:shd w:val="clear" w:color="auto" w:fill="auto"/>
                  <w:noWrap w:val="0"/>
                  <w:vAlign w:val="center"/>
                </w:tcPr>
                <w:p w14:paraId="15939BE8">
                  <w:pPr>
                    <w:keepNext w:val="0"/>
                    <w:keepLines w:val="0"/>
                    <w:numPr>
                      <w:ilvl w:val="0"/>
                      <w:numId w:val="0"/>
                    </w:numPr>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w:t>
                  </w:r>
                </w:p>
              </w:tc>
              <w:tc>
                <w:tcPr>
                  <w:tcW w:w="154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D27FE62">
                  <w:pPr>
                    <w:pStyle w:val="51"/>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auto"/>
                      <w:sz w:val="21"/>
                      <w:szCs w:val="21"/>
                      <w:lang w:val="en-US" w:eastAsia="zh-CN"/>
                    </w:rPr>
                  </w:pPr>
                  <w:r>
                    <w:rPr>
                      <w:rFonts w:hint="eastAsia"/>
                      <w:sz w:val="21"/>
                      <w:szCs w:val="21"/>
                    </w:rPr>
                    <w:t>锂离子电池</w:t>
                  </w:r>
                </w:p>
              </w:tc>
              <w:tc>
                <w:tcPr>
                  <w:tcW w:w="2528"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07924FE">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color w:val="auto"/>
                      <w:sz w:val="21"/>
                      <w:szCs w:val="21"/>
                      <w:lang w:val="en-US" w:eastAsia="zh-CN"/>
                    </w:rPr>
                  </w:pPr>
                  <w:r>
                    <w:rPr>
                      <w:rFonts w:hint="eastAsia"/>
                      <w:b w:val="0"/>
                      <w:bCs w:val="0"/>
                      <w:color w:val="000000"/>
                      <w:sz w:val="21"/>
                      <w:szCs w:val="21"/>
                      <w:u w:val="none"/>
                      <w:lang w:val="en-US" w:eastAsia="zh-CN"/>
                    </w:rPr>
                    <w:t>1.08亿安时</w:t>
                  </w:r>
                  <w:r>
                    <w:rPr>
                      <w:rFonts w:hint="eastAsia"/>
                      <w:b w:val="0"/>
                      <w:bCs w:val="0"/>
                      <w:color w:val="000000"/>
                      <w:sz w:val="21"/>
                      <w:szCs w:val="21"/>
                      <w:u w:val="none"/>
                    </w:rPr>
                    <w:t>/a</w:t>
                  </w:r>
                </w:p>
              </w:tc>
              <w:tc>
                <w:tcPr>
                  <w:tcW w:w="3882" w:type="dxa"/>
                  <w:tcBorders>
                    <w:top w:val="single" w:color="auto" w:sz="4" w:space="0"/>
                    <w:left w:val="single" w:color="auto" w:sz="4" w:space="0"/>
                    <w:bottom w:val="single" w:color="auto" w:sz="4" w:space="0"/>
                  </w:tcBorders>
                  <w:shd w:val="clear" w:color="auto" w:fill="auto"/>
                  <w:noWrap w:val="0"/>
                  <w:vAlign w:val="center"/>
                </w:tcPr>
                <w:p w14:paraId="6ACB4759">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000000"/>
                      <w:sz w:val="21"/>
                      <w:szCs w:val="21"/>
                      <w:lang w:val="en-US" w:eastAsia="zh-CN"/>
                    </w:rPr>
                  </w:pPr>
                  <w:r>
                    <w:rPr>
                      <w:rFonts w:hint="eastAsia" w:cs="Times New Roman"/>
                      <w:color w:val="000000"/>
                      <w:sz w:val="21"/>
                      <w:szCs w:val="21"/>
                      <w:lang w:val="en-US" w:eastAsia="zh-CN"/>
                    </w:rPr>
                    <w:t>/</w:t>
                  </w:r>
                </w:p>
              </w:tc>
            </w:tr>
            <w:tr w14:paraId="1057FBAE">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62" w:hRule="atLeast"/>
                <w:jc w:val="center"/>
              </w:trPr>
              <w:tc>
                <w:tcPr>
                  <w:tcW w:w="850" w:type="dxa"/>
                  <w:tcBorders>
                    <w:top w:val="single" w:color="auto" w:sz="4" w:space="0"/>
                    <w:left w:val="nil"/>
                    <w:bottom w:val="single" w:color="auto" w:sz="4" w:space="0"/>
                    <w:right w:val="single" w:color="auto" w:sz="4" w:space="0"/>
                  </w:tcBorders>
                  <w:shd w:val="clear" w:color="auto" w:fill="auto"/>
                  <w:noWrap w:val="0"/>
                  <w:vAlign w:val="center"/>
                </w:tcPr>
                <w:p w14:paraId="6CA53E5A">
                  <w:pPr>
                    <w:keepNext w:val="0"/>
                    <w:keepLines w:val="0"/>
                    <w:numPr>
                      <w:ilvl w:val="0"/>
                      <w:numId w:val="0"/>
                    </w:numPr>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w:t>
                  </w:r>
                </w:p>
              </w:tc>
              <w:tc>
                <w:tcPr>
                  <w:tcW w:w="154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6A580BB8">
                  <w:pPr>
                    <w:pStyle w:val="51"/>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auto"/>
                      <w:sz w:val="21"/>
                      <w:szCs w:val="21"/>
                      <w:lang w:val="en-US" w:eastAsia="zh-CN"/>
                    </w:rPr>
                  </w:pPr>
                  <w:r>
                    <w:rPr>
                      <w:rFonts w:hint="eastAsia"/>
                      <w:sz w:val="21"/>
                      <w:szCs w:val="21"/>
                    </w:rPr>
                    <w:t>锂离子电池</w:t>
                  </w:r>
                </w:p>
              </w:tc>
              <w:tc>
                <w:tcPr>
                  <w:tcW w:w="2528"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4D1F75B">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color w:val="auto"/>
                      <w:sz w:val="21"/>
                      <w:szCs w:val="21"/>
                      <w:lang w:val="en-US" w:eastAsia="zh-CN"/>
                    </w:rPr>
                  </w:pPr>
                  <w:r>
                    <w:rPr>
                      <w:rFonts w:hint="eastAsia"/>
                      <w:b w:val="0"/>
                      <w:bCs w:val="0"/>
                      <w:color w:val="000000"/>
                      <w:sz w:val="21"/>
                      <w:szCs w:val="21"/>
                      <w:u w:val="none"/>
                      <w:lang w:val="en-US" w:eastAsia="zh-CN"/>
                    </w:rPr>
                    <w:t>40亿瓦时</w:t>
                  </w:r>
                  <w:r>
                    <w:rPr>
                      <w:rFonts w:hint="eastAsia"/>
                      <w:b w:val="0"/>
                      <w:bCs w:val="0"/>
                      <w:color w:val="000000"/>
                      <w:sz w:val="21"/>
                      <w:szCs w:val="21"/>
                      <w:u w:val="none"/>
                    </w:rPr>
                    <w:t>/a</w:t>
                  </w:r>
                </w:p>
              </w:tc>
              <w:tc>
                <w:tcPr>
                  <w:tcW w:w="3882" w:type="dxa"/>
                  <w:tcBorders>
                    <w:top w:val="single" w:color="auto" w:sz="4" w:space="0"/>
                    <w:left w:val="single" w:color="auto" w:sz="4" w:space="0"/>
                    <w:bottom w:val="single" w:color="auto" w:sz="4" w:space="0"/>
                  </w:tcBorders>
                  <w:shd w:val="clear" w:color="auto" w:fill="auto"/>
                  <w:noWrap w:val="0"/>
                  <w:vAlign w:val="center"/>
                </w:tcPr>
                <w:p w14:paraId="182AA5D9">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000000"/>
                      <w:sz w:val="21"/>
                      <w:szCs w:val="21"/>
                      <w:lang w:val="en-US" w:eastAsia="zh-CN"/>
                    </w:rPr>
                  </w:pPr>
                  <w:r>
                    <w:rPr>
                      <w:rFonts w:hint="eastAsia" w:cs="Times New Roman"/>
                      <w:color w:val="000000"/>
                      <w:sz w:val="21"/>
                      <w:szCs w:val="21"/>
                      <w:lang w:val="en-US" w:eastAsia="zh-CN"/>
                    </w:rPr>
                    <w:t>/</w:t>
                  </w:r>
                </w:p>
              </w:tc>
            </w:tr>
            <w:tr w14:paraId="033E5F3A">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62" w:hRule="atLeast"/>
                <w:jc w:val="center"/>
              </w:trPr>
              <w:tc>
                <w:tcPr>
                  <w:tcW w:w="850" w:type="dxa"/>
                  <w:tcBorders>
                    <w:top w:val="single" w:color="auto" w:sz="4" w:space="0"/>
                    <w:left w:val="nil"/>
                    <w:bottom w:val="single" w:color="auto" w:sz="4" w:space="0"/>
                    <w:right w:val="single" w:color="auto" w:sz="4" w:space="0"/>
                  </w:tcBorders>
                  <w:shd w:val="clear" w:color="auto" w:fill="auto"/>
                  <w:noWrap w:val="0"/>
                  <w:vAlign w:val="center"/>
                </w:tcPr>
                <w:p w14:paraId="58D97E4E">
                  <w:pPr>
                    <w:keepNext w:val="0"/>
                    <w:keepLines w:val="0"/>
                    <w:numPr>
                      <w:ilvl w:val="0"/>
                      <w:numId w:val="0"/>
                    </w:numPr>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w:t>
                  </w:r>
                </w:p>
              </w:tc>
              <w:tc>
                <w:tcPr>
                  <w:tcW w:w="154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2937B7C">
                  <w:pPr>
                    <w:pStyle w:val="51"/>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auto"/>
                      <w:sz w:val="21"/>
                      <w:szCs w:val="21"/>
                      <w:lang w:val="en-US" w:eastAsia="zh-CN"/>
                    </w:rPr>
                  </w:pPr>
                  <w:r>
                    <w:rPr>
                      <w:rFonts w:hint="eastAsia"/>
                      <w:sz w:val="21"/>
                      <w:szCs w:val="21"/>
                    </w:rPr>
                    <w:t>锂离子电池</w:t>
                  </w:r>
                </w:p>
              </w:tc>
              <w:tc>
                <w:tcPr>
                  <w:tcW w:w="2528"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4EF1C3D">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color w:val="auto"/>
                      <w:sz w:val="21"/>
                      <w:szCs w:val="21"/>
                      <w:lang w:val="en-US" w:eastAsia="zh-CN"/>
                    </w:rPr>
                  </w:pPr>
                  <w:r>
                    <w:rPr>
                      <w:rFonts w:hint="eastAsia"/>
                      <w:b w:val="0"/>
                      <w:bCs w:val="0"/>
                      <w:color w:val="000000"/>
                      <w:sz w:val="21"/>
                      <w:szCs w:val="21"/>
                      <w:u w:val="none"/>
                      <w:lang w:val="en-US" w:eastAsia="zh-CN"/>
                    </w:rPr>
                    <w:t>1.8亿千瓦时</w:t>
                  </w:r>
                  <w:r>
                    <w:rPr>
                      <w:rFonts w:hint="eastAsia"/>
                      <w:b w:val="0"/>
                      <w:bCs w:val="0"/>
                      <w:color w:val="000000"/>
                      <w:sz w:val="21"/>
                      <w:szCs w:val="21"/>
                      <w:u w:val="none"/>
                    </w:rPr>
                    <w:t>/a</w:t>
                  </w:r>
                  <w:r>
                    <w:rPr>
                      <w:rFonts w:hint="eastAsia"/>
                      <w:b w:val="0"/>
                      <w:bCs w:val="0"/>
                      <w:color w:val="000000"/>
                      <w:sz w:val="21"/>
                      <w:szCs w:val="21"/>
                      <w:u w:val="none"/>
                      <w:lang w:eastAsia="zh-CN"/>
                    </w:rPr>
                    <w:t>（</w:t>
                  </w:r>
                  <w:r>
                    <w:rPr>
                      <w:rFonts w:hint="eastAsia"/>
                      <w:b w:val="0"/>
                      <w:bCs w:val="0"/>
                      <w:color w:val="000000"/>
                      <w:sz w:val="21"/>
                      <w:szCs w:val="21"/>
                      <w:u w:val="none"/>
                      <w:lang w:val="en-US" w:eastAsia="zh-CN"/>
                    </w:rPr>
                    <w:t>9000万只</w:t>
                  </w:r>
                  <w:r>
                    <w:rPr>
                      <w:rFonts w:hint="eastAsia"/>
                      <w:b w:val="0"/>
                      <w:bCs w:val="0"/>
                      <w:color w:val="000000"/>
                      <w:sz w:val="21"/>
                      <w:szCs w:val="21"/>
                      <w:u w:val="none"/>
                      <w:lang w:eastAsia="zh-CN"/>
                    </w:rPr>
                    <w:t>）</w:t>
                  </w:r>
                </w:p>
              </w:tc>
              <w:tc>
                <w:tcPr>
                  <w:tcW w:w="3882" w:type="dxa"/>
                  <w:tcBorders>
                    <w:top w:val="single" w:color="auto" w:sz="4" w:space="0"/>
                    <w:left w:val="single" w:color="auto" w:sz="4" w:space="0"/>
                    <w:bottom w:val="single" w:color="auto" w:sz="4" w:space="0"/>
                  </w:tcBorders>
                  <w:shd w:val="clear" w:color="auto" w:fill="auto"/>
                  <w:noWrap w:val="0"/>
                  <w:vAlign w:val="center"/>
                </w:tcPr>
                <w:p w14:paraId="30ADA699">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000000"/>
                      <w:sz w:val="21"/>
                      <w:szCs w:val="21"/>
                      <w:lang w:val="en-US" w:eastAsia="zh-CN"/>
                    </w:rPr>
                  </w:pPr>
                  <w:r>
                    <w:rPr>
                      <w:rFonts w:hint="eastAsia" w:cs="Times New Roman"/>
                      <w:color w:val="000000"/>
                      <w:sz w:val="21"/>
                      <w:szCs w:val="21"/>
                      <w:lang w:val="en-US" w:eastAsia="zh-CN"/>
                    </w:rPr>
                    <w:t>/</w:t>
                  </w:r>
                </w:p>
              </w:tc>
            </w:tr>
            <w:tr w14:paraId="370C3F18">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62" w:hRule="atLeast"/>
                <w:jc w:val="center"/>
              </w:trPr>
              <w:tc>
                <w:tcPr>
                  <w:tcW w:w="850" w:type="dxa"/>
                  <w:tcBorders>
                    <w:top w:val="single" w:color="auto" w:sz="4" w:space="0"/>
                    <w:left w:val="nil"/>
                    <w:bottom w:val="single" w:color="auto" w:sz="8" w:space="0"/>
                    <w:right w:val="single" w:color="auto" w:sz="4" w:space="0"/>
                  </w:tcBorders>
                  <w:shd w:val="clear" w:color="auto" w:fill="auto"/>
                  <w:noWrap w:val="0"/>
                  <w:vAlign w:val="center"/>
                </w:tcPr>
                <w:p w14:paraId="0FBA37CA">
                  <w:pPr>
                    <w:keepNext w:val="0"/>
                    <w:keepLines w:val="0"/>
                    <w:numPr>
                      <w:ilvl w:val="0"/>
                      <w:numId w:val="0"/>
                    </w:numPr>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c>
                <w:tcPr>
                  <w:tcW w:w="1545" w:type="dxa"/>
                  <w:tcBorders>
                    <w:top w:val="single" w:color="auto" w:sz="4" w:space="0"/>
                    <w:left w:val="single" w:color="auto" w:sz="4" w:space="0"/>
                    <w:bottom w:val="single" w:color="auto" w:sz="8" w:space="0"/>
                    <w:right w:val="single" w:color="auto" w:sz="4" w:space="0"/>
                  </w:tcBorders>
                  <w:shd w:val="clear" w:color="auto" w:fill="auto"/>
                  <w:noWrap w:val="0"/>
                  <w:vAlign w:val="center"/>
                </w:tcPr>
                <w:p w14:paraId="1E9BE474">
                  <w:pPr>
                    <w:pStyle w:val="51"/>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auto"/>
                      <w:sz w:val="21"/>
                      <w:szCs w:val="21"/>
                      <w:highlight w:val="none"/>
                      <w:lang w:val="en-US" w:eastAsia="zh-CN"/>
                    </w:rPr>
                  </w:pPr>
                  <w:r>
                    <w:rPr>
                      <w:rFonts w:hint="eastAsia"/>
                      <w:sz w:val="21"/>
                      <w:szCs w:val="21"/>
                      <w:highlight w:val="none"/>
                    </w:rPr>
                    <w:t>导电浆</w:t>
                  </w:r>
                </w:p>
              </w:tc>
              <w:tc>
                <w:tcPr>
                  <w:tcW w:w="2528" w:type="dxa"/>
                  <w:tcBorders>
                    <w:top w:val="single" w:color="auto" w:sz="4" w:space="0"/>
                    <w:left w:val="single" w:color="auto" w:sz="4" w:space="0"/>
                    <w:bottom w:val="single" w:color="auto" w:sz="8" w:space="0"/>
                    <w:right w:val="single" w:color="auto" w:sz="4" w:space="0"/>
                  </w:tcBorders>
                  <w:shd w:val="clear" w:color="auto" w:fill="auto"/>
                  <w:noWrap w:val="0"/>
                  <w:vAlign w:val="center"/>
                </w:tcPr>
                <w:p w14:paraId="39456885">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color w:val="auto"/>
                      <w:sz w:val="21"/>
                      <w:szCs w:val="21"/>
                      <w:highlight w:val="none"/>
                      <w:lang w:val="en-US" w:eastAsia="zh-CN"/>
                    </w:rPr>
                  </w:pPr>
                  <w:r>
                    <w:rPr>
                      <w:rFonts w:hint="eastAsia"/>
                      <w:b w:val="0"/>
                      <w:bCs w:val="0"/>
                      <w:color w:val="000000"/>
                      <w:sz w:val="21"/>
                      <w:szCs w:val="21"/>
                      <w:highlight w:val="none"/>
                      <w:u w:val="none"/>
                      <w:lang w:val="en-US" w:eastAsia="zh-CN"/>
                    </w:rPr>
                    <w:t>2500t</w:t>
                  </w:r>
                  <w:r>
                    <w:rPr>
                      <w:rFonts w:hint="eastAsia"/>
                      <w:b w:val="0"/>
                      <w:bCs w:val="0"/>
                      <w:color w:val="000000"/>
                      <w:sz w:val="21"/>
                      <w:szCs w:val="21"/>
                      <w:highlight w:val="none"/>
                      <w:u w:val="none"/>
                    </w:rPr>
                    <w:t>/a</w:t>
                  </w:r>
                  <w:r>
                    <w:rPr>
                      <w:rFonts w:hint="eastAsia"/>
                      <w:b w:val="0"/>
                      <w:bCs w:val="0"/>
                      <w:color w:val="000000"/>
                      <w:sz w:val="21"/>
                      <w:szCs w:val="21"/>
                      <w:highlight w:val="none"/>
                      <w:u w:val="none"/>
                      <w:lang w:eastAsia="zh-CN"/>
                    </w:rPr>
                    <w:t>（</w:t>
                  </w:r>
                  <w:r>
                    <w:rPr>
                      <w:rFonts w:hint="eastAsia"/>
                      <w:b w:val="0"/>
                      <w:bCs w:val="0"/>
                      <w:color w:val="000000"/>
                      <w:sz w:val="21"/>
                      <w:szCs w:val="21"/>
                      <w:highlight w:val="none"/>
                      <w:u w:val="none"/>
                      <w:lang w:val="en-US" w:eastAsia="zh-CN"/>
                    </w:rPr>
                    <w:t>自用</w:t>
                  </w:r>
                  <w:r>
                    <w:rPr>
                      <w:rFonts w:hint="eastAsia"/>
                      <w:b w:val="0"/>
                      <w:bCs w:val="0"/>
                      <w:color w:val="000000"/>
                      <w:sz w:val="21"/>
                      <w:szCs w:val="21"/>
                      <w:highlight w:val="none"/>
                      <w:u w:val="none"/>
                      <w:lang w:eastAsia="zh-CN"/>
                    </w:rPr>
                    <w:t>）</w:t>
                  </w:r>
                </w:p>
              </w:tc>
              <w:tc>
                <w:tcPr>
                  <w:tcW w:w="3882" w:type="dxa"/>
                  <w:tcBorders>
                    <w:top w:val="single" w:color="auto" w:sz="4" w:space="0"/>
                    <w:left w:val="single" w:color="auto" w:sz="4" w:space="0"/>
                    <w:bottom w:val="single" w:color="auto" w:sz="8" w:space="0"/>
                  </w:tcBorders>
                  <w:shd w:val="clear" w:color="auto" w:fill="auto"/>
                  <w:noWrap w:val="0"/>
                  <w:vAlign w:val="center"/>
                </w:tcPr>
                <w:p w14:paraId="0B773D2A">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自产自用，不外售</w:t>
                  </w:r>
                </w:p>
              </w:tc>
            </w:tr>
          </w:tbl>
          <w:p w14:paraId="25A28A4A">
            <w:pPr>
              <w:keepNext w:val="0"/>
              <w:keepLines w:val="0"/>
              <w:suppressLineNumbers w:val="0"/>
              <w:snapToGrid w:val="0"/>
              <w:spacing w:before="0" w:beforeAutospacing="0" w:after="0" w:afterAutospacing="0" w:line="440" w:lineRule="exact"/>
              <w:ind w:left="0" w:right="0" w:firstLine="482" w:firstLineChars="200"/>
              <w:rPr>
                <w:rFonts w:hint="default"/>
                <w:b/>
                <w:sz w:val="24"/>
              </w:rPr>
            </w:pPr>
            <w:r>
              <w:rPr>
                <w:rFonts w:hint="eastAsia" w:cs="Times New Roman"/>
                <w:b/>
                <w:sz w:val="24"/>
                <w:lang w:val="en-US" w:eastAsia="zh-CN"/>
              </w:rPr>
              <w:t>4、</w:t>
            </w:r>
            <w:r>
              <w:rPr>
                <w:rFonts w:hint="eastAsia"/>
                <w:b/>
                <w:sz w:val="24"/>
              </w:rPr>
              <w:t>项目主要生产设备</w:t>
            </w:r>
          </w:p>
          <w:p w14:paraId="69CC1472">
            <w:pPr>
              <w:keepNext w:val="0"/>
              <w:keepLines w:val="0"/>
              <w:suppressLineNumbers w:val="0"/>
              <w:adjustRightInd w:val="0"/>
              <w:snapToGrid w:val="0"/>
              <w:spacing w:before="0" w:beforeAutospacing="0" w:after="0" w:afterAutospacing="0" w:line="440" w:lineRule="exact"/>
              <w:ind w:left="0" w:right="0" w:firstLine="508" w:firstLineChars="212"/>
              <w:textAlignment w:val="baseline"/>
              <w:rPr>
                <w:rFonts w:hint="default" w:cs="Times New Roman"/>
                <w:b/>
                <w:color w:val="0000FF"/>
                <w:sz w:val="24"/>
                <w:highlight w:val="none"/>
                <w:u w:val="none"/>
                <w:lang w:val="en-US" w:eastAsia="zh-CN"/>
              </w:rPr>
            </w:pPr>
            <w:r>
              <w:rPr>
                <w:rFonts w:hint="eastAsia"/>
                <w:sz w:val="24"/>
                <w:highlight w:val="none"/>
                <w:u w:val="none"/>
                <w:lang w:val="en-US" w:eastAsia="zh-CN"/>
              </w:rPr>
              <w:t>本项目计划</w:t>
            </w:r>
            <w:r>
              <w:rPr>
                <w:rFonts w:hint="eastAsia" w:cs="Times New Roman"/>
                <w:color w:val="000000" w:themeColor="text1"/>
                <w:sz w:val="24"/>
                <w:szCs w:val="24"/>
                <w:highlight w:val="none"/>
                <w:u w:val="none"/>
                <w:lang w:val="en-US" w:eastAsia="zh-CN"/>
                <w14:textFill>
                  <w14:solidFill>
                    <w14:schemeClr w14:val="tx1"/>
                  </w14:solidFill>
                </w14:textFill>
              </w:rPr>
              <w:t>淘汰部分老旧设备，更换全自动化设备，</w:t>
            </w:r>
            <w:r>
              <w:rPr>
                <w:rFonts w:hint="eastAsia" w:cs="Times New Roman"/>
                <w:color w:val="auto"/>
                <w:sz w:val="24"/>
                <w:szCs w:val="24"/>
                <w:highlight w:val="none"/>
                <w:u w:val="none"/>
                <w:lang w:val="en-US" w:eastAsia="zh-CN"/>
              </w:rPr>
              <w:t>包括全自动制片机、回馈式针床化成检测设备、自动上料机、自动装盒机等设备，</w:t>
            </w:r>
            <w:r>
              <w:rPr>
                <w:rFonts w:hint="eastAsia" w:cs="Times New Roman"/>
                <w:color w:val="000000" w:themeColor="text1"/>
                <w:sz w:val="24"/>
                <w:szCs w:val="24"/>
                <w:highlight w:val="none"/>
                <w:u w:val="none"/>
                <w:lang w:val="en-US" w:eastAsia="zh-CN"/>
                <w14:textFill>
                  <w14:solidFill>
                    <w14:schemeClr w14:val="tx1"/>
                  </w14:solidFill>
                </w14:textFill>
              </w:rPr>
              <w:t>实现制片、化成等工艺的升级和优化</w:t>
            </w:r>
            <w:r>
              <w:rPr>
                <w:rFonts w:hint="eastAsia" w:cs="Times New Roman"/>
                <w:color w:val="000000" w:themeColor="text1"/>
                <w:sz w:val="24"/>
                <w:highlight w:val="none"/>
                <w:u w:val="none"/>
                <w:lang w:val="en-US" w:eastAsia="zh-CN"/>
                <w14:textFill>
                  <w14:solidFill>
                    <w14:schemeClr w14:val="tx1"/>
                  </w14:solidFill>
                </w14:textFill>
              </w:rPr>
              <w:t>。项目建成后企业生产效率提升、节能降耗、提升企业自动化水平。本项目生产工艺，生产线均不发生变化，仅更换部分设备。全厂</w:t>
            </w:r>
            <w:r>
              <w:rPr>
                <w:rFonts w:hint="eastAsia"/>
                <w:color w:val="000000" w:themeColor="text1"/>
                <w:sz w:val="24"/>
                <w:highlight w:val="none"/>
                <w:u w:val="none"/>
                <w:lang w:val="en-US" w:eastAsia="zh-CN"/>
                <w14:textFill>
                  <w14:solidFill>
                    <w14:schemeClr w14:val="tx1"/>
                  </w14:solidFill>
                </w14:textFill>
              </w:rPr>
              <w:t>设备变化情况见下表。</w:t>
            </w:r>
          </w:p>
          <w:p w14:paraId="2A9677AB">
            <w:pPr>
              <w:pStyle w:val="56"/>
              <w:keepNext w:val="0"/>
              <w:keepLines w:val="0"/>
              <w:suppressLineNumbers w:val="0"/>
              <w:spacing w:before="0" w:beforeAutospacing="0" w:after="0" w:afterAutospacing="0" w:line="440" w:lineRule="exact"/>
              <w:ind w:left="0" w:right="0" w:firstLine="0"/>
              <w:jc w:val="center"/>
              <w:rPr>
                <w:rFonts w:hint="eastAsia" w:ascii="Times New Roman" w:hAnsi="Times New Roman" w:cs="Times New Roman"/>
                <w:b/>
                <w:bCs/>
                <w:color w:val="auto"/>
                <w:sz w:val="24"/>
                <w:szCs w:val="24"/>
                <w:lang w:val="en-US" w:eastAsia="zh-CN"/>
              </w:rPr>
            </w:pPr>
          </w:p>
          <w:p w14:paraId="768DFB50">
            <w:pPr>
              <w:pStyle w:val="56"/>
              <w:keepNext w:val="0"/>
              <w:keepLines w:val="0"/>
              <w:suppressLineNumbers w:val="0"/>
              <w:spacing w:before="0" w:beforeAutospacing="0" w:after="0" w:afterAutospacing="0" w:line="440" w:lineRule="exact"/>
              <w:ind w:left="0" w:right="0" w:firstLine="0"/>
              <w:jc w:val="center"/>
              <w:rPr>
                <w:rFonts w:hint="eastAsia" w:ascii="Times New Roman" w:hAnsi="Times New Roman" w:cs="Times New Roman"/>
                <w:b/>
                <w:bCs/>
                <w:color w:val="auto"/>
                <w:sz w:val="24"/>
                <w:szCs w:val="24"/>
                <w:lang w:val="en-US" w:eastAsia="zh-CN"/>
              </w:rPr>
            </w:pPr>
          </w:p>
          <w:p w14:paraId="3D69E021">
            <w:pPr>
              <w:pStyle w:val="56"/>
              <w:keepNext w:val="0"/>
              <w:keepLines w:val="0"/>
              <w:suppressLineNumbers w:val="0"/>
              <w:spacing w:before="0" w:beforeAutospacing="0" w:after="0" w:afterAutospacing="0" w:line="440" w:lineRule="exact"/>
              <w:ind w:left="0" w:right="0" w:firstLine="0"/>
              <w:jc w:val="center"/>
              <w:rPr>
                <w:rFonts w:hint="eastAsia" w:ascii="Times New Roman" w:hAnsi="Times New Roman" w:cs="Times New Roman"/>
                <w:b/>
                <w:bCs/>
                <w:color w:val="auto"/>
                <w:sz w:val="24"/>
                <w:szCs w:val="24"/>
                <w:lang w:val="en-US" w:eastAsia="zh-CN"/>
              </w:rPr>
            </w:pPr>
          </w:p>
          <w:p w14:paraId="758C8FA2">
            <w:pPr>
              <w:pStyle w:val="56"/>
              <w:keepNext w:val="0"/>
              <w:keepLines w:val="0"/>
              <w:suppressLineNumbers w:val="0"/>
              <w:spacing w:before="0" w:beforeAutospacing="0" w:after="0" w:afterAutospacing="0" w:line="440" w:lineRule="exact"/>
              <w:ind w:left="0" w:right="0" w:firstLine="0"/>
              <w:jc w:val="center"/>
              <w:rPr>
                <w:rFonts w:hint="default"/>
                <w:sz w:val="24"/>
                <w:u w:val="none"/>
                <w:lang w:val="en-US"/>
              </w:rPr>
            </w:pPr>
            <w:r>
              <w:rPr>
                <w:rFonts w:hint="eastAsia" w:ascii="Times New Roman" w:hAnsi="Times New Roman" w:cs="Times New Roman"/>
                <w:b/>
                <w:bCs/>
                <w:color w:val="auto"/>
                <w:sz w:val="24"/>
                <w:szCs w:val="24"/>
                <w:u w:val="none"/>
                <w:lang w:val="en-US" w:eastAsia="zh-CN"/>
              </w:rPr>
              <w:t>表14</w:t>
            </w:r>
            <w:r>
              <w:rPr>
                <w:rFonts w:hint="eastAsia" w:hAnsi="宋体" w:cs="Times New Roman"/>
                <w:b/>
                <w:bCs/>
                <w:color w:val="auto"/>
                <w:sz w:val="24"/>
                <w:szCs w:val="24"/>
                <w:u w:val="none"/>
                <w:lang w:val="en-US" w:eastAsia="zh-CN"/>
              </w:rPr>
              <w:t xml:space="preserve"> </w:t>
            </w:r>
            <w:r>
              <w:rPr>
                <w:rFonts w:hint="eastAsia" w:hAnsi="宋体" w:cs="Times New Roman"/>
                <w:b/>
                <w:bCs/>
                <w:color w:val="000000"/>
                <w:sz w:val="24"/>
                <w:szCs w:val="24"/>
                <w:u w:val="none"/>
                <w:lang w:val="en-US" w:eastAsia="zh-CN"/>
              </w:rPr>
              <w:t xml:space="preserve"> 本项目主要生产设备一览表</w:t>
            </w:r>
          </w:p>
          <w:tbl>
            <w:tblPr>
              <w:tblStyle w:val="24"/>
              <w:tblW w:w="5000" w:type="pct"/>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21"/>
              <w:gridCol w:w="1626"/>
              <w:gridCol w:w="2363"/>
              <w:gridCol w:w="1386"/>
              <w:gridCol w:w="1270"/>
              <w:gridCol w:w="1339"/>
            </w:tblGrid>
            <w:tr w14:paraId="69710A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9" w:type="pct"/>
                  <w:tcBorders>
                    <w:tl2br w:val="nil"/>
                    <w:tr2bl w:val="nil"/>
                  </w:tcBorders>
                  <w:shd w:val="clear" w:color="auto" w:fill="auto"/>
                  <w:vAlign w:val="center"/>
                </w:tcPr>
                <w:p w14:paraId="5644A9F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b/>
                      <w:bCs/>
                      <w:sz w:val="21"/>
                      <w:szCs w:val="21"/>
                      <w:highlight w:val="none"/>
                      <w:lang w:val="en-US" w:eastAsia="zh-CN"/>
                    </w:rPr>
                  </w:pPr>
                  <w:r>
                    <w:rPr>
                      <w:rFonts w:hint="eastAsia" w:cs="Times New Roman"/>
                      <w:b/>
                      <w:bCs/>
                      <w:sz w:val="21"/>
                      <w:szCs w:val="21"/>
                      <w:highlight w:val="none"/>
                      <w:lang w:val="en-US" w:eastAsia="zh-CN"/>
                    </w:rPr>
                    <w:t>序号</w:t>
                  </w:r>
                </w:p>
              </w:tc>
              <w:tc>
                <w:tcPr>
                  <w:tcW w:w="926" w:type="pct"/>
                  <w:tcBorders>
                    <w:tl2br w:val="nil"/>
                    <w:tr2bl w:val="nil"/>
                  </w:tcBorders>
                  <w:shd w:val="clear" w:color="auto" w:fill="auto"/>
                  <w:vAlign w:val="center"/>
                </w:tcPr>
                <w:p w14:paraId="22C58BA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b/>
                      <w:bCs/>
                      <w:sz w:val="21"/>
                      <w:szCs w:val="21"/>
                      <w:highlight w:val="none"/>
                      <w:lang w:val="en-US" w:eastAsia="zh-CN"/>
                    </w:rPr>
                  </w:pPr>
                  <w:r>
                    <w:rPr>
                      <w:rFonts w:hint="eastAsia" w:cs="Times New Roman"/>
                      <w:b/>
                      <w:bCs/>
                      <w:sz w:val="21"/>
                      <w:szCs w:val="21"/>
                      <w:highlight w:val="none"/>
                      <w:lang w:val="en-US" w:eastAsia="zh-CN"/>
                    </w:rPr>
                    <w:t>设备名称</w:t>
                  </w:r>
                </w:p>
              </w:tc>
              <w:tc>
                <w:tcPr>
                  <w:tcW w:w="1328" w:type="pct"/>
                  <w:tcBorders>
                    <w:tl2br w:val="nil"/>
                    <w:tr2bl w:val="nil"/>
                  </w:tcBorders>
                  <w:shd w:val="clear" w:color="auto" w:fill="auto"/>
                  <w:vAlign w:val="center"/>
                </w:tcPr>
                <w:p w14:paraId="5FDBB13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b/>
                      <w:bCs/>
                      <w:sz w:val="21"/>
                      <w:szCs w:val="21"/>
                      <w:highlight w:val="none"/>
                      <w:lang w:val="en-US" w:eastAsia="zh-CN"/>
                    </w:rPr>
                  </w:pPr>
                  <w:r>
                    <w:rPr>
                      <w:rFonts w:hint="eastAsia" w:cs="Times New Roman"/>
                      <w:b/>
                      <w:bCs/>
                      <w:sz w:val="21"/>
                      <w:szCs w:val="21"/>
                      <w:highlight w:val="none"/>
                      <w:lang w:val="en-US" w:eastAsia="zh-CN"/>
                    </w:rPr>
                    <w:t>型号</w:t>
                  </w:r>
                </w:p>
              </w:tc>
              <w:tc>
                <w:tcPr>
                  <w:tcW w:w="790" w:type="pct"/>
                  <w:tcBorders>
                    <w:tl2br w:val="nil"/>
                    <w:tr2bl w:val="nil"/>
                  </w:tcBorders>
                  <w:shd w:val="clear" w:color="auto" w:fill="auto"/>
                  <w:vAlign w:val="center"/>
                </w:tcPr>
                <w:p w14:paraId="0D413B5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b/>
                      <w:bCs/>
                      <w:sz w:val="21"/>
                      <w:szCs w:val="21"/>
                      <w:highlight w:val="none"/>
                      <w:lang w:val="en-US" w:eastAsia="zh-CN"/>
                    </w:rPr>
                  </w:pPr>
                  <w:r>
                    <w:rPr>
                      <w:rFonts w:hint="eastAsia" w:cs="Times New Roman"/>
                      <w:b/>
                      <w:bCs/>
                      <w:sz w:val="21"/>
                      <w:szCs w:val="21"/>
                      <w:highlight w:val="none"/>
                      <w:lang w:val="en-US" w:eastAsia="zh-CN"/>
                    </w:rPr>
                    <w:t>参数</w:t>
                  </w:r>
                </w:p>
              </w:tc>
              <w:tc>
                <w:tcPr>
                  <w:tcW w:w="724" w:type="pct"/>
                  <w:tcBorders>
                    <w:tl2br w:val="nil"/>
                    <w:tr2bl w:val="nil"/>
                  </w:tcBorders>
                  <w:shd w:val="clear" w:color="auto" w:fill="auto"/>
                  <w:vAlign w:val="center"/>
                </w:tcPr>
                <w:p w14:paraId="77DA9A2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b/>
                      <w:bCs/>
                      <w:sz w:val="21"/>
                      <w:szCs w:val="21"/>
                      <w:highlight w:val="none"/>
                      <w:lang w:val="en-US" w:eastAsia="zh-CN"/>
                    </w:rPr>
                  </w:pPr>
                  <w:r>
                    <w:rPr>
                      <w:rFonts w:hint="eastAsia" w:cs="Times New Roman"/>
                      <w:b/>
                      <w:bCs/>
                      <w:sz w:val="21"/>
                      <w:szCs w:val="21"/>
                      <w:highlight w:val="none"/>
                      <w:lang w:val="en-US" w:eastAsia="zh-CN"/>
                    </w:rPr>
                    <w:t>数量（台/套）</w:t>
                  </w:r>
                </w:p>
              </w:tc>
              <w:tc>
                <w:tcPr>
                  <w:tcW w:w="760" w:type="pct"/>
                  <w:tcBorders>
                    <w:tl2br w:val="nil"/>
                    <w:tr2bl w:val="nil"/>
                  </w:tcBorders>
                  <w:shd w:val="clear" w:color="auto" w:fill="auto"/>
                  <w:vAlign w:val="center"/>
                </w:tcPr>
                <w:p w14:paraId="1513490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b/>
                      <w:bCs/>
                      <w:sz w:val="21"/>
                      <w:szCs w:val="21"/>
                      <w:highlight w:val="none"/>
                      <w:lang w:val="en-US" w:eastAsia="zh-CN"/>
                    </w:rPr>
                  </w:pPr>
                  <w:r>
                    <w:rPr>
                      <w:rFonts w:hint="eastAsia" w:cs="Times New Roman"/>
                      <w:b/>
                      <w:bCs/>
                      <w:sz w:val="21"/>
                      <w:szCs w:val="21"/>
                      <w:highlight w:val="none"/>
                      <w:lang w:val="en-US" w:eastAsia="zh-CN"/>
                    </w:rPr>
                    <w:t>备注</w:t>
                  </w:r>
                </w:p>
              </w:tc>
            </w:tr>
            <w:tr w14:paraId="3BAEF5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6"/>
                  <w:tcBorders>
                    <w:tl2br w:val="nil"/>
                    <w:tr2bl w:val="nil"/>
                  </w:tcBorders>
                  <w:shd w:val="clear" w:color="auto" w:fill="auto"/>
                  <w:vAlign w:val="center"/>
                </w:tcPr>
                <w:p w14:paraId="3A1A1E6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1车间</w:t>
                  </w:r>
                  <w:r>
                    <w:rPr>
                      <w:rFonts w:hint="eastAsia" w:cs="Times New Roman"/>
                      <w:sz w:val="21"/>
                      <w:szCs w:val="21"/>
                      <w:highlight w:val="none"/>
                      <w:lang w:val="en-US" w:eastAsia="zh-CN"/>
                    </w:rPr>
                    <w:t>（北厂区）</w:t>
                  </w:r>
                </w:p>
              </w:tc>
            </w:tr>
            <w:tr w14:paraId="6DFC460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9" w:type="pct"/>
                  <w:tcBorders>
                    <w:tl2br w:val="nil"/>
                    <w:tr2bl w:val="nil"/>
                  </w:tcBorders>
                  <w:shd w:val="clear" w:color="auto" w:fill="auto"/>
                  <w:vAlign w:val="center"/>
                </w:tcPr>
                <w:p w14:paraId="278E583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926" w:type="pct"/>
                  <w:tcBorders>
                    <w:tl2br w:val="nil"/>
                    <w:tr2bl w:val="nil"/>
                  </w:tcBorders>
                  <w:shd w:val="clear" w:color="auto" w:fill="auto"/>
                  <w:vAlign w:val="center"/>
                </w:tcPr>
                <w:p w14:paraId="797CD3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连续辊压机</w:t>
                  </w:r>
                </w:p>
              </w:tc>
              <w:tc>
                <w:tcPr>
                  <w:tcW w:w="1328" w:type="pct"/>
                  <w:tcBorders>
                    <w:tl2br w:val="nil"/>
                    <w:tr2bl w:val="nil"/>
                  </w:tcBorders>
                  <w:shd w:val="clear" w:color="auto" w:fill="auto"/>
                  <w:vAlign w:val="center"/>
                </w:tcPr>
                <w:p w14:paraId="1E5D5E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DYG-703BH1型</w:t>
                  </w:r>
                </w:p>
              </w:tc>
              <w:tc>
                <w:tcPr>
                  <w:tcW w:w="790" w:type="pct"/>
                  <w:tcBorders>
                    <w:tl2br w:val="nil"/>
                    <w:tr2bl w:val="nil"/>
                  </w:tcBorders>
                  <w:shd w:val="clear" w:color="auto" w:fill="auto"/>
                  <w:vAlign w:val="center"/>
                </w:tcPr>
                <w:p w14:paraId="6DE899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22KW</w:t>
                  </w:r>
                </w:p>
              </w:tc>
              <w:tc>
                <w:tcPr>
                  <w:tcW w:w="724" w:type="pct"/>
                  <w:tcBorders>
                    <w:tl2br w:val="nil"/>
                    <w:tr2bl w:val="nil"/>
                  </w:tcBorders>
                  <w:shd w:val="clear" w:color="auto" w:fill="auto"/>
                  <w:vAlign w:val="center"/>
                </w:tcPr>
                <w:p w14:paraId="6CD14E1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60419CA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44DC86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9" w:type="pct"/>
                  <w:tcBorders>
                    <w:tl2br w:val="nil"/>
                    <w:tr2bl w:val="nil"/>
                  </w:tcBorders>
                  <w:shd w:val="clear" w:color="auto" w:fill="auto"/>
                  <w:vAlign w:val="center"/>
                </w:tcPr>
                <w:p w14:paraId="2082F4D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926" w:type="pct"/>
                  <w:tcBorders>
                    <w:tl2br w:val="nil"/>
                    <w:tr2bl w:val="nil"/>
                  </w:tcBorders>
                  <w:shd w:val="clear" w:color="auto" w:fill="auto"/>
                  <w:vAlign w:val="center"/>
                </w:tcPr>
                <w:p w14:paraId="4D6F98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连续辊压机</w:t>
                  </w:r>
                </w:p>
              </w:tc>
              <w:tc>
                <w:tcPr>
                  <w:tcW w:w="1328" w:type="pct"/>
                  <w:tcBorders>
                    <w:tl2br w:val="nil"/>
                    <w:tr2bl w:val="nil"/>
                  </w:tcBorders>
                  <w:shd w:val="clear" w:color="auto" w:fill="auto"/>
                  <w:vAlign w:val="center"/>
                </w:tcPr>
                <w:p w14:paraId="6F7EFC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DYG-703BH1型</w:t>
                  </w:r>
                </w:p>
              </w:tc>
              <w:tc>
                <w:tcPr>
                  <w:tcW w:w="790" w:type="pct"/>
                  <w:tcBorders>
                    <w:tl2br w:val="nil"/>
                    <w:tr2bl w:val="nil"/>
                  </w:tcBorders>
                  <w:shd w:val="clear" w:color="auto" w:fill="auto"/>
                  <w:vAlign w:val="center"/>
                </w:tcPr>
                <w:p w14:paraId="71B0D3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22KW</w:t>
                  </w:r>
                </w:p>
              </w:tc>
              <w:tc>
                <w:tcPr>
                  <w:tcW w:w="724" w:type="pct"/>
                  <w:tcBorders>
                    <w:tl2br w:val="nil"/>
                    <w:tr2bl w:val="nil"/>
                  </w:tcBorders>
                  <w:shd w:val="clear" w:color="auto" w:fill="auto"/>
                  <w:vAlign w:val="center"/>
                </w:tcPr>
                <w:p w14:paraId="560F145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0895B09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58135D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9" w:type="pct"/>
                  <w:tcBorders>
                    <w:tl2br w:val="nil"/>
                    <w:tr2bl w:val="nil"/>
                  </w:tcBorders>
                  <w:shd w:val="clear" w:color="auto" w:fill="auto"/>
                  <w:vAlign w:val="center"/>
                </w:tcPr>
                <w:p w14:paraId="7856436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3</w:t>
                  </w:r>
                </w:p>
              </w:tc>
              <w:tc>
                <w:tcPr>
                  <w:tcW w:w="926" w:type="pct"/>
                  <w:tcBorders>
                    <w:tl2br w:val="nil"/>
                    <w:tr2bl w:val="nil"/>
                  </w:tcBorders>
                  <w:shd w:val="clear" w:color="auto" w:fill="auto"/>
                  <w:vAlign w:val="center"/>
                </w:tcPr>
                <w:p w14:paraId="5E828D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40K超声波金属焊接机</w:t>
                  </w:r>
                </w:p>
              </w:tc>
              <w:tc>
                <w:tcPr>
                  <w:tcW w:w="1328" w:type="pct"/>
                  <w:tcBorders>
                    <w:tl2br w:val="nil"/>
                    <w:tr2bl w:val="nil"/>
                  </w:tcBorders>
                  <w:shd w:val="clear" w:color="auto" w:fill="auto"/>
                  <w:vAlign w:val="center"/>
                </w:tcPr>
                <w:p w14:paraId="278317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NP-C-40-700VA</w:t>
                  </w:r>
                </w:p>
              </w:tc>
              <w:tc>
                <w:tcPr>
                  <w:tcW w:w="790" w:type="pct"/>
                  <w:tcBorders>
                    <w:tl2br w:val="nil"/>
                    <w:tr2bl w:val="nil"/>
                  </w:tcBorders>
                  <w:shd w:val="clear" w:color="auto" w:fill="auto"/>
                  <w:vAlign w:val="center"/>
                </w:tcPr>
                <w:p w14:paraId="08F405A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6740ADA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3E73C24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154834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00" w:hRule="atLeast"/>
              </w:trPr>
              <w:tc>
                <w:tcPr>
                  <w:tcW w:w="469" w:type="pct"/>
                  <w:tcBorders>
                    <w:tl2br w:val="nil"/>
                    <w:tr2bl w:val="nil"/>
                  </w:tcBorders>
                  <w:shd w:val="clear" w:color="auto" w:fill="auto"/>
                  <w:vAlign w:val="center"/>
                </w:tcPr>
                <w:p w14:paraId="033A275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w:t>
                  </w:r>
                </w:p>
              </w:tc>
              <w:tc>
                <w:tcPr>
                  <w:tcW w:w="926" w:type="pct"/>
                  <w:tcBorders>
                    <w:tl2br w:val="nil"/>
                    <w:tr2bl w:val="nil"/>
                  </w:tcBorders>
                  <w:shd w:val="clear" w:color="auto" w:fill="auto"/>
                  <w:vAlign w:val="center"/>
                </w:tcPr>
                <w:p w14:paraId="019E37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自动分条机</w:t>
                  </w:r>
                </w:p>
              </w:tc>
              <w:tc>
                <w:tcPr>
                  <w:tcW w:w="1328" w:type="pct"/>
                  <w:tcBorders>
                    <w:tl2br w:val="nil"/>
                    <w:tr2bl w:val="nil"/>
                  </w:tcBorders>
                  <w:shd w:val="clear" w:color="auto" w:fill="auto"/>
                  <w:vAlign w:val="center"/>
                </w:tcPr>
                <w:p w14:paraId="600C98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FT-750</w:t>
                  </w:r>
                </w:p>
              </w:tc>
              <w:tc>
                <w:tcPr>
                  <w:tcW w:w="790" w:type="pct"/>
                  <w:tcBorders>
                    <w:tl2br w:val="nil"/>
                    <w:tr2bl w:val="nil"/>
                  </w:tcBorders>
                  <w:shd w:val="clear" w:color="auto" w:fill="auto"/>
                  <w:vAlign w:val="center"/>
                </w:tcPr>
                <w:p w14:paraId="29159BB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4A1FAAC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69A15C8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13E5E2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3" w:type="dxa"/>
                  <w:tcBorders>
                    <w:tl2br w:val="nil"/>
                    <w:tr2bl w:val="nil"/>
                  </w:tcBorders>
                  <w:shd w:val="clear" w:color="auto" w:fill="auto"/>
                  <w:vAlign w:val="center"/>
                </w:tcPr>
                <w:p w14:paraId="1F20E33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5</w:t>
                  </w:r>
                </w:p>
              </w:tc>
              <w:tc>
                <w:tcPr>
                  <w:tcW w:w="926" w:type="pct"/>
                  <w:tcBorders>
                    <w:tl2br w:val="nil"/>
                    <w:tr2bl w:val="nil"/>
                  </w:tcBorders>
                  <w:shd w:val="clear" w:color="auto" w:fill="auto"/>
                  <w:vAlign w:val="center"/>
                </w:tcPr>
                <w:p w14:paraId="2C35FF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全自动制片机正极</w:t>
                  </w:r>
                </w:p>
              </w:tc>
              <w:tc>
                <w:tcPr>
                  <w:tcW w:w="1328" w:type="pct"/>
                  <w:tcBorders>
                    <w:tl2br w:val="nil"/>
                    <w:tr2bl w:val="nil"/>
                  </w:tcBorders>
                  <w:shd w:val="clear" w:color="auto" w:fill="auto"/>
                  <w:vAlign w:val="center"/>
                </w:tcPr>
                <w:p w14:paraId="17D4A0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ZY-18650-H2T2</w:t>
                  </w:r>
                </w:p>
              </w:tc>
              <w:tc>
                <w:tcPr>
                  <w:tcW w:w="790" w:type="pct"/>
                  <w:tcBorders>
                    <w:tl2br w:val="nil"/>
                    <w:tr2bl w:val="nil"/>
                  </w:tcBorders>
                  <w:shd w:val="clear" w:color="auto" w:fill="auto"/>
                  <w:vAlign w:val="center"/>
                </w:tcPr>
                <w:p w14:paraId="501E34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3.5KW</w:t>
                  </w:r>
                </w:p>
              </w:tc>
              <w:tc>
                <w:tcPr>
                  <w:tcW w:w="724" w:type="pct"/>
                  <w:tcBorders>
                    <w:tl2br w:val="nil"/>
                    <w:tr2bl w:val="nil"/>
                  </w:tcBorders>
                  <w:shd w:val="clear" w:color="auto" w:fill="auto"/>
                  <w:vAlign w:val="center"/>
                </w:tcPr>
                <w:p w14:paraId="7EF10AC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13</w:t>
                  </w:r>
                </w:p>
              </w:tc>
              <w:tc>
                <w:tcPr>
                  <w:tcW w:w="760" w:type="pct"/>
                  <w:tcBorders>
                    <w:tl2br w:val="nil"/>
                    <w:tr2bl w:val="nil"/>
                  </w:tcBorders>
                  <w:shd w:val="clear" w:color="auto" w:fill="auto"/>
                  <w:vAlign w:val="center"/>
                </w:tcPr>
                <w:p w14:paraId="649571F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6F1F09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302117C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6</w:t>
                  </w:r>
                </w:p>
              </w:tc>
              <w:tc>
                <w:tcPr>
                  <w:tcW w:w="926" w:type="pct"/>
                  <w:tcBorders>
                    <w:tl2br w:val="nil"/>
                    <w:tr2bl w:val="nil"/>
                  </w:tcBorders>
                  <w:shd w:val="clear" w:color="auto" w:fill="auto"/>
                  <w:vAlign w:val="center"/>
                </w:tcPr>
                <w:p w14:paraId="23CBD6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FF0000"/>
                      <w:kern w:val="2"/>
                      <w:sz w:val="21"/>
                      <w:szCs w:val="21"/>
                      <w:highlight w:val="none"/>
                      <w:u w:val="none"/>
                      <w:lang w:val="en-US" w:eastAsia="zh-CN" w:bidi="ar-SA"/>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全自动卷绕机</w:t>
                  </w:r>
                </w:p>
              </w:tc>
              <w:tc>
                <w:tcPr>
                  <w:tcW w:w="1328" w:type="pct"/>
                  <w:tcBorders>
                    <w:tl2br w:val="nil"/>
                    <w:tr2bl w:val="nil"/>
                  </w:tcBorders>
                  <w:shd w:val="clear" w:color="auto" w:fill="auto"/>
                  <w:vAlign w:val="center"/>
                </w:tcPr>
                <w:p w14:paraId="592FEA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ZY-18/65-L</w:t>
                  </w:r>
                </w:p>
              </w:tc>
              <w:tc>
                <w:tcPr>
                  <w:tcW w:w="790" w:type="pct"/>
                  <w:tcBorders>
                    <w:tl2br w:val="nil"/>
                    <w:tr2bl w:val="nil"/>
                  </w:tcBorders>
                  <w:shd w:val="clear" w:color="auto" w:fill="auto"/>
                  <w:vAlign w:val="center"/>
                </w:tcPr>
                <w:p w14:paraId="45343B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10KW</w:t>
                  </w:r>
                </w:p>
              </w:tc>
              <w:tc>
                <w:tcPr>
                  <w:tcW w:w="724" w:type="pct"/>
                  <w:tcBorders>
                    <w:tl2br w:val="nil"/>
                    <w:tr2bl w:val="nil"/>
                  </w:tcBorders>
                  <w:shd w:val="clear" w:color="auto" w:fill="auto"/>
                  <w:vAlign w:val="center"/>
                </w:tcPr>
                <w:p w14:paraId="5716770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10</w:t>
                  </w:r>
                </w:p>
              </w:tc>
              <w:tc>
                <w:tcPr>
                  <w:tcW w:w="760" w:type="pct"/>
                  <w:tcBorders>
                    <w:tl2br w:val="nil"/>
                    <w:tr2bl w:val="nil"/>
                  </w:tcBorders>
                  <w:shd w:val="clear" w:color="auto" w:fill="auto"/>
                  <w:vAlign w:val="center"/>
                </w:tcPr>
                <w:p w14:paraId="1DAD428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492644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44A5AC5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7</w:t>
                  </w:r>
                </w:p>
              </w:tc>
              <w:tc>
                <w:tcPr>
                  <w:tcW w:w="926" w:type="pct"/>
                  <w:tcBorders>
                    <w:tl2br w:val="nil"/>
                    <w:tr2bl w:val="nil"/>
                  </w:tcBorders>
                  <w:shd w:val="clear" w:color="auto" w:fill="auto"/>
                  <w:vAlign w:val="center"/>
                </w:tcPr>
                <w:p w14:paraId="250143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半自动卷绕机</w:t>
                  </w:r>
                </w:p>
              </w:tc>
              <w:tc>
                <w:tcPr>
                  <w:tcW w:w="1328" w:type="pct"/>
                  <w:tcBorders>
                    <w:tl2br w:val="nil"/>
                    <w:tr2bl w:val="nil"/>
                  </w:tcBorders>
                  <w:shd w:val="clear" w:color="auto" w:fill="auto"/>
                  <w:vAlign w:val="center"/>
                </w:tcPr>
                <w:p w14:paraId="2BD01E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65982</w:t>
                  </w:r>
                </w:p>
              </w:tc>
              <w:tc>
                <w:tcPr>
                  <w:tcW w:w="790" w:type="pct"/>
                  <w:tcBorders>
                    <w:tl2br w:val="nil"/>
                    <w:tr2bl w:val="nil"/>
                  </w:tcBorders>
                  <w:shd w:val="clear" w:color="auto" w:fill="auto"/>
                  <w:vAlign w:val="center"/>
                </w:tcPr>
                <w:p w14:paraId="055D8C7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p>
              </w:tc>
              <w:tc>
                <w:tcPr>
                  <w:tcW w:w="724" w:type="pct"/>
                  <w:tcBorders>
                    <w:tl2br w:val="nil"/>
                    <w:tr2bl w:val="nil"/>
                  </w:tcBorders>
                  <w:shd w:val="clear" w:color="auto" w:fill="auto"/>
                  <w:vAlign w:val="center"/>
                </w:tcPr>
                <w:p w14:paraId="4EA562B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7D505A0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399B47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36BB93C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8</w:t>
                  </w:r>
                </w:p>
              </w:tc>
              <w:tc>
                <w:tcPr>
                  <w:tcW w:w="926" w:type="pct"/>
                  <w:tcBorders>
                    <w:tl2br w:val="nil"/>
                    <w:tr2bl w:val="nil"/>
                  </w:tcBorders>
                  <w:shd w:val="clear" w:color="auto" w:fill="auto"/>
                  <w:vAlign w:val="center"/>
                </w:tcPr>
                <w:p w14:paraId="2C3A59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圆形全自动卷绕机</w:t>
                  </w:r>
                </w:p>
              </w:tc>
              <w:tc>
                <w:tcPr>
                  <w:tcW w:w="1328" w:type="pct"/>
                  <w:tcBorders>
                    <w:tl2br w:val="nil"/>
                    <w:tr2bl w:val="nil"/>
                  </w:tcBorders>
                  <w:shd w:val="clear" w:color="auto" w:fill="auto"/>
                  <w:vAlign w:val="center"/>
                </w:tcPr>
                <w:p w14:paraId="3742B0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ZY-1865-L</w:t>
                  </w:r>
                </w:p>
              </w:tc>
              <w:tc>
                <w:tcPr>
                  <w:tcW w:w="790" w:type="pct"/>
                  <w:tcBorders>
                    <w:tl2br w:val="nil"/>
                    <w:tr2bl w:val="nil"/>
                  </w:tcBorders>
                  <w:shd w:val="clear" w:color="auto" w:fill="auto"/>
                  <w:vAlign w:val="center"/>
                </w:tcPr>
                <w:p w14:paraId="677F34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10KW</w:t>
                  </w:r>
                </w:p>
              </w:tc>
              <w:tc>
                <w:tcPr>
                  <w:tcW w:w="724" w:type="pct"/>
                  <w:tcBorders>
                    <w:tl2br w:val="nil"/>
                    <w:tr2bl w:val="nil"/>
                  </w:tcBorders>
                  <w:shd w:val="clear" w:color="auto" w:fill="auto"/>
                  <w:vAlign w:val="center"/>
                </w:tcPr>
                <w:p w14:paraId="3504EED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w:t>
                  </w:r>
                </w:p>
              </w:tc>
              <w:tc>
                <w:tcPr>
                  <w:tcW w:w="760" w:type="pct"/>
                  <w:tcBorders>
                    <w:tl2br w:val="nil"/>
                    <w:tr2bl w:val="nil"/>
                  </w:tcBorders>
                  <w:shd w:val="clear" w:color="auto" w:fill="auto"/>
                  <w:vAlign w:val="center"/>
                </w:tcPr>
                <w:p w14:paraId="7F0DF58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0A78C8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0D2A279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9</w:t>
                  </w:r>
                </w:p>
              </w:tc>
              <w:tc>
                <w:tcPr>
                  <w:tcW w:w="926" w:type="pct"/>
                  <w:tcBorders>
                    <w:tl2br w:val="nil"/>
                    <w:tr2bl w:val="nil"/>
                  </w:tcBorders>
                  <w:shd w:val="clear" w:color="auto" w:fill="auto"/>
                  <w:vAlign w:val="center"/>
                </w:tcPr>
                <w:p w14:paraId="4303F1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自动入壳机</w:t>
                  </w:r>
                </w:p>
              </w:tc>
              <w:tc>
                <w:tcPr>
                  <w:tcW w:w="1328" w:type="pct"/>
                  <w:tcBorders>
                    <w:tl2br w:val="nil"/>
                    <w:tr2bl w:val="nil"/>
                  </w:tcBorders>
                  <w:shd w:val="clear" w:color="auto" w:fill="auto"/>
                  <w:vAlign w:val="center"/>
                </w:tcPr>
                <w:p w14:paraId="3CAFCEF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eastAsia="宋体" w:cs="Times New Roman"/>
                      <w:sz w:val="21"/>
                      <w:szCs w:val="21"/>
                      <w:highlight w:val="none"/>
                      <w:vertAlign w:val="baseline"/>
                      <w:lang w:val="en-US" w:eastAsia="zh-CN"/>
                    </w:rPr>
                    <w:t>/</w:t>
                  </w:r>
                </w:p>
              </w:tc>
              <w:tc>
                <w:tcPr>
                  <w:tcW w:w="790" w:type="pct"/>
                  <w:tcBorders>
                    <w:tl2br w:val="nil"/>
                    <w:tr2bl w:val="nil"/>
                  </w:tcBorders>
                  <w:shd w:val="clear" w:color="auto" w:fill="auto"/>
                  <w:vAlign w:val="center"/>
                </w:tcPr>
                <w:p w14:paraId="683E3B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2KW</w:t>
                  </w:r>
                </w:p>
              </w:tc>
              <w:tc>
                <w:tcPr>
                  <w:tcW w:w="724" w:type="pct"/>
                  <w:tcBorders>
                    <w:tl2br w:val="nil"/>
                    <w:tr2bl w:val="nil"/>
                  </w:tcBorders>
                  <w:shd w:val="clear" w:color="auto" w:fill="auto"/>
                  <w:vAlign w:val="center"/>
                </w:tcPr>
                <w:p w14:paraId="0D13BB1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11</w:t>
                  </w:r>
                </w:p>
              </w:tc>
              <w:tc>
                <w:tcPr>
                  <w:tcW w:w="760" w:type="pct"/>
                  <w:tcBorders>
                    <w:tl2br w:val="nil"/>
                    <w:tr2bl w:val="nil"/>
                  </w:tcBorders>
                  <w:shd w:val="clear" w:color="auto" w:fill="auto"/>
                  <w:vAlign w:val="center"/>
                </w:tcPr>
                <w:p w14:paraId="1205F97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6453A83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769F63B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10</w:t>
                  </w:r>
                </w:p>
              </w:tc>
              <w:tc>
                <w:tcPr>
                  <w:tcW w:w="926" w:type="pct"/>
                  <w:tcBorders>
                    <w:tl2br w:val="nil"/>
                    <w:tr2bl w:val="nil"/>
                  </w:tcBorders>
                  <w:shd w:val="clear" w:color="auto" w:fill="auto"/>
                  <w:vAlign w:val="center"/>
                </w:tcPr>
                <w:p w14:paraId="41DD86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全自动入壳机</w:t>
                  </w:r>
                </w:p>
              </w:tc>
              <w:tc>
                <w:tcPr>
                  <w:tcW w:w="1328" w:type="pct"/>
                  <w:tcBorders>
                    <w:tl2br w:val="nil"/>
                    <w:tr2bl w:val="nil"/>
                  </w:tcBorders>
                  <w:shd w:val="clear" w:color="auto" w:fill="auto"/>
                  <w:vAlign w:val="center"/>
                </w:tcPr>
                <w:p w14:paraId="33088D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18650I</w:t>
                  </w:r>
                </w:p>
              </w:tc>
              <w:tc>
                <w:tcPr>
                  <w:tcW w:w="790" w:type="pct"/>
                  <w:tcBorders>
                    <w:tl2br w:val="nil"/>
                    <w:tr2bl w:val="nil"/>
                  </w:tcBorders>
                  <w:shd w:val="clear" w:color="auto" w:fill="auto"/>
                  <w:vAlign w:val="center"/>
                </w:tcPr>
                <w:p w14:paraId="46D5F5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2KW</w:t>
                  </w:r>
                </w:p>
              </w:tc>
              <w:tc>
                <w:tcPr>
                  <w:tcW w:w="724" w:type="pct"/>
                  <w:tcBorders>
                    <w:tl2br w:val="nil"/>
                    <w:tr2bl w:val="nil"/>
                  </w:tcBorders>
                  <w:shd w:val="clear" w:color="auto" w:fill="auto"/>
                  <w:vAlign w:val="center"/>
                </w:tcPr>
                <w:p w14:paraId="2DB459A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w:t>
                  </w:r>
                </w:p>
              </w:tc>
              <w:tc>
                <w:tcPr>
                  <w:tcW w:w="760" w:type="pct"/>
                  <w:tcBorders>
                    <w:tl2br w:val="nil"/>
                    <w:tr2bl w:val="nil"/>
                  </w:tcBorders>
                  <w:shd w:val="clear" w:color="auto" w:fill="auto"/>
                  <w:vAlign w:val="center"/>
                </w:tcPr>
                <w:p w14:paraId="2474908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6B839C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52AB48A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11</w:t>
                  </w:r>
                </w:p>
              </w:tc>
              <w:tc>
                <w:tcPr>
                  <w:tcW w:w="926" w:type="pct"/>
                  <w:tcBorders>
                    <w:tl2br w:val="nil"/>
                    <w:tr2bl w:val="nil"/>
                  </w:tcBorders>
                  <w:shd w:val="clear" w:color="auto" w:fill="auto"/>
                  <w:vAlign w:val="center"/>
                </w:tcPr>
                <w:p w14:paraId="1FED66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双头滚槽焊盖帽转盘一体机</w:t>
                  </w:r>
                </w:p>
              </w:tc>
              <w:tc>
                <w:tcPr>
                  <w:tcW w:w="1328" w:type="pct"/>
                  <w:tcBorders>
                    <w:tl2br w:val="nil"/>
                    <w:tr2bl w:val="nil"/>
                  </w:tcBorders>
                  <w:shd w:val="clear" w:color="auto" w:fill="auto"/>
                  <w:vAlign w:val="center"/>
                </w:tcPr>
                <w:p w14:paraId="654C32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18650</w:t>
                  </w:r>
                </w:p>
              </w:tc>
              <w:tc>
                <w:tcPr>
                  <w:tcW w:w="790" w:type="pct"/>
                  <w:tcBorders>
                    <w:tl2br w:val="nil"/>
                    <w:tr2bl w:val="nil"/>
                  </w:tcBorders>
                  <w:shd w:val="clear" w:color="auto" w:fill="auto"/>
                  <w:vAlign w:val="center"/>
                </w:tcPr>
                <w:p w14:paraId="750412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3KW</w:t>
                  </w:r>
                </w:p>
              </w:tc>
              <w:tc>
                <w:tcPr>
                  <w:tcW w:w="724" w:type="pct"/>
                  <w:tcBorders>
                    <w:tl2br w:val="nil"/>
                    <w:tr2bl w:val="nil"/>
                  </w:tcBorders>
                  <w:shd w:val="clear" w:color="auto" w:fill="auto"/>
                  <w:vAlign w:val="center"/>
                </w:tcPr>
                <w:p w14:paraId="78B4520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w:t>
                  </w:r>
                </w:p>
              </w:tc>
              <w:tc>
                <w:tcPr>
                  <w:tcW w:w="760" w:type="pct"/>
                  <w:tcBorders>
                    <w:tl2br w:val="nil"/>
                    <w:tr2bl w:val="nil"/>
                  </w:tcBorders>
                  <w:shd w:val="clear" w:color="auto" w:fill="auto"/>
                  <w:vAlign w:val="center"/>
                </w:tcPr>
                <w:p w14:paraId="2BCA513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40C7AB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5522BD3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12</w:t>
                  </w:r>
                </w:p>
              </w:tc>
              <w:tc>
                <w:tcPr>
                  <w:tcW w:w="926" w:type="pct"/>
                  <w:tcBorders>
                    <w:tl2br w:val="nil"/>
                    <w:tr2bl w:val="nil"/>
                  </w:tcBorders>
                  <w:shd w:val="clear" w:color="auto" w:fill="auto"/>
                  <w:vAlign w:val="center"/>
                </w:tcPr>
                <w:p w14:paraId="593F08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注液机</w:t>
                  </w:r>
                </w:p>
              </w:tc>
              <w:tc>
                <w:tcPr>
                  <w:tcW w:w="1328" w:type="pct"/>
                  <w:tcBorders>
                    <w:tl2br w:val="nil"/>
                    <w:tr2bl w:val="nil"/>
                  </w:tcBorders>
                  <w:shd w:val="clear" w:color="auto" w:fill="auto"/>
                  <w:vAlign w:val="center"/>
                </w:tcPr>
                <w:p w14:paraId="02E8F2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18650</w:t>
                  </w:r>
                </w:p>
              </w:tc>
              <w:tc>
                <w:tcPr>
                  <w:tcW w:w="790" w:type="pct"/>
                  <w:tcBorders>
                    <w:tl2br w:val="nil"/>
                    <w:tr2bl w:val="nil"/>
                  </w:tcBorders>
                  <w:shd w:val="clear" w:color="auto" w:fill="auto"/>
                  <w:vAlign w:val="center"/>
                </w:tcPr>
                <w:p w14:paraId="1590A0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2KW</w:t>
                  </w:r>
                </w:p>
              </w:tc>
              <w:tc>
                <w:tcPr>
                  <w:tcW w:w="724" w:type="pct"/>
                  <w:tcBorders>
                    <w:tl2br w:val="nil"/>
                    <w:tr2bl w:val="nil"/>
                  </w:tcBorders>
                  <w:shd w:val="clear" w:color="auto" w:fill="auto"/>
                  <w:vAlign w:val="center"/>
                </w:tcPr>
                <w:p w14:paraId="2D8F78D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2AB3BBA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04262C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67B1F77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13</w:t>
                  </w:r>
                </w:p>
              </w:tc>
              <w:tc>
                <w:tcPr>
                  <w:tcW w:w="926" w:type="pct"/>
                  <w:tcBorders>
                    <w:tl2br w:val="nil"/>
                    <w:tr2bl w:val="nil"/>
                  </w:tcBorders>
                  <w:shd w:val="clear" w:color="auto" w:fill="auto"/>
                  <w:vAlign w:val="center"/>
                </w:tcPr>
                <w:p w14:paraId="5AFDAD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双头装配一体机（配套焊接机）</w:t>
                  </w:r>
                </w:p>
              </w:tc>
              <w:tc>
                <w:tcPr>
                  <w:tcW w:w="1328" w:type="pct"/>
                  <w:tcBorders>
                    <w:tl2br w:val="nil"/>
                    <w:tr2bl w:val="nil"/>
                  </w:tcBorders>
                  <w:shd w:val="clear" w:color="auto" w:fill="auto"/>
                  <w:vAlign w:val="center"/>
                </w:tcPr>
                <w:p w14:paraId="19C12F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18650</w:t>
                  </w:r>
                </w:p>
              </w:tc>
              <w:tc>
                <w:tcPr>
                  <w:tcW w:w="790" w:type="pct"/>
                  <w:tcBorders>
                    <w:tl2br w:val="nil"/>
                    <w:tr2bl w:val="nil"/>
                  </w:tcBorders>
                  <w:shd w:val="clear" w:color="auto" w:fill="auto"/>
                  <w:vAlign w:val="center"/>
                </w:tcPr>
                <w:p w14:paraId="6312907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3KW</w:t>
                  </w:r>
                </w:p>
              </w:tc>
              <w:tc>
                <w:tcPr>
                  <w:tcW w:w="724" w:type="pct"/>
                  <w:tcBorders>
                    <w:tl2br w:val="nil"/>
                    <w:tr2bl w:val="nil"/>
                  </w:tcBorders>
                  <w:shd w:val="clear" w:color="auto" w:fill="auto"/>
                  <w:vAlign w:val="center"/>
                </w:tcPr>
                <w:p w14:paraId="0302C51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0BBE8B2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7E923A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6F27394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14</w:t>
                  </w:r>
                </w:p>
              </w:tc>
              <w:tc>
                <w:tcPr>
                  <w:tcW w:w="926" w:type="pct"/>
                  <w:tcBorders>
                    <w:tl2br w:val="nil"/>
                    <w:tr2bl w:val="nil"/>
                  </w:tcBorders>
                  <w:shd w:val="clear" w:color="auto" w:fill="auto"/>
                  <w:vAlign w:val="center"/>
                </w:tcPr>
                <w:p w14:paraId="1FC6BD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全自动清洗机</w:t>
                  </w:r>
                </w:p>
              </w:tc>
              <w:tc>
                <w:tcPr>
                  <w:tcW w:w="1328" w:type="pct"/>
                  <w:tcBorders>
                    <w:tl2br w:val="nil"/>
                    <w:tr2bl w:val="nil"/>
                  </w:tcBorders>
                  <w:shd w:val="clear" w:color="auto" w:fill="auto"/>
                  <w:vAlign w:val="center"/>
                </w:tcPr>
                <w:p w14:paraId="5CF3A30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90" w:type="pct"/>
                  <w:tcBorders>
                    <w:tl2br w:val="nil"/>
                    <w:tr2bl w:val="nil"/>
                  </w:tcBorders>
                  <w:shd w:val="clear" w:color="auto" w:fill="auto"/>
                  <w:vAlign w:val="center"/>
                </w:tcPr>
                <w:p w14:paraId="5FEE3B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15KW</w:t>
                  </w:r>
                </w:p>
              </w:tc>
              <w:tc>
                <w:tcPr>
                  <w:tcW w:w="724" w:type="pct"/>
                  <w:tcBorders>
                    <w:tl2br w:val="nil"/>
                    <w:tr2bl w:val="nil"/>
                  </w:tcBorders>
                  <w:shd w:val="clear" w:color="auto" w:fill="auto"/>
                  <w:vAlign w:val="center"/>
                </w:tcPr>
                <w:p w14:paraId="3DA0642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6617B82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7DB495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49FC743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15</w:t>
                  </w:r>
                </w:p>
              </w:tc>
              <w:tc>
                <w:tcPr>
                  <w:tcW w:w="926" w:type="pct"/>
                  <w:tcBorders>
                    <w:tl2br w:val="nil"/>
                    <w:tr2bl w:val="nil"/>
                  </w:tcBorders>
                  <w:shd w:val="clear" w:color="auto" w:fill="auto"/>
                  <w:vAlign w:val="center"/>
                </w:tcPr>
                <w:p w14:paraId="64CAC0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清洗装盒机</w:t>
                  </w:r>
                </w:p>
              </w:tc>
              <w:tc>
                <w:tcPr>
                  <w:tcW w:w="1328" w:type="pct"/>
                  <w:tcBorders>
                    <w:tl2br w:val="nil"/>
                    <w:tr2bl w:val="nil"/>
                  </w:tcBorders>
                  <w:shd w:val="clear" w:color="auto" w:fill="auto"/>
                  <w:vAlign w:val="center"/>
                </w:tcPr>
                <w:p w14:paraId="2058257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90" w:type="pct"/>
                  <w:tcBorders>
                    <w:tl2br w:val="nil"/>
                    <w:tr2bl w:val="nil"/>
                  </w:tcBorders>
                  <w:shd w:val="clear" w:color="auto" w:fill="auto"/>
                  <w:vAlign w:val="center"/>
                </w:tcPr>
                <w:p w14:paraId="0A80F8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15KW</w:t>
                  </w:r>
                </w:p>
              </w:tc>
              <w:tc>
                <w:tcPr>
                  <w:tcW w:w="724" w:type="pct"/>
                  <w:tcBorders>
                    <w:tl2br w:val="nil"/>
                    <w:tr2bl w:val="nil"/>
                  </w:tcBorders>
                  <w:shd w:val="clear" w:color="auto" w:fill="auto"/>
                  <w:vAlign w:val="center"/>
                </w:tcPr>
                <w:p w14:paraId="224EFAF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23E48CD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1A3225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72EE280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16</w:t>
                  </w:r>
                </w:p>
              </w:tc>
              <w:tc>
                <w:tcPr>
                  <w:tcW w:w="926" w:type="pct"/>
                  <w:tcBorders>
                    <w:tl2br w:val="nil"/>
                    <w:tr2bl w:val="nil"/>
                  </w:tcBorders>
                  <w:shd w:val="clear" w:color="auto" w:fill="auto"/>
                  <w:vAlign w:val="center"/>
                </w:tcPr>
                <w:p w14:paraId="571A9E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注液机手套箱</w:t>
                  </w:r>
                </w:p>
              </w:tc>
              <w:tc>
                <w:tcPr>
                  <w:tcW w:w="1328" w:type="pct"/>
                  <w:tcBorders>
                    <w:tl2br w:val="nil"/>
                    <w:tr2bl w:val="nil"/>
                  </w:tcBorders>
                  <w:shd w:val="clear" w:color="auto" w:fill="auto"/>
                  <w:vAlign w:val="center"/>
                </w:tcPr>
                <w:p w14:paraId="78B8412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90" w:type="pct"/>
                  <w:tcBorders>
                    <w:tl2br w:val="nil"/>
                    <w:tr2bl w:val="nil"/>
                  </w:tcBorders>
                  <w:shd w:val="clear" w:color="auto" w:fill="auto"/>
                  <w:vAlign w:val="center"/>
                </w:tcPr>
                <w:p w14:paraId="431B75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2KW</w:t>
                  </w:r>
                </w:p>
              </w:tc>
              <w:tc>
                <w:tcPr>
                  <w:tcW w:w="724" w:type="pct"/>
                  <w:tcBorders>
                    <w:tl2br w:val="nil"/>
                    <w:tr2bl w:val="nil"/>
                  </w:tcBorders>
                  <w:shd w:val="clear" w:color="auto" w:fill="auto"/>
                  <w:vAlign w:val="center"/>
                </w:tcPr>
                <w:p w14:paraId="3408651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42A59F4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4F665D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37CB483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17</w:t>
                  </w:r>
                </w:p>
              </w:tc>
              <w:tc>
                <w:tcPr>
                  <w:tcW w:w="926" w:type="pct"/>
                  <w:tcBorders>
                    <w:tl2br w:val="nil"/>
                    <w:tr2bl w:val="nil"/>
                  </w:tcBorders>
                  <w:shd w:val="clear" w:color="auto" w:fill="auto"/>
                  <w:vAlign w:val="center"/>
                </w:tcPr>
                <w:p w14:paraId="329F03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下拉封口机</w:t>
                  </w:r>
                </w:p>
              </w:tc>
              <w:tc>
                <w:tcPr>
                  <w:tcW w:w="1328" w:type="pct"/>
                  <w:tcBorders>
                    <w:tl2br w:val="nil"/>
                    <w:tr2bl w:val="nil"/>
                  </w:tcBorders>
                  <w:shd w:val="clear" w:color="auto" w:fill="auto"/>
                  <w:vAlign w:val="center"/>
                </w:tcPr>
                <w:p w14:paraId="4BC39B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18650</w:t>
                  </w:r>
                </w:p>
              </w:tc>
              <w:tc>
                <w:tcPr>
                  <w:tcW w:w="790" w:type="pct"/>
                  <w:tcBorders>
                    <w:tl2br w:val="nil"/>
                    <w:tr2bl w:val="nil"/>
                  </w:tcBorders>
                  <w:shd w:val="clear" w:color="auto" w:fill="auto"/>
                  <w:vAlign w:val="center"/>
                </w:tcPr>
                <w:p w14:paraId="5EAAE7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2.2KW</w:t>
                  </w:r>
                </w:p>
              </w:tc>
              <w:tc>
                <w:tcPr>
                  <w:tcW w:w="724" w:type="pct"/>
                  <w:tcBorders>
                    <w:tl2br w:val="nil"/>
                    <w:tr2bl w:val="nil"/>
                  </w:tcBorders>
                  <w:shd w:val="clear" w:color="auto" w:fill="auto"/>
                  <w:vAlign w:val="center"/>
                </w:tcPr>
                <w:p w14:paraId="0502632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3</w:t>
                  </w:r>
                </w:p>
              </w:tc>
              <w:tc>
                <w:tcPr>
                  <w:tcW w:w="760" w:type="pct"/>
                  <w:tcBorders>
                    <w:tl2br w:val="nil"/>
                    <w:tr2bl w:val="nil"/>
                  </w:tcBorders>
                  <w:shd w:val="clear" w:color="auto" w:fill="auto"/>
                  <w:vAlign w:val="center"/>
                </w:tcPr>
                <w:p w14:paraId="0B71873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7D1764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59E84D0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18</w:t>
                  </w:r>
                </w:p>
              </w:tc>
              <w:tc>
                <w:tcPr>
                  <w:tcW w:w="926" w:type="pct"/>
                  <w:tcBorders>
                    <w:tl2br w:val="nil"/>
                    <w:tr2bl w:val="nil"/>
                  </w:tcBorders>
                  <w:shd w:val="clear" w:color="auto" w:fill="auto"/>
                  <w:vAlign w:val="center"/>
                </w:tcPr>
                <w:p w14:paraId="012A09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直线封口机</w:t>
                  </w:r>
                </w:p>
              </w:tc>
              <w:tc>
                <w:tcPr>
                  <w:tcW w:w="1328" w:type="pct"/>
                  <w:tcBorders>
                    <w:tl2br w:val="nil"/>
                    <w:tr2bl w:val="nil"/>
                  </w:tcBorders>
                  <w:shd w:val="clear" w:color="auto" w:fill="auto"/>
                  <w:vAlign w:val="center"/>
                </w:tcPr>
                <w:p w14:paraId="78497A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J23-10T</w:t>
                  </w:r>
                </w:p>
              </w:tc>
              <w:tc>
                <w:tcPr>
                  <w:tcW w:w="790" w:type="pct"/>
                  <w:tcBorders>
                    <w:tl2br w:val="nil"/>
                    <w:tr2bl w:val="nil"/>
                  </w:tcBorders>
                  <w:shd w:val="clear" w:color="auto" w:fill="auto"/>
                  <w:vAlign w:val="center"/>
                </w:tcPr>
                <w:p w14:paraId="7B631D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2.2KW</w:t>
                  </w:r>
                </w:p>
              </w:tc>
              <w:tc>
                <w:tcPr>
                  <w:tcW w:w="724" w:type="pct"/>
                  <w:tcBorders>
                    <w:tl2br w:val="nil"/>
                    <w:tr2bl w:val="nil"/>
                  </w:tcBorders>
                  <w:shd w:val="clear" w:color="auto" w:fill="auto"/>
                  <w:vAlign w:val="center"/>
                </w:tcPr>
                <w:p w14:paraId="1A1FEFC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3</w:t>
                  </w:r>
                </w:p>
              </w:tc>
              <w:tc>
                <w:tcPr>
                  <w:tcW w:w="760" w:type="pct"/>
                  <w:tcBorders>
                    <w:tl2br w:val="nil"/>
                    <w:tr2bl w:val="nil"/>
                  </w:tcBorders>
                  <w:shd w:val="clear" w:color="auto" w:fill="auto"/>
                  <w:vAlign w:val="center"/>
                </w:tcPr>
                <w:p w14:paraId="1AD5EA4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51498C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53BA7F1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19</w:t>
                  </w:r>
                </w:p>
              </w:tc>
              <w:tc>
                <w:tcPr>
                  <w:tcW w:w="926" w:type="pct"/>
                  <w:tcBorders>
                    <w:tl2br w:val="nil"/>
                    <w:tr2bl w:val="nil"/>
                  </w:tcBorders>
                  <w:shd w:val="clear" w:color="auto" w:fill="auto"/>
                  <w:vAlign w:val="center"/>
                </w:tcPr>
                <w:p w14:paraId="089D14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伺服封口机</w:t>
                  </w:r>
                </w:p>
              </w:tc>
              <w:tc>
                <w:tcPr>
                  <w:tcW w:w="1328" w:type="pct"/>
                  <w:tcBorders>
                    <w:tl2br w:val="nil"/>
                    <w:tr2bl w:val="nil"/>
                  </w:tcBorders>
                  <w:shd w:val="clear" w:color="auto" w:fill="auto"/>
                  <w:vAlign w:val="center"/>
                </w:tcPr>
                <w:p w14:paraId="316D46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18650</w:t>
                  </w:r>
                </w:p>
              </w:tc>
              <w:tc>
                <w:tcPr>
                  <w:tcW w:w="790" w:type="pct"/>
                  <w:tcBorders>
                    <w:tl2br w:val="nil"/>
                    <w:tr2bl w:val="nil"/>
                  </w:tcBorders>
                  <w:shd w:val="clear" w:color="auto" w:fill="auto"/>
                  <w:vAlign w:val="center"/>
                </w:tcPr>
                <w:p w14:paraId="626DD2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2.2KW</w:t>
                  </w:r>
                </w:p>
              </w:tc>
              <w:tc>
                <w:tcPr>
                  <w:tcW w:w="724" w:type="pct"/>
                  <w:tcBorders>
                    <w:tl2br w:val="nil"/>
                    <w:tr2bl w:val="nil"/>
                  </w:tcBorders>
                  <w:shd w:val="clear" w:color="auto" w:fill="auto"/>
                  <w:vAlign w:val="center"/>
                </w:tcPr>
                <w:p w14:paraId="39FEBD2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0FF641E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37CD1D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BA86B0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20</w:t>
                  </w:r>
                </w:p>
              </w:tc>
              <w:tc>
                <w:tcPr>
                  <w:tcW w:w="926" w:type="pct"/>
                  <w:tcBorders>
                    <w:tl2br w:val="nil"/>
                    <w:tr2bl w:val="nil"/>
                  </w:tcBorders>
                  <w:shd w:val="clear" w:color="auto" w:fill="auto"/>
                  <w:vAlign w:val="center"/>
                </w:tcPr>
                <w:p w14:paraId="5BD322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40K焊帽机</w:t>
                  </w:r>
                </w:p>
              </w:tc>
              <w:tc>
                <w:tcPr>
                  <w:tcW w:w="1328" w:type="pct"/>
                  <w:tcBorders>
                    <w:tl2br w:val="nil"/>
                    <w:tr2bl w:val="nil"/>
                  </w:tcBorders>
                  <w:shd w:val="clear" w:color="auto" w:fill="auto"/>
                  <w:vAlign w:val="center"/>
                </w:tcPr>
                <w:p w14:paraId="4DED2B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UM-25</w:t>
                  </w:r>
                </w:p>
              </w:tc>
              <w:tc>
                <w:tcPr>
                  <w:tcW w:w="790" w:type="pct"/>
                  <w:tcBorders>
                    <w:tl2br w:val="nil"/>
                    <w:tr2bl w:val="nil"/>
                  </w:tcBorders>
                  <w:shd w:val="clear" w:color="auto" w:fill="auto"/>
                  <w:vAlign w:val="center"/>
                </w:tcPr>
                <w:p w14:paraId="1309153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0C081AC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698705B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40DE20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3EAAE84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21</w:t>
                  </w:r>
                </w:p>
              </w:tc>
              <w:tc>
                <w:tcPr>
                  <w:tcW w:w="926" w:type="pct"/>
                  <w:tcBorders>
                    <w:tl2br w:val="nil"/>
                    <w:tr2bl w:val="nil"/>
                  </w:tcBorders>
                  <w:shd w:val="clear" w:color="auto" w:fill="auto"/>
                  <w:vAlign w:val="center"/>
                </w:tcPr>
                <w:p w14:paraId="794953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高真空泵烤箱机组</w:t>
                  </w:r>
                </w:p>
              </w:tc>
              <w:tc>
                <w:tcPr>
                  <w:tcW w:w="1328" w:type="pct"/>
                  <w:tcBorders>
                    <w:tl2br w:val="nil"/>
                    <w:tr2bl w:val="nil"/>
                  </w:tcBorders>
                  <w:shd w:val="clear" w:color="auto" w:fill="auto"/>
                  <w:vAlign w:val="center"/>
                </w:tcPr>
                <w:p w14:paraId="45A51D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一拖四</w:t>
                  </w:r>
                </w:p>
              </w:tc>
              <w:tc>
                <w:tcPr>
                  <w:tcW w:w="790" w:type="pct"/>
                  <w:tcBorders>
                    <w:tl2br w:val="nil"/>
                    <w:tr2bl w:val="nil"/>
                  </w:tcBorders>
                  <w:shd w:val="clear" w:color="auto" w:fill="auto"/>
                  <w:vAlign w:val="center"/>
                </w:tcPr>
                <w:p w14:paraId="0E2343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9.5KW</w:t>
                  </w:r>
                </w:p>
              </w:tc>
              <w:tc>
                <w:tcPr>
                  <w:tcW w:w="724" w:type="pct"/>
                  <w:tcBorders>
                    <w:tl2br w:val="nil"/>
                    <w:tr2bl w:val="nil"/>
                  </w:tcBorders>
                  <w:shd w:val="clear" w:color="auto" w:fill="auto"/>
                  <w:vAlign w:val="center"/>
                </w:tcPr>
                <w:p w14:paraId="2B021BE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58A6F72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51E96E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1C5FCBD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22</w:t>
                  </w:r>
                </w:p>
              </w:tc>
              <w:tc>
                <w:tcPr>
                  <w:tcW w:w="926" w:type="pct"/>
                  <w:tcBorders>
                    <w:tl2br w:val="nil"/>
                    <w:tr2bl w:val="nil"/>
                  </w:tcBorders>
                  <w:shd w:val="clear" w:color="auto" w:fill="auto"/>
                  <w:vAlign w:val="center"/>
                </w:tcPr>
                <w:p w14:paraId="315043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高真空泵烤箱</w:t>
                  </w:r>
                </w:p>
              </w:tc>
              <w:tc>
                <w:tcPr>
                  <w:tcW w:w="1328" w:type="pct"/>
                  <w:tcBorders>
                    <w:tl2br w:val="nil"/>
                    <w:tr2bl w:val="nil"/>
                  </w:tcBorders>
                  <w:shd w:val="clear" w:color="auto" w:fill="auto"/>
                  <w:vAlign w:val="center"/>
                </w:tcPr>
                <w:p w14:paraId="293DB53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一拖四</w:t>
                  </w:r>
                </w:p>
              </w:tc>
              <w:tc>
                <w:tcPr>
                  <w:tcW w:w="790" w:type="pct"/>
                  <w:tcBorders>
                    <w:tl2br w:val="nil"/>
                    <w:tr2bl w:val="nil"/>
                  </w:tcBorders>
                  <w:shd w:val="clear" w:color="auto" w:fill="auto"/>
                  <w:vAlign w:val="center"/>
                </w:tcPr>
                <w:p w14:paraId="1488B3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9.5KW</w:t>
                  </w:r>
                </w:p>
              </w:tc>
              <w:tc>
                <w:tcPr>
                  <w:tcW w:w="724" w:type="pct"/>
                  <w:tcBorders>
                    <w:tl2br w:val="nil"/>
                    <w:tr2bl w:val="nil"/>
                  </w:tcBorders>
                  <w:shd w:val="clear" w:color="auto" w:fill="auto"/>
                  <w:vAlign w:val="center"/>
                </w:tcPr>
                <w:p w14:paraId="744111E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405C6AD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2B7B3F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76B8E5E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23</w:t>
                  </w:r>
                </w:p>
              </w:tc>
              <w:tc>
                <w:tcPr>
                  <w:tcW w:w="926" w:type="pct"/>
                  <w:tcBorders>
                    <w:tl2br w:val="nil"/>
                    <w:tr2bl w:val="nil"/>
                  </w:tcBorders>
                  <w:shd w:val="clear" w:color="auto" w:fill="auto"/>
                  <w:vAlign w:val="center"/>
                </w:tcPr>
                <w:p w14:paraId="401AF1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圆柱锂电池回馈式化成分容设备</w:t>
                  </w:r>
                </w:p>
              </w:tc>
              <w:tc>
                <w:tcPr>
                  <w:tcW w:w="1328" w:type="pct"/>
                  <w:tcBorders>
                    <w:tl2br w:val="nil"/>
                    <w:tr2bl w:val="nil"/>
                  </w:tcBorders>
                  <w:shd w:val="clear" w:color="auto" w:fill="auto"/>
                  <w:vAlign w:val="center"/>
                </w:tcPr>
                <w:p w14:paraId="174B51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WP-512-3A-FK</w:t>
                  </w:r>
                </w:p>
              </w:tc>
              <w:tc>
                <w:tcPr>
                  <w:tcW w:w="790" w:type="pct"/>
                  <w:tcBorders>
                    <w:tl2br w:val="nil"/>
                    <w:tr2bl w:val="nil"/>
                  </w:tcBorders>
                  <w:shd w:val="clear" w:color="auto" w:fill="auto"/>
                  <w:vAlign w:val="center"/>
                </w:tcPr>
                <w:p w14:paraId="5C4827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3KW</w:t>
                  </w:r>
                </w:p>
              </w:tc>
              <w:tc>
                <w:tcPr>
                  <w:tcW w:w="724" w:type="pct"/>
                  <w:tcBorders>
                    <w:tl2br w:val="nil"/>
                    <w:tr2bl w:val="nil"/>
                  </w:tcBorders>
                  <w:shd w:val="clear" w:color="auto" w:fill="auto"/>
                  <w:vAlign w:val="center"/>
                </w:tcPr>
                <w:p w14:paraId="4D33F9E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10</w:t>
                  </w:r>
                </w:p>
              </w:tc>
              <w:tc>
                <w:tcPr>
                  <w:tcW w:w="760" w:type="pct"/>
                  <w:tcBorders>
                    <w:tl2br w:val="nil"/>
                    <w:tr2bl w:val="nil"/>
                  </w:tcBorders>
                  <w:shd w:val="clear" w:color="auto" w:fill="auto"/>
                  <w:vAlign w:val="center"/>
                </w:tcPr>
                <w:p w14:paraId="75CC655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4161AF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566A037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24</w:t>
                  </w:r>
                </w:p>
              </w:tc>
              <w:tc>
                <w:tcPr>
                  <w:tcW w:w="926" w:type="pct"/>
                  <w:tcBorders>
                    <w:tl2br w:val="nil"/>
                    <w:tr2bl w:val="nil"/>
                  </w:tcBorders>
                  <w:shd w:val="clear" w:color="auto" w:fill="auto"/>
                  <w:vAlign w:val="center"/>
                </w:tcPr>
                <w:p w14:paraId="37A462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回馈式针床化成检测设备</w:t>
                  </w:r>
                </w:p>
              </w:tc>
              <w:tc>
                <w:tcPr>
                  <w:tcW w:w="1328" w:type="pct"/>
                  <w:tcBorders>
                    <w:tl2br w:val="nil"/>
                    <w:tr2bl w:val="nil"/>
                  </w:tcBorders>
                  <w:shd w:val="clear" w:color="auto" w:fill="auto"/>
                  <w:vAlign w:val="center"/>
                </w:tcPr>
                <w:p w14:paraId="085761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WP-1280CH-1A-FK</w:t>
                  </w:r>
                </w:p>
              </w:tc>
              <w:tc>
                <w:tcPr>
                  <w:tcW w:w="790" w:type="pct"/>
                  <w:tcBorders>
                    <w:tl2br w:val="nil"/>
                    <w:tr2bl w:val="nil"/>
                  </w:tcBorders>
                  <w:shd w:val="clear" w:color="auto" w:fill="auto"/>
                  <w:vAlign w:val="center"/>
                </w:tcPr>
                <w:p w14:paraId="04084D9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333F5B0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62</w:t>
                  </w:r>
                </w:p>
              </w:tc>
              <w:tc>
                <w:tcPr>
                  <w:tcW w:w="760" w:type="pct"/>
                  <w:tcBorders>
                    <w:tl2br w:val="nil"/>
                    <w:tr2bl w:val="nil"/>
                  </w:tcBorders>
                  <w:shd w:val="clear" w:color="auto" w:fill="auto"/>
                  <w:vAlign w:val="center"/>
                </w:tcPr>
                <w:p w14:paraId="5DAB935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新增设备</w:t>
                  </w:r>
                </w:p>
              </w:tc>
            </w:tr>
            <w:tr w14:paraId="666CA9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6C719F3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25</w:t>
                  </w:r>
                </w:p>
              </w:tc>
              <w:tc>
                <w:tcPr>
                  <w:tcW w:w="926" w:type="pct"/>
                  <w:tcBorders>
                    <w:tl2br w:val="nil"/>
                    <w:tr2bl w:val="nil"/>
                  </w:tcBorders>
                  <w:shd w:val="clear" w:color="auto" w:fill="auto"/>
                  <w:vAlign w:val="center"/>
                </w:tcPr>
                <w:p w14:paraId="684A2B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套膜分选一体机</w:t>
                  </w:r>
                </w:p>
              </w:tc>
              <w:tc>
                <w:tcPr>
                  <w:tcW w:w="1328" w:type="pct"/>
                  <w:tcBorders>
                    <w:tl2br w:val="nil"/>
                    <w:tr2bl w:val="nil"/>
                  </w:tcBorders>
                  <w:shd w:val="clear" w:color="auto" w:fill="auto"/>
                  <w:vAlign w:val="center"/>
                </w:tcPr>
                <w:p w14:paraId="113CFB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SC-TC1810C</w:t>
                  </w:r>
                </w:p>
              </w:tc>
              <w:tc>
                <w:tcPr>
                  <w:tcW w:w="790" w:type="pct"/>
                  <w:tcBorders>
                    <w:tl2br w:val="nil"/>
                    <w:tr2bl w:val="nil"/>
                  </w:tcBorders>
                  <w:shd w:val="clear" w:color="auto" w:fill="auto"/>
                  <w:vAlign w:val="center"/>
                </w:tcPr>
                <w:p w14:paraId="618842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1.5KW</w:t>
                  </w:r>
                </w:p>
              </w:tc>
              <w:tc>
                <w:tcPr>
                  <w:tcW w:w="724" w:type="pct"/>
                  <w:tcBorders>
                    <w:tl2br w:val="nil"/>
                    <w:tr2bl w:val="nil"/>
                  </w:tcBorders>
                  <w:shd w:val="clear" w:color="auto" w:fill="auto"/>
                  <w:vAlign w:val="center"/>
                </w:tcPr>
                <w:p w14:paraId="3C48E1A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6</w:t>
                  </w:r>
                </w:p>
              </w:tc>
              <w:tc>
                <w:tcPr>
                  <w:tcW w:w="760" w:type="pct"/>
                  <w:tcBorders>
                    <w:tl2br w:val="nil"/>
                    <w:tr2bl w:val="nil"/>
                  </w:tcBorders>
                  <w:shd w:val="clear" w:color="auto" w:fill="auto"/>
                  <w:vAlign w:val="center"/>
                </w:tcPr>
                <w:p w14:paraId="24BF809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1B033A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08C7697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26</w:t>
                  </w:r>
                </w:p>
              </w:tc>
              <w:tc>
                <w:tcPr>
                  <w:tcW w:w="926" w:type="pct"/>
                  <w:tcBorders>
                    <w:tl2br w:val="nil"/>
                    <w:tr2bl w:val="nil"/>
                  </w:tcBorders>
                  <w:shd w:val="clear" w:color="auto" w:fill="auto"/>
                  <w:vAlign w:val="center"/>
                </w:tcPr>
                <w:p w14:paraId="181813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包装机收盒机</w:t>
                  </w:r>
                </w:p>
              </w:tc>
              <w:tc>
                <w:tcPr>
                  <w:tcW w:w="1328" w:type="pct"/>
                  <w:tcBorders>
                    <w:tl2br w:val="nil"/>
                    <w:tr2bl w:val="nil"/>
                  </w:tcBorders>
                  <w:shd w:val="clear" w:color="auto" w:fill="auto"/>
                  <w:vAlign w:val="center"/>
                </w:tcPr>
                <w:p w14:paraId="32DDF5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18650</w:t>
                  </w:r>
                </w:p>
              </w:tc>
              <w:tc>
                <w:tcPr>
                  <w:tcW w:w="790" w:type="pct"/>
                  <w:tcBorders>
                    <w:tl2br w:val="nil"/>
                    <w:tr2bl w:val="nil"/>
                  </w:tcBorders>
                  <w:shd w:val="clear" w:color="auto" w:fill="auto"/>
                  <w:vAlign w:val="center"/>
                </w:tcPr>
                <w:p w14:paraId="0B9255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1KW</w:t>
                  </w:r>
                </w:p>
              </w:tc>
              <w:tc>
                <w:tcPr>
                  <w:tcW w:w="724" w:type="pct"/>
                  <w:tcBorders>
                    <w:tl2br w:val="nil"/>
                    <w:tr2bl w:val="nil"/>
                  </w:tcBorders>
                  <w:shd w:val="clear" w:color="auto" w:fill="auto"/>
                  <w:vAlign w:val="center"/>
                </w:tcPr>
                <w:p w14:paraId="33E4486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12</w:t>
                  </w:r>
                </w:p>
              </w:tc>
              <w:tc>
                <w:tcPr>
                  <w:tcW w:w="760" w:type="pct"/>
                  <w:tcBorders>
                    <w:tl2br w:val="nil"/>
                    <w:tr2bl w:val="nil"/>
                  </w:tcBorders>
                  <w:shd w:val="clear" w:color="auto" w:fill="auto"/>
                  <w:vAlign w:val="center"/>
                </w:tcPr>
                <w:p w14:paraId="47AC77B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67B686D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6C86397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27</w:t>
                  </w:r>
                </w:p>
              </w:tc>
              <w:tc>
                <w:tcPr>
                  <w:tcW w:w="926" w:type="pct"/>
                  <w:tcBorders>
                    <w:tl2br w:val="nil"/>
                    <w:tr2bl w:val="nil"/>
                  </w:tcBorders>
                  <w:shd w:val="clear" w:color="auto" w:fill="auto"/>
                  <w:vAlign w:val="center"/>
                </w:tcPr>
                <w:p w14:paraId="3802D2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自动上料机</w:t>
                  </w:r>
                </w:p>
              </w:tc>
              <w:tc>
                <w:tcPr>
                  <w:tcW w:w="1328" w:type="pct"/>
                  <w:tcBorders>
                    <w:tl2br w:val="nil"/>
                    <w:tr2bl w:val="nil"/>
                  </w:tcBorders>
                  <w:shd w:val="clear" w:color="auto" w:fill="auto"/>
                  <w:vAlign w:val="center"/>
                </w:tcPr>
                <w:p w14:paraId="0C2ADD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eastAsia" w:ascii="Times New Roman" w:hAnsi="Times New Roman" w:eastAsia="宋体" w:cs="Times New Roman"/>
                      <w:i w:val="0"/>
                      <w:iCs w:val="0"/>
                      <w:color w:val="000000"/>
                      <w:kern w:val="0"/>
                      <w:sz w:val="21"/>
                      <w:szCs w:val="21"/>
                      <w:highlight w:val="none"/>
                      <w:u w:val="none"/>
                      <w:lang w:val="en-US" w:eastAsia="zh-CN" w:bidi="ar"/>
                    </w:rPr>
                    <w:t>18650</w:t>
                  </w:r>
                </w:p>
              </w:tc>
              <w:tc>
                <w:tcPr>
                  <w:tcW w:w="790" w:type="pct"/>
                  <w:tcBorders>
                    <w:tl2br w:val="nil"/>
                    <w:tr2bl w:val="nil"/>
                  </w:tcBorders>
                  <w:shd w:val="clear" w:color="auto" w:fill="auto"/>
                  <w:vAlign w:val="center"/>
                </w:tcPr>
                <w:p w14:paraId="14FDD85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33C1CB5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6</w:t>
                  </w:r>
                </w:p>
              </w:tc>
              <w:tc>
                <w:tcPr>
                  <w:tcW w:w="760" w:type="pct"/>
                  <w:tcBorders>
                    <w:tl2br w:val="nil"/>
                    <w:tr2bl w:val="nil"/>
                  </w:tcBorders>
                  <w:shd w:val="clear" w:color="auto" w:fill="auto"/>
                  <w:vAlign w:val="center"/>
                </w:tcPr>
                <w:p w14:paraId="6A30FA3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新增设备</w:t>
                  </w:r>
                </w:p>
              </w:tc>
            </w:tr>
            <w:tr w14:paraId="30DBF5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64420B8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28</w:t>
                  </w:r>
                </w:p>
              </w:tc>
              <w:tc>
                <w:tcPr>
                  <w:tcW w:w="926" w:type="pct"/>
                  <w:tcBorders>
                    <w:tl2br w:val="nil"/>
                    <w:tr2bl w:val="nil"/>
                  </w:tcBorders>
                  <w:shd w:val="clear" w:color="auto" w:fill="auto"/>
                  <w:vAlign w:val="center"/>
                </w:tcPr>
                <w:p w14:paraId="1811A8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自动装盒机（单通道）</w:t>
                  </w:r>
                </w:p>
              </w:tc>
              <w:tc>
                <w:tcPr>
                  <w:tcW w:w="1328" w:type="pct"/>
                  <w:tcBorders>
                    <w:tl2br w:val="nil"/>
                    <w:tr2bl w:val="nil"/>
                  </w:tcBorders>
                  <w:shd w:val="clear" w:color="auto" w:fill="auto"/>
                  <w:vAlign w:val="center"/>
                </w:tcPr>
                <w:p w14:paraId="69B212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18650</w:t>
                  </w:r>
                </w:p>
              </w:tc>
              <w:tc>
                <w:tcPr>
                  <w:tcW w:w="790" w:type="pct"/>
                  <w:tcBorders>
                    <w:tl2br w:val="nil"/>
                    <w:tr2bl w:val="nil"/>
                  </w:tcBorders>
                  <w:shd w:val="clear" w:color="auto" w:fill="auto"/>
                  <w:vAlign w:val="center"/>
                </w:tcPr>
                <w:p w14:paraId="5786388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0EA6C04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39F1ECF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新增设备</w:t>
                  </w:r>
                </w:p>
              </w:tc>
            </w:tr>
            <w:tr w14:paraId="4FCC73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680561C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29</w:t>
                  </w:r>
                </w:p>
              </w:tc>
              <w:tc>
                <w:tcPr>
                  <w:tcW w:w="926" w:type="pct"/>
                  <w:tcBorders>
                    <w:tl2br w:val="nil"/>
                    <w:tr2bl w:val="nil"/>
                  </w:tcBorders>
                  <w:shd w:val="clear" w:color="auto" w:fill="auto"/>
                  <w:vAlign w:val="center"/>
                </w:tcPr>
                <w:p w14:paraId="7974AC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自动装盒机（双通道）</w:t>
                  </w:r>
                </w:p>
              </w:tc>
              <w:tc>
                <w:tcPr>
                  <w:tcW w:w="1328" w:type="pct"/>
                  <w:tcBorders>
                    <w:tl2br w:val="nil"/>
                    <w:tr2bl w:val="nil"/>
                  </w:tcBorders>
                  <w:shd w:val="clear" w:color="auto" w:fill="auto"/>
                  <w:vAlign w:val="center"/>
                </w:tcPr>
                <w:p w14:paraId="59D920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18650</w:t>
                  </w:r>
                </w:p>
              </w:tc>
              <w:tc>
                <w:tcPr>
                  <w:tcW w:w="790" w:type="pct"/>
                  <w:tcBorders>
                    <w:tl2br w:val="nil"/>
                    <w:tr2bl w:val="nil"/>
                  </w:tcBorders>
                  <w:shd w:val="clear" w:color="auto" w:fill="auto"/>
                  <w:vAlign w:val="center"/>
                </w:tcPr>
                <w:p w14:paraId="5CDB2D4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6321BA5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502C5B0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新增设备</w:t>
                  </w:r>
                </w:p>
              </w:tc>
            </w:tr>
            <w:tr w14:paraId="28B06D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366B320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30</w:t>
                  </w:r>
                </w:p>
              </w:tc>
              <w:tc>
                <w:tcPr>
                  <w:tcW w:w="926" w:type="pct"/>
                  <w:tcBorders>
                    <w:tl2br w:val="nil"/>
                    <w:tr2bl w:val="nil"/>
                  </w:tcBorders>
                  <w:shd w:val="clear" w:color="auto" w:fill="auto"/>
                  <w:vAlign w:val="center"/>
                </w:tcPr>
                <w:p w14:paraId="19E151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20W光纤激光打标机</w:t>
                  </w:r>
                </w:p>
              </w:tc>
              <w:tc>
                <w:tcPr>
                  <w:tcW w:w="1328" w:type="pct"/>
                  <w:tcBorders>
                    <w:tl2br w:val="nil"/>
                    <w:tr2bl w:val="nil"/>
                  </w:tcBorders>
                  <w:shd w:val="clear" w:color="auto" w:fill="auto"/>
                  <w:vAlign w:val="center"/>
                </w:tcPr>
                <w:p w14:paraId="3A0551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HT-20L</w:t>
                  </w:r>
                </w:p>
              </w:tc>
              <w:tc>
                <w:tcPr>
                  <w:tcW w:w="790" w:type="pct"/>
                  <w:tcBorders>
                    <w:tl2br w:val="nil"/>
                    <w:tr2bl w:val="nil"/>
                  </w:tcBorders>
                  <w:shd w:val="clear" w:color="auto" w:fill="auto"/>
                  <w:vAlign w:val="center"/>
                </w:tcPr>
                <w:p w14:paraId="3B2631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0.5KW</w:t>
                  </w:r>
                </w:p>
              </w:tc>
              <w:tc>
                <w:tcPr>
                  <w:tcW w:w="724" w:type="pct"/>
                  <w:tcBorders>
                    <w:tl2br w:val="nil"/>
                    <w:tr2bl w:val="nil"/>
                  </w:tcBorders>
                  <w:shd w:val="clear" w:color="auto" w:fill="auto"/>
                  <w:vAlign w:val="center"/>
                </w:tcPr>
                <w:p w14:paraId="4C8683C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03564F3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65151E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53EE2B1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31</w:t>
                  </w:r>
                </w:p>
              </w:tc>
              <w:tc>
                <w:tcPr>
                  <w:tcW w:w="926" w:type="pct"/>
                  <w:tcBorders>
                    <w:tl2br w:val="nil"/>
                    <w:tr2bl w:val="nil"/>
                  </w:tcBorders>
                  <w:shd w:val="clear" w:color="auto" w:fill="auto"/>
                  <w:vAlign w:val="center"/>
                </w:tcPr>
                <w:p w14:paraId="04340F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光纤激光打标机</w:t>
                  </w:r>
                </w:p>
              </w:tc>
              <w:tc>
                <w:tcPr>
                  <w:tcW w:w="1328" w:type="pct"/>
                  <w:tcBorders>
                    <w:tl2br w:val="nil"/>
                    <w:tr2bl w:val="nil"/>
                  </w:tcBorders>
                  <w:shd w:val="clear" w:color="auto" w:fill="auto"/>
                  <w:vAlign w:val="center"/>
                </w:tcPr>
                <w:p w14:paraId="44A8D9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XHP-20A</w:t>
                  </w:r>
                </w:p>
              </w:tc>
              <w:tc>
                <w:tcPr>
                  <w:tcW w:w="790" w:type="pct"/>
                  <w:tcBorders>
                    <w:tl2br w:val="nil"/>
                    <w:tr2bl w:val="nil"/>
                  </w:tcBorders>
                  <w:shd w:val="clear" w:color="auto" w:fill="auto"/>
                  <w:vAlign w:val="center"/>
                </w:tcPr>
                <w:p w14:paraId="1CB58A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0.5KW</w:t>
                  </w:r>
                </w:p>
              </w:tc>
              <w:tc>
                <w:tcPr>
                  <w:tcW w:w="724" w:type="pct"/>
                  <w:tcBorders>
                    <w:tl2br w:val="nil"/>
                    <w:tr2bl w:val="nil"/>
                  </w:tcBorders>
                  <w:shd w:val="clear" w:color="auto" w:fill="auto"/>
                  <w:vAlign w:val="center"/>
                </w:tcPr>
                <w:p w14:paraId="129E7C9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3</w:t>
                  </w:r>
                </w:p>
              </w:tc>
              <w:tc>
                <w:tcPr>
                  <w:tcW w:w="760" w:type="pct"/>
                  <w:tcBorders>
                    <w:tl2br w:val="nil"/>
                    <w:tr2bl w:val="nil"/>
                  </w:tcBorders>
                  <w:shd w:val="clear" w:color="auto" w:fill="auto"/>
                  <w:vAlign w:val="center"/>
                </w:tcPr>
                <w:p w14:paraId="71CC009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1E2C84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5000" w:type="pct"/>
                  <w:gridSpan w:val="6"/>
                  <w:tcBorders>
                    <w:tl2br w:val="nil"/>
                    <w:tr2bl w:val="nil"/>
                  </w:tcBorders>
                  <w:shd w:val="clear" w:color="auto" w:fill="auto"/>
                  <w:vAlign w:val="center"/>
                </w:tcPr>
                <w:p w14:paraId="5775E79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2车间</w:t>
                  </w:r>
                </w:p>
              </w:tc>
            </w:tr>
            <w:tr w14:paraId="678F57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5B5168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32</w:t>
                  </w:r>
                </w:p>
              </w:tc>
              <w:tc>
                <w:tcPr>
                  <w:tcW w:w="926" w:type="pct"/>
                  <w:tcBorders>
                    <w:tl2br w:val="nil"/>
                    <w:tr2bl w:val="nil"/>
                  </w:tcBorders>
                  <w:shd w:val="clear" w:color="auto" w:fill="auto"/>
                  <w:vAlign w:val="center"/>
                </w:tcPr>
                <w:p w14:paraId="5E1DBF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涂布缓存罐</w:t>
                  </w:r>
                </w:p>
              </w:tc>
              <w:tc>
                <w:tcPr>
                  <w:tcW w:w="1328" w:type="pct"/>
                  <w:tcBorders>
                    <w:tl2br w:val="nil"/>
                    <w:tr2bl w:val="nil"/>
                  </w:tcBorders>
                  <w:shd w:val="clear" w:color="auto" w:fill="auto"/>
                  <w:vAlign w:val="center"/>
                </w:tcPr>
                <w:p w14:paraId="18000F4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90" w:type="pct"/>
                  <w:tcBorders>
                    <w:tl2br w:val="nil"/>
                    <w:tr2bl w:val="nil"/>
                  </w:tcBorders>
                  <w:shd w:val="clear" w:color="auto" w:fill="auto"/>
                  <w:vAlign w:val="center"/>
                </w:tcPr>
                <w:p w14:paraId="27EF793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500L</w:t>
                  </w:r>
                </w:p>
              </w:tc>
              <w:tc>
                <w:tcPr>
                  <w:tcW w:w="724" w:type="pct"/>
                  <w:tcBorders>
                    <w:tl2br w:val="nil"/>
                    <w:tr2bl w:val="nil"/>
                  </w:tcBorders>
                  <w:shd w:val="clear" w:color="auto" w:fill="auto"/>
                  <w:vAlign w:val="center"/>
                </w:tcPr>
                <w:p w14:paraId="17B9435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6</w:t>
                  </w:r>
                </w:p>
              </w:tc>
              <w:tc>
                <w:tcPr>
                  <w:tcW w:w="760" w:type="pct"/>
                  <w:tcBorders>
                    <w:tl2br w:val="nil"/>
                    <w:tr2bl w:val="nil"/>
                  </w:tcBorders>
                  <w:shd w:val="clear" w:color="auto" w:fill="auto"/>
                  <w:vAlign w:val="center"/>
                </w:tcPr>
                <w:p w14:paraId="470E61D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112F2B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1569756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33</w:t>
                  </w:r>
                </w:p>
              </w:tc>
              <w:tc>
                <w:tcPr>
                  <w:tcW w:w="926" w:type="pct"/>
                  <w:tcBorders>
                    <w:tl2br w:val="nil"/>
                    <w:tr2bl w:val="nil"/>
                  </w:tcBorders>
                  <w:shd w:val="clear" w:color="auto" w:fill="auto"/>
                  <w:vAlign w:val="center"/>
                </w:tcPr>
                <w:p w14:paraId="67D5A1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连续辊压机</w:t>
                  </w:r>
                </w:p>
              </w:tc>
              <w:tc>
                <w:tcPr>
                  <w:tcW w:w="1328" w:type="pct"/>
                  <w:tcBorders>
                    <w:tl2br w:val="nil"/>
                    <w:tr2bl w:val="nil"/>
                  </w:tcBorders>
                  <w:shd w:val="clear" w:color="auto" w:fill="auto"/>
                  <w:vAlign w:val="center"/>
                </w:tcPr>
                <w:p w14:paraId="31C23B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DYG-703BH1-600</w:t>
                  </w:r>
                </w:p>
              </w:tc>
              <w:tc>
                <w:tcPr>
                  <w:tcW w:w="790" w:type="pct"/>
                  <w:tcBorders>
                    <w:tl2br w:val="nil"/>
                    <w:tr2bl w:val="nil"/>
                  </w:tcBorders>
                  <w:shd w:val="clear" w:color="auto" w:fill="auto"/>
                  <w:vAlign w:val="center"/>
                </w:tcPr>
                <w:p w14:paraId="0DA298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22KW</w:t>
                  </w:r>
                </w:p>
              </w:tc>
              <w:tc>
                <w:tcPr>
                  <w:tcW w:w="724" w:type="pct"/>
                  <w:tcBorders>
                    <w:tl2br w:val="nil"/>
                    <w:tr2bl w:val="nil"/>
                  </w:tcBorders>
                  <w:shd w:val="clear" w:color="auto" w:fill="auto"/>
                  <w:vAlign w:val="center"/>
                </w:tcPr>
                <w:p w14:paraId="3EAF223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246893F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6C8D45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34EDD16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34</w:t>
                  </w:r>
                </w:p>
              </w:tc>
              <w:tc>
                <w:tcPr>
                  <w:tcW w:w="926" w:type="pct"/>
                  <w:tcBorders>
                    <w:tl2br w:val="nil"/>
                    <w:tr2bl w:val="nil"/>
                  </w:tcBorders>
                  <w:shd w:val="clear" w:color="auto" w:fill="auto"/>
                  <w:vAlign w:val="center"/>
                </w:tcPr>
                <w:p w14:paraId="33CBEB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自动分条机</w:t>
                  </w:r>
                </w:p>
              </w:tc>
              <w:tc>
                <w:tcPr>
                  <w:tcW w:w="1328" w:type="pct"/>
                  <w:tcBorders>
                    <w:tl2br w:val="nil"/>
                    <w:tr2bl w:val="nil"/>
                  </w:tcBorders>
                  <w:shd w:val="clear" w:color="auto" w:fill="auto"/>
                  <w:vAlign w:val="center"/>
                </w:tcPr>
                <w:p w14:paraId="1B65FE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FT-750</w:t>
                  </w:r>
                </w:p>
              </w:tc>
              <w:tc>
                <w:tcPr>
                  <w:tcW w:w="790" w:type="pct"/>
                  <w:tcBorders>
                    <w:tl2br w:val="nil"/>
                    <w:tr2bl w:val="nil"/>
                  </w:tcBorders>
                  <w:shd w:val="clear" w:color="auto" w:fill="auto"/>
                  <w:vAlign w:val="center"/>
                </w:tcPr>
                <w:p w14:paraId="1F1E47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2.2KW</w:t>
                  </w:r>
                </w:p>
              </w:tc>
              <w:tc>
                <w:tcPr>
                  <w:tcW w:w="724" w:type="pct"/>
                  <w:tcBorders>
                    <w:tl2br w:val="nil"/>
                    <w:tr2bl w:val="nil"/>
                  </w:tcBorders>
                  <w:shd w:val="clear" w:color="auto" w:fill="auto"/>
                  <w:vAlign w:val="center"/>
                </w:tcPr>
                <w:p w14:paraId="3A30A28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0F9F04A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20F035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43D379E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35</w:t>
                  </w:r>
                </w:p>
              </w:tc>
              <w:tc>
                <w:tcPr>
                  <w:tcW w:w="926" w:type="pct"/>
                  <w:tcBorders>
                    <w:tl2br w:val="nil"/>
                    <w:tr2bl w:val="nil"/>
                  </w:tcBorders>
                  <w:shd w:val="clear" w:color="auto" w:fill="auto"/>
                  <w:vAlign w:val="center"/>
                </w:tcPr>
                <w:p w14:paraId="6A766A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全自动制片机正极</w:t>
                  </w:r>
                </w:p>
              </w:tc>
              <w:tc>
                <w:tcPr>
                  <w:tcW w:w="1328" w:type="pct"/>
                  <w:tcBorders>
                    <w:tl2br w:val="nil"/>
                    <w:tr2bl w:val="nil"/>
                  </w:tcBorders>
                  <w:shd w:val="clear" w:color="auto" w:fill="auto"/>
                  <w:vAlign w:val="center"/>
                </w:tcPr>
                <w:p w14:paraId="5D10EC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ZY-18650-H2T2</w:t>
                  </w:r>
                </w:p>
              </w:tc>
              <w:tc>
                <w:tcPr>
                  <w:tcW w:w="790" w:type="pct"/>
                  <w:tcBorders>
                    <w:tl2br w:val="nil"/>
                    <w:tr2bl w:val="nil"/>
                  </w:tcBorders>
                  <w:shd w:val="clear" w:color="auto" w:fill="auto"/>
                  <w:vAlign w:val="center"/>
                </w:tcPr>
                <w:p w14:paraId="767CCF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3.5KW</w:t>
                  </w:r>
                </w:p>
              </w:tc>
              <w:tc>
                <w:tcPr>
                  <w:tcW w:w="724" w:type="pct"/>
                  <w:tcBorders>
                    <w:tl2br w:val="nil"/>
                    <w:tr2bl w:val="nil"/>
                  </w:tcBorders>
                  <w:shd w:val="clear" w:color="auto" w:fill="auto"/>
                  <w:vAlign w:val="center"/>
                </w:tcPr>
                <w:p w14:paraId="6D1CB24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5</w:t>
                  </w:r>
                </w:p>
              </w:tc>
              <w:tc>
                <w:tcPr>
                  <w:tcW w:w="760" w:type="pct"/>
                  <w:tcBorders>
                    <w:tl2br w:val="nil"/>
                    <w:tr2bl w:val="nil"/>
                  </w:tcBorders>
                  <w:shd w:val="clear" w:color="auto" w:fill="auto"/>
                  <w:vAlign w:val="center"/>
                </w:tcPr>
                <w:p w14:paraId="7889A36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6E894E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18B177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36</w:t>
                  </w:r>
                </w:p>
              </w:tc>
              <w:tc>
                <w:tcPr>
                  <w:tcW w:w="926" w:type="pct"/>
                  <w:tcBorders>
                    <w:tl2br w:val="nil"/>
                    <w:tr2bl w:val="nil"/>
                  </w:tcBorders>
                  <w:shd w:val="clear" w:color="auto" w:fill="auto"/>
                  <w:vAlign w:val="center"/>
                </w:tcPr>
                <w:p w14:paraId="65CB59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全自动制片机负极</w:t>
                  </w:r>
                </w:p>
              </w:tc>
              <w:tc>
                <w:tcPr>
                  <w:tcW w:w="1328" w:type="pct"/>
                  <w:tcBorders>
                    <w:tl2br w:val="nil"/>
                    <w:tr2bl w:val="nil"/>
                  </w:tcBorders>
                  <w:shd w:val="clear" w:color="auto" w:fill="auto"/>
                  <w:vAlign w:val="center"/>
                </w:tcPr>
                <w:p w14:paraId="2068D4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ZY-18650-H2T2</w:t>
                  </w:r>
                </w:p>
              </w:tc>
              <w:tc>
                <w:tcPr>
                  <w:tcW w:w="790" w:type="pct"/>
                  <w:tcBorders>
                    <w:tl2br w:val="nil"/>
                    <w:tr2bl w:val="nil"/>
                  </w:tcBorders>
                  <w:shd w:val="clear" w:color="auto" w:fill="auto"/>
                  <w:vAlign w:val="center"/>
                </w:tcPr>
                <w:p w14:paraId="66503C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3.5KW</w:t>
                  </w:r>
                </w:p>
              </w:tc>
              <w:tc>
                <w:tcPr>
                  <w:tcW w:w="724" w:type="pct"/>
                  <w:tcBorders>
                    <w:tl2br w:val="nil"/>
                    <w:tr2bl w:val="nil"/>
                  </w:tcBorders>
                  <w:shd w:val="clear" w:color="auto" w:fill="auto"/>
                  <w:vAlign w:val="center"/>
                </w:tcPr>
                <w:p w14:paraId="1BF7483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8</w:t>
                  </w:r>
                </w:p>
              </w:tc>
              <w:tc>
                <w:tcPr>
                  <w:tcW w:w="760" w:type="pct"/>
                  <w:tcBorders>
                    <w:tl2br w:val="nil"/>
                    <w:tr2bl w:val="nil"/>
                  </w:tcBorders>
                  <w:shd w:val="clear" w:color="auto" w:fill="auto"/>
                  <w:vAlign w:val="center"/>
                </w:tcPr>
                <w:p w14:paraId="536D3E3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666398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1A170D7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37</w:t>
                  </w:r>
                </w:p>
              </w:tc>
              <w:tc>
                <w:tcPr>
                  <w:tcW w:w="926" w:type="pct"/>
                  <w:tcBorders>
                    <w:tl2br w:val="nil"/>
                    <w:tr2bl w:val="nil"/>
                  </w:tcBorders>
                  <w:shd w:val="clear" w:color="auto" w:fill="auto"/>
                  <w:vAlign w:val="center"/>
                </w:tcPr>
                <w:p w14:paraId="15289E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全自动卷绕机</w:t>
                  </w:r>
                </w:p>
              </w:tc>
              <w:tc>
                <w:tcPr>
                  <w:tcW w:w="1328" w:type="pct"/>
                  <w:tcBorders>
                    <w:tl2br w:val="nil"/>
                    <w:tr2bl w:val="nil"/>
                  </w:tcBorders>
                  <w:shd w:val="clear" w:color="auto" w:fill="auto"/>
                  <w:vAlign w:val="center"/>
                </w:tcPr>
                <w:p w14:paraId="423CEE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ZY-18/65-L</w:t>
                  </w:r>
                </w:p>
              </w:tc>
              <w:tc>
                <w:tcPr>
                  <w:tcW w:w="790" w:type="pct"/>
                  <w:tcBorders>
                    <w:tl2br w:val="nil"/>
                    <w:tr2bl w:val="nil"/>
                  </w:tcBorders>
                  <w:shd w:val="clear" w:color="auto" w:fill="auto"/>
                  <w:vAlign w:val="center"/>
                </w:tcPr>
                <w:p w14:paraId="592934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10KW</w:t>
                  </w:r>
                </w:p>
              </w:tc>
              <w:tc>
                <w:tcPr>
                  <w:tcW w:w="724" w:type="pct"/>
                  <w:tcBorders>
                    <w:tl2br w:val="nil"/>
                    <w:tr2bl w:val="nil"/>
                  </w:tcBorders>
                  <w:shd w:val="clear" w:color="auto" w:fill="auto"/>
                  <w:vAlign w:val="center"/>
                </w:tcPr>
                <w:p w14:paraId="1BA48D4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10</w:t>
                  </w:r>
                </w:p>
              </w:tc>
              <w:tc>
                <w:tcPr>
                  <w:tcW w:w="760" w:type="pct"/>
                  <w:tcBorders>
                    <w:tl2br w:val="nil"/>
                    <w:tr2bl w:val="nil"/>
                  </w:tcBorders>
                  <w:shd w:val="clear" w:color="auto" w:fill="auto"/>
                  <w:vAlign w:val="center"/>
                </w:tcPr>
                <w:p w14:paraId="3BFC3EB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6C8A4D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F39878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38</w:t>
                  </w:r>
                </w:p>
              </w:tc>
              <w:tc>
                <w:tcPr>
                  <w:tcW w:w="926" w:type="pct"/>
                  <w:tcBorders>
                    <w:tl2br w:val="nil"/>
                    <w:tr2bl w:val="nil"/>
                  </w:tcBorders>
                  <w:shd w:val="clear" w:color="auto" w:fill="auto"/>
                  <w:vAlign w:val="center"/>
                </w:tcPr>
                <w:p w14:paraId="18DB89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圆柱半自动卷绕机</w:t>
                  </w:r>
                </w:p>
              </w:tc>
              <w:tc>
                <w:tcPr>
                  <w:tcW w:w="1328" w:type="pct"/>
                  <w:tcBorders>
                    <w:tl2br w:val="nil"/>
                    <w:tr2bl w:val="nil"/>
                  </w:tcBorders>
                  <w:shd w:val="clear" w:color="auto" w:fill="auto"/>
                  <w:vAlign w:val="center"/>
                </w:tcPr>
                <w:p w14:paraId="0CAA44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65973</w:t>
                  </w:r>
                </w:p>
              </w:tc>
              <w:tc>
                <w:tcPr>
                  <w:tcW w:w="790" w:type="pct"/>
                  <w:tcBorders>
                    <w:tl2br w:val="nil"/>
                    <w:tr2bl w:val="nil"/>
                  </w:tcBorders>
                  <w:shd w:val="clear" w:color="auto" w:fill="auto"/>
                  <w:vAlign w:val="center"/>
                </w:tcPr>
                <w:p w14:paraId="699125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5KW</w:t>
                  </w:r>
                </w:p>
              </w:tc>
              <w:tc>
                <w:tcPr>
                  <w:tcW w:w="724" w:type="pct"/>
                  <w:tcBorders>
                    <w:tl2br w:val="nil"/>
                    <w:tr2bl w:val="nil"/>
                  </w:tcBorders>
                  <w:shd w:val="clear" w:color="auto" w:fill="auto"/>
                  <w:vAlign w:val="center"/>
                </w:tcPr>
                <w:p w14:paraId="6BCC182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10AE258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4A9A78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3A1309B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39</w:t>
                  </w:r>
                </w:p>
              </w:tc>
              <w:tc>
                <w:tcPr>
                  <w:tcW w:w="926" w:type="pct"/>
                  <w:tcBorders>
                    <w:tl2br w:val="nil"/>
                    <w:tr2bl w:val="nil"/>
                  </w:tcBorders>
                  <w:shd w:val="clear" w:color="auto" w:fill="auto"/>
                  <w:vAlign w:val="center"/>
                </w:tcPr>
                <w:p w14:paraId="1CF3F6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圆形全自动卷绕机</w:t>
                  </w:r>
                </w:p>
              </w:tc>
              <w:tc>
                <w:tcPr>
                  <w:tcW w:w="1328" w:type="pct"/>
                  <w:tcBorders>
                    <w:tl2br w:val="nil"/>
                    <w:tr2bl w:val="nil"/>
                  </w:tcBorders>
                  <w:shd w:val="clear" w:color="auto" w:fill="auto"/>
                  <w:vAlign w:val="center"/>
                </w:tcPr>
                <w:p w14:paraId="44F6FB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ZY-1865-L</w:t>
                  </w:r>
                </w:p>
              </w:tc>
              <w:tc>
                <w:tcPr>
                  <w:tcW w:w="790" w:type="pct"/>
                  <w:tcBorders>
                    <w:tl2br w:val="nil"/>
                    <w:tr2bl w:val="nil"/>
                  </w:tcBorders>
                  <w:shd w:val="clear" w:color="auto" w:fill="auto"/>
                  <w:vAlign w:val="center"/>
                </w:tcPr>
                <w:p w14:paraId="64A085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10KW</w:t>
                  </w:r>
                </w:p>
              </w:tc>
              <w:tc>
                <w:tcPr>
                  <w:tcW w:w="724" w:type="pct"/>
                  <w:tcBorders>
                    <w:tl2br w:val="nil"/>
                    <w:tr2bl w:val="nil"/>
                  </w:tcBorders>
                  <w:shd w:val="clear" w:color="auto" w:fill="auto"/>
                  <w:vAlign w:val="center"/>
                </w:tcPr>
                <w:p w14:paraId="2DE83F3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10</w:t>
                  </w:r>
                </w:p>
              </w:tc>
              <w:tc>
                <w:tcPr>
                  <w:tcW w:w="760" w:type="pct"/>
                  <w:tcBorders>
                    <w:tl2br w:val="nil"/>
                    <w:tr2bl w:val="nil"/>
                  </w:tcBorders>
                  <w:shd w:val="clear" w:color="auto" w:fill="auto"/>
                  <w:vAlign w:val="center"/>
                </w:tcPr>
                <w:p w14:paraId="1317EEE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68C6ED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08D72A8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40</w:t>
                  </w:r>
                </w:p>
              </w:tc>
              <w:tc>
                <w:tcPr>
                  <w:tcW w:w="926" w:type="pct"/>
                  <w:tcBorders>
                    <w:tl2br w:val="nil"/>
                    <w:tr2bl w:val="nil"/>
                  </w:tcBorders>
                  <w:shd w:val="clear" w:color="auto" w:fill="auto"/>
                  <w:vAlign w:val="center"/>
                </w:tcPr>
                <w:p w14:paraId="18C1A0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自动入壳机</w:t>
                  </w:r>
                </w:p>
              </w:tc>
              <w:tc>
                <w:tcPr>
                  <w:tcW w:w="1328" w:type="pct"/>
                  <w:tcBorders>
                    <w:tl2br w:val="nil"/>
                    <w:tr2bl w:val="nil"/>
                  </w:tcBorders>
                  <w:shd w:val="clear" w:color="auto" w:fill="auto"/>
                  <w:vAlign w:val="center"/>
                </w:tcPr>
                <w:p w14:paraId="32D72D6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90" w:type="pct"/>
                  <w:tcBorders>
                    <w:tl2br w:val="nil"/>
                    <w:tr2bl w:val="nil"/>
                  </w:tcBorders>
                  <w:shd w:val="clear" w:color="auto" w:fill="auto"/>
                  <w:vAlign w:val="center"/>
                </w:tcPr>
                <w:p w14:paraId="5051A7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2KW</w:t>
                  </w:r>
                </w:p>
              </w:tc>
              <w:tc>
                <w:tcPr>
                  <w:tcW w:w="724" w:type="pct"/>
                  <w:tcBorders>
                    <w:tl2br w:val="nil"/>
                    <w:tr2bl w:val="nil"/>
                  </w:tcBorders>
                  <w:shd w:val="clear" w:color="auto" w:fill="auto"/>
                  <w:vAlign w:val="center"/>
                </w:tcPr>
                <w:p w14:paraId="4D72BEB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11</w:t>
                  </w:r>
                </w:p>
              </w:tc>
              <w:tc>
                <w:tcPr>
                  <w:tcW w:w="760" w:type="pct"/>
                  <w:tcBorders>
                    <w:tl2br w:val="nil"/>
                    <w:tr2bl w:val="nil"/>
                  </w:tcBorders>
                  <w:shd w:val="clear" w:color="auto" w:fill="auto"/>
                  <w:vAlign w:val="center"/>
                </w:tcPr>
                <w:p w14:paraId="070BDEE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4FE7B6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1CE519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41</w:t>
                  </w:r>
                </w:p>
              </w:tc>
              <w:tc>
                <w:tcPr>
                  <w:tcW w:w="926" w:type="pct"/>
                  <w:tcBorders>
                    <w:tl2br w:val="nil"/>
                    <w:tr2bl w:val="nil"/>
                  </w:tcBorders>
                  <w:shd w:val="clear" w:color="auto" w:fill="auto"/>
                  <w:vAlign w:val="center"/>
                </w:tcPr>
                <w:p w14:paraId="4E5361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全自动入壳机</w:t>
                  </w:r>
                </w:p>
              </w:tc>
              <w:tc>
                <w:tcPr>
                  <w:tcW w:w="1328" w:type="pct"/>
                  <w:tcBorders>
                    <w:tl2br w:val="nil"/>
                    <w:tr2bl w:val="nil"/>
                  </w:tcBorders>
                  <w:shd w:val="clear" w:color="auto" w:fill="auto"/>
                  <w:vAlign w:val="center"/>
                </w:tcPr>
                <w:p w14:paraId="5B8757A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90" w:type="pct"/>
                  <w:tcBorders>
                    <w:tl2br w:val="nil"/>
                    <w:tr2bl w:val="nil"/>
                  </w:tcBorders>
                  <w:shd w:val="clear" w:color="auto" w:fill="auto"/>
                  <w:vAlign w:val="center"/>
                </w:tcPr>
                <w:p w14:paraId="532454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2KW</w:t>
                  </w:r>
                </w:p>
              </w:tc>
              <w:tc>
                <w:tcPr>
                  <w:tcW w:w="724" w:type="pct"/>
                  <w:tcBorders>
                    <w:tl2br w:val="nil"/>
                    <w:tr2bl w:val="nil"/>
                  </w:tcBorders>
                  <w:shd w:val="clear" w:color="auto" w:fill="auto"/>
                  <w:vAlign w:val="center"/>
                </w:tcPr>
                <w:p w14:paraId="0B855B1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w:t>
                  </w:r>
                </w:p>
              </w:tc>
              <w:tc>
                <w:tcPr>
                  <w:tcW w:w="760" w:type="pct"/>
                  <w:tcBorders>
                    <w:tl2br w:val="nil"/>
                    <w:tr2bl w:val="nil"/>
                  </w:tcBorders>
                  <w:shd w:val="clear" w:color="auto" w:fill="auto"/>
                  <w:vAlign w:val="center"/>
                </w:tcPr>
                <w:p w14:paraId="43DF074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4B6134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1174DBF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42</w:t>
                  </w:r>
                </w:p>
              </w:tc>
              <w:tc>
                <w:tcPr>
                  <w:tcW w:w="926" w:type="pct"/>
                  <w:tcBorders>
                    <w:tl2br w:val="nil"/>
                    <w:tr2bl w:val="nil"/>
                  </w:tcBorders>
                  <w:shd w:val="clear" w:color="auto" w:fill="auto"/>
                  <w:vAlign w:val="center"/>
                </w:tcPr>
                <w:p w14:paraId="4522CB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双头滚槽焊盖帽转盘一体机</w:t>
                  </w:r>
                </w:p>
              </w:tc>
              <w:tc>
                <w:tcPr>
                  <w:tcW w:w="1328" w:type="pct"/>
                  <w:tcBorders>
                    <w:tl2br w:val="nil"/>
                    <w:tr2bl w:val="nil"/>
                  </w:tcBorders>
                  <w:shd w:val="clear" w:color="auto" w:fill="auto"/>
                  <w:vAlign w:val="center"/>
                </w:tcPr>
                <w:p w14:paraId="63ECD6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18650</w:t>
                  </w:r>
                </w:p>
              </w:tc>
              <w:tc>
                <w:tcPr>
                  <w:tcW w:w="790" w:type="pct"/>
                  <w:tcBorders>
                    <w:tl2br w:val="nil"/>
                    <w:tr2bl w:val="nil"/>
                  </w:tcBorders>
                  <w:shd w:val="clear" w:color="auto" w:fill="auto"/>
                  <w:vAlign w:val="center"/>
                </w:tcPr>
                <w:p w14:paraId="5B3E6D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3KW</w:t>
                  </w:r>
                </w:p>
              </w:tc>
              <w:tc>
                <w:tcPr>
                  <w:tcW w:w="724" w:type="pct"/>
                  <w:tcBorders>
                    <w:tl2br w:val="nil"/>
                    <w:tr2bl w:val="nil"/>
                  </w:tcBorders>
                  <w:shd w:val="clear" w:color="auto" w:fill="auto"/>
                  <w:vAlign w:val="center"/>
                </w:tcPr>
                <w:p w14:paraId="357A840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w:t>
                  </w:r>
                </w:p>
              </w:tc>
              <w:tc>
                <w:tcPr>
                  <w:tcW w:w="760" w:type="pct"/>
                  <w:tcBorders>
                    <w:tl2br w:val="nil"/>
                    <w:tr2bl w:val="nil"/>
                  </w:tcBorders>
                  <w:shd w:val="clear" w:color="auto" w:fill="auto"/>
                  <w:vAlign w:val="center"/>
                </w:tcPr>
                <w:p w14:paraId="1B3A390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51FB31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573B649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43</w:t>
                  </w:r>
                </w:p>
              </w:tc>
              <w:tc>
                <w:tcPr>
                  <w:tcW w:w="926" w:type="pct"/>
                  <w:tcBorders>
                    <w:tl2br w:val="nil"/>
                    <w:tr2bl w:val="nil"/>
                  </w:tcBorders>
                  <w:shd w:val="clear" w:color="auto" w:fill="auto"/>
                  <w:vAlign w:val="center"/>
                </w:tcPr>
                <w:p w14:paraId="2248F0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注液机</w:t>
                  </w:r>
                </w:p>
              </w:tc>
              <w:tc>
                <w:tcPr>
                  <w:tcW w:w="1328" w:type="pct"/>
                  <w:tcBorders>
                    <w:tl2br w:val="nil"/>
                    <w:tr2bl w:val="nil"/>
                  </w:tcBorders>
                  <w:shd w:val="clear" w:color="auto" w:fill="auto"/>
                  <w:vAlign w:val="center"/>
                </w:tcPr>
                <w:p w14:paraId="34749AF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90" w:type="pct"/>
                  <w:tcBorders>
                    <w:tl2br w:val="nil"/>
                    <w:tr2bl w:val="nil"/>
                  </w:tcBorders>
                  <w:shd w:val="clear" w:color="auto" w:fill="auto"/>
                  <w:vAlign w:val="center"/>
                </w:tcPr>
                <w:p w14:paraId="161051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2KW</w:t>
                  </w:r>
                </w:p>
              </w:tc>
              <w:tc>
                <w:tcPr>
                  <w:tcW w:w="724" w:type="pct"/>
                  <w:tcBorders>
                    <w:tl2br w:val="nil"/>
                    <w:tr2bl w:val="nil"/>
                  </w:tcBorders>
                  <w:shd w:val="clear" w:color="auto" w:fill="auto"/>
                  <w:vAlign w:val="center"/>
                </w:tcPr>
                <w:p w14:paraId="0314E1E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4069E87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4CFE22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56213B5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44</w:t>
                  </w:r>
                </w:p>
              </w:tc>
              <w:tc>
                <w:tcPr>
                  <w:tcW w:w="926" w:type="pct"/>
                  <w:tcBorders>
                    <w:tl2br w:val="nil"/>
                    <w:tr2bl w:val="nil"/>
                  </w:tcBorders>
                  <w:shd w:val="clear" w:color="auto" w:fill="auto"/>
                  <w:vAlign w:val="center"/>
                </w:tcPr>
                <w:p w14:paraId="240F2F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双头装配一体机</w:t>
                  </w:r>
                </w:p>
              </w:tc>
              <w:tc>
                <w:tcPr>
                  <w:tcW w:w="1328" w:type="pct"/>
                  <w:tcBorders>
                    <w:tl2br w:val="nil"/>
                    <w:tr2bl w:val="nil"/>
                  </w:tcBorders>
                  <w:shd w:val="clear" w:color="auto" w:fill="auto"/>
                  <w:vAlign w:val="center"/>
                </w:tcPr>
                <w:p w14:paraId="376D28B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90" w:type="pct"/>
                  <w:tcBorders>
                    <w:tl2br w:val="nil"/>
                    <w:tr2bl w:val="nil"/>
                  </w:tcBorders>
                  <w:shd w:val="clear" w:color="auto" w:fill="auto"/>
                  <w:vAlign w:val="center"/>
                </w:tcPr>
                <w:p w14:paraId="3E0216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3KW</w:t>
                  </w:r>
                </w:p>
              </w:tc>
              <w:tc>
                <w:tcPr>
                  <w:tcW w:w="724" w:type="pct"/>
                  <w:tcBorders>
                    <w:tl2br w:val="nil"/>
                    <w:tr2bl w:val="nil"/>
                  </w:tcBorders>
                  <w:shd w:val="clear" w:color="auto" w:fill="auto"/>
                  <w:vAlign w:val="center"/>
                </w:tcPr>
                <w:p w14:paraId="57A373C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25FC50E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66A337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18A0C92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45</w:t>
                  </w:r>
                </w:p>
              </w:tc>
              <w:tc>
                <w:tcPr>
                  <w:tcW w:w="926" w:type="pct"/>
                  <w:tcBorders>
                    <w:tl2br w:val="nil"/>
                    <w:tr2bl w:val="nil"/>
                  </w:tcBorders>
                  <w:shd w:val="clear" w:color="auto" w:fill="auto"/>
                  <w:vAlign w:val="center"/>
                </w:tcPr>
                <w:p w14:paraId="7D6CDF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全自动清洗机</w:t>
                  </w:r>
                </w:p>
              </w:tc>
              <w:tc>
                <w:tcPr>
                  <w:tcW w:w="1328" w:type="pct"/>
                  <w:tcBorders>
                    <w:tl2br w:val="nil"/>
                    <w:tr2bl w:val="nil"/>
                  </w:tcBorders>
                  <w:shd w:val="clear" w:color="auto" w:fill="auto"/>
                  <w:vAlign w:val="center"/>
                </w:tcPr>
                <w:p w14:paraId="165A21B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90" w:type="pct"/>
                  <w:tcBorders>
                    <w:tl2br w:val="nil"/>
                    <w:tr2bl w:val="nil"/>
                  </w:tcBorders>
                  <w:shd w:val="clear" w:color="auto" w:fill="auto"/>
                  <w:vAlign w:val="center"/>
                </w:tcPr>
                <w:p w14:paraId="7EE4BD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15KW</w:t>
                  </w:r>
                </w:p>
              </w:tc>
              <w:tc>
                <w:tcPr>
                  <w:tcW w:w="724" w:type="pct"/>
                  <w:tcBorders>
                    <w:tl2br w:val="nil"/>
                    <w:tr2bl w:val="nil"/>
                  </w:tcBorders>
                  <w:shd w:val="clear" w:color="auto" w:fill="auto"/>
                  <w:vAlign w:val="center"/>
                </w:tcPr>
                <w:p w14:paraId="2447E15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2C86F79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2B9AB2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478A366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46</w:t>
                  </w:r>
                </w:p>
              </w:tc>
              <w:tc>
                <w:tcPr>
                  <w:tcW w:w="926" w:type="pct"/>
                  <w:tcBorders>
                    <w:tl2br w:val="nil"/>
                    <w:tr2bl w:val="nil"/>
                  </w:tcBorders>
                  <w:shd w:val="clear" w:color="auto" w:fill="auto"/>
                  <w:vAlign w:val="center"/>
                </w:tcPr>
                <w:p w14:paraId="0D6C78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清洗装盒机</w:t>
                  </w:r>
                </w:p>
              </w:tc>
              <w:tc>
                <w:tcPr>
                  <w:tcW w:w="1328" w:type="pct"/>
                  <w:tcBorders>
                    <w:tl2br w:val="nil"/>
                    <w:tr2bl w:val="nil"/>
                  </w:tcBorders>
                  <w:shd w:val="clear" w:color="auto" w:fill="auto"/>
                  <w:vAlign w:val="center"/>
                </w:tcPr>
                <w:p w14:paraId="3101283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90" w:type="pct"/>
                  <w:tcBorders>
                    <w:tl2br w:val="nil"/>
                    <w:tr2bl w:val="nil"/>
                  </w:tcBorders>
                  <w:shd w:val="clear" w:color="auto" w:fill="auto"/>
                  <w:vAlign w:val="center"/>
                </w:tcPr>
                <w:p w14:paraId="09E7A2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15KW</w:t>
                  </w:r>
                </w:p>
              </w:tc>
              <w:tc>
                <w:tcPr>
                  <w:tcW w:w="724" w:type="pct"/>
                  <w:tcBorders>
                    <w:tl2br w:val="nil"/>
                    <w:tr2bl w:val="nil"/>
                  </w:tcBorders>
                  <w:shd w:val="clear" w:color="auto" w:fill="auto"/>
                  <w:vAlign w:val="center"/>
                </w:tcPr>
                <w:p w14:paraId="1C388A4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3D19983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70BCE5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0F340C4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47</w:t>
                  </w:r>
                </w:p>
              </w:tc>
              <w:tc>
                <w:tcPr>
                  <w:tcW w:w="926" w:type="pct"/>
                  <w:tcBorders>
                    <w:tl2br w:val="nil"/>
                    <w:tr2bl w:val="nil"/>
                  </w:tcBorders>
                  <w:shd w:val="clear" w:color="auto" w:fill="auto"/>
                  <w:vAlign w:val="center"/>
                </w:tcPr>
                <w:p w14:paraId="463897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注液手套箱</w:t>
                  </w:r>
                </w:p>
              </w:tc>
              <w:tc>
                <w:tcPr>
                  <w:tcW w:w="1328" w:type="pct"/>
                  <w:tcBorders>
                    <w:tl2br w:val="nil"/>
                    <w:tr2bl w:val="nil"/>
                  </w:tcBorders>
                  <w:shd w:val="clear" w:color="auto" w:fill="auto"/>
                  <w:vAlign w:val="center"/>
                </w:tcPr>
                <w:p w14:paraId="5E8C47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FZ-18650</w:t>
                  </w:r>
                </w:p>
              </w:tc>
              <w:tc>
                <w:tcPr>
                  <w:tcW w:w="790" w:type="pct"/>
                  <w:tcBorders>
                    <w:tl2br w:val="nil"/>
                    <w:tr2bl w:val="nil"/>
                  </w:tcBorders>
                  <w:shd w:val="clear" w:color="auto" w:fill="auto"/>
                  <w:vAlign w:val="center"/>
                </w:tcPr>
                <w:p w14:paraId="07FDCE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2KW</w:t>
                  </w:r>
                </w:p>
              </w:tc>
              <w:tc>
                <w:tcPr>
                  <w:tcW w:w="724" w:type="pct"/>
                  <w:tcBorders>
                    <w:tl2br w:val="nil"/>
                    <w:tr2bl w:val="nil"/>
                  </w:tcBorders>
                  <w:shd w:val="clear" w:color="auto" w:fill="auto"/>
                  <w:vAlign w:val="center"/>
                </w:tcPr>
                <w:p w14:paraId="24390F3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696DB55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43EF286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6EF11C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48</w:t>
                  </w:r>
                </w:p>
              </w:tc>
              <w:tc>
                <w:tcPr>
                  <w:tcW w:w="926" w:type="pct"/>
                  <w:tcBorders>
                    <w:tl2br w:val="nil"/>
                    <w:tr2bl w:val="nil"/>
                  </w:tcBorders>
                  <w:shd w:val="clear" w:color="auto" w:fill="auto"/>
                  <w:vAlign w:val="center"/>
                </w:tcPr>
                <w:p w14:paraId="3E93D5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直线封口机</w:t>
                  </w:r>
                </w:p>
              </w:tc>
              <w:tc>
                <w:tcPr>
                  <w:tcW w:w="1328" w:type="pct"/>
                  <w:tcBorders>
                    <w:tl2br w:val="nil"/>
                    <w:tr2bl w:val="nil"/>
                  </w:tcBorders>
                  <w:shd w:val="clear" w:color="auto" w:fill="auto"/>
                  <w:vAlign w:val="center"/>
                </w:tcPr>
                <w:p w14:paraId="61E6F9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J23-10T</w:t>
                  </w:r>
                </w:p>
              </w:tc>
              <w:tc>
                <w:tcPr>
                  <w:tcW w:w="790" w:type="pct"/>
                  <w:tcBorders>
                    <w:tl2br w:val="nil"/>
                    <w:tr2bl w:val="nil"/>
                  </w:tcBorders>
                  <w:shd w:val="clear" w:color="auto" w:fill="auto"/>
                  <w:vAlign w:val="center"/>
                </w:tcPr>
                <w:p w14:paraId="7D5C02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2.2KW</w:t>
                  </w:r>
                </w:p>
              </w:tc>
              <w:tc>
                <w:tcPr>
                  <w:tcW w:w="724" w:type="pct"/>
                  <w:tcBorders>
                    <w:tl2br w:val="nil"/>
                    <w:tr2bl w:val="nil"/>
                  </w:tcBorders>
                  <w:shd w:val="clear" w:color="auto" w:fill="auto"/>
                  <w:vAlign w:val="center"/>
                </w:tcPr>
                <w:p w14:paraId="361771A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6</w:t>
                  </w:r>
                </w:p>
              </w:tc>
              <w:tc>
                <w:tcPr>
                  <w:tcW w:w="760" w:type="pct"/>
                  <w:tcBorders>
                    <w:tl2br w:val="nil"/>
                    <w:tr2bl w:val="nil"/>
                  </w:tcBorders>
                  <w:shd w:val="clear" w:color="auto" w:fill="auto"/>
                  <w:vAlign w:val="center"/>
                </w:tcPr>
                <w:p w14:paraId="6C5F8A1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2339B9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7571957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49</w:t>
                  </w:r>
                </w:p>
              </w:tc>
              <w:tc>
                <w:tcPr>
                  <w:tcW w:w="926" w:type="pct"/>
                  <w:tcBorders>
                    <w:tl2br w:val="nil"/>
                    <w:tr2bl w:val="nil"/>
                  </w:tcBorders>
                  <w:shd w:val="clear" w:color="auto" w:fill="auto"/>
                  <w:vAlign w:val="center"/>
                </w:tcPr>
                <w:p w14:paraId="536957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伺服封口机</w:t>
                  </w:r>
                </w:p>
              </w:tc>
              <w:tc>
                <w:tcPr>
                  <w:tcW w:w="1328" w:type="pct"/>
                  <w:tcBorders>
                    <w:tl2br w:val="nil"/>
                    <w:tr2bl w:val="nil"/>
                  </w:tcBorders>
                  <w:shd w:val="clear" w:color="auto" w:fill="auto"/>
                  <w:vAlign w:val="center"/>
                </w:tcPr>
                <w:p w14:paraId="5869A1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18650</w:t>
                  </w:r>
                </w:p>
              </w:tc>
              <w:tc>
                <w:tcPr>
                  <w:tcW w:w="790" w:type="pct"/>
                  <w:tcBorders>
                    <w:tl2br w:val="nil"/>
                    <w:tr2bl w:val="nil"/>
                  </w:tcBorders>
                  <w:shd w:val="clear" w:color="auto" w:fill="auto"/>
                  <w:vAlign w:val="center"/>
                </w:tcPr>
                <w:p w14:paraId="350614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2.2KW</w:t>
                  </w:r>
                </w:p>
              </w:tc>
              <w:tc>
                <w:tcPr>
                  <w:tcW w:w="724" w:type="pct"/>
                  <w:tcBorders>
                    <w:tl2br w:val="nil"/>
                    <w:tr2bl w:val="nil"/>
                  </w:tcBorders>
                  <w:shd w:val="clear" w:color="auto" w:fill="auto"/>
                  <w:vAlign w:val="center"/>
                </w:tcPr>
                <w:p w14:paraId="416CAEC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591FD17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67BC53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4B2A066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50</w:t>
                  </w:r>
                </w:p>
              </w:tc>
              <w:tc>
                <w:tcPr>
                  <w:tcW w:w="926" w:type="pct"/>
                  <w:tcBorders>
                    <w:tl2br w:val="nil"/>
                    <w:tr2bl w:val="nil"/>
                  </w:tcBorders>
                  <w:shd w:val="clear" w:color="auto" w:fill="auto"/>
                  <w:vAlign w:val="center"/>
                </w:tcPr>
                <w:p w14:paraId="42E94E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激光焊接机</w:t>
                  </w:r>
                </w:p>
              </w:tc>
              <w:tc>
                <w:tcPr>
                  <w:tcW w:w="1328" w:type="pct"/>
                  <w:tcBorders>
                    <w:tl2br w:val="nil"/>
                    <w:tr2bl w:val="nil"/>
                  </w:tcBorders>
                  <w:shd w:val="clear" w:color="auto" w:fill="auto"/>
                  <w:vAlign w:val="center"/>
                </w:tcPr>
                <w:p w14:paraId="49A2CC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XHP-1000W</w:t>
                  </w:r>
                </w:p>
              </w:tc>
              <w:tc>
                <w:tcPr>
                  <w:tcW w:w="790" w:type="pct"/>
                  <w:tcBorders>
                    <w:tl2br w:val="nil"/>
                    <w:tr2bl w:val="nil"/>
                  </w:tcBorders>
                  <w:shd w:val="clear" w:color="auto" w:fill="auto"/>
                  <w:vAlign w:val="center"/>
                </w:tcPr>
                <w:p w14:paraId="694E03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0.5KW</w:t>
                  </w:r>
                </w:p>
              </w:tc>
              <w:tc>
                <w:tcPr>
                  <w:tcW w:w="724" w:type="pct"/>
                  <w:tcBorders>
                    <w:tl2br w:val="nil"/>
                    <w:tr2bl w:val="nil"/>
                  </w:tcBorders>
                  <w:shd w:val="clear" w:color="auto" w:fill="auto"/>
                  <w:vAlign w:val="center"/>
                </w:tcPr>
                <w:p w14:paraId="12A9BCE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6734725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4801C9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368053E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51</w:t>
                  </w:r>
                </w:p>
              </w:tc>
              <w:tc>
                <w:tcPr>
                  <w:tcW w:w="926" w:type="pct"/>
                  <w:tcBorders>
                    <w:tl2br w:val="nil"/>
                    <w:tr2bl w:val="nil"/>
                  </w:tcBorders>
                  <w:shd w:val="clear" w:color="auto" w:fill="auto"/>
                  <w:vAlign w:val="center"/>
                </w:tcPr>
                <w:p w14:paraId="372F5C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高频逆变电焊机</w:t>
                  </w:r>
                </w:p>
              </w:tc>
              <w:tc>
                <w:tcPr>
                  <w:tcW w:w="1328" w:type="pct"/>
                  <w:tcBorders>
                    <w:tl2br w:val="nil"/>
                    <w:tr2bl w:val="nil"/>
                  </w:tcBorders>
                  <w:shd w:val="clear" w:color="auto" w:fill="auto"/>
                  <w:vAlign w:val="center"/>
                </w:tcPr>
                <w:p w14:paraId="6138C2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XC-2044</w:t>
                  </w:r>
                </w:p>
              </w:tc>
              <w:tc>
                <w:tcPr>
                  <w:tcW w:w="790" w:type="pct"/>
                  <w:tcBorders>
                    <w:tl2br w:val="nil"/>
                    <w:tr2bl w:val="nil"/>
                  </w:tcBorders>
                  <w:shd w:val="clear" w:color="auto" w:fill="auto"/>
                  <w:vAlign w:val="center"/>
                </w:tcPr>
                <w:p w14:paraId="174AD04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1E8E5E5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05844D7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52F2F4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7C619A4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52</w:t>
                  </w:r>
                </w:p>
              </w:tc>
              <w:tc>
                <w:tcPr>
                  <w:tcW w:w="926" w:type="pct"/>
                  <w:tcBorders>
                    <w:tl2br w:val="nil"/>
                    <w:tr2bl w:val="nil"/>
                  </w:tcBorders>
                  <w:shd w:val="clear" w:color="auto" w:fill="auto"/>
                  <w:vAlign w:val="center"/>
                </w:tcPr>
                <w:p w14:paraId="2C223C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超声波点焊机</w:t>
                  </w:r>
                </w:p>
              </w:tc>
              <w:tc>
                <w:tcPr>
                  <w:tcW w:w="1328" w:type="pct"/>
                  <w:tcBorders>
                    <w:tl2br w:val="nil"/>
                    <w:tr2bl w:val="nil"/>
                  </w:tcBorders>
                  <w:shd w:val="clear" w:color="auto" w:fill="auto"/>
                  <w:vAlign w:val="center"/>
                </w:tcPr>
                <w:p w14:paraId="36AF01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25KHZ</w:t>
                  </w:r>
                </w:p>
              </w:tc>
              <w:tc>
                <w:tcPr>
                  <w:tcW w:w="790" w:type="pct"/>
                  <w:tcBorders>
                    <w:tl2br w:val="nil"/>
                    <w:tr2bl w:val="nil"/>
                  </w:tcBorders>
                  <w:shd w:val="clear" w:color="auto" w:fill="auto"/>
                  <w:vAlign w:val="center"/>
                </w:tcPr>
                <w:p w14:paraId="64E7E69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06440BC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3</w:t>
                  </w:r>
                </w:p>
              </w:tc>
              <w:tc>
                <w:tcPr>
                  <w:tcW w:w="760" w:type="pct"/>
                  <w:tcBorders>
                    <w:tl2br w:val="nil"/>
                    <w:tr2bl w:val="nil"/>
                  </w:tcBorders>
                  <w:shd w:val="clear" w:color="auto" w:fill="auto"/>
                  <w:vAlign w:val="center"/>
                </w:tcPr>
                <w:p w14:paraId="0AEA823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4CF403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1961EEE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53</w:t>
                  </w:r>
                </w:p>
              </w:tc>
              <w:tc>
                <w:tcPr>
                  <w:tcW w:w="926" w:type="pct"/>
                  <w:tcBorders>
                    <w:tl2br w:val="nil"/>
                    <w:tr2bl w:val="nil"/>
                  </w:tcBorders>
                  <w:shd w:val="clear" w:color="auto" w:fill="auto"/>
                  <w:vAlign w:val="center"/>
                </w:tcPr>
                <w:p w14:paraId="7372E1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高真空泵烤箱机组</w:t>
                  </w:r>
                </w:p>
              </w:tc>
              <w:tc>
                <w:tcPr>
                  <w:tcW w:w="1328" w:type="pct"/>
                  <w:tcBorders>
                    <w:tl2br w:val="nil"/>
                    <w:tr2bl w:val="nil"/>
                  </w:tcBorders>
                  <w:shd w:val="clear" w:color="auto" w:fill="auto"/>
                  <w:vAlign w:val="center"/>
                </w:tcPr>
                <w:p w14:paraId="7E0EB8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一拖四</w:t>
                  </w:r>
                </w:p>
              </w:tc>
              <w:tc>
                <w:tcPr>
                  <w:tcW w:w="790" w:type="pct"/>
                  <w:tcBorders>
                    <w:tl2br w:val="nil"/>
                    <w:tr2bl w:val="nil"/>
                  </w:tcBorders>
                  <w:shd w:val="clear" w:color="auto" w:fill="auto"/>
                  <w:vAlign w:val="center"/>
                </w:tcPr>
                <w:p w14:paraId="238A22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9.5KW</w:t>
                  </w:r>
                </w:p>
              </w:tc>
              <w:tc>
                <w:tcPr>
                  <w:tcW w:w="724" w:type="pct"/>
                  <w:tcBorders>
                    <w:tl2br w:val="nil"/>
                    <w:tr2bl w:val="nil"/>
                  </w:tcBorders>
                  <w:shd w:val="clear" w:color="auto" w:fill="auto"/>
                  <w:vAlign w:val="center"/>
                </w:tcPr>
                <w:p w14:paraId="5B16ECD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3</w:t>
                  </w:r>
                </w:p>
              </w:tc>
              <w:tc>
                <w:tcPr>
                  <w:tcW w:w="760" w:type="pct"/>
                  <w:tcBorders>
                    <w:tl2br w:val="nil"/>
                    <w:tr2bl w:val="nil"/>
                  </w:tcBorders>
                  <w:shd w:val="clear" w:color="auto" w:fill="auto"/>
                  <w:vAlign w:val="center"/>
                </w:tcPr>
                <w:p w14:paraId="2F66983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61D8B6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52A229C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54</w:t>
                  </w:r>
                </w:p>
              </w:tc>
              <w:tc>
                <w:tcPr>
                  <w:tcW w:w="926" w:type="pct"/>
                  <w:tcBorders>
                    <w:tl2br w:val="nil"/>
                    <w:tr2bl w:val="nil"/>
                  </w:tcBorders>
                  <w:shd w:val="clear" w:color="auto" w:fill="auto"/>
                  <w:vAlign w:val="center"/>
                </w:tcPr>
                <w:p w14:paraId="795ADF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二次电池分容设备</w:t>
                  </w:r>
                </w:p>
              </w:tc>
              <w:tc>
                <w:tcPr>
                  <w:tcW w:w="1328" w:type="pct"/>
                  <w:tcBorders>
                    <w:tl2br w:val="nil"/>
                    <w:tr2bl w:val="nil"/>
                  </w:tcBorders>
                  <w:shd w:val="clear" w:color="auto" w:fill="auto"/>
                  <w:vAlign w:val="center"/>
                </w:tcPr>
                <w:p w14:paraId="3E7D6D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LJ-5512L-2</w:t>
                  </w:r>
                </w:p>
              </w:tc>
              <w:tc>
                <w:tcPr>
                  <w:tcW w:w="790" w:type="pct"/>
                  <w:tcBorders>
                    <w:tl2br w:val="nil"/>
                    <w:tr2bl w:val="nil"/>
                  </w:tcBorders>
                  <w:shd w:val="clear" w:color="auto" w:fill="auto"/>
                  <w:vAlign w:val="center"/>
                </w:tcPr>
                <w:p w14:paraId="4D3631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3KW</w:t>
                  </w:r>
                </w:p>
              </w:tc>
              <w:tc>
                <w:tcPr>
                  <w:tcW w:w="724" w:type="pct"/>
                  <w:tcBorders>
                    <w:tl2br w:val="nil"/>
                    <w:tr2bl w:val="nil"/>
                  </w:tcBorders>
                  <w:shd w:val="clear" w:color="auto" w:fill="auto"/>
                  <w:vAlign w:val="center"/>
                </w:tcPr>
                <w:p w14:paraId="7CC58DD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w:t>
                  </w:r>
                </w:p>
              </w:tc>
              <w:tc>
                <w:tcPr>
                  <w:tcW w:w="760" w:type="pct"/>
                  <w:tcBorders>
                    <w:tl2br w:val="nil"/>
                    <w:tr2bl w:val="nil"/>
                  </w:tcBorders>
                  <w:shd w:val="clear" w:color="auto" w:fill="auto"/>
                  <w:vAlign w:val="center"/>
                </w:tcPr>
                <w:p w14:paraId="1D3F06B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207BA2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4746278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55</w:t>
                  </w:r>
                </w:p>
              </w:tc>
              <w:tc>
                <w:tcPr>
                  <w:tcW w:w="926" w:type="pct"/>
                  <w:tcBorders>
                    <w:tl2br w:val="nil"/>
                    <w:tr2bl w:val="nil"/>
                  </w:tcBorders>
                  <w:shd w:val="clear" w:color="auto" w:fill="auto"/>
                  <w:vAlign w:val="center"/>
                </w:tcPr>
                <w:p w14:paraId="2BD9AB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锂电池节能回馈型分容设备</w:t>
                  </w:r>
                </w:p>
              </w:tc>
              <w:tc>
                <w:tcPr>
                  <w:tcW w:w="1328" w:type="pct"/>
                  <w:tcBorders>
                    <w:tl2br w:val="nil"/>
                    <w:tr2bl w:val="nil"/>
                  </w:tcBorders>
                  <w:shd w:val="clear" w:color="auto" w:fill="auto"/>
                  <w:vAlign w:val="center"/>
                </w:tcPr>
                <w:p w14:paraId="598559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JR FB-V5C3D512</w:t>
                  </w:r>
                </w:p>
              </w:tc>
              <w:tc>
                <w:tcPr>
                  <w:tcW w:w="790" w:type="pct"/>
                  <w:tcBorders>
                    <w:tl2br w:val="nil"/>
                    <w:tr2bl w:val="nil"/>
                  </w:tcBorders>
                  <w:shd w:val="clear" w:color="auto" w:fill="auto"/>
                  <w:vAlign w:val="center"/>
                </w:tcPr>
                <w:p w14:paraId="5F8BD6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3KW</w:t>
                  </w:r>
                </w:p>
              </w:tc>
              <w:tc>
                <w:tcPr>
                  <w:tcW w:w="724" w:type="pct"/>
                  <w:tcBorders>
                    <w:tl2br w:val="nil"/>
                    <w:tr2bl w:val="nil"/>
                  </w:tcBorders>
                  <w:shd w:val="clear" w:color="auto" w:fill="auto"/>
                  <w:vAlign w:val="center"/>
                </w:tcPr>
                <w:p w14:paraId="44474F5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w:t>
                  </w:r>
                </w:p>
              </w:tc>
              <w:tc>
                <w:tcPr>
                  <w:tcW w:w="760" w:type="pct"/>
                  <w:tcBorders>
                    <w:tl2br w:val="nil"/>
                    <w:tr2bl w:val="nil"/>
                  </w:tcBorders>
                  <w:shd w:val="clear" w:color="auto" w:fill="auto"/>
                  <w:vAlign w:val="center"/>
                </w:tcPr>
                <w:p w14:paraId="7F61168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129B24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0F7514E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56</w:t>
                  </w:r>
                </w:p>
              </w:tc>
              <w:tc>
                <w:tcPr>
                  <w:tcW w:w="926" w:type="pct"/>
                  <w:tcBorders>
                    <w:tl2br w:val="nil"/>
                    <w:tr2bl w:val="nil"/>
                  </w:tcBorders>
                  <w:shd w:val="clear" w:color="auto" w:fill="auto"/>
                  <w:vAlign w:val="center"/>
                </w:tcPr>
                <w:p w14:paraId="5F7592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回馈式针床化成检测设备</w:t>
                  </w:r>
                </w:p>
              </w:tc>
              <w:tc>
                <w:tcPr>
                  <w:tcW w:w="1328" w:type="pct"/>
                  <w:tcBorders>
                    <w:tl2br w:val="nil"/>
                    <w:tr2bl w:val="nil"/>
                  </w:tcBorders>
                  <w:shd w:val="clear" w:color="auto" w:fill="auto"/>
                  <w:vAlign w:val="center"/>
                </w:tcPr>
                <w:p w14:paraId="69ED7E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WP-1280CH-1A-FK</w:t>
                  </w:r>
                </w:p>
              </w:tc>
              <w:tc>
                <w:tcPr>
                  <w:tcW w:w="790" w:type="pct"/>
                  <w:tcBorders>
                    <w:tl2br w:val="nil"/>
                    <w:tr2bl w:val="nil"/>
                  </w:tcBorders>
                  <w:shd w:val="clear" w:color="auto" w:fill="auto"/>
                  <w:vAlign w:val="center"/>
                </w:tcPr>
                <w:p w14:paraId="4717707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10705F4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62</w:t>
                  </w:r>
                </w:p>
              </w:tc>
              <w:tc>
                <w:tcPr>
                  <w:tcW w:w="760" w:type="pct"/>
                  <w:tcBorders>
                    <w:tl2br w:val="nil"/>
                    <w:tr2bl w:val="nil"/>
                  </w:tcBorders>
                  <w:shd w:val="clear" w:color="auto" w:fill="auto"/>
                  <w:vAlign w:val="center"/>
                </w:tcPr>
                <w:p w14:paraId="354EF04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新增设备</w:t>
                  </w:r>
                </w:p>
              </w:tc>
            </w:tr>
            <w:tr w14:paraId="4B7550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DE43A6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57</w:t>
                  </w:r>
                </w:p>
              </w:tc>
              <w:tc>
                <w:tcPr>
                  <w:tcW w:w="926" w:type="pct"/>
                  <w:tcBorders>
                    <w:tl2br w:val="nil"/>
                    <w:tr2bl w:val="nil"/>
                  </w:tcBorders>
                  <w:shd w:val="clear" w:color="auto" w:fill="auto"/>
                  <w:vAlign w:val="center"/>
                </w:tcPr>
                <w:p w14:paraId="2ED7BA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自动上料机</w:t>
                  </w:r>
                </w:p>
              </w:tc>
              <w:tc>
                <w:tcPr>
                  <w:tcW w:w="1328" w:type="pct"/>
                  <w:tcBorders>
                    <w:tl2br w:val="nil"/>
                    <w:tr2bl w:val="nil"/>
                  </w:tcBorders>
                  <w:shd w:val="clear" w:color="auto" w:fill="auto"/>
                  <w:vAlign w:val="center"/>
                </w:tcPr>
                <w:p w14:paraId="7AFAAA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18650</w:t>
                  </w:r>
                </w:p>
              </w:tc>
              <w:tc>
                <w:tcPr>
                  <w:tcW w:w="790" w:type="pct"/>
                  <w:tcBorders>
                    <w:tl2br w:val="nil"/>
                    <w:tr2bl w:val="nil"/>
                  </w:tcBorders>
                  <w:shd w:val="clear" w:color="auto" w:fill="auto"/>
                  <w:vAlign w:val="center"/>
                </w:tcPr>
                <w:p w14:paraId="7394104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138CEFF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6</w:t>
                  </w:r>
                </w:p>
              </w:tc>
              <w:tc>
                <w:tcPr>
                  <w:tcW w:w="760" w:type="pct"/>
                  <w:tcBorders>
                    <w:tl2br w:val="nil"/>
                    <w:tr2bl w:val="nil"/>
                  </w:tcBorders>
                  <w:shd w:val="clear" w:color="auto" w:fill="auto"/>
                  <w:vAlign w:val="center"/>
                </w:tcPr>
                <w:p w14:paraId="0FD216E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新增设备</w:t>
                  </w:r>
                </w:p>
              </w:tc>
            </w:tr>
            <w:tr w14:paraId="3EF8A8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10D0CB7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58</w:t>
                  </w:r>
                </w:p>
              </w:tc>
              <w:tc>
                <w:tcPr>
                  <w:tcW w:w="926" w:type="pct"/>
                  <w:tcBorders>
                    <w:tl2br w:val="nil"/>
                    <w:tr2bl w:val="nil"/>
                  </w:tcBorders>
                  <w:shd w:val="clear" w:color="auto" w:fill="auto"/>
                  <w:vAlign w:val="center"/>
                </w:tcPr>
                <w:p w14:paraId="29C209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自动装盒机（单通道）</w:t>
                  </w:r>
                </w:p>
              </w:tc>
              <w:tc>
                <w:tcPr>
                  <w:tcW w:w="1328" w:type="pct"/>
                  <w:tcBorders>
                    <w:tl2br w:val="nil"/>
                    <w:tr2bl w:val="nil"/>
                  </w:tcBorders>
                  <w:shd w:val="clear" w:color="auto" w:fill="auto"/>
                  <w:vAlign w:val="center"/>
                </w:tcPr>
                <w:p w14:paraId="080447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18650</w:t>
                  </w:r>
                </w:p>
              </w:tc>
              <w:tc>
                <w:tcPr>
                  <w:tcW w:w="790" w:type="pct"/>
                  <w:tcBorders>
                    <w:tl2br w:val="nil"/>
                    <w:tr2bl w:val="nil"/>
                  </w:tcBorders>
                  <w:shd w:val="clear" w:color="auto" w:fill="auto"/>
                  <w:vAlign w:val="center"/>
                </w:tcPr>
                <w:p w14:paraId="5C00C60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2AED279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4B7384F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新增设备</w:t>
                  </w:r>
                </w:p>
              </w:tc>
            </w:tr>
            <w:tr w14:paraId="45DE3B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537BBC2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59</w:t>
                  </w:r>
                </w:p>
              </w:tc>
              <w:tc>
                <w:tcPr>
                  <w:tcW w:w="926" w:type="pct"/>
                  <w:tcBorders>
                    <w:tl2br w:val="nil"/>
                    <w:tr2bl w:val="nil"/>
                  </w:tcBorders>
                  <w:shd w:val="clear" w:color="auto" w:fill="auto"/>
                  <w:vAlign w:val="center"/>
                </w:tcPr>
                <w:p w14:paraId="0909CC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自动装盒机（双通道）</w:t>
                  </w:r>
                </w:p>
              </w:tc>
              <w:tc>
                <w:tcPr>
                  <w:tcW w:w="1328" w:type="pct"/>
                  <w:tcBorders>
                    <w:tl2br w:val="nil"/>
                    <w:tr2bl w:val="nil"/>
                  </w:tcBorders>
                  <w:shd w:val="clear" w:color="auto" w:fill="auto"/>
                  <w:vAlign w:val="center"/>
                </w:tcPr>
                <w:p w14:paraId="67540D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18650</w:t>
                  </w:r>
                </w:p>
              </w:tc>
              <w:tc>
                <w:tcPr>
                  <w:tcW w:w="790" w:type="pct"/>
                  <w:tcBorders>
                    <w:tl2br w:val="nil"/>
                    <w:tr2bl w:val="nil"/>
                  </w:tcBorders>
                  <w:shd w:val="clear" w:color="auto" w:fill="auto"/>
                  <w:vAlign w:val="center"/>
                </w:tcPr>
                <w:p w14:paraId="4524AAF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6AEE694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69B3289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新增设备</w:t>
                  </w:r>
                </w:p>
              </w:tc>
            </w:tr>
            <w:tr w14:paraId="00DA76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34BE683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60</w:t>
                  </w:r>
                </w:p>
              </w:tc>
              <w:tc>
                <w:tcPr>
                  <w:tcW w:w="926" w:type="pct"/>
                  <w:tcBorders>
                    <w:tl2br w:val="nil"/>
                    <w:tr2bl w:val="nil"/>
                  </w:tcBorders>
                  <w:shd w:val="clear" w:color="auto" w:fill="auto"/>
                  <w:vAlign w:val="center"/>
                </w:tcPr>
                <w:p w14:paraId="022766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电池套标分选一体机</w:t>
                  </w:r>
                </w:p>
              </w:tc>
              <w:tc>
                <w:tcPr>
                  <w:tcW w:w="1328" w:type="pct"/>
                  <w:tcBorders>
                    <w:tl2br w:val="nil"/>
                    <w:tr2bl w:val="nil"/>
                  </w:tcBorders>
                  <w:shd w:val="clear" w:color="auto" w:fill="auto"/>
                  <w:vAlign w:val="center"/>
                </w:tcPr>
                <w:p w14:paraId="33E369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SC-TC02</w:t>
                  </w:r>
                </w:p>
              </w:tc>
              <w:tc>
                <w:tcPr>
                  <w:tcW w:w="790" w:type="pct"/>
                  <w:tcBorders>
                    <w:tl2br w:val="nil"/>
                    <w:tr2bl w:val="nil"/>
                  </w:tcBorders>
                  <w:shd w:val="clear" w:color="auto" w:fill="auto"/>
                  <w:vAlign w:val="center"/>
                </w:tcPr>
                <w:p w14:paraId="5EB8B0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1.5KW</w:t>
                  </w:r>
                </w:p>
              </w:tc>
              <w:tc>
                <w:tcPr>
                  <w:tcW w:w="724" w:type="pct"/>
                  <w:tcBorders>
                    <w:tl2br w:val="nil"/>
                    <w:tr2bl w:val="nil"/>
                  </w:tcBorders>
                  <w:shd w:val="clear" w:color="auto" w:fill="auto"/>
                  <w:vAlign w:val="center"/>
                </w:tcPr>
                <w:p w14:paraId="4CBFC71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3</w:t>
                  </w:r>
                </w:p>
              </w:tc>
              <w:tc>
                <w:tcPr>
                  <w:tcW w:w="760" w:type="pct"/>
                  <w:tcBorders>
                    <w:tl2br w:val="nil"/>
                    <w:tr2bl w:val="nil"/>
                  </w:tcBorders>
                  <w:shd w:val="clear" w:color="auto" w:fill="auto"/>
                  <w:vAlign w:val="center"/>
                </w:tcPr>
                <w:p w14:paraId="6A52180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4A6563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23C503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61</w:t>
                  </w:r>
                </w:p>
              </w:tc>
              <w:tc>
                <w:tcPr>
                  <w:tcW w:w="926" w:type="pct"/>
                  <w:tcBorders>
                    <w:tl2br w:val="nil"/>
                    <w:tr2bl w:val="nil"/>
                  </w:tcBorders>
                  <w:shd w:val="clear" w:color="auto" w:fill="auto"/>
                  <w:vAlign w:val="center"/>
                </w:tcPr>
                <w:p w14:paraId="5663AE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18650分选机</w:t>
                  </w:r>
                </w:p>
              </w:tc>
              <w:tc>
                <w:tcPr>
                  <w:tcW w:w="1328" w:type="pct"/>
                  <w:tcBorders>
                    <w:tl2br w:val="nil"/>
                    <w:tr2bl w:val="nil"/>
                  </w:tcBorders>
                  <w:shd w:val="clear" w:color="auto" w:fill="auto"/>
                  <w:vAlign w:val="center"/>
                </w:tcPr>
                <w:p w14:paraId="256473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SC-TS10C</w:t>
                  </w:r>
                </w:p>
              </w:tc>
              <w:tc>
                <w:tcPr>
                  <w:tcW w:w="790" w:type="pct"/>
                  <w:tcBorders>
                    <w:tl2br w:val="nil"/>
                    <w:tr2bl w:val="nil"/>
                  </w:tcBorders>
                  <w:shd w:val="clear" w:color="auto" w:fill="auto"/>
                  <w:vAlign w:val="center"/>
                </w:tcPr>
                <w:p w14:paraId="1555EC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1.5KW</w:t>
                  </w:r>
                </w:p>
              </w:tc>
              <w:tc>
                <w:tcPr>
                  <w:tcW w:w="724" w:type="pct"/>
                  <w:tcBorders>
                    <w:tl2br w:val="nil"/>
                    <w:tr2bl w:val="nil"/>
                  </w:tcBorders>
                  <w:shd w:val="clear" w:color="auto" w:fill="auto"/>
                  <w:vAlign w:val="center"/>
                </w:tcPr>
                <w:p w14:paraId="566F2B1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5B5A110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579D8E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652DD8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62</w:t>
                  </w:r>
                </w:p>
              </w:tc>
              <w:tc>
                <w:tcPr>
                  <w:tcW w:w="926" w:type="pct"/>
                  <w:tcBorders>
                    <w:tl2br w:val="nil"/>
                    <w:tr2bl w:val="nil"/>
                  </w:tcBorders>
                  <w:shd w:val="clear" w:color="auto" w:fill="auto"/>
                  <w:vAlign w:val="center"/>
                </w:tcPr>
                <w:p w14:paraId="4B2821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包装机收盒机</w:t>
                  </w:r>
                </w:p>
              </w:tc>
              <w:tc>
                <w:tcPr>
                  <w:tcW w:w="1328" w:type="pct"/>
                  <w:tcBorders>
                    <w:tl2br w:val="nil"/>
                    <w:tr2bl w:val="nil"/>
                  </w:tcBorders>
                  <w:shd w:val="clear" w:color="auto" w:fill="auto"/>
                  <w:vAlign w:val="center"/>
                </w:tcPr>
                <w:p w14:paraId="2B3C6C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18650</w:t>
                  </w:r>
                </w:p>
              </w:tc>
              <w:tc>
                <w:tcPr>
                  <w:tcW w:w="790" w:type="pct"/>
                  <w:tcBorders>
                    <w:tl2br w:val="nil"/>
                    <w:tr2bl w:val="nil"/>
                  </w:tcBorders>
                  <w:shd w:val="clear" w:color="auto" w:fill="auto"/>
                  <w:vAlign w:val="center"/>
                </w:tcPr>
                <w:p w14:paraId="170140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1KW</w:t>
                  </w:r>
                </w:p>
              </w:tc>
              <w:tc>
                <w:tcPr>
                  <w:tcW w:w="724" w:type="pct"/>
                  <w:tcBorders>
                    <w:tl2br w:val="nil"/>
                    <w:tr2bl w:val="nil"/>
                  </w:tcBorders>
                  <w:shd w:val="clear" w:color="auto" w:fill="auto"/>
                  <w:vAlign w:val="center"/>
                </w:tcPr>
                <w:p w14:paraId="4C3E1D6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12</w:t>
                  </w:r>
                </w:p>
              </w:tc>
              <w:tc>
                <w:tcPr>
                  <w:tcW w:w="760" w:type="pct"/>
                  <w:tcBorders>
                    <w:tl2br w:val="nil"/>
                    <w:tr2bl w:val="nil"/>
                  </w:tcBorders>
                  <w:shd w:val="clear" w:color="auto" w:fill="auto"/>
                  <w:vAlign w:val="center"/>
                </w:tcPr>
                <w:p w14:paraId="618B687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44E67F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44F82E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63</w:t>
                  </w:r>
                </w:p>
              </w:tc>
              <w:tc>
                <w:tcPr>
                  <w:tcW w:w="926" w:type="pct"/>
                  <w:tcBorders>
                    <w:tl2br w:val="nil"/>
                    <w:tr2bl w:val="nil"/>
                  </w:tcBorders>
                  <w:shd w:val="clear" w:color="auto" w:fill="auto"/>
                  <w:vAlign w:val="center"/>
                </w:tcPr>
                <w:p w14:paraId="5B724E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20W光纤激光打标机</w:t>
                  </w:r>
                </w:p>
              </w:tc>
              <w:tc>
                <w:tcPr>
                  <w:tcW w:w="1328" w:type="pct"/>
                  <w:tcBorders>
                    <w:tl2br w:val="nil"/>
                    <w:tr2bl w:val="nil"/>
                  </w:tcBorders>
                  <w:shd w:val="clear" w:color="auto" w:fill="auto"/>
                  <w:vAlign w:val="center"/>
                </w:tcPr>
                <w:p w14:paraId="361E17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HT-20L</w:t>
                  </w:r>
                </w:p>
              </w:tc>
              <w:tc>
                <w:tcPr>
                  <w:tcW w:w="790" w:type="pct"/>
                  <w:tcBorders>
                    <w:tl2br w:val="nil"/>
                    <w:tr2bl w:val="nil"/>
                  </w:tcBorders>
                  <w:shd w:val="clear" w:color="auto" w:fill="auto"/>
                  <w:vAlign w:val="center"/>
                </w:tcPr>
                <w:p w14:paraId="466A72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0.5KW</w:t>
                  </w:r>
                </w:p>
              </w:tc>
              <w:tc>
                <w:tcPr>
                  <w:tcW w:w="724" w:type="pct"/>
                  <w:tcBorders>
                    <w:tl2br w:val="nil"/>
                    <w:tr2bl w:val="nil"/>
                  </w:tcBorders>
                  <w:shd w:val="clear" w:color="auto" w:fill="auto"/>
                  <w:vAlign w:val="center"/>
                </w:tcPr>
                <w:p w14:paraId="3907327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w:t>
                  </w:r>
                </w:p>
              </w:tc>
              <w:tc>
                <w:tcPr>
                  <w:tcW w:w="760" w:type="pct"/>
                  <w:tcBorders>
                    <w:tl2br w:val="nil"/>
                    <w:tr2bl w:val="nil"/>
                  </w:tcBorders>
                  <w:shd w:val="clear" w:color="auto" w:fill="auto"/>
                  <w:vAlign w:val="center"/>
                </w:tcPr>
                <w:p w14:paraId="33B1322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16A274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6"/>
                  <w:tcBorders>
                    <w:tl2br w:val="nil"/>
                    <w:tr2bl w:val="nil"/>
                  </w:tcBorders>
                  <w:shd w:val="clear" w:color="auto" w:fill="auto"/>
                  <w:vAlign w:val="center"/>
                </w:tcPr>
                <w:p w14:paraId="0BA8E33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3车间</w:t>
                  </w:r>
                  <w:r>
                    <w:rPr>
                      <w:rFonts w:hint="eastAsia" w:cs="Times New Roman"/>
                      <w:sz w:val="21"/>
                      <w:szCs w:val="21"/>
                      <w:highlight w:val="none"/>
                      <w:lang w:val="en-US" w:eastAsia="zh-CN"/>
                    </w:rPr>
                    <w:t>（北厂区）</w:t>
                  </w:r>
                </w:p>
              </w:tc>
            </w:tr>
            <w:tr w14:paraId="4EDA8E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6C0C2AF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64</w:t>
                  </w:r>
                </w:p>
              </w:tc>
              <w:tc>
                <w:tcPr>
                  <w:tcW w:w="926" w:type="pct"/>
                  <w:tcBorders>
                    <w:tl2br w:val="nil"/>
                    <w:tr2bl w:val="nil"/>
                  </w:tcBorders>
                  <w:shd w:val="clear" w:color="auto" w:fill="auto"/>
                  <w:vAlign w:val="center"/>
                </w:tcPr>
                <w:p w14:paraId="74A24EE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连续辊压机</w:t>
                  </w:r>
                </w:p>
              </w:tc>
              <w:tc>
                <w:tcPr>
                  <w:tcW w:w="1328" w:type="pct"/>
                  <w:tcBorders>
                    <w:tl2br w:val="nil"/>
                    <w:tr2bl w:val="nil"/>
                  </w:tcBorders>
                  <w:shd w:val="clear" w:color="auto" w:fill="auto"/>
                  <w:vAlign w:val="center"/>
                </w:tcPr>
                <w:p w14:paraId="11EB9F1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DYG-703BH1-600</w:t>
                  </w:r>
                </w:p>
              </w:tc>
              <w:tc>
                <w:tcPr>
                  <w:tcW w:w="790" w:type="pct"/>
                  <w:tcBorders>
                    <w:tl2br w:val="nil"/>
                    <w:tr2bl w:val="nil"/>
                  </w:tcBorders>
                  <w:shd w:val="clear" w:color="auto" w:fill="auto"/>
                  <w:vAlign w:val="center"/>
                </w:tcPr>
                <w:p w14:paraId="0C1D03B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22KW</w:t>
                  </w:r>
                </w:p>
              </w:tc>
              <w:tc>
                <w:tcPr>
                  <w:tcW w:w="724" w:type="pct"/>
                  <w:tcBorders>
                    <w:tl2br w:val="nil"/>
                    <w:tr2bl w:val="nil"/>
                  </w:tcBorders>
                  <w:shd w:val="clear" w:color="auto" w:fill="auto"/>
                  <w:vAlign w:val="center"/>
                </w:tcPr>
                <w:p w14:paraId="59CF2DB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760" w:type="pct"/>
                  <w:tcBorders>
                    <w:tl2br w:val="nil"/>
                    <w:tr2bl w:val="nil"/>
                  </w:tcBorders>
                  <w:shd w:val="clear" w:color="auto" w:fill="auto"/>
                  <w:vAlign w:val="center"/>
                </w:tcPr>
                <w:p w14:paraId="01C200A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w:t>
                  </w:r>
                </w:p>
              </w:tc>
            </w:tr>
            <w:tr w14:paraId="5E7600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0C75F6B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65</w:t>
                  </w:r>
                </w:p>
              </w:tc>
              <w:tc>
                <w:tcPr>
                  <w:tcW w:w="926" w:type="pct"/>
                  <w:tcBorders>
                    <w:tl2br w:val="nil"/>
                    <w:tr2bl w:val="nil"/>
                  </w:tcBorders>
                  <w:shd w:val="clear" w:color="auto" w:fill="auto"/>
                  <w:vAlign w:val="center"/>
                </w:tcPr>
                <w:p w14:paraId="6CD148A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连续辊压机</w:t>
                  </w:r>
                </w:p>
              </w:tc>
              <w:tc>
                <w:tcPr>
                  <w:tcW w:w="1328" w:type="pct"/>
                  <w:tcBorders>
                    <w:tl2br w:val="nil"/>
                    <w:tr2bl w:val="nil"/>
                  </w:tcBorders>
                  <w:shd w:val="clear" w:color="auto" w:fill="auto"/>
                  <w:vAlign w:val="center"/>
                </w:tcPr>
                <w:p w14:paraId="07009A5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DYG-703BH1-600*700</w:t>
                  </w:r>
                </w:p>
              </w:tc>
              <w:tc>
                <w:tcPr>
                  <w:tcW w:w="790" w:type="pct"/>
                  <w:tcBorders>
                    <w:tl2br w:val="nil"/>
                    <w:tr2bl w:val="nil"/>
                  </w:tcBorders>
                  <w:shd w:val="clear" w:color="auto" w:fill="auto"/>
                  <w:vAlign w:val="center"/>
                </w:tcPr>
                <w:p w14:paraId="487BAEC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22KW</w:t>
                  </w:r>
                </w:p>
              </w:tc>
              <w:tc>
                <w:tcPr>
                  <w:tcW w:w="724" w:type="pct"/>
                  <w:tcBorders>
                    <w:tl2br w:val="nil"/>
                    <w:tr2bl w:val="nil"/>
                  </w:tcBorders>
                  <w:shd w:val="clear" w:color="auto" w:fill="auto"/>
                  <w:vAlign w:val="center"/>
                </w:tcPr>
                <w:p w14:paraId="5C28653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760" w:type="pct"/>
                  <w:tcBorders>
                    <w:tl2br w:val="nil"/>
                    <w:tr2bl w:val="nil"/>
                  </w:tcBorders>
                  <w:shd w:val="clear" w:color="auto" w:fill="auto"/>
                  <w:vAlign w:val="center"/>
                </w:tcPr>
                <w:p w14:paraId="4F61BC1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w:t>
                  </w:r>
                </w:p>
              </w:tc>
            </w:tr>
            <w:tr w14:paraId="26D7D0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30EA3FA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66</w:t>
                  </w:r>
                </w:p>
              </w:tc>
              <w:tc>
                <w:tcPr>
                  <w:tcW w:w="926" w:type="pct"/>
                  <w:tcBorders>
                    <w:tl2br w:val="nil"/>
                    <w:tr2bl w:val="nil"/>
                  </w:tcBorders>
                  <w:shd w:val="clear" w:color="auto" w:fill="auto"/>
                  <w:vAlign w:val="center"/>
                </w:tcPr>
                <w:p w14:paraId="344A795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极片分条机</w:t>
                  </w:r>
                </w:p>
              </w:tc>
              <w:tc>
                <w:tcPr>
                  <w:tcW w:w="1328" w:type="pct"/>
                  <w:tcBorders>
                    <w:tl2br w:val="nil"/>
                    <w:tr2bl w:val="nil"/>
                  </w:tcBorders>
                  <w:shd w:val="clear" w:color="auto" w:fill="auto"/>
                  <w:vAlign w:val="center"/>
                </w:tcPr>
                <w:p w14:paraId="2589E23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FT-750</w:t>
                  </w:r>
                </w:p>
              </w:tc>
              <w:tc>
                <w:tcPr>
                  <w:tcW w:w="790" w:type="pct"/>
                  <w:tcBorders>
                    <w:tl2br w:val="nil"/>
                    <w:tr2bl w:val="nil"/>
                  </w:tcBorders>
                  <w:shd w:val="clear" w:color="auto" w:fill="auto"/>
                  <w:vAlign w:val="center"/>
                </w:tcPr>
                <w:p w14:paraId="3B3810B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2.2KW</w:t>
                  </w:r>
                </w:p>
              </w:tc>
              <w:tc>
                <w:tcPr>
                  <w:tcW w:w="724" w:type="pct"/>
                  <w:tcBorders>
                    <w:tl2br w:val="nil"/>
                    <w:tr2bl w:val="nil"/>
                  </w:tcBorders>
                  <w:shd w:val="clear" w:color="auto" w:fill="auto"/>
                  <w:vAlign w:val="center"/>
                </w:tcPr>
                <w:p w14:paraId="43C9F64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w:t>
                  </w:r>
                </w:p>
              </w:tc>
              <w:tc>
                <w:tcPr>
                  <w:tcW w:w="760" w:type="pct"/>
                  <w:tcBorders>
                    <w:tl2br w:val="nil"/>
                    <w:tr2bl w:val="nil"/>
                  </w:tcBorders>
                  <w:shd w:val="clear" w:color="auto" w:fill="auto"/>
                  <w:vAlign w:val="center"/>
                </w:tcPr>
                <w:p w14:paraId="25FCFE4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w:t>
                  </w:r>
                </w:p>
              </w:tc>
            </w:tr>
            <w:tr w14:paraId="48A160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66B3B02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67</w:t>
                  </w:r>
                </w:p>
              </w:tc>
              <w:tc>
                <w:tcPr>
                  <w:tcW w:w="926" w:type="pct"/>
                  <w:tcBorders>
                    <w:tl2br w:val="nil"/>
                    <w:tr2bl w:val="nil"/>
                  </w:tcBorders>
                  <w:shd w:val="clear" w:color="auto" w:fill="auto"/>
                  <w:vAlign w:val="center"/>
                </w:tcPr>
                <w:p w14:paraId="62411B2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全自动制片机正极</w:t>
                  </w:r>
                </w:p>
              </w:tc>
              <w:tc>
                <w:tcPr>
                  <w:tcW w:w="1328" w:type="pct"/>
                  <w:tcBorders>
                    <w:tl2br w:val="nil"/>
                    <w:tr2bl w:val="nil"/>
                  </w:tcBorders>
                  <w:shd w:val="clear" w:color="auto" w:fill="auto"/>
                  <w:vAlign w:val="center"/>
                </w:tcPr>
                <w:p w14:paraId="5B878A6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ZY-18650-H2T2</w:t>
                  </w:r>
                </w:p>
              </w:tc>
              <w:tc>
                <w:tcPr>
                  <w:tcW w:w="790" w:type="pct"/>
                  <w:tcBorders>
                    <w:tl2br w:val="nil"/>
                    <w:tr2bl w:val="nil"/>
                  </w:tcBorders>
                  <w:shd w:val="clear" w:color="auto" w:fill="auto"/>
                  <w:vAlign w:val="center"/>
                </w:tcPr>
                <w:p w14:paraId="353008F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3.5KW</w:t>
                  </w:r>
                </w:p>
              </w:tc>
              <w:tc>
                <w:tcPr>
                  <w:tcW w:w="724" w:type="pct"/>
                  <w:tcBorders>
                    <w:tl2br w:val="nil"/>
                    <w:tr2bl w:val="nil"/>
                  </w:tcBorders>
                  <w:shd w:val="clear" w:color="auto" w:fill="auto"/>
                  <w:vAlign w:val="center"/>
                </w:tcPr>
                <w:p w14:paraId="3A4DC32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5</w:t>
                  </w:r>
                </w:p>
              </w:tc>
              <w:tc>
                <w:tcPr>
                  <w:tcW w:w="760" w:type="pct"/>
                  <w:tcBorders>
                    <w:tl2br w:val="nil"/>
                    <w:tr2bl w:val="nil"/>
                  </w:tcBorders>
                  <w:shd w:val="clear" w:color="auto" w:fill="auto"/>
                  <w:vAlign w:val="center"/>
                </w:tcPr>
                <w:p w14:paraId="62DEC86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w:t>
                  </w:r>
                </w:p>
              </w:tc>
            </w:tr>
            <w:tr w14:paraId="7B893C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67DDCD8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68</w:t>
                  </w:r>
                </w:p>
              </w:tc>
              <w:tc>
                <w:tcPr>
                  <w:tcW w:w="926" w:type="pct"/>
                  <w:tcBorders>
                    <w:tl2br w:val="nil"/>
                    <w:tr2bl w:val="nil"/>
                  </w:tcBorders>
                  <w:shd w:val="clear" w:color="auto" w:fill="auto"/>
                  <w:vAlign w:val="center"/>
                </w:tcPr>
                <w:p w14:paraId="3C65D4B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全自动制片机负极</w:t>
                  </w:r>
                </w:p>
              </w:tc>
              <w:tc>
                <w:tcPr>
                  <w:tcW w:w="1328" w:type="pct"/>
                  <w:tcBorders>
                    <w:tl2br w:val="nil"/>
                    <w:tr2bl w:val="nil"/>
                  </w:tcBorders>
                  <w:shd w:val="clear" w:color="auto" w:fill="auto"/>
                  <w:vAlign w:val="center"/>
                </w:tcPr>
                <w:p w14:paraId="425742F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ZY-18650-H2T2</w:t>
                  </w:r>
                </w:p>
              </w:tc>
              <w:tc>
                <w:tcPr>
                  <w:tcW w:w="790" w:type="pct"/>
                  <w:tcBorders>
                    <w:tl2br w:val="nil"/>
                    <w:tr2bl w:val="nil"/>
                  </w:tcBorders>
                  <w:shd w:val="clear" w:color="auto" w:fill="auto"/>
                  <w:vAlign w:val="center"/>
                </w:tcPr>
                <w:p w14:paraId="02E86E8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3.5KW</w:t>
                  </w:r>
                </w:p>
              </w:tc>
              <w:tc>
                <w:tcPr>
                  <w:tcW w:w="724" w:type="pct"/>
                  <w:tcBorders>
                    <w:tl2br w:val="nil"/>
                    <w:tr2bl w:val="nil"/>
                  </w:tcBorders>
                  <w:shd w:val="clear" w:color="auto" w:fill="auto"/>
                  <w:vAlign w:val="center"/>
                </w:tcPr>
                <w:p w14:paraId="560E4C9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8</w:t>
                  </w:r>
                </w:p>
              </w:tc>
              <w:tc>
                <w:tcPr>
                  <w:tcW w:w="760" w:type="pct"/>
                  <w:tcBorders>
                    <w:tl2br w:val="nil"/>
                    <w:tr2bl w:val="nil"/>
                  </w:tcBorders>
                  <w:shd w:val="clear" w:color="auto" w:fill="auto"/>
                  <w:vAlign w:val="center"/>
                </w:tcPr>
                <w:p w14:paraId="34FAC50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w:t>
                  </w:r>
                </w:p>
              </w:tc>
            </w:tr>
            <w:tr w14:paraId="6BE1EA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1E8DBDD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69</w:t>
                  </w:r>
                </w:p>
              </w:tc>
              <w:tc>
                <w:tcPr>
                  <w:tcW w:w="926" w:type="pct"/>
                  <w:tcBorders>
                    <w:tl2br w:val="nil"/>
                    <w:tr2bl w:val="nil"/>
                  </w:tcBorders>
                  <w:shd w:val="clear" w:color="auto" w:fill="auto"/>
                  <w:vAlign w:val="center"/>
                </w:tcPr>
                <w:p w14:paraId="1D145F7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全自动卷绕机</w:t>
                  </w:r>
                </w:p>
              </w:tc>
              <w:tc>
                <w:tcPr>
                  <w:tcW w:w="1328" w:type="pct"/>
                  <w:tcBorders>
                    <w:tl2br w:val="nil"/>
                    <w:tr2bl w:val="nil"/>
                  </w:tcBorders>
                  <w:shd w:val="clear" w:color="auto" w:fill="auto"/>
                  <w:vAlign w:val="center"/>
                </w:tcPr>
                <w:p w14:paraId="76BFD67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ZY-18/65-L</w:t>
                  </w:r>
                </w:p>
              </w:tc>
              <w:tc>
                <w:tcPr>
                  <w:tcW w:w="790" w:type="pct"/>
                  <w:tcBorders>
                    <w:tl2br w:val="nil"/>
                    <w:tr2bl w:val="nil"/>
                  </w:tcBorders>
                  <w:shd w:val="clear" w:color="auto" w:fill="auto"/>
                  <w:vAlign w:val="center"/>
                </w:tcPr>
                <w:p w14:paraId="09DA87B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10KW</w:t>
                  </w:r>
                </w:p>
              </w:tc>
              <w:tc>
                <w:tcPr>
                  <w:tcW w:w="724" w:type="pct"/>
                  <w:tcBorders>
                    <w:tl2br w:val="nil"/>
                    <w:tr2bl w:val="nil"/>
                  </w:tcBorders>
                  <w:shd w:val="clear" w:color="auto" w:fill="auto"/>
                  <w:vAlign w:val="center"/>
                </w:tcPr>
                <w:p w14:paraId="2018C5A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10</w:t>
                  </w:r>
                </w:p>
              </w:tc>
              <w:tc>
                <w:tcPr>
                  <w:tcW w:w="760" w:type="pct"/>
                  <w:tcBorders>
                    <w:tl2br w:val="nil"/>
                    <w:tr2bl w:val="nil"/>
                  </w:tcBorders>
                  <w:shd w:val="clear" w:color="auto" w:fill="auto"/>
                  <w:vAlign w:val="center"/>
                </w:tcPr>
                <w:p w14:paraId="0B8A0A8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w:t>
                  </w:r>
                </w:p>
              </w:tc>
            </w:tr>
            <w:tr w14:paraId="672393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1CFD818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70</w:t>
                  </w:r>
                </w:p>
              </w:tc>
              <w:tc>
                <w:tcPr>
                  <w:tcW w:w="926" w:type="pct"/>
                  <w:tcBorders>
                    <w:tl2br w:val="nil"/>
                    <w:tr2bl w:val="nil"/>
                  </w:tcBorders>
                  <w:shd w:val="clear" w:color="auto" w:fill="auto"/>
                  <w:vAlign w:val="center"/>
                </w:tcPr>
                <w:p w14:paraId="316DE49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半自动卷绕机</w:t>
                  </w:r>
                </w:p>
              </w:tc>
              <w:tc>
                <w:tcPr>
                  <w:tcW w:w="1328" w:type="pct"/>
                  <w:tcBorders>
                    <w:tl2br w:val="nil"/>
                    <w:tr2bl w:val="nil"/>
                  </w:tcBorders>
                  <w:shd w:val="clear" w:color="auto" w:fill="auto"/>
                  <w:vAlign w:val="center"/>
                </w:tcPr>
                <w:p w14:paraId="4262636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65925</w:t>
                  </w:r>
                </w:p>
              </w:tc>
              <w:tc>
                <w:tcPr>
                  <w:tcW w:w="790" w:type="pct"/>
                  <w:tcBorders>
                    <w:tl2br w:val="nil"/>
                    <w:tr2bl w:val="nil"/>
                  </w:tcBorders>
                  <w:shd w:val="clear" w:color="auto" w:fill="auto"/>
                  <w:vAlign w:val="center"/>
                </w:tcPr>
                <w:p w14:paraId="43A559B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5KW</w:t>
                  </w:r>
                </w:p>
              </w:tc>
              <w:tc>
                <w:tcPr>
                  <w:tcW w:w="724" w:type="pct"/>
                  <w:tcBorders>
                    <w:tl2br w:val="nil"/>
                    <w:tr2bl w:val="nil"/>
                  </w:tcBorders>
                  <w:shd w:val="clear" w:color="auto" w:fill="auto"/>
                  <w:vAlign w:val="center"/>
                </w:tcPr>
                <w:p w14:paraId="41F711F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w:t>
                  </w:r>
                </w:p>
              </w:tc>
              <w:tc>
                <w:tcPr>
                  <w:tcW w:w="760" w:type="pct"/>
                  <w:tcBorders>
                    <w:tl2br w:val="nil"/>
                    <w:tr2bl w:val="nil"/>
                  </w:tcBorders>
                  <w:shd w:val="clear" w:color="auto" w:fill="auto"/>
                  <w:vAlign w:val="center"/>
                </w:tcPr>
                <w:p w14:paraId="587231A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w:t>
                  </w:r>
                </w:p>
              </w:tc>
            </w:tr>
            <w:tr w14:paraId="50FD6B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7B20045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71</w:t>
                  </w:r>
                </w:p>
              </w:tc>
              <w:tc>
                <w:tcPr>
                  <w:tcW w:w="926" w:type="pct"/>
                  <w:tcBorders>
                    <w:tl2br w:val="nil"/>
                    <w:tr2bl w:val="nil"/>
                  </w:tcBorders>
                  <w:shd w:val="clear" w:color="auto" w:fill="auto"/>
                  <w:vAlign w:val="center"/>
                </w:tcPr>
                <w:p w14:paraId="223FE7B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圆形全自动卷绕机</w:t>
                  </w:r>
                </w:p>
              </w:tc>
              <w:tc>
                <w:tcPr>
                  <w:tcW w:w="1328" w:type="pct"/>
                  <w:tcBorders>
                    <w:tl2br w:val="nil"/>
                    <w:tr2bl w:val="nil"/>
                  </w:tcBorders>
                  <w:shd w:val="clear" w:color="auto" w:fill="auto"/>
                  <w:vAlign w:val="center"/>
                </w:tcPr>
                <w:p w14:paraId="3DFA776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ZY-1865-L</w:t>
                  </w:r>
                </w:p>
              </w:tc>
              <w:tc>
                <w:tcPr>
                  <w:tcW w:w="790" w:type="pct"/>
                  <w:tcBorders>
                    <w:tl2br w:val="nil"/>
                    <w:tr2bl w:val="nil"/>
                  </w:tcBorders>
                  <w:shd w:val="clear" w:color="auto" w:fill="auto"/>
                  <w:vAlign w:val="center"/>
                </w:tcPr>
                <w:p w14:paraId="4497395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10KW</w:t>
                  </w:r>
                </w:p>
              </w:tc>
              <w:tc>
                <w:tcPr>
                  <w:tcW w:w="724" w:type="pct"/>
                  <w:tcBorders>
                    <w:tl2br w:val="nil"/>
                    <w:tr2bl w:val="nil"/>
                  </w:tcBorders>
                  <w:shd w:val="clear" w:color="auto" w:fill="auto"/>
                  <w:vAlign w:val="center"/>
                </w:tcPr>
                <w:p w14:paraId="4C012F5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4</w:t>
                  </w:r>
                </w:p>
              </w:tc>
              <w:tc>
                <w:tcPr>
                  <w:tcW w:w="760" w:type="pct"/>
                  <w:tcBorders>
                    <w:tl2br w:val="nil"/>
                    <w:tr2bl w:val="nil"/>
                  </w:tcBorders>
                  <w:shd w:val="clear" w:color="auto" w:fill="auto"/>
                  <w:vAlign w:val="center"/>
                </w:tcPr>
                <w:p w14:paraId="4B79CE3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w:t>
                  </w:r>
                </w:p>
              </w:tc>
            </w:tr>
            <w:tr w14:paraId="7A1C87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4922352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72</w:t>
                  </w:r>
                </w:p>
              </w:tc>
              <w:tc>
                <w:tcPr>
                  <w:tcW w:w="926" w:type="pct"/>
                  <w:tcBorders>
                    <w:tl2br w:val="nil"/>
                    <w:tr2bl w:val="nil"/>
                  </w:tcBorders>
                  <w:shd w:val="clear" w:color="auto" w:fill="auto"/>
                  <w:vAlign w:val="center"/>
                </w:tcPr>
                <w:p w14:paraId="1E2D1B3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自动入壳机</w:t>
                  </w:r>
                </w:p>
              </w:tc>
              <w:tc>
                <w:tcPr>
                  <w:tcW w:w="1328" w:type="pct"/>
                  <w:tcBorders>
                    <w:tl2br w:val="nil"/>
                    <w:tr2bl w:val="nil"/>
                  </w:tcBorders>
                  <w:shd w:val="clear" w:color="auto" w:fill="auto"/>
                  <w:vAlign w:val="center"/>
                </w:tcPr>
                <w:p w14:paraId="5BB532B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XN-RKJ18A</w:t>
                  </w:r>
                </w:p>
              </w:tc>
              <w:tc>
                <w:tcPr>
                  <w:tcW w:w="790" w:type="pct"/>
                  <w:tcBorders>
                    <w:tl2br w:val="nil"/>
                    <w:tr2bl w:val="nil"/>
                  </w:tcBorders>
                  <w:shd w:val="clear" w:color="auto" w:fill="auto"/>
                  <w:vAlign w:val="center"/>
                </w:tcPr>
                <w:p w14:paraId="18BD105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2KW</w:t>
                  </w:r>
                </w:p>
              </w:tc>
              <w:tc>
                <w:tcPr>
                  <w:tcW w:w="724" w:type="pct"/>
                  <w:tcBorders>
                    <w:tl2br w:val="nil"/>
                    <w:tr2bl w:val="nil"/>
                  </w:tcBorders>
                  <w:shd w:val="clear" w:color="auto" w:fill="auto"/>
                  <w:vAlign w:val="center"/>
                </w:tcPr>
                <w:p w14:paraId="69ABC60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11</w:t>
                  </w:r>
                </w:p>
              </w:tc>
              <w:tc>
                <w:tcPr>
                  <w:tcW w:w="760" w:type="pct"/>
                  <w:tcBorders>
                    <w:tl2br w:val="nil"/>
                    <w:tr2bl w:val="nil"/>
                  </w:tcBorders>
                  <w:shd w:val="clear" w:color="auto" w:fill="auto"/>
                  <w:vAlign w:val="center"/>
                </w:tcPr>
                <w:p w14:paraId="268A2D5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w:t>
                  </w:r>
                </w:p>
              </w:tc>
            </w:tr>
            <w:tr w14:paraId="4158A10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C7540D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73</w:t>
                  </w:r>
                </w:p>
              </w:tc>
              <w:tc>
                <w:tcPr>
                  <w:tcW w:w="926" w:type="pct"/>
                  <w:tcBorders>
                    <w:tl2br w:val="nil"/>
                    <w:tr2bl w:val="nil"/>
                  </w:tcBorders>
                  <w:shd w:val="clear" w:color="auto" w:fill="auto"/>
                  <w:vAlign w:val="center"/>
                </w:tcPr>
                <w:p w14:paraId="4CD7D53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全自动入壳机</w:t>
                  </w:r>
                </w:p>
              </w:tc>
              <w:tc>
                <w:tcPr>
                  <w:tcW w:w="1328" w:type="pct"/>
                  <w:tcBorders>
                    <w:tl2br w:val="nil"/>
                    <w:tr2bl w:val="nil"/>
                  </w:tcBorders>
                  <w:shd w:val="clear" w:color="auto" w:fill="auto"/>
                  <w:vAlign w:val="center"/>
                </w:tcPr>
                <w:p w14:paraId="08AE40D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18650I</w:t>
                  </w:r>
                </w:p>
              </w:tc>
              <w:tc>
                <w:tcPr>
                  <w:tcW w:w="790" w:type="pct"/>
                  <w:tcBorders>
                    <w:tl2br w:val="nil"/>
                    <w:tr2bl w:val="nil"/>
                  </w:tcBorders>
                  <w:shd w:val="clear" w:color="auto" w:fill="auto"/>
                  <w:vAlign w:val="center"/>
                </w:tcPr>
                <w:p w14:paraId="7125348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2KW</w:t>
                  </w:r>
                </w:p>
              </w:tc>
              <w:tc>
                <w:tcPr>
                  <w:tcW w:w="724" w:type="pct"/>
                  <w:tcBorders>
                    <w:tl2br w:val="nil"/>
                    <w:tr2bl w:val="nil"/>
                  </w:tcBorders>
                  <w:shd w:val="clear" w:color="auto" w:fill="auto"/>
                  <w:vAlign w:val="center"/>
                </w:tcPr>
                <w:p w14:paraId="1E5C9C7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4</w:t>
                  </w:r>
                </w:p>
              </w:tc>
              <w:tc>
                <w:tcPr>
                  <w:tcW w:w="760" w:type="pct"/>
                  <w:tcBorders>
                    <w:tl2br w:val="nil"/>
                    <w:tr2bl w:val="nil"/>
                  </w:tcBorders>
                  <w:shd w:val="clear" w:color="auto" w:fill="auto"/>
                  <w:vAlign w:val="center"/>
                </w:tcPr>
                <w:p w14:paraId="2E69578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w:t>
                  </w:r>
                </w:p>
              </w:tc>
            </w:tr>
            <w:tr w14:paraId="122704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1233039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74</w:t>
                  </w:r>
                </w:p>
              </w:tc>
              <w:tc>
                <w:tcPr>
                  <w:tcW w:w="926" w:type="pct"/>
                  <w:tcBorders>
                    <w:tl2br w:val="nil"/>
                    <w:tr2bl w:val="nil"/>
                  </w:tcBorders>
                  <w:shd w:val="clear" w:color="auto" w:fill="auto"/>
                  <w:vAlign w:val="center"/>
                </w:tcPr>
                <w:p w14:paraId="6F63BCD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双头滚槽焊盖帽转盘一体机</w:t>
                  </w:r>
                </w:p>
              </w:tc>
              <w:tc>
                <w:tcPr>
                  <w:tcW w:w="1328" w:type="pct"/>
                  <w:tcBorders>
                    <w:tl2br w:val="nil"/>
                    <w:tr2bl w:val="nil"/>
                  </w:tcBorders>
                  <w:shd w:val="clear" w:color="auto" w:fill="auto"/>
                  <w:vAlign w:val="center"/>
                </w:tcPr>
                <w:p w14:paraId="5F07CEE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18650</w:t>
                  </w:r>
                </w:p>
              </w:tc>
              <w:tc>
                <w:tcPr>
                  <w:tcW w:w="790" w:type="pct"/>
                  <w:tcBorders>
                    <w:tl2br w:val="nil"/>
                    <w:tr2bl w:val="nil"/>
                  </w:tcBorders>
                  <w:shd w:val="clear" w:color="auto" w:fill="auto"/>
                  <w:vAlign w:val="center"/>
                </w:tcPr>
                <w:p w14:paraId="06D473B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3KW</w:t>
                  </w:r>
                </w:p>
              </w:tc>
              <w:tc>
                <w:tcPr>
                  <w:tcW w:w="724" w:type="pct"/>
                  <w:tcBorders>
                    <w:tl2br w:val="nil"/>
                    <w:tr2bl w:val="nil"/>
                  </w:tcBorders>
                  <w:shd w:val="clear" w:color="auto" w:fill="auto"/>
                  <w:vAlign w:val="center"/>
                </w:tcPr>
                <w:p w14:paraId="1AD9D8A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4</w:t>
                  </w:r>
                </w:p>
              </w:tc>
              <w:tc>
                <w:tcPr>
                  <w:tcW w:w="760" w:type="pct"/>
                  <w:tcBorders>
                    <w:tl2br w:val="nil"/>
                    <w:tr2bl w:val="nil"/>
                  </w:tcBorders>
                  <w:shd w:val="clear" w:color="auto" w:fill="auto"/>
                  <w:vAlign w:val="center"/>
                </w:tcPr>
                <w:p w14:paraId="7874962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w:t>
                  </w:r>
                </w:p>
              </w:tc>
            </w:tr>
            <w:tr w14:paraId="592E1D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32764AF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75</w:t>
                  </w:r>
                </w:p>
              </w:tc>
              <w:tc>
                <w:tcPr>
                  <w:tcW w:w="926" w:type="pct"/>
                  <w:tcBorders>
                    <w:tl2br w:val="nil"/>
                    <w:tr2bl w:val="nil"/>
                  </w:tcBorders>
                  <w:shd w:val="clear" w:color="auto" w:fill="auto"/>
                  <w:vAlign w:val="center"/>
                </w:tcPr>
                <w:p w14:paraId="46C7305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注液机</w:t>
                  </w:r>
                </w:p>
              </w:tc>
              <w:tc>
                <w:tcPr>
                  <w:tcW w:w="1328" w:type="pct"/>
                  <w:tcBorders>
                    <w:tl2br w:val="nil"/>
                    <w:tr2bl w:val="nil"/>
                  </w:tcBorders>
                  <w:shd w:val="clear" w:color="auto" w:fill="auto"/>
                  <w:vAlign w:val="center"/>
                </w:tcPr>
                <w:p w14:paraId="6829161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w:t>
                  </w:r>
                </w:p>
              </w:tc>
              <w:tc>
                <w:tcPr>
                  <w:tcW w:w="790" w:type="pct"/>
                  <w:tcBorders>
                    <w:tl2br w:val="nil"/>
                    <w:tr2bl w:val="nil"/>
                  </w:tcBorders>
                  <w:shd w:val="clear" w:color="auto" w:fill="auto"/>
                  <w:vAlign w:val="center"/>
                </w:tcPr>
                <w:p w14:paraId="56B5116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2KW</w:t>
                  </w:r>
                </w:p>
              </w:tc>
              <w:tc>
                <w:tcPr>
                  <w:tcW w:w="724" w:type="pct"/>
                  <w:tcBorders>
                    <w:tl2br w:val="nil"/>
                    <w:tr2bl w:val="nil"/>
                  </w:tcBorders>
                  <w:shd w:val="clear" w:color="auto" w:fill="auto"/>
                  <w:vAlign w:val="center"/>
                </w:tcPr>
                <w:p w14:paraId="56DC342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760" w:type="pct"/>
                  <w:tcBorders>
                    <w:tl2br w:val="nil"/>
                    <w:tr2bl w:val="nil"/>
                  </w:tcBorders>
                  <w:shd w:val="clear" w:color="auto" w:fill="auto"/>
                  <w:vAlign w:val="center"/>
                </w:tcPr>
                <w:p w14:paraId="4C66B40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w:t>
                  </w:r>
                </w:p>
              </w:tc>
            </w:tr>
            <w:tr w14:paraId="0E5776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07E8C2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76</w:t>
                  </w:r>
                </w:p>
              </w:tc>
              <w:tc>
                <w:tcPr>
                  <w:tcW w:w="926" w:type="pct"/>
                  <w:tcBorders>
                    <w:tl2br w:val="nil"/>
                    <w:tr2bl w:val="nil"/>
                  </w:tcBorders>
                  <w:shd w:val="clear" w:color="auto" w:fill="auto"/>
                  <w:vAlign w:val="center"/>
                </w:tcPr>
                <w:p w14:paraId="3F41623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双头装配一体机</w:t>
                  </w:r>
                </w:p>
              </w:tc>
              <w:tc>
                <w:tcPr>
                  <w:tcW w:w="1328" w:type="pct"/>
                  <w:tcBorders>
                    <w:tl2br w:val="nil"/>
                    <w:tr2bl w:val="nil"/>
                  </w:tcBorders>
                  <w:shd w:val="clear" w:color="auto" w:fill="auto"/>
                  <w:vAlign w:val="center"/>
                </w:tcPr>
                <w:p w14:paraId="784654A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18650</w:t>
                  </w:r>
                </w:p>
              </w:tc>
              <w:tc>
                <w:tcPr>
                  <w:tcW w:w="790" w:type="pct"/>
                  <w:tcBorders>
                    <w:tl2br w:val="nil"/>
                    <w:tr2bl w:val="nil"/>
                  </w:tcBorders>
                  <w:shd w:val="clear" w:color="auto" w:fill="auto"/>
                  <w:vAlign w:val="center"/>
                </w:tcPr>
                <w:p w14:paraId="26AB3EB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3KW</w:t>
                  </w:r>
                </w:p>
              </w:tc>
              <w:tc>
                <w:tcPr>
                  <w:tcW w:w="724" w:type="pct"/>
                  <w:tcBorders>
                    <w:tl2br w:val="nil"/>
                    <w:tr2bl w:val="nil"/>
                  </w:tcBorders>
                  <w:shd w:val="clear" w:color="auto" w:fill="auto"/>
                  <w:vAlign w:val="center"/>
                </w:tcPr>
                <w:p w14:paraId="239F88A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w:t>
                  </w:r>
                </w:p>
              </w:tc>
              <w:tc>
                <w:tcPr>
                  <w:tcW w:w="760" w:type="pct"/>
                  <w:tcBorders>
                    <w:tl2br w:val="nil"/>
                    <w:tr2bl w:val="nil"/>
                  </w:tcBorders>
                  <w:shd w:val="clear" w:color="auto" w:fill="auto"/>
                  <w:vAlign w:val="center"/>
                </w:tcPr>
                <w:p w14:paraId="1105C85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w:t>
                  </w:r>
                </w:p>
              </w:tc>
            </w:tr>
            <w:tr w14:paraId="395AE2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6A15E70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77</w:t>
                  </w:r>
                </w:p>
              </w:tc>
              <w:tc>
                <w:tcPr>
                  <w:tcW w:w="926" w:type="pct"/>
                  <w:tcBorders>
                    <w:tl2br w:val="nil"/>
                    <w:tr2bl w:val="nil"/>
                  </w:tcBorders>
                  <w:shd w:val="clear" w:color="auto" w:fill="auto"/>
                  <w:vAlign w:val="center"/>
                </w:tcPr>
                <w:p w14:paraId="51BB03C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全自动清洗入盒机</w:t>
                  </w:r>
                </w:p>
              </w:tc>
              <w:tc>
                <w:tcPr>
                  <w:tcW w:w="1328" w:type="pct"/>
                  <w:tcBorders>
                    <w:tl2br w:val="nil"/>
                    <w:tr2bl w:val="nil"/>
                  </w:tcBorders>
                  <w:shd w:val="clear" w:color="auto" w:fill="auto"/>
                  <w:vAlign w:val="center"/>
                </w:tcPr>
                <w:p w14:paraId="7CBC327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18650</w:t>
                  </w:r>
                </w:p>
              </w:tc>
              <w:tc>
                <w:tcPr>
                  <w:tcW w:w="790" w:type="pct"/>
                  <w:tcBorders>
                    <w:tl2br w:val="nil"/>
                    <w:tr2bl w:val="nil"/>
                  </w:tcBorders>
                  <w:shd w:val="clear" w:color="auto" w:fill="auto"/>
                  <w:vAlign w:val="center"/>
                </w:tcPr>
                <w:p w14:paraId="2958A56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15KW</w:t>
                  </w:r>
                </w:p>
              </w:tc>
              <w:tc>
                <w:tcPr>
                  <w:tcW w:w="724" w:type="pct"/>
                  <w:tcBorders>
                    <w:tl2br w:val="nil"/>
                    <w:tr2bl w:val="nil"/>
                  </w:tcBorders>
                  <w:shd w:val="clear" w:color="auto" w:fill="auto"/>
                  <w:vAlign w:val="center"/>
                </w:tcPr>
                <w:p w14:paraId="6E98B41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w:t>
                  </w:r>
                </w:p>
              </w:tc>
              <w:tc>
                <w:tcPr>
                  <w:tcW w:w="760" w:type="pct"/>
                  <w:tcBorders>
                    <w:tl2br w:val="nil"/>
                    <w:tr2bl w:val="nil"/>
                  </w:tcBorders>
                  <w:shd w:val="clear" w:color="auto" w:fill="auto"/>
                  <w:vAlign w:val="center"/>
                </w:tcPr>
                <w:p w14:paraId="3A25780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w:t>
                  </w:r>
                </w:p>
              </w:tc>
            </w:tr>
            <w:tr w14:paraId="4AFF64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0CC6BB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78</w:t>
                  </w:r>
                </w:p>
              </w:tc>
              <w:tc>
                <w:tcPr>
                  <w:tcW w:w="926" w:type="pct"/>
                  <w:tcBorders>
                    <w:tl2br w:val="nil"/>
                    <w:tr2bl w:val="nil"/>
                  </w:tcBorders>
                  <w:shd w:val="clear" w:color="auto" w:fill="auto"/>
                  <w:vAlign w:val="center"/>
                </w:tcPr>
                <w:p w14:paraId="08406CA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清洗装盒机</w:t>
                  </w:r>
                </w:p>
              </w:tc>
              <w:tc>
                <w:tcPr>
                  <w:tcW w:w="1328" w:type="pct"/>
                  <w:tcBorders>
                    <w:tl2br w:val="nil"/>
                    <w:tr2bl w:val="nil"/>
                  </w:tcBorders>
                  <w:shd w:val="clear" w:color="auto" w:fill="auto"/>
                  <w:vAlign w:val="center"/>
                </w:tcPr>
                <w:p w14:paraId="63641B2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18650</w:t>
                  </w:r>
                </w:p>
              </w:tc>
              <w:tc>
                <w:tcPr>
                  <w:tcW w:w="790" w:type="pct"/>
                  <w:tcBorders>
                    <w:tl2br w:val="nil"/>
                    <w:tr2bl w:val="nil"/>
                  </w:tcBorders>
                  <w:shd w:val="clear" w:color="auto" w:fill="auto"/>
                  <w:vAlign w:val="center"/>
                </w:tcPr>
                <w:p w14:paraId="42B8D82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15KW</w:t>
                  </w:r>
                </w:p>
              </w:tc>
              <w:tc>
                <w:tcPr>
                  <w:tcW w:w="724" w:type="pct"/>
                  <w:tcBorders>
                    <w:tl2br w:val="nil"/>
                    <w:tr2bl w:val="nil"/>
                  </w:tcBorders>
                  <w:shd w:val="clear" w:color="auto" w:fill="auto"/>
                  <w:vAlign w:val="center"/>
                </w:tcPr>
                <w:p w14:paraId="19A87A6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760" w:type="pct"/>
                  <w:tcBorders>
                    <w:tl2br w:val="nil"/>
                    <w:tr2bl w:val="nil"/>
                  </w:tcBorders>
                  <w:shd w:val="clear" w:color="auto" w:fill="auto"/>
                  <w:vAlign w:val="center"/>
                </w:tcPr>
                <w:p w14:paraId="25BF5C3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w:t>
                  </w:r>
                </w:p>
              </w:tc>
            </w:tr>
            <w:tr w14:paraId="5AC947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07775CD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79</w:t>
                  </w:r>
                </w:p>
              </w:tc>
              <w:tc>
                <w:tcPr>
                  <w:tcW w:w="926" w:type="pct"/>
                  <w:tcBorders>
                    <w:tl2br w:val="nil"/>
                    <w:tr2bl w:val="nil"/>
                  </w:tcBorders>
                  <w:shd w:val="clear" w:color="auto" w:fill="auto"/>
                  <w:vAlign w:val="center"/>
                </w:tcPr>
                <w:p w14:paraId="74329CB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注液机手套箱</w:t>
                  </w:r>
                </w:p>
              </w:tc>
              <w:tc>
                <w:tcPr>
                  <w:tcW w:w="1328" w:type="pct"/>
                  <w:tcBorders>
                    <w:tl2br w:val="nil"/>
                    <w:tr2bl w:val="nil"/>
                  </w:tcBorders>
                  <w:shd w:val="clear" w:color="auto" w:fill="auto"/>
                  <w:vAlign w:val="center"/>
                </w:tcPr>
                <w:p w14:paraId="4EF3E7B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FZ-18650</w:t>
                  </w:r>
                </w:p>
              </w:tc>
              <w:tc>
                <w:tcPr>
                  <w:tcW w:w="790" w:type="pct"/>
                  <w:tcBorders>
                    <w:tl2br w:val="nil"/>
                    <w:tr2bl w:val="nil"/>
                  </w:tcBorders>
                  <w:shd w:val="clear" w:color="auto" w:fill="auto"/>
                  <w:vAlign w:val="center"/>
                </w:tcPr>
                <w:p w14:paraId="2EAAC59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2KW</w:t>
                  </w:r>
                </w:p>
              </w:tc>
              <w:tc>
                <w:tcPr>
                  <w:tcW w:w="724" w:type="pct"/>
                  <w:tcBorders>
                    <w:tl2br w:val="nil"/>
                    <w:tr2bl w:val="nil"/>
                  </w:tcBorders>
                  <w:shd w:val="clear" w:color="auto" w:fill="auto"/>
                  <w:vAlign w:val="center"/>
                </w:tcPr>
                <w:p w14:paraId="1CA6C1C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w:t>
                  </w:r>
                </w:p>
              </w:tc>
              <w:tc>
                <w:tcPr>
                  <w:tcW w:w="760" w:type="pct"/>
                  <w:tcBorders>
                    <w:tl2br w:val="nil"/>
                    <w:tr2bl w:val="nil"/>
                  </w:tcBorders>
                  <w:shd w:val="clear" w:color="auto" w:fill="auto"/>
                  <w:vAlign w:val="center"/>
                </w:tcPr>
                <w:p w14:paraId="3EA302F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w:t>
                  </w:r>
                </w:p>
              </w:tc>
            </w:tr>
            <w:tr w14:paraId="0C2D4F5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922AEA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80</w:t>
                  </w:r>
                </w:p>
              </w:tc>
              <w:tc>
                <w:tcPr>
                  <w:tcW w:w="926" w:type="pct"/>
                  <w:tcBorders>
                    <w:tl2br w:val="nil"/>
                    <w:tr2bl w:val="nil"/>
                  </w:tcBorders>
                  <w:shd w:val="clear" w:color="auto" w:fill="auto"/>
                  <w:vAlign w:val="center"/>
                </w:tcPr>
                <w:p w14:paraId="37454A9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直线封口机</w:t>
                  </w:r>
                </w:p>
              </w:tc>
              <w:tc>
                <w:tcPr>
                  <w:tcW w:w="1328" w:type="pct"/>
                  <w:tcBorders>
                    <w:tl2br w:val="nil"/>
                    <w:tr2bl w:val="nil"/>
                  </w:tcBorders>
                  <w:shd w:val="clear" w:color="auto" w:fill="auto"/>
                  <w:vAlign w:val="center"/>
                </w:tcPr>
                <w:p w14:paraId="4584C71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J23-10</w:t>
                  </w:r>
                </w:p>
              </w:tc>
              <w:tc>
                <w:tcPr>
                  <w:tcW w:w="790" w:type="pct"/>
                  <w:tcBorders>
                    <w:tl2br w:val="nil"/>
                    <w:tr2bl w:val="nil"/>
                  </w:tcBorders>
                  <w:shd w:val="clear" w:color="auto" w:fill="auto"/>
                  <w:vAlign w:val="center"/>
                </w:tcPr>
                <w:p w14:paraId="3B94D4D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2.2KW</w:t>
                  </w:r>
                </w:p>
              </w:tc>
              <w:tc>
                <w:tcPr>
                  <w:tcW w:w="724" w:type="pct"/>
                  <w:tcBorders>
                    <w:tl2br w:val="nil"/>
                    <w:tr2bl w:val="nil"/>
                  </w:tcBorders>
                  <w:shd w:val="clear" w:color="auto" w:fill="auto"/>
                  <w:vAlign w:val="center"/>
                </w:tcPr>
                <w:p w14:paraId="14BD7EC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6</w:t>
                  </w:r>
                </w:p>
              </w:tc>
              <w:tc>
                <w:tcPr>
                  <w:tcW w:w="760" w:type="pct"/>
                  <w:tcBorders>
                    <w:tl2br w:val="nil"/>
                    <w:tr2bl w:val="nil"/>
                  </w:tcBorders>
                  <w:shd w:val="clear" w:color="auto" w:fill="auto"/>
                  <w:vAlign w:val="center"/>
                </w:tcPr>
                <w:p w14:paraId="0E35BEB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w:t>
                  </w:r>
                </w:p>
              </w:tc>
            </w:tr>
            <w:tr w14:paraId="1F8A63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69065CD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81</w:t>
                  </w:r>
                </w:p>
              </w:tc>
              <w:tc>
                <w:tcPr>
                  <w:tcW w:w="926" w:type="pct"/>
                  <w:tcBorders>
                    <w:tl2br w:val="nil"/>
                    <w:tr2bl w:val="nil"/>
                  </w:tcBorders>
                  <w:shd w:val="clear" w:color="auto" w:fill="auto"/>
                  <w:vAlign w:val="center"/>
                </w:tcPr>
                <w:p w14:paraId="24AEBF6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伺服封口机</w:t>
                  </w:r>
                </w:p>
              </w:tc>
              <w:tc>
                <w:tcPr>
                  <w:tcW w:w="1328" w:type="pct"/>
                  <w:tcBorders>
                    <w:tl2br w:val="nil"/>
                    <w:tr2bl w:val="nil"/>
                  </w:tcBorders>
                  <w:shd w:val="clear" w:color="auto" w:fill="auto"/>
                  <w:vAlign w:val="center"/>
                </w:tcPr>
                <w:p w14:paraId="7DDFE2D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18650</w:t>
                  </w:r>
                </w:p>
              </w:tc>
              <w:tc>
                <w:tcPr>
                  <w:tcW w:w="790" w:type="pct"/>
                  <w:tcBorders>
                    <w:tl2br w:val="nil"/>
                    <w:tr2bl w:val="nil"/>
                  </w:tcBorders>
                  <w:shd w:val="clear" w:color="auto" w:fill="auto"/>
                  <w:vAlign w:val="center"/>
                </w:tcPr>
                <w:p w14:paraId="5304CE6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2.2KW</w:t>
                  </w:r>
                </w:p>
              </w:tc>
              <w:tc>
                <w:tcPr>
                  <w:tcW w:w="724" w:type="pct"/>
                  <w:tcBorders>
                    <w:tl2br w:val="nil"/>
                    <w:tr2bl w:val="nil"/>
                  </w:tcBorders>
                  <w:shd w:val="clear" w:color="auto" w:fill="auto"/>
                  <w:vAlign w:val="center"/>
                </w:tcPr>
                <w:p w14:paraId="1B7F005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w:t>
                  </w:r>
                </w:p>
              </w:tc>
              <w:tc>
                <w:tcPr>
                  <w:tcW w:w="760" w:type="pct"/>
                  <w:tcBorders>
                    <w:tl2br w:val="nil"/>
                    <w:tr2bl w:val="nil"/>
                  </w:tcBorders>
                  <w:shd w:val="clear" w:color="auto" w:fill="auto"/>
                  <w:vAlign w:val="center"/>
                </w:tcPr>
                <w:p w14:paraId="2BFCE53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w:t>
                  </w:r>
                </w:p>
              </w:tc>
            </w:tr>
            <w:tr w14:paraId="0F96BA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180B8F3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82</w:t>
                  </w:r>
                </w:p>
              </w:tc>
              <w:tc>
                <w:tcPr>
                  <w:tcW w:w="926" w:type="pct"/>
                  <w:tcBorders>
                    <w:tl2br w:val="nil"/>
                    <w:tr2bl w:val="nil"/>
                  </w:tcBorders>
                  <w:shd w:val="clear" w:color="auto" w:fill="auto"/>
                  <w:vAlign w:val="center"/>
                </w:tcPr>
                <w:p w14:paraId="443EAC8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手动焊片机（改装手动焊帽机）</w:t>
                  </w:r>
                </w:p>
              </w:tc>
              <w:tc>
                <w:tcPr>
                  <w:tcW w:w="1328" w:type="pct"/>
                  <w:tcBorders>
                    <w:tl2br w:val="nil"/>
                    <w:tr2bl w:val="nil"/>
                  </w:tcBorders>
                  <w:shd w:val="clear" w:color="auto" w:fill="auto"/>
                  <w:vAlign w:val="center"/>
                </w:tcPr>
                <w:p w14:paraId="58041A2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NP-C-40-700VA</w:t>
                  </w:r>
                </w:p>
              </w:tc>
              <w:tc>
                <w:tcPr>
                  <w:tcW w:w="790" w:type="pct"/>
                  <w:tcBorders>
                    <w:tl2br w:val="nil"/>
                    <w:tr2bl w:val="nil"/>
                  </w:tcBorders>
                  <w:shd w:val="clear" w:color="auto" w:fill="auto"/>
                  <w:vAlign w:val="center"/>
                </w:tcPr>
                <w:p w14:paraId="21E5A3D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w:t>
                  </w:r>
                </w:p>
              </w:tc>
              <w:tc>
                <w:tcPr>
                  <w:tcW w:w="724" w:type="pct"/>
                  <w:tcBorders>
                    <w:tl2br w:val="nil"/>
                    <w:tr2bl w:val="nil"/>
                  </w:tcBorders>
                  <w:shd w:val="clear" w:color="auto" w:fill="auto"/>
                  <w:vAlign w:val="center"/>
                </w:tcPr>
                <w:p w14:paraId="4183480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760" w:type="pct"/>
                  <w:tcBorders>
                    <w:tl2br w:val="nil"/>
                    <w:tr2bl w:val="nil"/>
                  </w:tcBorders>
                  <w:shd w:val="clear" w:color="auto" w:fill="auto"/>
                  <w:vAlign w:val="center"/>
                </w:tcPr>
                <w:p w14:paraId="47A3532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w:t>
                  </w:r>
                </w:p>
              </w:tc>
            </w:tr>
            <w:tr w14:paraId="664EA9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14887DC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83</w:t>
                  </w:r>
                </w:p>
              </w:tc>
              <w:tc>
                <w:tcPr>
                  <w:tcW w:w="926" w:type="pct"/>
                  <w:tcBorders>
                    <w:tl2br w:val="nil"/>
                    <w:tr2bl w:val="nil"/>
                  </w:tcBorders>
                  <w:shd w:val="clear" w:color="auto" w:fill="auto"/>
                  <w:vAlign w:val="center"/>
                </w:tcPr>
                <w:p w14:paraId="5AD35B3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高频逆变点焊机</w:t>
                  </w:r>
                </w:p>
              </w:tc>
              <w:tc>
                <w:tcPr>
                  <w:tcW w:w="1328" w:type="pct"/>
                  <w:tcBorders>
                    <w:tl2br w:val="nil"/>
                    <w:tr2bl w:val="nil"/>
                  </w:tcBorders>
                  <w:shd w:val="clear" w:color="auto" w:fill="auto"/>
                  <w:vAlign w:val="center"/>
                </w:tcPr>
                <w:p w14:paraId="28B480D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XC-2011</w:t>
                  </w:r>
                </w:p>
              </w:tc>
              <w:tc>
                <w:tcPr>
                  <w:tcW w:w="790" w:type="pct"/>
                  <w:tcBorders>
                    <w:tl2br w:val="nil"/>
                    <w:tr2bl w:val="nil"/>
                  </w:tcBorders>
                  <w:shd w:val="clear" w:color="auto" w:fill="auto"/>
                  <w:vAlign w:val="center"/>
                </w:tcPr>
                <w:p w14:paraId="5F3AAFF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w:t>
                  </w:r>
                </w:p>
              </w:tc>
              <w:tc>
                <w:tcPr>
                  <w:tcW w:w="724" w:type="pct"/>
                  <w:tcBorders>
                    <w:tl2br w:val="nil"/>
                    <w:tr2bl w:val="nil"/>
                  </w:tcBorders>
                  <w:shd w:val="clear" w:color="auto" w:fill="auto"/>
                  <w:vAlign w:val="center"/>
                </w:tcPr>
                <w:p w14:paraId="6BF11E8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760" w:type="pct"/>
                  <w:tcBorders>
                    <w:tl2br w:val="nil"/>
                    <w:tr2bl w:val="nil"/>
                  </w:tcBorders>
                  <w:shd w:val="clear" w:color="auto" w:fill="auto"/>
                  <w:vAlign w:val="center"/>
                </w:tcPr>
                <w:p w14:paraId="7A6C0F4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w:t>
                  </w:r>
                </w:p>
              </w:tc>
            </w:tr>
            <w:tr w14:paraId="0FA19C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4933967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84</w:t>
                  </w:r>
                </w:p>
              </w:tc>
              <w:tc>
                <w:tcPr>
                  <w:tcW w:w="926" w:type="pct"/>
                  <w:tcBorders>
                    <w:tl2br w:val="nil"/>
                    <w:tr2bl w:val="nil"/>
                  </w:tcBorders>
                  <w:shd w:val="clear" w:color="auto" w:fill="auto"/>
                  <w:vAlign w:val="center"/>
                </w:tcPr>
                <w:p w14:paraId="4A2106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40K焊帽机</w:t>
                  </w:r>
                </w:p>
              </w:tc>
              <w:tc>
                <w:tcPr>
                  <w:tcW w:w="1328" w:type="pct"/>
                  <w:tcBorders>
                    <w:tl2br w:val="nil"/>
                    <w:tr2bl w:val="nil"/>
                  </w:tcBorders>
                  <w:shd w:val="clear" w:color="auto" w:fill="auto"/>
                  <w:vAlign w:val="center"/>
                </w:tcPr>
                <w:p w14:paraId="0729CD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40K</w:t>
                  </w:r>
                </w:p>
              </w:tc>
              <w:tc>
                <w:tcPr>
                  <w:tcW w:w="790" w:type="pct"/>
                  <w:tcBorders>
                    <w:tl2br w:val="nil"/>
                    <w:tr2bl w:val="nil"/>
                  </w:tcBorders>
                  <w:shd w:val="clear" w:color="auto" w:fill="auto"/>
                  <w:vAlign w:val="center"/>
                </w:tcPr>
                <w:p w14:paraId="50A6AE6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593EB16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768CCBA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73262F1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6BA205B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85</w:t>
                  </w:r>
                </w:p>
              </w:tc>
              <w:tc>
                <w:tcPr>
                  <w:tcW w:w="926" w:type="pct"/>
                  <w:tcBorders>
                    <w:tl2br w:val="nil"/>
                    <w:tr2bl w:val="nil"/>
                  </w:tcBorders>
                  <w:shd w:val="clear" w:color="auto" w:fill="auto"/>
                  <w:vAlign w:val="center"/>
                </w:tcPr>
                <w:p w14:paraId="44DA58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激光焊接机</w:t>
                  </w:r>
                </w:p>
              </w:tc>
              <w:tc>
                <w:tcPr>
                  <w:tcW w:w="1328" w:type="pct"/>
                  <w:tcBorders>
                    <w:tl2br w:val="nil"/>
                    <w:tr2bl w:val="nil"/>
                  </w:tcBorders>
                  <w:shd w:val="clear" w:color="auto" w:fill="auto"/>
                  <w:vAlign w:val="center"/>
                </w:tcPr>
                <w:p w14:paraId="72AF28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XHP-1000W</w:t>
                  </w:r>
                </w:p>
              </w:tc>
              <w:tc>
                <w:tcPr>
                  <w:tcW w:w="790" w:type="pct"/>
                  <w:tcBorders>
                    <w:tl2br w:val="nil"/>
                    <w:tr2bl w:val="nil"/>
                  </w:tcBorders>
                  <w:shd w:val="clear" w:color="auto" w:fill="auto"/>
                  <w:vAlign w:val="center"/>
                </w:tcPr>
                <w:p w14:paraId="148335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0.5KW</w:t>
                  </w:r>
                </w:p>
              </w:tc>
              <w:tc>
                <w:tcPr>
                  <w:tcW w:w="724" w:type="pct"/>
                  <w:tcBorders>
                    <w:tl2br w:val="nil"/>
                    <w:tr2bl w:val="nil"/>
                  </w:tcBorders>
                  <w:shd w:val="clear" w:color="auto" w:fill="auto"/>
                  <w:vAlign w:val="center"/>
                </w:tcPr>
                <w:p w14:paraId="4100C86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366F131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164E46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48CD9C5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86</w:t>
                  </w:r>
                </w:p>
              </w:tc>
              <w:tc>
                <w:tcPr>
                  <w:tcW w:w="926" w:type="pct"/>
                  <w:tcBorders>
                    <w:tl2br w:val="nil"/>
                    <w:tr2bl w:val="nil"/>
                  </w:tcBorders>
                  <w:shd w:val="clear" w:color="auto" w:fill="auto"/>
                  <w:vAlign w:val="center"/>
                </w:tcPr>
                <w:p w14:paraId="6BDEC6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高真空泵烤箱机组</w:t>
                  </w:r>
                </w:p>
              </w:tc>
              <w:tc>
                <w:tcPr>
                  <w:tcW w:w="1328" w:type="pct"/>
                  <w:tcBorders>
                    <w:tl2br w:val="nil"/>
                    <w:tr2bl w:val="nil"/>
                  </w:tcBorders>
                  <w:shd w:val="clear" w:color="auto" w:fill="auto"/>
                  <w:vAlign w:val="center"/>
                </w:tcPr>
                <w:p w14:paraId="5AA8C4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一拖四</w:t>
                  </w:r>
                </w:p>
              </w:tc>
              <w:tc>
                <w:tcPr>
                  <w:tcW w:w="790" w:type="pct"/>
                  <w:tcBorders>
                    <w:tl2br w:val="nil"/>
                    <w:tr2bl w:val="nil"/>
                  </w:tcBorders>
                  <w:shd w:val="clear" w:color="auto" w:fill="auto"/>
                  <w:vAlign w:val="center"/>
                </w:tcPr>
                <w:p w14:paraId="529489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9.5KW</w:t>
                  </w:r>
                </w:p>
              </w:tc>
              <w:tc>
                <w:tcPr>
                  <w:tcW w:w="724" w:type="pct"/>
                  <w:tcBorders>
                    <w:tl2br w:val="nil"/>
                    <w:tr2bl w:val="nil"/>
                  </w:tcBorders>
                  <w:shd w:val="clear" w:color="auto" w:fill="auto"/>
                  <w:vAlign w:val="center"/>
                </w:tcPr>
                <w:p w14:paraId="300C475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23BE4C9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229039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4DFB2D2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87</w:t>
                  </w:r>
                </w:p>
              </w:tc>
              <w:tc>
                <w:tcPr>
                  <w:tcW w:w="926" w:type="pct"/>
                  <w:tcBorders>
                    <w:tl2br w:val="nil"/>
                    <w:tr2bl w:val="nil"/>
                  </w:tcBorders>
                  <w:shd w:val="clear" w:color="auto" w:fill="auto"/>
                  <w:vAlign w:val="center"/>
                </w:tcPr>
                <w:p w14:paraId="5B4B5B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高真空烤箱</w:t>
                  </w:r>
                </w:p>
              </w:tc>
              <w:tc>
                <w:tcPr>
                  <w:tcW w:w="1328" w:type="pct"/>
                  <w:tcBorders>
                    <w:tl2br w:val="nil"/>
                    <w:tr2bl w:val="nil"/>
                  </w:tcBorders>
                  <w:shd w:val="clear" w:color="auto" w:fill="auto"/>
                  <w:vAlign w:val="center"/>
                </w:tcPr>
                <w:p w14:paraId="636D85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一拖四</w:t>
                  </w:r>
                </w:p>
              </w:tc>
              <w:tc>
                <w:tcPr>
                  <w:tcW w:w="790" w:type="pct"/>
                  <w:tcBorders>
                    <w:tl2br w:val="nil"/>
                    <w:tr2bl w:val="nil"/>
                  </w:tcBorders>
                  <w:shd w:val="clear" w:color="auto" w:fill="auto"/>
                  <w:vAlign w:val="center"/>
                </w:tcPr>
                <w:p w14:paraId="4BF910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9.5KW</w:t>
                  </w:r>
                </w:p>
              </w:tc>
              <w:tc>
                <w:tcPr>
                  <w:tcW w:w="724" w:type="pct"/>
                  <w:tcBorders>
                    <w:tl2br w:val="nil"/>
                    <w:tr2bl w:val="nil"/>
                  </w:tcBorders>
                  <w:shd w:val="clear" w:color="auto" w:fill="auto"/>
                  <w:vAlign w:val="center"/>
                </w:tcPr>
                <w:p w14:paraId="08AA509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6759CD6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4C7B49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182949E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88</w:t>
                  </w:r>
                </w:p>
              </w:tc>
              <w:tc>
                <w:tcPr>
                  <w:tcW w:w="926" w:type="pct"/>
                  <w:tcBorders>
                    <w:tl2br w:val="nil"/>
                    <w:tr2bl w:val="nil"/>
                  </w:tcBorders>
                  <w:shd w:val="clear" w:color="auto" w:fill="auto"/>
                  <w:vAlign w:val="center"/>
                </w:tcPr>
                <w:p w14:paraId="5435DF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回馈式针床化成检测设备</w:t>
                  </w:r>
                </w:p>
              </w:tc>
              <w:tc>
                <w:tcPr>
                  <w:tcW w:w="1328" w:type="pct"/>
                  <w:tcBorders>
                    <w:tl2br w:val="nil"/>
                    <w:tr2bl w:val="nil"/>
                  </w:tcBorders>
                  <w:shd w:val="clear" w:color="auto" w:fill="auto"/>
                  <w:vAlign w:val="center"/>
                </w:tcPr>
                <w:p w14:paraId="5420E9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WP-1280CH-1A-FK</w:t>
                  </w:r>
                </w:p>
              </w:tc>
              <w:tc>
                <w:tcPr>
                  <w:tcW w:w="790" w:type="pct"/>
                  <w:tcBorders>
                    <w:tl2br w:val="nil"/>
                    <w:tr2bl w:val="nil"/>
                  </w:tcBorders>
                  <w:shd w:val="clear" w:color="auto" w:fill="auto"/>
                  <w:vAlign w:val="center"/>
                </w:tcPr>
                <w:p w14:paraId="57DBA4B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w:t>
                  </w:r>
                </w:p>
              </w:tc>
              <w:tc>
                <w:tcPr>
                  <w:tcW w:w="724" w:type="pct"/>
                  <w:tcBorders>
                    <w:tl2br w:val="nil"/>
                    <w:tr2bl w:val="nil"/>
                  </w:tcBorders>
                  <w:shd w:val="clear" w:color="auto" w:fill="auto"/>
                  <w:vAlign w:val="center"/>
                </w:tcPr>
                <w:p w14:paraId="54E161B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62</w:t>
                  </w:r>
                </w:p>
              </w:tc>
              <w:tc>
                <w:tcPr>
                  <w:tcW w:w="760" w:type="pct"/>
                  <w:tcBorders>
                    <w:tl2br w:val="nil"/>
                    <w:tr2bl w:val="nil"/>
                  </w:tcBorders>
                  <w:shd w:val="clear" w:color="auto" w:fill="auto"/>
                  <w:vAlign w:val="center"/>
                </w:tcPr>
                <w:p w14:paraId="51CB842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新增设备</w:t>
                  </w:r>
                </w:p>
              </w:tc>
            </w:tr>
            <w:tr w14:paraId="718473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8BC29D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89</w:t>
                  </w:r>
                </w:p>
              </w:tc>
              <w:tc>
                <w:tcPr>
                  <w:tcW w:w="926" w:type="pct"/>
                  <w:tcBorders>
                    <w:tl2br w:val="nil"/>
                    <w:tr2bl w:val="nil"/>
                  </w:tcBorders>
                  <w:shd w:val="clear" w:color="auto" w:fill="auto"/>
                  <w:vAlign w:val="center"/>
                </w:tcPr>
                <w:p w14:paraId="7E3927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二次电池分容设备</w:t>
                  </w:r>
                </w:p>
              </w:tc>
              <w:tc>
                <w:tcPr>
                  <w:tcW w:w="1328" w:type="pct"/>
                  <w:tcBorders>
                    <w:tl2br w:val="nil"/>
                    <w:tr2bl w:val="nil"/>
                  </w:tcBorders>
                  <w:shd w:val="clear" w:color="auto" w:fill="auto"/>
                  <w:vAlign w:val="center"/>
                </w:tcPr>
                <w:p w14:paraId="79C271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LJ-5512L-2</w:t>
                  </w:r>
                </w:p>
              </w:tc>
              <w:tc>
                <w:tcPr>
                  <w:tcW w:w="790" w:type="pct"/>
                  <w:tcBorders>
                    <w:tl2br w:val="nil"/>
                    <w:tr2bl w:val="nil"/>
                  </w:tcBorders>
                  <w:shd w:val="clear" w:color="auto" w:fill="auto"/>
                  <w:vAlign w:val="center"/>
                </w:tcPr>
                <w:p w14:paraId="15464E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3KW</w:t>
                  </w:r>
                </w:p>
              </w:tc>
              <w:tc>
                <w:tcPr>
                  <w:tcW w:w="724" w:type="pct"/>
                  <w:tcBorders>
                    <w:tl2br w:val="nil"/>
                    <w:tr2bl w:val="nil"/>
                  </w:tcBorders>
                  <w:shd w:val="clear" w:color="auto" w:fill="auto"/>
                  <w:vAlign w:val="center"/>
                </w:tcPr>
                <w:p w14:paraId="4B0F072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6</w:t>
                  </w:r>
                </w:p>
              </w:tc>
              <w:tc>
                <w:tcPr>
                  <w:tcW w:w="760" w:type="pct"/>
                  <w:tcBorders>
                    <w:tl2br w:val="nil"/>
                    <w:tr2bl w:val="nil"/>
                  </w:tcBorders>
                  <w:shd w:val="clear" w:color="auto" w:fill="auto"/>
                  <w:vAlign w:val="center"/>
                </w:tcPr>
                <w:p w14:paraId="6BD4BC3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79D9F3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7331C90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90</w:t>
                  </w:r>
                </w:p>
              </w:tc>
              <w:tc>
                <w:tcPr>
                  <w:tcW w:w="926" w:type="pct"/>
                  <w:tcBorders>
                    <w:tl2br w:val="nil"/>
                    <w:tr2bl w:val="nil"/>
                  </w:tcBorders>
                  <w:shd w:val="clear" w:color="auto" w:fill="auto"/>
                  <w:vAlign w:val="center"/>
                </w:tcPr>
                <w:p w14:paraId="36FD37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锂电池节能回馈型分容设备</w:t>
                  </w:r>
                </w:p>
              </w:tc>
              <w:tc>
                <w:tcPr>
                  <w:tcW w:w="1328" w:type="pct"/>
                  <w:tcBorders>
                    <w:tl2br w:val="nil"/>
                    <w:tr2bl w:val="nil"/>
                  </w:tcBorders>
                  <w:shd w:val="clear" w:color="auto" w:fill="auto"/>
                  <w:vAlign w:val="center"/>
                </w:tcPr>
                <w:p w14:paraId="02213D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JR FB-V5C3D512</w:t>
                  </w:r>
                </w:p>
              </w:tc>
              <w:tc>
                <w:tcPr>
                  <w:tcW w:w="790" w:type="pct"/>
                  <w:tcBorders>
                    <w:tl2br w:val="nil"/>
                    <w:tr2bl w:val="nil"/>
                  </w:tcBorders>
                  <w:shd w:val="clear" w:color="auto" w:fill="auto"/>
                  <w:vAlign w:val="center"/>
                </w:tcPr>
                <w:p w14:paraId="42B492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3KW</w:t>
                  </w:r>
                </w:p>
              </w:tc>
              <w:tc>
                <w:tcPr>
                  <w:tcW w:w="724" w:type="pct"/>
                  <w:tcBorders>
                    <w:tl2br w:val="nil"/>
                    <w:tr2bl w:val="nil"/>
                  </w:tcBorders>
                  <w:shd w:val="clear" w:color="auto" w:fill="auto"/>
                  <w:vAlign w:val="center"/>
                </w:tcPr>
                <w:p w14:paraId="4A5AA22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6C55DFC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55BF20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0EBDE2C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91</w:t>
                  </w:r>
                </w:p>
              </w:tc>
              <w:tc>
                <w:tcPr>
                  <w:tcW w:w="926" w:type="pct"/>
                  <w:tcBorders>
                    <w:tl2br w:val="nil"/>
                    <w:tr2bl w:val="nil"/>
                  </w:tcBorders>
                  <w:shd w:val="clear" w:color="auto" w:fill="auto"/>
                  <w:vAlign w:val="center"/>
                </w:tcPr>
                <w:p w14:paraId="7D9DDA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电池套标分选一体机</w:t>
                  </w:r>
                </w:p>
              </w:tc>
              <w:tc>
                <w:tcPr>
                  <w:tcW w:w="1328" w:type="pct"/>
                  <w:tcBorders>
                    <w:tl2br w:val="nil"/>
                    <w:tr2bl w:val="nil"/>
                  </w:tcBorders>
                  <w:shd w:val="clear" w:color="auto" w:fill="auto"/>
                  <w:vAlign w:val="center"/>
                </w:tcPr>
                <w:p w14:paraId="5AE945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SC-TC02</w:t>
                  </w:r>
                </w:p>
              </w:tc>
              <w:tc>
                <w:tcPr>
                  <w:tcW w:w="790" w:type="pct"/>
                  <w:tcBorders>
                    <w:tl2br w:val="nil"/>
                    <w:tr2bl w:val="nil"/>
                  </w:tcBorders>
                  <w:shd w:val="clear" w:color="auto" w:fill="auto"/>
                  <w:vAlign w:val="center"/>
                </w:tcPr>
                <w:p w14:paraId="57F445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1.5KW</w:t>
                  </w:r>
                </w:p>
              </w:tc>
              <w:tc>
                <w:tcPr>
                  <w:tcW w:w="724" w:type="pct"/>
                  <w:tcBorders>
                    <w:tl2br w:val="nil"/>
                    <w:tr2bl w:val="nil"/>
                  </w:tcBorders>
                  <w:shd w:val="clear" w:color="auto" w:fill="auto"/>
                  <w:vAlign w:val="center"/>
                </w:tcPr>
                <w:p w14:paraId="7535A4C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7</w:t>
                  </w:r>
                </w:p>
              </w:tc>
              <w:tc>
                <w:tcPr>
                  <w:tcW w:w="760" w:type="pct"/>
                  <w:tcBorders>
                    <w:tl2br w:val="nil"/>
                    <w:tr2bl w:val="nil"/>
                  </w:tcBorders>
                  <w:shd w:val="clear" w:color="auto" w:fill="auto"/>
                  <w:vAlign w:val="center"/>
                </w:tcPr>
                <w:p w14:paraId="4F9750D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39396C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649AABA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92</w:t>
                  </w:r>
                </w:p>
              </w:tc>
              <w:tc>
                <w:tcPr>
                  <w:tcW w:w="926" w:type="pct"/>
                  <w:tcBorders>
                    <w:tl2br w:val="nil"/>
                    <w:tr2bl w:val="nil"/>
                  </w:tcBorders>
                  <w:shd w:val="clear" w:color="auto" w:fill="auto"/>
                  <w:vAlign w:val="center"/>
                </w:tcPr>
                <w:p w14:paraId="2492DA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18650分选机</w:t>
                  </w:r>
                </w:p>
              </w:tc>
              <w:tc>
                <w:tcPr>
                  <w:tcW w:w="1328" w:type="pct"/>
                  <w:tcBorders>
                    <w:tl2br w:val="nil"/>
                    <w:tr2bl w:val="nil"/>
                  </w:tcBorders>
                  <w:shd w:val="clear" w:color="auto" w:fill="auto"/>
                  <w:vAlign w:val="center"/>
                </w:tcPr>
                <w:p w14:paraId="61BF8C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SC-TS10C</w:t>
                  </w:r>
                </w:p>
              </w:tc>
              <w:tc>
                <w:tcPr>
                  <w:tcW w:w="790" w:type="pct"/>
                  <w:tcBorders>
                    <w:tl2br w:val="nil"/>
                    <w:tr2bl w:val="nil"/>
                  </w:tcBorders>
                  <w:shd w:val="clear" w:color="auto" w:fill="auto"/>
                  <w:vAlign w:val="center"/>
                </w:tcPr>
                <w:p w14:paraId="083D81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1.5KW</w:t>
                  </w:r>
                </w:p>
              </w:tc>
              <w:tc>
                <w:tcPr>
                  <w:tcW w:w="724" w:type="pct"/>
                  <w:tcBorders>
                    <w:tl2br w:val="nil"/>
                    <w:tr2bl w:val="nil"/>
                  </w:tcBorders>
                  <w:shd w:val="clear" w:color="auto" w:fill="auto"/>
                  <w:vAlign w:val="center"/>
                </w:tcPr>
                <w:p w14:paraId="01B84A0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60B079E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2DA2AF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67E0375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93</w:t>
                  </w:r>
                </w:p>
              </w:tc>
              <w:tc>
                <w:tcPr>
                  <w:tcW w:w="926" w:type="pct"/>
                  <w:tcBorders>
                    <w:tl2br w:val="nil"/>
                    <w:tr2bl w:val="nil"/>
                  </w:tcBorders>
                  <w:shd w:val="clear" w:color="auto" w:fill="auto"/>
                  <w:vAlign w:val="center"/>
                </w:tcPr>
                <w:p w14:paraId="300273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电池装盒机</w:t>
                  </w:r>
                </w:p>
              </w:tc>
              <w:tc>
                <w:tcPr>
                  <w:tcW w:w="1328" w:type="pct"/>
                  <w:tcBorders>
                    <w:tl2br w:val="nil"/>
                    <w:tr2bl w:val="nil"/>
                  </w:tcBorders>
                  <w:shd w:val="clear" w:color="auto" w:fill="auto"/>
                  <w:vAlign w:val="center"/>
                </w:tcPr>
                <w:p w14:paraId="326F28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JY2116-036</w:t>
                  </w:r>
                </w:p>
              </w:tc>
              <w:tc>
                <w:tcPr>
                  <w:tcW w:w="790" w:type="pct"/>
                  <w:tcBorders>
                    <w:tl2br w:val="nil"/>
                    <w:tr2bl w:val="nil"/>
                  </w:tcBorders>
                  <w:shd w:val="clear" w:color="auto" w:fill="auto"/>
                  <w:vAlign w:val="center"/>
                </w:tcPr>
                <w:p w14:paraId="31BE68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1KW</w:t>
                  </w:r>
                </w:p>
              </w:tc>
              <w:tc>
                <w:tcPr>
                  <w:tcW w:w="724" w:type="pct"/>
                  <w:tcBorders>
                    <w:tl2br w:val="nil"/>
                    <w:tr2bl w:val="nil"/>
                  </w:tcBorders>
                  <w:shd w:val="clear" w:color="auto" w:fill="auto"/>
                  <w:vAlign w:val="center"/>
                </w:tcPr>
                <w:p w14:paraId="7637013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w:t>
                  </w:r>
                </w:p>
              </w:tc>
              <w:tc>
                <w:tcPr>
                  <w:tcW w:w="760" w:type="pct"/>
                  <w:tcBorders>
                    <w:tl2br w:val="nil"/>
                    <w:tr2bl w:val="nil"/>
                  </w:tcBorders>
                  <w:shd w:val="clear" w:color="auto" w:fill="auto"/>
                  <w:vAlign w:val="center"/>
                </w:tcPr>
                <w:p w14:paraId="6C5B15C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126840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3E21BD5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94</w:t>
                  </w:r>
                </w:p>
              </w:tc>
              <w:tc>
                <w:tcPr>
                  <w:tcW w:w="926" w:type="pct"/>
                  <w:tcBorders>
                    <w:tl2br w:val="nil"/>
                    <w:tr2bl w:val="nil"/>
                  </w:tcBorders>
                  <w:shd w:val="clear" w:color="auto" w:fill="auto"/>
                  <w:vAlign w:val="center"/>
                </w:tcPr>
                <w:p w14:paraId="5696BD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收盒机</w:t>
                  </w:r>
                </w:p>
              </w:tc>
              <w:tc>
                <w:tcPr>
                  <w:tcW w:w="1328" w:type="pct"/>
                  <w:tcBorders>
                    <w:tl2br w:val="nil"/>
                    <w:tr2bl w:val="nil"/>
                  </w:tcBorders>
                  <w:shd w:val="clear" w:color="auto" w:fill="auto"/>
                  <w:vAlign w:val="center"/>
                </w:tcPr>
                <w:p w14:paraId="753543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18650</w:t>
                  </w:r>
                </w:p>
              </w:tc>
              <w:tc>
                <w:tcPr>
                  <w:tcW w:w="790" w:type="pct"/>
                  <w:tcBorders>
                    <w:tl2br w:val="nil"/>
                    <w:tr2bl w:val="nil"/>
                  </w:tcBorders>
                  <w:shd w:val="clear" w:color="auto" w:fill="auto"/>
                  <w:vAlign w:val="center"/>
                </w:tcPr>
                <w:p w14:paraId="6B8475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1KW</w:t>
                  </w:r>
                </w:p>
              </w:tc>
              <w:tc>
                <w:tcPr>
                  <w:tcW w:w="724" w:type="pct"/>
                  <w:tcBorders>
                    <w:tl2br w:val="nil"/>
                    <w:tr2bl w:val="nil"/>
                  </w:tcBorders>
                  <w:shd w:val="clear" w:color="auto" w:fill="auto"/>
                  <w:vAlign w:val="center"/>
                </w:tcPr>
                <w:p w14:paraId="5BF5E29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3944E77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4DBE7ED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473A2B0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95</w:t>
                  </w:r>
                </w:p>
              </w:tc>
              <w:tc>
                <w:tcPr>
                  <w:tcW w:w="926" w:type="pct"/>
                  <w:tcBorders>
                    <w:tl2br w:val="nil"/>
                    <w:tr2bl w:val="nil"/>
                  </w:tcBorders>
                  <w:shd w:val="clear" w:color="auto" w:fill="auto"/>
                  <w:vAlign w:val="center"/>
                </w:tcPr>
                <w:p w14:paraId="696472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自动上料机</w:t>
                  </w:r>
                </w:p>
              </w:tc>
              <w:tc>
                <w:tcPr>
                  <w:tcW w:w="1328" w:type="pct"/>
                  <w:tcBorders>
                    <w:tl2br w:val="nil"/>
                    <w:tr2bl w:val="nil"/>
                  </w:tcBorders>
                  <w:shd w:val="clear" w:color="auto" w:fill="auto"/>
                  <w:vAlign w:val="center"/>
                </w:tcPr>
                <w:p w14:paraId="765593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SC-SL18D</w:t>
                  </w:r>
                </w:p>
              </w:tc>
              <w:tc>
                <w:tcPr>
                  <w:tcW w:w="790" w:type="pct"/>
                  <w:tcBorders>
                    <w:tl2br w:val="nil"/>
                    <w:tr2bl w:val="nil"/>
                  </w:tcBorders>
                  <w:shd w:val="clear" w:color="auto" w:fill="auto"/>
                  <w:vAlign w:val="center"/>
                </w:tcPr>
                <w:p w14:paraId="6DD0235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0036D4B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6</w:t>
                  </w:r>
                </w:p>
              </w:tc>
              <w:tc>
                <w:tcPr>
                  <w:tcW w:w="760" w:type="pct"/>
                  <w:tcBorders>
                    <w:tl2br w:val="nil"/>
                    <w:tr2bl w:val="nil"/>
                  </w:tcBorders>
                  <w:shd w:val="clear" w:color="auto" w:fill="auto"/>
                  <w:vAlign w:val="center"/>
                </w:tcPr>
                <w:p w14:paraId="5658D52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新增设备</w:t>
                  </w:r>
                </w:p>
              </w:tc>
            </w:tr>
            <w:tr w14:paraId="1BE7B7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14A9D17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96</w:t>
                  </w:r>
                </w:p>
              </w:tc>
              <w:tc>
                <w:tcPr>
                  <w:tcW w:w="926" w:type="pct"/>
                  <w:tcBorders>
                    <w:tl2br w:val="nil"/>
                    <w:tr2bl w:val="nil"/>
                  </w:tcBorders>
                  <w:shd w:val="clear" w:color="auto" w:fill="auto"/>
                  <w:vAlign w:val="center"/>
                </w:tcPr>
                <w:p w14:paraId="6C00C6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自动装盒机（单通道）</w:t>
                  </w:r>
                </w:p>
              </w:tc>
              <w:tc>
                <w:tcPr>
                  <w:tcW w:w="1328" w:type="pct"/>
                  <w:tcBorders>
                    <w:tl2br w:val="nil"/>
                    <w:tr2bl w:val="nil"/>
                  </w:tcBorders>
                  <w:shd w:val="clear" w:color="auto" w:fill="auto"/>
                  <w:vAlign w:val="center"/>
                </w:tcPr>
                <w:p w14:paraId="1AB316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18650</w:t>
                  </w:r>
                </w:p>
              </w:tc>
              <w:tc>
                <w:tcPr>
                  <w:tcW w:w="790" w:type="pct"/>
                  <w:tcBorders>
                    <w:tl2br w:val="nil"/>
                    <w:tr2bl w:val="nil"/>
                  </w:tcBorders>
                  <w:shd w:val="clear" w:color="auto" w:fill="auto"/>
                  <w:vAlign w:val="center"/>
                </w:tcPr>
                <w:p w14:paraId="6D24005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496E330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590E84D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新增设备</w:t>
                  </w:r>
                </w:p>
              </w:tc>
            </w:tr>
            <w:tr w14:paraId="66C2EE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7452C39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97</w:t>
                  </w:r>
                </w:p>
              </w:tc>
              <w:tc>
                <w:tcPr>
                  <w:tcW w:w="926" w:type="pct"/>
                  <w:tcBorders>
                    <w:tl2br w:val="nil"/>
                    <w:tr2bl w:val="nil"/>
                  </w:tcBorders>
                  <w:shd w:val="clear" w:color="auto" w:fill="auto"/>
                  <w:vAlign w:val="center"/>
                </w:tcPr>
                <w:p w14:paraId="1639E9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自动装盒机（</w:t>
                  </w:r>
                  <w:r>
                    <w:rPr>
                      <w:rFonts w:hint="eastAsia" w:cs="Times New Roman"/>
                      <w:i w:val="0"/>
                      <w:iCs w:val="0"/>
                      <w:color w:val="000000"/>
                      <w:kern w:val="0"/>
                      <w:sz w:val="21"/>
                      <w:szCs w:val="21"/>
                      <w:highlight w:val="none"/>
                      <w:u w:val="none"/>
                      <w:lang w:val="en-US" w:eastAsia="zh-CN" w:bidi="ar"/>
                    </w:rPr>
                    <w:t>双</w:t>
                  </w:r>
                  <w:r>
                    <w:rPr>
                      <w:rFonts w:hint="default" w:ascii="Times New Roman" w:hAnsi="Times New Roman" w:eastAsia="宋体" w:cs="Times New Roman"/>
                      <w:i w:val="0"/>
                      <w:iCs w:val="0"/>
                      <w:color w:val="000000"/>
                      <w:kern w:val="0"/>
                      <w:sz w:val="21"/>
                      <w:szCs w:val="21"/>
                      <w:highlight w:val="none"/>
                      <w:u w:val="none"/>
                      <w:lang w:val="en-US" w:eastAsia="zh-CN" w:bidi="ar"/>
                    </w:rPr>
                    <w:t>通道）</w:t>
                  </w:r>
                </w:p>
              </w:tc>
              <w:tc>
                <w:tcPr>
                  <w:tcW w:w="1328" w:type="pct"/>
                  <w:tcBorders>
                    <w:tl2br w:val="nil"/>
                    <w:tr2bl w:val="nil"/>
                  </w:tcBorders>
                  <w:shd w:val="clear" w:color="auto" w:fill="auto"/>
                  <w:vAlign w:val="center"/>
                </w:tcPr>
                <w:p w14:paraId="11B1BD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18650</w:t>
                  </w:r>
                </w:p>
              </w:tc>
              <w:tc>
                <w:tcPr>
                  <w:tcW w:w="790" w:type="pct"/>
                  <w:tcBorders>
                    <w:tl2br w:val="nil"/>
                    <w:tr2bl w:val="nil"/>
                  </w:tcBorders>
                  <w:shd w:val="clear" w:color="auto" w:fill="auto"/>
                  <w:vAlign w:val="center"/>
                </w:tcPr>
                <w:p w14:paraId="1B89EE2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255F833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6B81C37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新增设备</w:t>
                  </w:r>
                </w:p>
              </w:tc>
            </w:tr>
            <w:tr w14:paraId="1B27BF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9ED310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98</w:t>
                  </w:r>
                </w:p>
              </w:tc>
              <w:tc>
                <w:tcPr>
                  <w:tcW w:w="926" w:type="pct"/>
                  <w:tcBorders>
                    <w:tl2br w:val="nil"/>
                    <w:tr2bl w:val="nil"/>
                  </w:tcBorders>
                  <w:shd w:val="clear" w:color="auto" w:fill="auto"/>
                  <w:vAlign w:val="center"/>
                </w:tcPr>
                <w:p w14:paraId="6FEB08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激光打标机</w:t>
                  </w:r>
                </w:p>
              </w:tc>
              <w:tc>
                <w:tcPr>
                  <w:tcW w:w="1328" w:type="pct"/>
                  <w:tcBorders>
                    <w:tl2br w:val="nil"/>
                    <w:tr2bl w:val="nil"/>
                  </w:tcBorders>
                  <w:shd w:val="clear" w:color="auto" w:fill="auto"/>
                  <w:vAlign w:val="center"/>
                </w:tcPr>
                <w:p w14:paraId="3967A3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HT-20L</w:t>
                  </w:r>
                </w:p>
              </w:tc>
              <w:tc>
                <w:tcPr>
                  <w:tcW w:w="790" w:type="pct"/>
                  <w:tcBorders>
                    <w:tl2br w:val="nil"/>
                    <w:tr2bl w:val="nil"/>
                  </w:tcBorders>
                  <w:shd w:val="clear" w:color="auto" w:fill="auto"/>
                  <w:vAlign w:val="center"/>
                </w:tcPr>
                <w:p w14:paraId="59F3C2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0.5KW</w:t>
                  </w:r>
                </w:p>
              </w:tc>
              <w:tc>
                <w:tcPr>
                  <w:tcW w:w="724" w:type="pct"/>
                  <w:tcBorders>
                    <w:tl2br w:val="nil"/>
                    <w:tr2bl w:val="nil"/>
                  </w:tcBorders>
                  <w:shd w:val="clear" w:color="auto" w:fill="auto"/>
                  <w:vAlign w:val="center"/>
                </w:tcPr>
                <w:p w14:paraId="7AD3A70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5</w:t>
                  </w:r>
                </w:p>
              </w:tc>
              <w:tc>
                <w:tcPr>
                  <w:tcW w:w="760" w:type="pct"/>
                  <w:tcBorders>
                    <w:tl2br w:val="nil"/>
                    <w:tr2bl w:val="nil"/>
                  </w:tcBorders>
                  <w:shd w:val="clear" w:color="auto" w:fill="auto"/>
                  <w:vAlign w:val="center"/>
                </w:tcPr>
                <w:p w14:paraId="6512CC7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7434F5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6"/>
                  <w:tcBorders>
                    <w:tl2br w:val="nil"/>
                    <w:tr2bl w:val="nil"/>
                  </w:tcBorders>
                  <w:shd w:val="clear" w:color="auto" w:fill="auto"/>
                  <w:vAlign w:val="center"/>
                </w:tcPr>
                <w:p w14:paraId="741F71C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涂布车间</w:t>
                  </w:r>
                </w:p>
              </w:tc>
            </w:tr>
            <w:tr w14:paraId="6D557A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17AE883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99</w:t>
                  </w:r>
                </w:p>
              </w:tc>
              <w:tc>
                <w:tcPr>
                  <w:tcW w:w="926" w:type="pct"/>
                  <w:tcBorders>
                    <w:tl2br w:val="nil"/>
                    <w:tr2bl w:val="nil"/>
                  </w:tcBorders>
                  <w:shd w:val="clear" w:color="auto" w:fill="auto"/>
                  <w:vAlign w:val="center"/>
                </w:tcPr>
                <w:p w14:paraId="1411F1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搅拌机</w:t>
                  </w:r>
                </w:p>
              </w:tc>
              <w:tc>
                <w:tcPr>
                  <w:tcW w:w="1328" w:type="pct"/>
                  <w:tcBorders>
                    <w:tl2br w:val="nil"/>
                    <w:tr2bl w:val="nil"/>
                  </w:tcBorders>
                  <w:shd w:val="clear" w:color="auto" w:fill="auto"/>
                  <w:vAlign w:val="center"/>
                </w:tcPr>
                <w:p w14:paraId="706FDB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650L</w:t>
                  </w:r>
                </w:p>
              </w:tc>
              <w:tc>
                <w:tcPr>
                  <w:tcW w:w="790" w:type="pct"/>
                  <w:tcBorders>
                    <w:tl2br w:val="nil"/>
                    <w:tr2bl w:val="nil"/>
                  </w:tcBorders>
                  <w:shd w:val="clear" w:color="auto" w:fill="auto"/>
                  <w:vAlign w:val="center"/>
                </w:tcPr>
                <w:p w14:paraId="409899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100KW</w:t>
                  </w:r>
                </w:p>
              </w:tc>
              <w:tc>
                <w:tcPr>
                  <w:tcW w:w="724" w:type="pct"/>
                  <w:tcBorders>
                    <w:tl2br w:val="nil"/>
                    <w:tr2bl w:val="nil"/>
                  </w:tcBorders>
                  <w:shd w:val="clear" w:color="auto" w:fill="auto"/>
                  <w:vAlign w:val="center"/>
                </w:tcPr>
                <w:p w14:paraId="271848B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12</w:t>
                  </w:r>
                </w:p>
              </w:tc>
              <w:tc>
                <w:tcPr>
                  <w:tcW w:w="760" w:type="pct"/>
                  <w:tcBorders>
                    <w:tl2br w:val="nil"/>
                    <w:tr2bl w:val="nil"/>
                  </w:tcBorders>
                  <w:shd w:val="clear" w:color="auto" w:fill="auto"/>
                  <w:vAlign w:val="center"/>
                </w:tcPr>
                <w:p w14:paraId="5997214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1D4306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5EF978E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100</w:t>
                  </w:r>
                </w:p>
              </w:tc>
              <w:tc>
                <w:tcPr>
                  <w:tcW w:w="926" w:type="pct"/>
                  <w:tcBorders>
                    <w:tl2br w:val="nil"/>
                    <w:tr2bl w:val="nil"/>
                  </w:tcBorders>
                  <w:shd w:val="clear" w:color="auto" w:fill="auto"/>
                  <w:vAlign w:val="center"/>
                </w:tcPr>
                <w:p w14:paraId="0F64EC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涂布缓存罐</w:t>
                  </w:r>
                </w:p>
              </w:tc>
              <w:tc>
                <w:tcPr>
                  <w:tcW w:w="1328" w:type="pct"/>
                  <w:tcBorders>
                    <w:tl2br w:val="nil"/>
                    <w:tr2bl w:val="nil"/>
                  </w:tcBorders>
                  <w:shd w:val="clear" w:color="auto" w:fill="auto"/>
                  <w:vAlign w:val="center"/>
                </w:tcPr>
                <w:p w14:paraId="06FE1E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1400L</w:t>
                  </w:r>
                </w:p>
              </w:tc>
              <w:tc>
                <w:tcPr>
                  <w:tcW w:w="790" w:type="pct"/>
                  <w:tcBorders>
                    <w:tl2br w:val="nil"/>
                    <w:tr2bl w:val="nil"/>
                  </w:tcBorders>
                  <w:shd w:val="clear" w:color="auto" w:fill="auto"/>
                  <w:vAlign w:val="center"/>
                </w:tcPr>
                <w:p w14:paraId="448635D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3D1B08F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14</w:t>
                  </w:r>
                </w:p>
              </w:tc>
              <w:tc>
                <w:tcPr>
                  <w:tcW w:w="760" w:type="pct"/>
                  <w:tcBorders>
                    <w:tl2br w:val="nil"/>
                    <w:tr2bl w:val="nil"/>
                  </w:tcBorders>
                  <w:shd w:val="clear" w:color="auto" w:fill="auto"/>
                  <w:vAlign w:val="center"/>
                </w:tcPr>
                <w:p w14:paraId="6E82AFF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74F6F3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1AB278A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101</w:t>
                  </w:r>
                </w:p>
              </w:tc>
              <w:tc>
                <w:tcPr>
                  <w:tcW w:w="926" w:type="pct"/>
                  <w:tcBorders>
                    <w:tl2br w:val="nil"/>
                    <w:tr2bl w:val="nil"/>
                  </w:tcBorders>
                  <w:shd w:val="clear" w:color="auto" w:fill="auto"/>
                  <w:vAlign w:val="center"/>
                </w:tcPr>
                <w:p w14:paraId="052DD5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打胶机</w:t>
                  </w:r>
                </w:p>
              </w:tc>
              <w:tc>
                <w:tcPr>
                  <w:tcW w:w="1328" w:type="pct"/>
                  <w:tcBorders>
                    <w:tl2br w:val="nil"/>
                    <w:tr2bl w:val="nil"/>
                  </w:tcBorders>
                  <w:shd w:val="clear" w:color="auto" w:fill="auto"/>
                  <w:vAlign w:val="center"/>
                </w:tcPr>
                <w:p w14:paraId="0457E9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500L</w:t>
                  </w:r>
                </w:p>
              </w:tc>
              <w:tc>
                <w:tcPr>
                  <w:tcW w:w="790" w:type="pct"/>
                  <w:tcBorders>
                    <w:tl2br w:val="nil"/>
                    <w:tr2bl w:val="nil"/>
                  </w:tcBorders>
                  <w:shd w:val="clear" w:color="auto" w:fill="auto"/>
                  <w:vAlign w:val="center"/>
                </w:tcPr>
                <w:p w14:paraId="0823FC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11KW</w:t>
                  </w:r>
                </w:p>
              </w:tc>
              <w:tc>
                <w:tcPr>
                  <w:tcW w:w="724" w:type="pct"/>
                  <w:tcBorders>
                    <w:tl2br w:val="nil"/>
                    <w:tr2bl w:val="nil"/>
                  </w:tcBorders>
                  <w:shd w:val="clear" w:color="auto" w:fill="auto"/>
                  <w:vAlign w:val="center"/>
                </w:tcPr>
                <w:p w14:paraId="17056D4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9</w:t>
                  </w:r>
                </w:p>
              </w:tc>
              <w:tc>
                <w:tcPr>
                  <w:tcW w:w="760" w:type="pct"/>
                  <w:tcBorders>
                    <w:tl2br w:val="nil"/>
                    <w:tr2bl w:val="nil"/>
                  </w:tcBorders>
                  <w:shd w:val="clear" w:color="auto" w:fill="auto"/>
                  <w:vAlign w:val="center"/>
                </w:tcPr>
                <w:p w14:paraId="6680DD1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0ADCDF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66C1A87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102</w:t>
                  </w:r>
                </w:p>
              </w:tc>
              <w:tc>
                <w:tcPr>
                  <w:tcW w:w="926" w:type="pct"/>
                  <w:tcBorders>
                    <w:tl2br w:val="nil"/>
                    <w:tr2bl w:val="nil"/>
                  </w:tcBorders>
                  <w:shd w:val="clear" w:color="auto" w:fill="auto"/>
                  <w:vAlign w:val="center"/>
                </w:tcPr>
                <w:p w14:paraId="0C117D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双层机密挤压涂布机</w:t>
                  </w:r>
                </w:p>
              </w:tc>
              <w:tc>
                <w:tcPr>
                  <w:tcW w:w="1328" w:type="pct"/>
                  <w:tcBorders>
                    <w:tl2br w:val="nil"/>
                    <w:tr2bl w:val="nil"/>
                  </w:tcBorders>
                  <w:shd w:val="clear" w:color="auto" w:fill="auto"/>
                  <w:vAlign w:val="center"/>
                </w:tcPr>
                <w:p w14:paraId="01517E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XHPT-7949LS</w:t>
                  </w:r>
                </w:p>
              </w:tc>
              <w:tc>
                <w:tcPr>
                  <w:tcW w:w="790" w:type="pct"/>
                  <w:tcBorders>
                    <w:tl2br w:val="nil"/>
                    <w:tr2bl w:val="nil"/>
                  </w:tcBorders>
                  <w:shd w:val="clear" w:color="auto" w:fill="auto"/>
                  <w:vAlign w:val="center"/>
                </w:tcPr>
                <w:p w14:paraId="30A414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22KW</w:t>
                  </w:r>
                </w:p>
              </w:tc>
              <w:tc>
                <w:tcPr>
                  <w:tcW w:w="724" w:type="pct"/>
                  <w:tcBorders>
                    <w:tl2br w:val="nil"/>
                    <w:tr2bl w:val="nil"/>
                  </w:tcBorders>
                  <w:shd w:val="clear" w:color="auto" w:fill="auto"/>
                  <w:vAlign w:val="center"/>
                </w:tcPr>
                <w:p w14:paraId="1B9987A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6</w:t>
                  </w:r>
                </w:p>
              </w:tc>
              <w:tc>
                <w:tcPr>
                  <w:tcW w:w="760" w:type="pct"/>
                  <w:tcBorders>
                    <w:tl2br w:val="nil"/>
                    <w:tr2bl w:val="nil"/>
                  </w:tcBorders>
                  <w:shd w:val="clear" w:color="auto" w:fill="auto"/>
                  <w:vAlign w:val="center"/>
                </w:tcPr>
                <w:p w14:paraId="6D6D3E7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7D1BD3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5000" w:type="pct"/>
                  <w:gridSpan w:val="6"/>
                  <w:tcBorders>
                    <w:tl2br w:val="nil"/>
                    <w:tr2bl w:val="nil"/>
                  </w:tcBorders>
                  <w:shd w:val="clear" w:color="auto" w:fill="auto"/>
                  <w:vAlign w:val="center"/>
                </w:tcPr>
                <w:p w14:paraId="7AED702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4车间</w:t>
                  </w:r>
                  <w:r>
                    <w:rPr>
                      <w:rFonts w:hint="eastAsia" w:cs="Times New Roman"/>
                      <w:sz w:val="21"/>
                      <w:szCs w:val="21"/>
                      <w:highlight w:val="none"/>
                      <w:lang w:val="en-US" w:eastAsia="zh-CN"/>
                    </w:rPr>
                    <w:t>（北厂区）</w:t>
                  </w:r>
                </w:p>
              </w:tc>
            </w:tr>
            <w:tr w14:paraId="3AA5CC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17A694F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103</w:t>
                  </w:r>
                </w:p>
              </w:tc>
              <w:tc>
                <w:tcPr>
                  <w:tcW w:w="926" w:type="pct"/>
                  <w:tcBorders>
                    <w:tl2br w:val="nil"/>
                    <w:tr2bl w:val="nil"/>
                  </w:tcBorders>
                  <w:shd w:val="clear" w:color="auto" w:fill="auto"/>
                  <w:vAlign w:val="center"/>
                </w:tcPr>
                <w:p w14:paraId="51501B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连续辊压机</w:t>
                  </w:r>
                </w:p>
              </w:tc>
              <w:tc>
                <w:tcPr>
                  <w:tcW w:w="1328" w:type="pct"/>
                  <w:tcBorders>
                    <w:tl2br w:val="nil"/>
                    <w:tr2bl w:val="nil"/>
                  </w:tcBorders>
                  <w:shd w:val="clear" w:color="auto" w:fill="auto"/>
                  <w:vAlign w:val="center"/>
                </w:tcPr>
                <w:p w14:paraId="660A30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DYG-703BH-800型</w:t>
                  </w:r>
                </w:p>
              </w:tc>
              <w:tc>
                <w:tcPr>
                  <w:tcW w:w="790" w:type="pct"/>
                  <w:tcBorders>
                    <w:tl2br w:val="nil"/>
                    <w:tr2bl w:val="nil"/>
                  </w:tcBorders>
                  <w:shd w:val="clear" w:color="auto" w:fill="auto"/>
                  <w:vAlign w:val="center"/>
                </w:tcPr>
                <w:p w14:paraId="4BA22E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22KW</w:t>
                  </w:r>
                </w:p>
              </w:tc>
              <w:tc>
                <w:tcPr>
                  <w:tcW w:w="724" w:type="pct"/>
                  <w:tcBorders>
                    <w:tl2br w:val="nil"/>
                    <w:tr2bl w:val="nil"/>
                  </w:tcBorders>
                  <w:shd w:val="clear" w:color="auto" w:fill="auto"/>
                  <w:vAlign w:val="center"/>
                </w:tcPr>
                <w:p w14:paraId="2E81457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3AAE018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74ED11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7CDFC88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104</w:t>
                  </w:r>
                </w:p>
              </w:tc>
              <w:tc>
                <w:tcPr>
                  <w:tcW w:w="926" w:type="pct"/>
                  <w:tcBorders>
                    <w:tl2br w:val="nil"/>
                    <w:tr2bl w:val="nil"/>
                  </w:tcBorders>
                  <w:shd w:val="clear" w:color="auto" w:fill="auto"/>
                  <w:vAlign w:val="center"/>
                </w:tcPr>
                <w:p w14:paraId="6CD532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轧辊总成</w:t>
                  </w:r>
                </w:p>
              </w:tc>
              <w:tc>
                <w:tcPr>
                  <w:tcW w:w="1328" w:type="pct"/>
                  <w:tcBorders>
                    <w:tl2br w:val="nil"/>
                    <w:tr2bl w:val="nil"/>
                  </w:tcBorders>
                  <w:shd w:val="clear" w:color="auto" w:fill="auto"/>
                  <w:vAlign w:val="center"/>
                </w:tcPr>
                <w:p w14:paraId="52CE7A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800*800</w:t>
                  </w:r>
                </w:p>
              </w:tc>
              <w:tc>
                <w:tcPr>
                  <w:tcW w:w="790" w:type="pct"/>
                  <w:tcBorders>
                    <w:tl2br w:val="nil"/>
                    <w:tr2bl w:val="nil"/>
                  </w:tcBorders>
                  <w:shd w:val="clear" w:color="auto" w:fill="auto"/>
                  <w:vAlign w:val="center"/>
                </w:tcPr>
                <w:p w14:paraId="7486EF1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03737E2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34EE58F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2269EE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7ACFC4D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105</w:t>
                  </w:r>
                </w:p>
              </w:tc>
              <w:tc>
                <w:tcPr>
                  <w:tcW w:w="926" w:type="pct"/>
                  <w:tcBorders>
                    <w:tl2br w:val="nil"/>
                    <w:tr2bl w:val="nil"/>
                  </w:tcBorders>
                  <w:shd w:val="clear" w:color="auto" w:fill="auto"/>
                  <w:vAlign w:val="center"/>
                </w:tcPr>
                <w:p w14:paraId="685DB1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全自动极片分条机</w:t>
                  </w:r>
                </w:p>
              </w:tc>
              <w:tc>
                <w:tcPr>
                  <w:tcW w:w="1328" w:type="pct"/>
                  <w:tcBorders>
                    <w:tl2br w:val="nil"/>
                    <w:tr2bl w:val="nil"/>
                  </w:tcBorders>
                  <w:shd w:val="clear" w:color="auto" w:fill="auto"/>
                  <w:vAlign w:val="center"/>
                </w:tcPr>
                <w:p w14:paraId="28A1C7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XFT750A-01</w:t>
                  </w:r>
                </w:p>
              </w:tc>
              <w:tc>
                <w:tcPr>
                  <w:tcW w:w="790" w:type="pct"/>
                  <w:tcBorders>
                    <w:tl2br w:val="nil"/>
                    <w:tr2bl w:val="nil"/>
                  </w:tcBorders>
                  <w:shd w:val="clear" w:color="auto" w:fill="auto"/>
                  <w:vAlign w:val="center"/>
                </w:tcPr>
                <w:p w14:paraId="326605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2.2KW</w:t>
                  </w:r>
                </w:p>
              </w:tc>
              <w:tc>
                <w:tcPr>
                  <w:tcW w:w="724" w:type="pct"/>
                  <w:tcBorders>
                    <w:tl2br w:val="nil"/>
                    <w:tr2bl w:val="nil"/>
                  </w:tcBorders>
                  <w:shd w:val="clear" w:color="auto" w:fill="auto"/>
                  <w:vAlign w:val="center"/>
                </w:tcPr>
                <w:p w14:paraId="6395E99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776BFCB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616CB9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4A96804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106</w:t>
                  </w:r>
                </w:p>
              </w:tc>
              <w:tc>
                <w:tcPr>
                  <w:tcW w:w="926" w:type="pct"/>
                  <w:tcBorders>
                    <w:tl2br w:val="nil"/>
                    <w:tr2bl w:val="nil"/>
                  </w:tcBorders>
                  <w:shd w:val="clear" w:color="auto" w:fill="auto"/>
                  <w:vAlign w:val="center"/>
                </w:tcPr>
                <w:p w14:paraId="6062FD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圆柱形电芯制片卷绕一体机</w:t>
                  </w:r>
                </w:p>
              </w:tc>
              <w:tc>
                <w:tcPr>
                  <w:tcW w:w="1328" w:type="pct"/>
                  <w:tcBorders>
                    <w:tl2br w:val="nil"/>
                    <w:tr2bl w:val="nil"/>
                  </w:tcBorders>
                  <w:shd w:val="clear" w:color="auto" w:fill="auto"/>
                  <w:vAlign w:val="center"/>
                </w:tcPr>
                <w:p w14:paraId="6C47A2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ZY-Y-18/65-C</w:t>
                  </w:r>
                </w:p>
              </w:tc>
              <w:tc>
                <w:tcPr>
                  <w:tcW w:w="790" w:type="pct"/>
                  <w:tcBorders>
                    <w:tl2br w:val="nil"/>
                    <w:tr2bl w:val="nil"/>
                  </w:tcBorders>
                  <w:shd w:val="clear" w:color="auto" w:fill="auto"/>
                  <w:vAlign w:val="center"/>
                </w:tcPr>
                <w:p w14:paraId="7FE147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10KW</w:t>
                  </w:r>
                </w:p>
              </w:tc>
              <w:tc>
                <w:tcPr>
                  <w:tcW w:w="724" w:type="pct"/>
                  <w:tcBorders>
                    <w:tl2br w:val="nil"/>
                    <w:tr2bl w:val="nil"/>
                  </w:tcBorders>
                  <w:shd w:val="clear" w:color="auto" w:fill="auto"/>
                  <w:vAlign w:val="center"/>
                </w:tcPr>
                <w:p w14:paraId="33C8561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8</w:t>
                  </w:r>
                </w:p>
              </w:tc>
              <w:tc>
                <w:tcPr>
                  <w:tcW w:w="760" w:type="pct"/>
                  <w:tcBorders>
                    <w:tl2br w:val="nil"/>
                    <w:tr2bl w:val="nil"/>
                  </w:tcBorders>
                  <w:shd w:val="clear" w:color="auto" w:fill="auto"/>
                  <w:vAlign w:val="center"/>
                </w:tcPr>
                <w:p w14:paraId="2079387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42432B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5948B86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107</w:t>
                  </w:r>
                </w:p>
              </w:tc>
              <w:tc>
                <w:tcPr>
                  <w:tcW w:w="926" w:type="pct"/>
                  <w:tcBorders>
                    <w:tl2br w:val="nil"/>
                    <w:tr2bl w:val="nil"/>
                  </w:tcBorders>
                  <w:shd w:val="clear" w:color="auto" w:fill="auto"/>
                  <w:vAlign w:val="center"/>
                </w:tcPr>
                <w:p w14:paraId="0D5C42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半自动卷绕机</w:t>
                  </w:r>
                </w:p>
              </w:tc>
              <w:tc>
                <w:tcPr>
                  <w:tcW w:w="1328" w:type="pct"/>
                  <w:tcBorders>
                    <w:tl2br w:val="nil"/>
                    <w:tr2bl w:val="nil"/>
                  </w:tcBorders>
                  <w:shd w:val="clear" w:color="auto" w:fill="auto"/>
                  <w:vAlign w:val="center"/>
                </w:tcPr>
                <w:p w14:paraId="6C559D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65972</w:t>
                  </w:r>
                </w:p>
              </w:tc>
              <w:tc>
                <w:tcPr>
                  <w:tcW w:w="790" w:type="pct"/>
                  <w:tcBorders>
                    <w:tl2br w:val="nil"/>
                    <w:tr2bl w:val="nil"/>
                  </w:tcBorders>
                  <w:shd w:val="clear" w:color="auto" w:fill="auto"/>
                  <w:vAlign w:val="center"/>
                </w:tcPr>
                <w:p w14:paraId="5AF071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5KW</w:t>
                  </w:r>
                </w:p>
              </w:tc>
              <w:tc>
                <w:tcPr>
                  <w:tcW w:w="724" w:type="pct"/>
                  <w:tcBorders>
                    <w:tl2br w:val="nil"/>
                    <w:tr2bl w:val="nil"/>
                  </w:tcBorders>
                  <w:shd w:val="clear" w:color="auto" w:fill="auto"/>
                  <w:vAlign w:val="center"/>
                </w:tcPr>
                <w:p w14:paraId="158EDB4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01FB3BC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40E4DE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307F435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108</w:t>
                  </w:r>
                </w:p>
              </w:tc>
              <w:tc>
                <w:tcPr>
                  <w:tcW w:w="926" w:type="pct"/>
                  <w:tcBorders>
                    <w:tl2br w:val="nil"/>
                    <w:tr2bl w:val="nil"/>
                  </w:tcBorders>
                  <w:shd w:val="clear" w:color="auto" w:fill="auto"/>
                  <w:vAlign w:val="center"/>
                </w:tcPr>
                <w:p w14:paraId="2AD0A2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自动入壳机</w:t>
                  </w:r>
                </w:p>
              </w:tc>
              <w:tc>
                <w:tcPr>
                  <w:tcW w:w="1328" w:type="pct"/>
                  <w:tcBorders>
                    <w:tl2br w:val="nil"/>
                    <w:tr2bl w:val="nil"/>
                  </w:tcBorders>
                  <w:shd w:val="clear" w:color="auto" w:fill="auto"/>
                  <w:vAlign w:val="center"/>
                </w:tcPr>
                <w:p w14:paraId="07783A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XN-RKJ18A</w:t>
                  </w:r>
                </w:p>
              </w:tc>
              <w:tc>
                <w:tcPr>
                  <w:tcW w:w="790" w:type="pct"/>
                  <w:tcBorders>
                    <w:tl2br w:val="nil"/>
                    <w:tr2bl w:val="nil"/>
                  </w:tcBorders>
                  <w:shd w:val="clear" w:color="auto" w:fill="auto"/>
                  <w:vAlign w:val="center"/>
                </w:tcPr>
                <w:p w14:paraId="3B0276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2KW</w:t>
                  </w:r>
                </w:p>
              </w:tc>
              <w:tc>
                <w:tcPr>
                  <w:tcW w:w="724" w:type="pct"/>
                  <w:tcBorders>
                    <w:tl2br w:val="nil"/>
                    <w:tr2bl w:val="nil"/>
                  </w:tcBorders>
                  <w:shd w:val="clear" w:color="auto" w:fill="auto"/>
                  <w:vAlign w:val="center"/>
                </w:tcPr>
                <w:p w14:paraId="4EC8EF0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379B35F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45A313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69A0410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109</w:t>
                  </w:r>
                </w:p>
              </w:tc>
              <w:tc>
                <w:tcPr>
                  <w:tcW w:w="926" w:type="pct"/>
                  <w:tcBorders>
                    <w:tl2br w:val="nil"/>
                    <w:tr2bl w:val="nil"/>
                  </w:tcBorders>
                  <w:shd w:val="clear" w:color="auto" w:fill="auto"/>
                  <w:vAlign w:val="center"/>
                </w:tcPr>
                <w:p w14:paraId="0C7B78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分段式注液机</w:t>
                  </w:r>
                </w:p>
              </w:tc>
              <w:tc>
                <w:tcPr>
                  <w:tcW w:w="1328" w:type="pct"/>
                  <w:tcBorders>
                    <w:tl2br w:val="nil"/>
                    <w:tr2bl w:val="nil"/>
                  </w:tcBorders>
                  <w:shd w:val="clear" w:color="auto" w:fill="auto"/>
                  <w:vAlign w:val="center"/>
                </w:tcPr>
                <w:p w14:paraId="3466A8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FZZY-10-C3</w:t>
                  </w:r>
                </w:p>
              </w:tc>
              <w:tc>
                <w:tcPr>
                  <w:tcW w:w="790" w:type="pct"/>
                  <w:tcBorders>
                    <w:tl2br w:val="nil"/>
                    <w:tr2bl w:val="nil"/>
                  </w:tcBorders>
                  <w:shd w:val="clear" w:color="auto" w:fill="auto"/>
                  <w:vAlign w:val="center"/>
                </w:tcPr>
                <w:p w14:paraId="1E2F8C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2KW</w:t>
                  </w:r>
                </w:p>
              </w:tc>
              <w:tc>
                <w:tcPr>
                  <w:tcW w:w="724" w:type="pct"/>
                  <w:tcBorders>
                    <w:tl2br w:val="nil"/>
                    <w:tr2bl w:val="nil"/>
                  </w:tcBorders>
                  <w:shd w:val="clear" w:color="auto" w:fill="auto"/>
                  <w:vAlign w:val="center"/>
                </w:tcPr>
                <w:p w14:paraId="22A8499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150FE6A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68B00A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07F70D5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110</w:t>
                  </w:r>
                </w:p>
              </w:tc>
              <w:tc>
                <w:tcPr>
                  <w:tcW w:w="926" w:type="pct"/>
                  <w:tcBorders>
                    <w:tl2br w:val="nil"/>
                    <w:tr2bl w:val="nil"/>
                  </w:tcBorders>
                  <w:shd w:val="clear" w:color="auto" w:fill="auto"/>
                  <w:vAlign w:val="center"/>
                </w:tcPr>
                <w:p w14:paraId="536738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全自动装配线（前段）</w:t>
                  </w:r>
                </w:p>
              </w:tc>
              <w:tc>
                <w:tcPr>
                  <w:tcW w:w="1328" w:type="pct"/>
                  <w:tcBorders>
                    <w:tl2br w:val="nil"/>
                    <w:tr2bl w:val="nil"/>
                  </w:tcBorders>
                  <w:shd w:val="clear" w:color="auto" w:fill="auto"/>
                  <w:vAlign w:val="center"/>
                </w:tcPr>
                <w:p w14:paraId="2E4E8A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18650</w:t>
                  </w:r>
                </w:p>
              </w:tc>
              <w:tc>
                <w:tcPr>
                  <w:tcW w:w="790" w:type="pct"/>
                  <w:tcBorders>
                    <w:tl2br w:val="nil"/>
                    <w:tr2bl w:val="nil"/>
                  </w:tcBorders>
                  <w:shd w:val="clear" w:color="auto" w:fill="auto"/>
                  <w:vAlign w:val="center"/>
                </w:tcPr>
                <w:p w14:paraId="75BD01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3KW</w:t>
                  </w:r>
                </w:p>
              </w:tc>
              <w:tc>
                <w:tcPr>
                  <w:tcW w:w="724" w:type="pct"/>
                  <w:tcBorders>
                    <w:tl2br w:val="nil"/>
                    <w:tr2bl w:val="nil"/>
                  </w:tcBorders>
                  <w:shd w:val="clear" w:color="auto" w:fill="auto"/>
                  <w:vAlign w:val="center"/>
                </w:tcPr>
                <w:p w14:paraId="620B7F5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w:t>
                  </w:r>
                </w:p>
              </w:tc>
              <w:tc>
                <w:tcPr>
                  <w:tcW w:w="760" w:type="pct"/>
                  <w:tcBorders>
                    <w:tl2br w:val="nil"/>
                    <w:tr2bl w:val="nil"/>
                  </w:tcBorders>
                  <w:shd w:val="clear" w:color="auto" w:fill="auto"/>
                  <w:vAlign w:val="center"/>
                </w:tcPr>
                <w:p w14:paraId="09DD865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0B94FC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4186AE4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111</w:t>
                  </w:r>
                </w:p>
              </w:tc>
              <w:tc>
                <w:tcPr>
                  <w:tcW w:w="926" w:type="pct"/>
                  <w:tcBorders>
                    <w:tl2br w:val="nil"/>
                    <w:tr2bl w:val="nil"/>
                  </w:tcBorders>
                  <w:shd w:val="clear" w:color="auto" w:fill="auto"/>
                  <w:vAlign w:val="center"/>
                </w:tcPr>
                <w:p w14:paraId="24459F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全自动装配线（后段）</w:t>
                  </w:r>
                </w:p>
              </w:tc>
              <w:tc>
                <w:tcPr>
                  <w:tcW w:w="1328" w:type="pct"/>
                  <w:tcBorders>
                    <w:tl2br w:val="nil"/>
                    <w:tr2bl w:val="nil"/>
                  </w:tcBorders>
                  <w:shd w:val="clear" w:color="auto" w:fill="auto"/>
                  <w:vAlign w:val="center"/>
                </w:tcPr>
                <w:p w14:paraId="12BDDB5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18650</w:t>
                  </w:r>
                </w:p>
              </w:tc>
              <w:tc>
                <w:tcPr>
                  <w:tcW w:w="790" w:type="pct"/>
                  <w:tcBorders>
                    <w:tl2br w:val="nil"/>
                    <w:tr2bl w:val="nil"/>
                  </w:tcBorders>
                  <w:shd w:val="clear" w:color="auto" w:fill="auto"/>
                  <w:vAlign w:val="center"/>
                </w:tcPr>
                <w:p w14:paraId="7837A6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3KW</w:t>
                  </w:r>
                </w:p>
              </w:tc>
              <w:tc>
                <w:tcPr>
                  <w:tcW w:w="724" w:type="pct"/>
                  <w:tcBorders>
                    <w:tl2br w:val="nil"/>
                    <w:tr2bl w:val="nil"/>
                  </w:tcBorders>
                  <w:shd w:val="clear" w:color="auto" w:fill="auto"/>
                  <w:vAlign w:val="center"/>
                </w:tcPr>
                <w:p w14:paraId="213FD50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298228A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08E1E5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5B20E2C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112</w:t>
                  </w:r>
                </w:p>
              </w:tc>
              <w:tc>
                <w:tcPr>
                  <w:tcW w:w="926" w:type="pct"/>
                  <w:tcBorders>
                    <w:tl2br w:val="nil"/>
                    <w:tr2bl w:val="nil"/>
                  </w:tcBorders>
                  <w:shd w:val="clear" w:color="auto" w:fill="auto"/>
                  <w:vAlign w:val="center"/>
                </w:tcPr>
                <w:p w14:paraId="0F7526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激光焊接机</w:t>
                  </w:r>
                </w:p>
              </w:tc>
              <w:tc>
                <w:tcPr>
                  <w:tcW w:w="1328" w:type="pct"/>
                  <w:tcBorders>
                    <w:tl2br w:val="nil"/>
                    <w:tr2bl w:val="nil"/>
                  </w:tcBorders>
                  <w:shd w:val="clear" w:color="auto" w:fill="auto"/>
                  <w:vAlign w:val="center"/>
                </w:tcPr>
                <w:p w14:paraId="436620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1000W</w:t>
                  </w:r>
                </w:p>
              </w:tc>
              <w:tc>
                <w:tcPr>
                  <w:tcW w:w="790" w:type="pct"/>
                  <w:tcBorders>
                    <w:tl2br w:val="nil"/>
                    <w:tr2bl w:val="nil"/>
                  </w:tcBorders>
                  <w:shd w:val="clear" w:color="auto" w:fill="auto"/>
                  <w:vAlign w:val="center"/>
                </w:tcPr>
                <w:p w14:paraId="12C035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0.5KW</w:t>
                  </w:r>
                </w:p>
              </w:tc>
              <w:tc>
                <w:tcPr>
                  <w:tcW w:w="724" w:type="pct"/>
                  <w:tcBorders>
                    <w:tl2br w:val="nil"/>
                    <w:tr2bl w:val="nil"/>
                  </w:tcBorders>
                  <w:shd w:val="clear" w:color="auto" w:fill="auto"/>
                  <w:vAlign w:val="center"/>
                </w:tcPr>
                <w:p w14:paraId="697091A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w:t>
                  </w:r>
                </w:p>
              </w:tc>
              <w:tc>
                <w:tcPr>
                  <w:tcW w:w="760" w:type="pct"/>
                  <w:tcBorders>
                    <w:tl2br w:val="nil"/>
                    <w:tr2bl w:val="nil"/>
                  </w:tcBorders>
                  <w:shd w:val="clear" w:color="auto" w:fill="auto"/>
                  <w:vAlign w:val="center"/>
                </w:tcPr>
                <w:p w14:paraId="2D5CFBC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6ADB72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4B7917B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113</w:t>
                  </w:r>
                </w:p>
              </w:tc>
              <w:tc>
                <w:tcPr>
                  <w:tcW w:w="926" w:type="pct"/>
                  <w:tcBorders>
                    <w:tl2br w:val="nil"/>
                    <w:tr2bl w:val="nil"/>
                  </w:tcBorders>
                  <w:shd w:val="clear" w:color="auto" w:fill="auto"/>
                  <w:vAlign w:val="center"/>
                </w:tcPr>
                <w:p w14:paraId="30BC4E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40K超声波金属焊接机</w:t>
                  </w:r>
                </w:p>
              </w:tc>
              <w:tc>
                <w:tcPr>
                  <w:tcW w:w="1328" w:type="pct"/>
                  <w:tcBorders>
                    <w:tl2br w:val="nil"/>
                    <w:tr2bl w:val="nil"/>
                  </w:tcBorders>
                  <w:shd w:val="clear" w:color="auto" w:fill="auto"/>
                  <w:vAlign w:val="center"/>
                </w:tcPr>
                <w:p w14:paraId="0335C92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90" w:type="pct"/>
                  <w:tcBorders>
                    <w:tl2br w:val="nil"/>
                    <w:tr2bl w:val="nil"/>
                  </w:tcBorders>
                  <w:shd w:val="clear" w:color="auto" w:fill="auto"/>
                  <w:vAlign w:val="center"/>
                </w:tcPr>
                <w:p w14:paraId="45FF442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000F678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164E70E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3EF6B1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1AF7360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114</w:t>
                  </w:r>
                </w:p>
              </w:tc>
              <w:tc>
                <w:tcPr>
                  <w:tcW w:w="926" w:type="pct"/>
                  <w:tcBorders>
                    <w:tl2br w:val="nil"/>
                    <w:tr2bl w:val="nil"/>
                  </w:tcBorders>
                  <w:shd w:val="clear" w:color="auto" w:fill="auto"/>
                  <w:vAlign w:val="center"/>
                </w:tcPr>
                <w:p w14:paraId="6FC40B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高真空烤箱线</w:t>
                  </w:r>
                </w:p>
              </w:tc>
              <w:tc>
                <w:tcPr>
                  <w:tcW w:w="1328" w:type="pct"/>
                  <w:tcBorders>
                    <w:tl2br w:val="nil"/>
                    <w:tr2bl w:val="nil"/>
                  </w:tcBorders>
                  <w:shd w:val="clear" w:color="auto" w:fill="auto"/>
                  <w:vAlign w:val="center"/>
                </w:tcPr>
                <w:p w14:paraId="3B7486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MD-GNW308-03B</w:t>
                  </w:r>
                </w:p>
              </w:tc>
              <w:tc>
                <w:tcPr>
                  <w:tcW w:w="790" w:type="pct"/>
                  <w:tcBorders>
                    <w:tl2br w:val="nil"/>
                    <w:tr2bl w:val="nil"/>
                  </w:tcBorders>
                  <w:shd w:val="clear" w:color="auto" w:fill="auto"/>
                  <w:vAlign w:val="center"/>
                </w:tcPr>
                <w:p w14:paraId="008F4F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9.5KW</w:t>
                  </w:r>
                </w:p>
              </w:tc>
              <w:tc>
                <w:tcPr>
                  <w:tcW w:w="724" w:type="pct"/>
                  <w:tcBorders>
                    <w:tl2br w:val="nil"/>
                    <w:tr2bl w:val="nil"/>
                  </w:tcBorders>
                  <w:shd w:val="clear" w:color="auto" w:fill="auto"/>
                  <w:vAlign w:val="center"/>
                </w:tcPr>
                <w:p w14:paraId="0673A47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3826848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4A727D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5FEB1D0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115</w:t>
                  </w:r>
                </w:p>
              </w:tc>
              <w:tc>
                <w:tcPr>
                  <w:tcW w:w="926" w:type="pct"/>
                  <w:tcBorders>
                    <w:tl2br w:val="nil"/>
                    <w:tr2bl w:val="nil"/>
                  </w:tcBorders>
                  <w:shd w:val="clear" w:color="auto" w:fill="auto"/>
                  <w:vAlign w:val="center"/>
                </w:tcPr>
                <w:p w14:paraId="7B6954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全自动装配线</w:t>
                  </w:r>
                </w:p>
              </w:tc>
              <w:tc>
                <w:tcPr>
                  <w:tcW w:w="1328" w:type="pct"/>
                  <w:tcBorders>
                    <w:tl2br w:val="nil"/>
                    <w:tr2bl w:val="nil"/>
                  </w:tcBorders>
                  <w:shd w:val="clear" w:color="auto" w:fill="auto"/>
                  <w:vAlign w:val="center"/>
                </w:tcPr>
                <w:p w14:paraId="7FDC5C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YDZD-18A</w:t>
                  </w:r>
                </w:p>
              </w:tc>
              <w:tc>
                <w:tcPr>
                  <w:tcW w:w="790" w:type="pct"/>
                  <w:tcBorders>
                    <w:tl2br w:val="nil"/>
                    <w:tr2bl w:val="nil"/>
                  </w:tcBorders>
                  <w:shd w:val="clear" w:color="auto" w:fill="auto"/>
                  <w:vAlign w:val="center"/>
                </w:tcPr>
                <w:p w14:paraId="179FCCA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6391ED3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3050DE4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663449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66C5FA7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116</w:t>
                  </w:r>
                </w:p>
              </w:tc>
              <w:tc>
                <w:tcPr>
                  <w:tcW w:w="926" w:type="pct"/>
                  <w:tcBorders>
                    <w:tl2br w:val="nil"/>
                    <w:tr2bl w:val="nil"/>
                  </w:tcBorders>
                  <w:shd w:val="clear" w:color="auto" w:fill="auto"/>
                  <w:vAlign w:val="center"/>
                </w:tcPr>
                <w:p w14:paraId="29FEFA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圆柱锂电池回馈式化成分容设备</w:t>
                  </w:r>
                </w:p>
              </w:tc>
              <w:tc>
                <w:tcPr>
                  <w:tcW w:w="1328" w:type="pct"/>
                  <w:tcBorders>
                    <w:tl2br w:val="nil"/>
                    <w:tr2bl w:val="nil"/>
                  </w:tcBorders>
                  <w:shd w:val="clear" w:color="auto" w:fill="auto"/>
                  <w:vAlign w:val="center"/>
                </w:tcPr>
                <w:p w14:paraId="4DBD9D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WP-512-3A-FK</w:t>
                  </w:r>
                </w:p>
              </w:tc>
              <w:tc>
                <w:tcPr>
                  <w:tcW w:w="790" w:type="pct"/>
                  <w:tcBorders>
                    <w:tl2br w:val="nil"/>
                    <w:tr2bl w:val="nil"/>
                  </w:tcBorders>
                  <w:shd w:val="clear" w:color="auto" w:fill="auto"/>
                  <w:vAlign w:val="center"/>
                </w:tcPr>
                <w:p w14:paraId="2425E2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3KW</w:t>
                  </w:r>
                </w:p>
              </w:tc>
              <w:tc>
                <w:tcPr>
                  <w:tcW w:w="724" w:type="pct"/>
                  <w:tcBorders>
                    <w:tl2br w:val="nil"/>
                    <w:tr2bl w:val="nil"/>
                  </w:tcBorders>
                  <w:shd w:val="clear" w:color="auto" w:fill="auto"/>
                  <w:vAlign w:val="center"/>
                </w:tcPr>
                <w:p w14:paraId="3AAC9C0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236</w:t>
                  </w:r>
                </w:p>
              </w:tc>
              <w:tc>
                <w:tcPr>
                  <w:tcW w:w="760" w:type="pct"/>
                  <w:tcBorders>
                    <w:tl2br w:val="nil"/>
                    <w:tr2bl w:val="nil"/>
                  </w:tcBorders>
                  <w:shd w:val="clear" w:color="auto" w:fill="auto"/>
                  <w:vAlign w:val="center"/>
                </w:tcPr>
                <w:p w14:paraId="59B3A32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33D6DB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EAF149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117</w:t>
                  </w:r>
                </w:p>
              </w:tc>
              <w:tc>
                <w:tcPr>
                  <w:tcW w:w="926" w:type="pct"/>
                  <w:tcBorders>
                    <w:tl2br w:val="nil"/>
                    <w:tr2bl w:val="nil"/>
                  </w:tcBorders>
                  <w:shd w:val="clear" w:color="auto" w:fill="auto"/>
                  <w:vAlign w:val="center"/>
                </w:tcPr>
                <w:p w14:paraId="1636B4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18650套膜机</w:t>
                  </w:r>
                </w:p>
              </w:tc>
              <w:tc>
                <w:tcPr>
                  <w:tcW w:w="1328" w:type="pct"/>
                  <w:tcBorders>
                    <w:tl2br w:val="nil"/>
                    <w:tr2bl w:val="nil"/>
                  </w:tcBorders>
                  <w:shd w:val="clear" w:color="auto" w:fill="auto"/>
                  <w:vAlign w:val="center"/>
                </w:tcPr>
                <w:p w14:paraId="423913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SC-TC18Z2</w:t>
                  </w:r>
                </w:p>
              </w:tc>
              <w:tc>
                <w:tcPr>
                  <w:tcW w:w="790" w:type="pct"/>
                  <w:tcBorders>
                    <w:tl2br w:val="nil"/>
                    <w:tr2bl w:val="nil"/>
                  </w:tcBorders>
                  <w:shd w:val="clear" w:color="auto" w:fill="auto"/>
                  <w:vAlign w:val="center"/>
                </w:tcPr>
                <w:p w14:paraId="1FEBC5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1.5KW</w:t>
                  </w:r>
                </w:p>
              </w:tc>
              <w:tc>
                <w:tcPr>
                  <w:tcW w:w="724" w:type="pct"/>
                  <w:tcBorders>
                    <w:tl2br w:val="nil"/>
                    <w:tr2bl w:val="nil"/>
                  </w:tcBorders>
                  <w:shd w:val="clear" w:color="auto" w:fill="auto"/>
                  <w:vAlign w:val="center"/>
                </w:tcPr>
                <w:p w14:paraId="4866479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w:t>
                  </w:r>
                </w:p>
              </w:tc>
              <w:tc>
                <w:tcPr>
                  <w:tcW w:w="760" w:type="pct"/>
                  <w:tcBorders>
                    <w:tl2br w:val="nil"/>
                    <w:tr2bl w:val="nil"/>
                  </w:tcBorders>
                  <w:shd w:val="clear" w:color="auto" w:fill="auto"/>
                  <w:vAlign w:val="center"/>
                </w:tcPr>
                <w:p w14:paraId="4F44C6E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4E15F7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16EB3F3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118</w:t>
                  </w:r>
                </w:p>
              </w:tc>
              <w:tc>
                <w:tcPr>
                  <w:tcW w:w="926" w:type="pct"/>
                  <w:tcBorders>
                    <w:tl2br w:val="nil"/>
                    <w:tr2bl w:val="nil"/>
                  </w:tcBorders>
                  <w:shd w:val="clear" w:color="auto" w:fill="auto"/>
                  <w:vAlign w:val="center"/>
                </w:tcPr>
                <w:p w14:paraId="78054A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18650分选机</w:t>
                  </w:r>
                </w:p>
              </w:tc>
              <w:tc>
                <w:tcPr>
                  <w:tcW w:w="1328" w:type="pct"/>
                  <w:tcBorders>
                    <w:tl2br w:val="nil"/>
                    <w:tr2bl w:val="nil"/>
                  </w:tcBorders>
                  <w:shd w:val="clear" w:color="auto" w:fill="auto"/>
                  <w:vAlign w:val="center"/>
                </w:tcPr>
                <w:p w14:paraId="6D4513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SC-TS05C</w:t>
                  </w:r>
                </w:p>
              </w:tc>
              <w:tc>
                <w:tcPr>
                  <w:tcW w:w="790" w:type="pct"/>
                  <w:tcBorders>
                    <w:tl2br w:val="nil"/>
                    <w:tr2bl w:val="nil"/>
                  </w:tcBorders>
                  <w:shd w:val="clear" w:color="auto" w:fill="auto"/>
                  <w:vAlign w:val="center"/>
                </w:tcPr>
                <w:p w14:paraId="452F80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1.5KW</w:t>
                  </w:r>
                </w:p>
              </w:tc>
              <w:tc>
                <w:tcPr>
                  <w:tcW w:w="724" w:type="pct"/>
                  <w:tcBorders>
                    <w:tl2br w:val="nil"/>
                    <w:tr2bl w:val="nil"/>
                  </w:tcBorders>
                  <w:shd w:val="clear" w:color="auto" w:fill="auto"/>
                  <w:vAlign w:val="center"/>
                </w:tcPr>
                <w:p w14:paraId="5E8611C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3</w:t>
                  </w:r>
                </w:p>
              </w:tc>
              <w:tc>
                <w:tcPr>
                  <w:tcW w:w="760" w:type="pct"/>
                  <w:tcBorders>
                    <w:tl2br w:val="nil"/>
                    <w:tr2bl w:val="nil"/>
                  </w:tcBorders>
                  <w:shd w:val="clear" w:color="auto" w:fill="auto"/>
                  <w:vAlign w:val="center"/>
                </w:tcPr>
                <w:p w14:paraId="342B360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748935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1AA2BF5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119</w:t>
                  </w:r>
                </w:p>
              </w:tc>
              <w:tc>
                <w:tcPr>
                  <w:tcW w:w="926" w:type="pct"/>
                  <w:tcBorders>
                    <w:tl2br w:val="nil"/>
                    <w:tr2bl w:val="nil"/>
                  </w:tcBorders>
                  <w:shd w:val="clear" w:color="auto" w:fill="auto"/>
                  <w:vAlign w:val="center"/>
                </w:tcPr>
                <w:p w14:paraId="0A5B82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圆柱电池测试分选机</w:t>
                  </w:r>
                </w:p>
              </w:tc>
              <w:tc>
                <w:tcPr>
                  <w:tcW w:w="1328" w:type="pct"/>
                  <w:tcBorders>
                    <w:tl2br w:val="nil"/>
                    <w:tr2bl w:val="nil"/>
                  </w:tcBorders>
                  <w:shd w:val="clear" w:color="auto" w:fill="auto"/>
                  <w:vAlign w:val="center"/>
                </w:tcPr>
                <w:p w14:paraId="0B93C4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ST-TS1810C</w:t>
                  </w:r>
                </w:p>
              </w:tc>
              <w:tc>
                <w:tcPr>
                  <w:tcW w:w="790" w:type="pct"/>
                  <w:tcBorders>
                    <w:tl2br w:val="nil"/>
                    <w:tr2bl w:val="nil"/>
                  </w:tcBorders>
                  <w:shd w:val="clear" w:color="auto" w:fill="auto"/>
                  <w:vAlign w:val="center"/>
                </w:tcPr>
                <w:p w14:paraId="6C7A7F9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1.5KW</w:t>
                  </w:r>
                </w:p>
              </w:tc>
              <w:tc>
                <w:tcPr>
                  <w:tcW w:w="724" w:type="pct"/>
                  <w:tcBorders>
                    <w:tl2br w:val="nil"/>
                    <w:tr2bl w:val="nil"/>
                  </w:tcBorders>
                  <w:shd w:val="clear" w:color="auto" w:fill="auto"/>
                  <w:vAlign w:val="center"/>
                </w:tcPr>
                <w:p w14:paraId="15E37C5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6836F69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13C21D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7ED6B7C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120</w:t>
                  </w:r>
                </w:p>
              </w:tc>
              <w:tc>
                <w:tcPr>
                  <w:tcW w:w="926" w:type="pct"/>
                  <w:tcBorders>
                    <w:tl2br w:val="nil"/>
                    <w:tr2bl w:val="nil"/>
                  </w:tcBorders>
                  <w:shd w:val="clear" w:color="auto" w:fill="auto"/>
                  <w:vAlign w:val="center"/>
                </w:tcPr>
                <w:p w14:paraId="4CC02C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电池套标分选一体机</w:t>
                  </w:r>
                </w:p>
              </w:tc>
              <w:tc>
                <w:tcPr>
                  <w:tcW w:w="1328" w:type="pct"/>
                  <w:tcBorders>
                    <w:tl2br w:val="nil"/>
                    <w:tr2bl w:val="nil"/>
                  </w:tcBorders>
                  <w:shd w:val="clear" w:color="auto" w:fill="auto"/>
                  <w:vAlign w:val="center"/>
                </w:tcPr>
                <w:p w14:paraId="18D42B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SC-TC02</w:t>
                  </w:r>
                </w:p>
              </w:tc>
              <w:tc>
                <w:tcPr>
                  <w:tcW w:w="790" w:type="pct"/>
                  <w:tcBorders>
                    <w:tl2br w:val="nil"/>
                    <w:tr2bl w:val="nil"/>
                  </w:tcBorders>
                  <w:shd w:val="clear" w:color="auto" w:fill="auto"/>
                  <w:vAlign w:val="center"/>
                </w:tcPr>
                <w:p w14:paraId="6C835AB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1.5KW</w:t>
                  </w:r>
                </w:p>
              </w:tc>
              <w:tc>
                <w:tcPr>
                  <w:tcW w:w="724" w:type="pct"/>
                  <w:tcBorders>
                    <w:tl2br w:val="nil"/>
                    <w:tr2bl w:val="nil"/>
                  </w:tcBorders>
                  <w:shd w:val="clear" w:color="auto" w:fill="auto"/>
                  <w:vAlign w:val="center"/>
                </w:tcPr>
                <w:p w14:paraId="5B6871C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5FE46DF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44695D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91CBB5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121</w:t>
                  </w:r>
                </w:p>
              </w:tc>
              <w:tc>
                <w:tcPr>
                  <w:tcW w:w="926" w:type="pct"/>
                  <w:tcBorders>
                    <w:tl2br w:val="nil"/>
                    <w:tr2bl w:val="nil"/>
                  </w:tcBorders>
                  <w:shd w:val="clear" w:color="auto" w:fill="auto"/>
                  <w:vAlign w:val="center"/>
                </w:tcPr>
                <w:p w14:paraId="42BF02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10挡分选机</w:t>
                  </w:r>
                </w:p>
              </w:tc>
              <w:tc>
                <w:tcPr>
                  <w:tcW w:w="1328" w:type="pct"/>
                  <w:tcBorders>
                    <w:tl2br w:val="nil"/>
                    <w:tr2bl w:val="nil"/>
                  </w:tcBorders>
                  <w:shd w:val="clear" w:color="auto" w:fill="auto"/>
                  <w:vAlign w:val="center"/>
                </w:tcPr>
                <w:p w14:paraId="7A1CCE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ST-TS1810C</w:t>
                  </w:r>
                </w:p>
              </w:tc>
              <w:tc>
                <w:tcPr>
                  <w:tcW w:w="790" w:type="pct"/>
                  <w:tcBorders>
                    <w:tl2br w:val="nil"/>
                    <w:tr2bl w:val="nil"/>
                  </w:tcBorders>
                  <w:shd w:val="clear" w:color="auto" w:fill="auto"/>
                  <w:vAlign w:val="center"/>
                </w:tcPr>
                <w:p w14:paraId="7B48CFD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1.5KW</w:t>
                  </w:r>
                </w:p>
              </w:tc>
              <w:tc>
                <w:tcPr>
                  <w:tcW w:w="724" w:type="pct"/>
                  <w:tcBorders>
                    <w:tl2br w:val="nil"/>
                    <w:tr2bl w:val="nil"/>
                  </w:tcBorders>
                  <w:shd w:val="clear" w:color="auto" w:fill="auto"/>
                  <w:vAlign w:val="center"/>
                </w:tcPr>
                <w:p w14:paraId="7A31507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3</w:t>
                  </w:r>
                </w:p>
              </w:tc>
              <w:tc>
                <w:tcPr>
                  <w:tcW w:w="760" w:type="pct"/>
                  <w:tcBorders>
                    <w:tl2br w:val="nil"/>
                    <w:tr2bl w:val="nil"/>
                  </w:tcBorders>
                  <w:shd w:val="clear" w:color="auto" w:fill="auto"/>
                  <w:vAlign w:val="center"/>
                </w:tcPr>
                <w:p w14:paraId="3EB6BB4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2A600A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53BF82F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122</w:t>
                  </w:r>
                </w:p>
              </w:tc>
              <w:tc>
                <w:tcPr>
                  <w:tcW w:w="926" w:type="pct"/>
                  <w:tcBorders>
                    <w:tl2br w:val="nil"/>
                    <w:tr2bl w:val="nil"/>
                  </w:tcBorders>
                  <w:shd w:val="clear" w:color="auto" w:fill="auto"/>
                  <w:vAlign w:val="center"/>
                </w:tcPr>
                <w:p w14:paraId="15F12E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圆柱电池测试分选机</w:t>
                  </w:r>
                </w:p>
              </w:tc>
              <w:tc>
                <w:tcPr>
                  <w:tcW w:w="1328" w:type="pct"/>
                  <w:tcBorders>
                    <w:tl2br w:val="nil"/>
                    <w:tr2bl w:val="nil"/>
                  </w:tcBorders>
                  <w:shd w:val="clear" w:color="auto" w:fill="auto"/>
                  <w:vAlign w:val="center"/>
                </w:tcPr>
                <w:p w14:paraId="5C6514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ST-TS1810C</w:t>
                  </w:r>
                </w:p>
              </w:tc>
              <w:tc>
                <w:tcPr>
                  <w:tcW w:w="790" w:type="pct"/>
                  <w:tcBorders>
                    <w:tl2br w:val="nil"/>
                    <w:tr2bl w:val="nil"/>
                  </w:tcBorders>
                  <w:shd w:val="clear" w:color="auto" w:fill="auto"/>
                  <w:vAlign w:val="center"/>
                </w:tcPr>
                <w:p w14:paraId="249915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1.5KW</w:t>
                  </w:r>
                </w:p>
              </w:tc>
              <w:tc>
                <w:tcPr>
                  <w:tcW w:w="724" w:type="pct"/>
                  <w:tcBorders>
                    <w:tl2br w:val="nil"/>
                    <w:tr2bl w:val="nil"/>
                  </w:tcBorders>
                  <w:shd w:val="clear" w:color="auto" w:fill="auto"/>
                  <w:vAlign w:val="center"/>
                </w:tcPr>
                <w:p w14:paraId="1619D79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5412107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1B017A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6C0FB7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123</w:t>
                  </w:r>
                </w:p>
              </w:tc>
              <w:tc>
                <w:tcPr>
                  <w:tcW w:w="926" w:type="pct"/>
                  <w:tcBorders>
                    <w:tl2br w:val="nil"/>
                    <w:tr2bl w:val="nil"/>
                  </w:tcBorders>
                  <w:shd w:val="clear" w:color="auto" w:fill="auto"/>
                  <w:vAlign w:val="center"/>
                </w:tcPr>
                <w:p w14:paraId="13FEB9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激光打标机</w:t>
                  </w:r>
                </w:p>
              </w:tc>
              <w:tc>
                <w:tcPr>
                  <w:tcW w:w="1328" w:type="pct"/>
                  <w:tcBorders>
                    <w:tl2br w:val="nil"/>
                    <w:tr2bl w:val="nil"/>
                  </w:tcBorders>
                  <w:shd w:val="clear" w:color="auto" w:fill="auto"/>
                  <w:vAlign w:val="center"/>
                </w:tcPr>
                <w:p w14:paraId="01984F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20W</w:t>
                  </w:r>
                </w:p>
              </w:tc>
              <w:tc>
                <w:tcPr>
                  <w:tcW w:w="790" w:type="pct"/>
                  <w:tcBorders>
                    <w:tl2br w:val="nil"/>
                    <w:tr2bl w:val="nil"/>
                  </w:tcBorders>
                  <w:shd w:val="clear" w:color="auto" w:fill="auto"/>
                  <w:vAlign w:val="center"/>
                </w:tcPr>
                <w:p w14:paraId="448261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0.5KW</w:t>
                  </w:r>
                </w:p>
              </w:tc>
              <w:tc>
                <w:tcPr>
                  <w:tcW w:w="724" w:type="pct"/>
                  <w:tcBorders>
                    <w:tl2br w:val="nil"/>
                    <w:tr2bl w:val="nil"/>
                  </w:tcBorders>
                  <w:shd w:val="clear" w:color="auto" w:fill="auto"/>
                  <w:vAlign w:val="center"/>
                </w:tcPr>
                <w:p w14:paraId="748EECE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w:t>
                  </w:r>
                </w:p>
              </w:tc>
              <w:tc>
                <w:tcPr>
                  <w:tcW w:w="760" w:type="pct"/>
                  <w:tcBorders>
                    <w:tl2br w:val="nil"/>
                    <w:tr2bl w:val="nil"/>
                  </w:tcBorders>
                  <w:shd w:val="clear" w:color="auto" w:fill="auto"/>
                  <w:vAlign w:val="center"/>
                </w:tcPr>
                <w:p w14:paraId="61899C6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0ADBCC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1AF584E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124</w:t>
                  </w:r>
                </w:p>
              </w:tc>
              <w:tc>
                <w:tcPr>
                  <w:tcW w:w="926" w:type="pct"/>
                  <w:tcBorders>
                    <w:tl2br w:val="nil"/>
                    <w:tr2bl w:val="nil"/>
                  </w:tcBorders>
                  <w:shd w:val="clear" w:color="auto" w:fill="auto"/>
                  <w:vAlign w:val="center"/>
                </w:tcPr>
                <w:p w14:paraId="1A4700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削皮机</w:t>
                  </w:r>
                </w:p>
              </w:tc>
              <w:tc>
                <w:tcPr>
                  <w:tcW w:w="1328" w:type="pct"/>
                  <w:tcBorders>
                    <w:tl2br w:val="nil"/>
                    <w:tr2bl w:val="nil"/>
                  </w:tcBorders>
                  <w:shd w:val="clear" w:color="auto" w:fill="auto"/>
                  <w:vAlign w:val="center"/>
                </w:tcPr>
                <w:p w14:paraId="6B0F8B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SC-XP18D</w:t>
                  </w:r>
                </w:p>
              </w:tc>
              <w:tc>
                <w:tcPr>
                  <w:tcW w:w="790" w:type="pct"/>
                  <w:tcBorders>
                    <w:tl2br w:val="nil"/>
                    <w:tr2bl w:val="nil"/>
                  </w:tcBorders>
                  <w:shd w:val="clear" w:color="auto" w:fill="auto"/>
                  <w:vAlign w:val="center"/>
                </w:tcPr>
                <w:p w14:paraId="6DA4F8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1.5KW</w:t>
                  </w:r>
                </w:p>
              </w:tc>
              <w:tc>
                <w:tcPr>
                  <w:tcW w:w="724" w:type="pct"/>
                  <w:tcBorders>
                    <w:tl2br w:val="nil"/>
                    <w:tr2bl w:val="nil"/>
                  </w:tcBorders>
                  <w:shd w:val="clear" w:color="auto" w:fill="auto"/>
                  <w:vAlign w:val="center"/>
                </w:tcPr>
                <w:p w14:paraId="536DE88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6F9691F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37AAE9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5000" w:type="pct"/>
                  <w:gridSpan w:val="6"/>
                  <w:tcBorders>
                    <w:tl2br w:val="nil"/>
                    <w:tr2bl w:val="nil"/>
                  </w:tcBorders>
                  <w:shd w:val="clear" w:color="auto" w:fill="auto"/>
                  <w:vAlign w:val="center"/>
                </w:tcPr>
                <w:p w14:paraId="5259E02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5车间</w:t>
                  </w:r>
                  <w:r>
                    <w:rPr>
                      <w:rFonts w:hint="eastAsia" w:cs="Times New Roman"/>
                      <w:sz w:val="21"/>
                      <w:szCs w:val="21"/>
                      <w:highlight w:val="none"/>
                      <w:lang w:val="en-US" w:eastAsia="zh-CN"/>
                    </w:rPr>
                    <w:t>（南厂区）</w:t>
                  </w:r>
                </w:p>
              </w:tc>
            </w:tr>
            <w:tr w14:paraId="21365C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31FE94F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125</w:t>
                  </w:r>
                </w:p>
              </w:tc>
              <w:tc>
                <w:tcPr>
                  <w:tcW w:w="926" w:type="pct"/>
                  <w:tcBorders>
                    <w:tl2br w:val="nil"/>
                    <w:tr2bl w:val="nil"/>
                  </w:tcBorders>
                  <w:shd w:val="clear" w:color="auto" w:fill="auto"/>
                  <w:vAlign w:val="center"/>
                </w:tcPr>
                <w:p w14:paraId="35B26A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双行星动力混合搅拌机</w:t>
                  </w:r>
                </w:p>
              </w:tc>
              <w:tc>
                <w:tcPr>
                  <w:tcW w:w="1328" w:type="pct"/>
                  <w:tcBorders>
                    <w:tl2br w:val="nil"/>
                    <w:tr2bl w:val="nil"/>
                  </w:tcBorders>
                  <w:shd w:val="clear" w:color="auto" w:fill="auto"/>
                  <w:vAlign w:val="center"/>
                </w:tcPr>
                <w:p w14:paraId="56E1B6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YS-DPM-650</w:t>
                  </w:r>
                </w:p>
              </w:tc>
              <w:tc>
                <w:tcPr>
                  <w:tcW w:w="790" w:type="pct"/>
                  <w:tcBorders>
                    <w:tl2br w:val="nil"/>
                    <w:tr2bl w:val="nil"/>
                  </w:tcBorders>
                  <w:shd w:val="clear" w:color="auto" w:fill="auto"/>
                  <w:vAlign w:val="center"/>
                </w:tcPr>
                <w:p w14:paraId="68DB22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110KW</w:t>
                  </w:r>
                </w:p>
              </w:tc>
              <w:tc>
                <w:tcPr>
                  <w:tcW w:w="724" w:type="pct"/>
                  <w:tcBorders>
                    <w:tl2br w:val="nil"/>
                    <w:tr2bl w:val="nil"/>
                  </w:tcBorders>
                  <w:shd w:val="clear" w:color="auto" w:fill="auto"/>
                  <w:vAlign w:val="center"/>
                </w:tcPr>
                <w:p w14:paraId="3B8F670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w:t>
                  </w:r>
                </w:p>
              </w:tc>
              <w:tc>
                <w:tcPr>
                  <w:tcW w:w="760" w:type="pct"/>
                  <w:tcBorders>
                    <w:tl2br w:val="nil"/>
                    <w:tr2bl w:val="nil"/>
                  </w:tcBorders>
                  <w:shd w:val="clear" w:color="auto" w:fill="auto"/>
                  <w:vAlign w:val="center"/>
                </w:tcPr>
                <w:p w14:paraId="40EB696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2F3BA4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5F58E1D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126</w:t>
                  </w:r>
                </w:p>
              </w:tc>
              <w:tc>
                <w:tcPr>
                  <w:tcW w:w="926" w:type="pct"/>
                  <w:tcBorders>
                    <w:tl2br w:val="nil"/>
                    <w:tr2bl w:val="nil"/>
                  </w:tcBorders>
                  <w:shd w:val="clear" w:color="auto" w:fill="auto"/>
                  <w:vAlign w:val="center"/>
                </w:tcPr>
                <w:p w14:paraId="42DDA0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DL-双行星动力混合机</w:t>
                  </w:r>
                </w:p>
              </w:tc>
              <w:tc>
                <w:tcPr>
                  <w:tcW w:w="1328" w:type="pct"/>
                  <w:tcBorders>
                    <w:tl2br w:val="nil"/>
                    <w:tr2bl w:val="nil"/>
                  </w:tcBorders>
                  <w:shd w:val="clear" w:color="auto" w:fill="auto"/>
                  <w:vAlign w:val="center"/>
                </w:tcPr>
                <w:p w14:paraId="653950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SXJ-800</w:t>
                  </w:r>
                </w:p>
              </w:tc>
              <w:tc>
                <w:tcPr>
                  <w:tcW w:w="790" w:type="pct"/>
                  <w:tcBorders>
                    <w:tl2br w:val="nil"/>
                    <w:tr2bl w:val="nil"/>
                  </w:tcBorders>
                  <w:shd w:val="clear" w:color="auto" w:fill="auto"/>
                  <w:vAlign w:val="center"/>
                </w:tcPr>
                <w:p w14:paraId="741427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110KW</w:t>
                  </w:r>
                </w:p>
              </w:tc>
              <w:tc>
                <w:tcPr>
                  <w:tcW w:w="724" w:type="pct"/>
                  <w:tcBorders>
                    <w:tl2br w:val="nil"/>
                    <w:tr2bl w:val="nil"/>
                  </w:tcBorders>
                  <w:shd w:val="clear" w:color="auto" w:fill="auto"/>
                  <w:vAlign w:val="center"/>
                </w:tcPr>
                <w:p w14:paraId="650EB25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3</w:t>
                  </w:r>
                </w:p>
              </w:tc>
              <w:tc>
                <w:tcPr>
                  <w:tcW w:w="760" w:type="pct"/>
                  <w:tcBorders>
                    <w:tl2br w:val="nil"/>
                    <w:tr2bl w:val="nil"/>
                  </w:tcBorders>
                  <w:shd w:val="clear" w:color="auto" w:fill="auto"/>
                  <w:vAlign w:val="center"/>
                </w:tcPr>
                <w:p w14:paraId="34469E3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36B1805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1F336F4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127</w:t>
                  </w:r>
                </w:p>
              </w:tc>
              <w:tc>
                <w:tcPr>
                  <w:tcW w:w="926" w:type="pct"/>
                  <w:tcBorders>
                    <w:tl2br w:val="nil"/>
                    <w:tr2bl w:val="nil"/>
                  </w:tcBorders>
                  <w:shd w:val="clear" w:color="auto" w:fill="auto"/>
                  <w:vAlign w:val="center"/>
                </w:tcPr>
                <w:p w14:paraId="046C38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真空上料系统</w:t>
                  </w:r>
                </w:p>
              </w:tc>
              <w:tc>
                <w:tcPr>
                  <w:tcW w:w="1328" w:type="pct"/>
                  <w:tcBorders>
                    <w:tl2br w:val="nil"/>
                    <w:tr2bl w:val="nil"/>
                  </w:tcBorders>
                  <w:shd w:val="clear" w:color="auto" w:fill="auto"/>
                  <w:vAlign w:val="center"/>
                </w:tcPr>
                <w:p w14:paraId="14D9D6D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90" w:type="pct"/>
                  <w:tcBorders>
                    <w:tl2br w:val="nil"/>
                    <w:tr2bl w:val="nil"/>
                  </w:tcBorders>
                  <w:shd w:val="clear" w:color="auto" w:fill="auto"/>
                  <w:vAlign w:val="center"/>
                </w:tcPr>
                <w:p w14:paraId="4F507B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7.5KW</w:t>
                  </w:r>
                </w:p>
              </w:tc>
              <w:tc>
                <w:tcPr>
                  <w:tcW w:w="724" w:type="pct"/>
                  <w:tcBorders>
                    <w:tl2br w:val="nil"/>
                    <w:tr2bl w:val="nil"/>
                  </w:tcBorders>
                  <w:shd w:val="clear" w:color="auto" w:fill="auto"/>
                  <w:vAlign w:val="center"/>
                </w:tcPr>
                <w:p w14:paraId="69B5DD8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4588D0D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05B482C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4A03FB2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128</w:t>
                  </w:r>
                </w:p>
              </w:tc>
              <w:tc>
                <w:tcPr>
                  <w:tcW w:w="926" w:type="pct"/>
                  <w:tcBorders>
                    <w:tl2br w:val="nil"/>
                    <w:tr2bl w:val="nil"/>
                  </w:tcBorders>
                  <w:shd w:val="clear" w:color="auto" w:fill="auto"/>
                  <w:vAlign w:val="center"/>
                </w:tcPr>
                <w:p w14:paraId="46A4D1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正极吨包投料站</w:t>
                  </w:r>
                </w:p>
              </w:tc>
              <w:tc>
                <w:tcPr>
                  <w:tcW w:w="1328" w:type="pct"/>
                  <w:tcBorders>
                    <w:tl2br w:val="nil"/>
                    <w:tr2bl w:val="nil"/>
                  </w:tcBorders>
                  <w:shd w:val="clear" w:color="auto" w:fill="auto"/>
                  <w:vAlign w:val="center"/>
                </w:tcPr>
                <w:p w14:paraId="1A6B172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90" w:type="pct"/>
                  <w:tcBorders>
                    <w:tl2br w:val="nil"/>
                    <w:tr2bl w:val="nil"/>
                  </w:tcBorders>
                  <w:shd w:val="clear" w:color="auto" w:fill="auto"/>
                  <w:vAlign w:val="center"/>
                </w:tcPr>
                <w:p w14:paraId="1B3A1E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7.5KW</w:t>
                  </w:r>
                </w:p>
              </w:tc>
              <w:tc>
                <w:tcPr>
                  <w:tcW w:w="724" w:type="pct"/>
                  <w:tcBorders>
                    <w:tl2br w:val="nil"/>
                    <w:tr2bl w:val="nil"/>
                  </w:tcBorders>
                  <w:shd w:val="clear" w:color="auto" w:fill="auto"/>
                  <w:vAlign w:val="center"/>
                </w:tcPr>
                <w:p w14:paraId="3112CEB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60A2FFD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467A57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024CB0C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129</w:t>
                  </w:r>
                </w:p>
              </w:tc>
              <w:tc>
                <w:tcPr>
                  <w:tcW w:w="926" w:type="pct"/>
                  <w:tcBorders>
                    <w:tl2br w:val="nil"/>
                    <w:tr2bl w:val="nil"/>
                  </w:tcBorders>
                  <w:shd w:val="clear" w:color="auto" w:fill="auto"/>
                  <w:vAlign w:val="center"/>
                </w:tcPr>
                <w:p w14:paraId="7FB456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涂布缓存罐</w:t>
                  </w:r>
                </w:p>
              </w:tc>
              <w:tc>
                <w:tcPr>
                  <w:tcW w:w="1328" w:type="pct"/>
                  <w:tcBorders>
                    <w:tl2br w:val="nil"/>
                    <w:tr2bl w:val="nil"/>
                  </w:tcBorders>
                  <w:shd w:val="clear" w:color="auto" w:fill="auto"/>
                  <w:vAlign w:val="center"/>
                </w:tcPr>
                <w:p w14:paraId="25D0EE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DN1200*1350*5(1300L)</w:t>
                  </w:r>
                </w:p>
              </w:tc>
              <w:tc>
                <w:tcPr>
                  <w:tcW w:w="790" w:type="pct"/>
                  <w:tcBorders>
                    <w:tl2br w:val="nil"/>
                    <w:tr2bl w:val="nil"/>
                  </w:tcBorders>
                  <w:shd w:val="clear" w:color="auto" w:fill="auto"/>
                  <w:vAlign w:val="center"/>
                </w:tcPr>
                <w:p w14:paraId="7F8969C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67D68EF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5</w:t>
                  </w:r>
                </w:p>
              </w:tc>
              <w:tc>
                <w:tcPr>
                  <w:tcW w:w="760" w:type="pct"/>
                  <w:tcBorders>
                    <w:tl2br w:val="nil"/>
                    <w:tr2bl w:val="nil"/>
                  </w:tcBorders>
                  <w:shd w:val="clear" w:color="auto" w:fill="auto"/>
                  <w:vAlign w:val="center"/>
                </w:tcPr>
                <w:p w14:paraId="6EB4D0A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7421E8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0C37150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130</w:t>
                  </w:r>
                </w:p>
              </w:tc>
              <w:tc>
                <w:tcPr>
                  <w:tcW w:w="926" w:type="pct"/>
                  <w:tcBorders>
                    <w:tl2br w:val="nil"/>
                    <w:tr2bl w:val="nil"/>
                  </w:tcBorders>
                  <w:shd w:val="clear" w:color="auto" w:fill="auto"/>
                  <w:vAlign w:val="center"/>
                </w:tcPr>
                <w:p w14:paraId="04F804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打胶机</w:t>
                  </w:r>
                </w:p>
              </w:tc>
              <w:tc>
                <w:tcPr>
                  <w:tcW w:w="1328" w:type="pct"/>
                  <w:tcBorders>
                    <w:tl2br w:val="nil"/>
                    <w:tr2bl w:val="nil"/>
                  </w:tcBorders>
                  <w:shd w:val="clear" w:color="auto" w:fill="auto"/>
                  <w:vAlign w:val="center"/>
                </w:tcPr>
                <w:p w14:paraId="3E62C6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1000L</w:t>
                  </w:r>
                </w:p>
              </w:tc>
              <w:tc>
                <w:tcPr>
                  <w:tcW w:w="790" w:type="pct"/>
                  <w:tcBorders>
                    <w:tl2br w:val="nil"/>
                    <w:tr2bl w:val="nil"/>
                  </w:tcBorders>
                  <w:shd w:val="clear" w:color="auto" w:fill="auto"/>
                  <w:vAlign w:val="center"/>
                </w:tcPr>
                <w:p w14:paraId="11A225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11KW</w:t>
                  </w:r>
                </w:p>
              </w:tc>
              <w:tc>
                <w:tcPr>
                  <w:tcW w:w="724" w:type="pct"/>
                  <w:tcBorders>
                    <w:tl2br w:val="nil"/>
                    <w:tr2bl w:val="nil"/>
                  </w:tcBorders>
                  <w:shd w:val="clear" w:color="auto" w:fill="auto"/>
                  <w:vAlign w:val="center"/>
                </w:tcPr>
                <w:p w14:paraId="6CB49CD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6CDBF51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5B311D0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59CCCD3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131</w:t>
                  </w:r>
                </w:p>
              </w:tc>
              <w:tc>
                <w:tcPr>
                  <w:tcW w:w="926" w:type="pct"/>
                  <w:tcBorders>
                    <w:tl2br w:val="nil"/>
                    <w:tr2bl w:val="nil"/>
                  </w:tcBorders>
                  <w:shd w:val="clear" w:color="auto" w:fill="auto"/>
                  <w:vAlign w:val="center"/>
                </w:tcPr>
                <w:p w14:paraId="47CB4B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双层精密挤压涂布机</w:t>
                  </w:r>
                </w:p>
              </w:tc>
              <w:tc>
                <w:tcPr>
                  <w:tcW w:w="1328" w:type="pct"/>
                  <w:tcBorders>
                    <w:tl2br w:val="nil"/>
                    <w:tr2bl w:val="nil"/>
                  </w:tcBorders>
                  <w:shd w:val="clear" w:color="auto" w:fill="auto"/>
                  <w:vAlign w:val="center"/>
                </w:tcPr>
                <w:p w14:paraId="49EA92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XHPT-7949LS</w:t>
                  </w:r>
                </w:p>
              </w:tc>
              <w:tc>
                <w:tcPr>
                  <w:tcW w:w="790" w:type="pct"/>
                  <w:tcBorders>
                    <w:tl2br w:val="nil"/>
                    <w:tr2bl w:val="nil"/>
                  </w:tcBorders>
                  <w:shd w:val="clear" w:color="auto" w:fill="auto"/>
                  <w:vAlign w:val="center"/>
                </w:tcPr>
                <w:p w14:paraId="255FDC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10KW</w:t>
                  </w:r>
                </w:p>
              </w:tc>
              <w:tc>
                <w:tcPr>
                  <w:tcW w:w="724" w:type="pct"/>
                  <w:tcBorders>
                    <w:tl2br w:val="nil"/>
                    <w:tr2bl w:val="nil"/>
                  </w:tcBorders>
                  <w:shd w:val="clear" w:color="auto" w:fill="auto"/>
                  <w:vAlign w:val="center"/>
                </w:tcPr>
                <w:p w14:paraId="349F2C9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w:t>
                  </w:r>
                </w:p>
              </w:tc>
              <w:tc>
                <w:tcPr>
                  <w:tcW w:w="760" w:type="pct"/>
                  <w:tcBorders>
                    <w:tl2br w:val="nil"/>
                    <w:tr2bl w:val="nil"/>
                  </w:tcBorders>
                  <w:shd w:val="clear" w:color="auto" w:fill="auto"/>
                  <w:vAlign w:val="center"/>
                </w:tcPr>
                <w:p w14:paraId="3B21F70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482EEC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0B3057D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132</w:t>
                  </w:r>
                </w:p>
              </w:tc>
              <w:tc>
                <w:tcPr>
                  <w:tcW w:w="926" w:type="pct"/>
                  <w:tcBorders>
                    <w:tl2br w:val="nil"/>
                    <w:tr2bl w:val="nil"/>
                  </w:tcBorders>
                  <w:shd w:val="clear" w:color="auto" w:fill="auto"/>
                  <w:vAlign w:val="center"/>
                </w:tcPr>
                <w:p w14:paraId="4B6471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连续辊压机</w:t>
                  </w:r>
                </w:p>
              </w:tc>
              <w:tc>
                <w:tcPr>
                  <w:tcW w:w="1328" w:type="pct"/>
                  <w:tcBorders>
                    <w:tl2br w:val="nil"/>
                    <w:tr2bl w:val="nil"/>
                  </w:tcBorders>
                  <w:shd w:val="clear" w:color="auto" w:fill="auto"/>
                  <w:vAlign w:val="center"/>
                </w:tcPr>
                <w:p w14:paraId="55228C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DYG730BH-</w:t>
                  </w:r>
                  <w:r>
                    <w:rPr>
                      <w:rStyle w:val="77"/>
                      <w:rFonts w:hint="default" w:ascii="Times New Roman" w:hAnsi="Times New Roman" w:eastAsia="宋体" w:cs="Times New Roman"/>
                      <w:sz w:val="21"/>
                      <w:szCs w:val="21"/>
                      <w:highlight w:val="none"/>
                      <w:lang w:val="en-US" w:eastAsia="zh-CN" w:bidi="ar"/>
                    </w:rPr>
                    <w:t>ϕ</w:t>
                  </w:r>
                  <w:r>
                    <w:rPr>
                      <w:rStyle w:val="78"/>
                      <w:rFonts w:hint="default" w:ascii="Times New Roman" w:hAnsi="Times New Roman" w:eastAsia="宋体" w:cs="Times New Roman"/>
                      <w:sz w:val="21"/>
                      <w:szCs w:val="21"/>
                      <w:highlight w:val="none"/>
                      <w:lang w:val="en-US" w:eastAsia="zh-CN" w:bidi="ar"/>
                    </w:rPr>
                    <w:t>600/300T</w:t>
                  </w:r>
                </w:p>
              </w:tc>
              <w:tc>
                <w:tcPr>
                  <w:tcW w:w="790" w:type="pct"/>
                  <w:tcBorders>
                    <w:tl2br w:val="nil"/>
                    <w:tr2bl w:val="nil"/>
                  </w:tcBorders>
                  <w:shd w:val="clear" w:color="auto" w:fill="auto"/>
                  <w:vAlign w:val="center"/>
                </w:tcPr>
                <w:p w14:paraId="216AB9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22KW</w:t>
                  </w:r>
                </w:p>
              </w:tc>
              <w:tc>
                <w:tcPr>
                  <w:tcW w:w="724" w:type="pct"/>
                  <w:tcBorders>
                    <w:tl2br w:val="nil"/>
                    <w:tr2bl w:val="nil"/>
                  </w:tcBorders>
                  <w:shd w:val="clear" w:color="auto" w:fill="auto"/>
                  <w:vAlign w:val="center"/>
                </w:tcPr>
                <w:p w14:paraId="631CEA6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w:t>
                  </w:r>
                </w:p>
              </w:tc>
              <w:tc>
                <w:tcPr>
                  <w:tcW w:w="760" w:type="pct"/>
                  <w:tcBorders>
                    <w:tl2br w:val="nil"/>
                    <w:tr2bl w:val="nil"/>
                  </w:tcBorders>
                  <w:shd w:val="clear" w:color="auto" w:fill="auto"/>
                  <w:vAlign w:val="center"/>
                </w:tcPr>
                <w:p w14:paraId="633C8ED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480A82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39E81DF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133</w:t>
                  </w:r>
                </w:p>
              </w:tc>
              <w:tc>
                <w:tcPr>
                  <w:tcW w:w="926" w:type="pct"/>
                  <w:tcBorders>
                    <w:tl2br w:val="nil"/>
                    <w:tr2bl w:val="nil"/>
                  </w:tcBorders>
                  <w:shd w:val="clear" w:color="auto" w:fill="auto"/>
                  <w:vAlign w:val="center"/>
                </w:tcPr>
                <w:p w14:paraId="04180C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自动分条机</w:t>
                  </w:r>
                </w:p>
              </w:tc>
              <w:tc>
                <w:tcPr>
                  <w:tcW w:w="1328" w:type="pct"/>
                  <w:tcBorders>
                    <w:tl2br w:val="nil"/>
                    <w:tr2bl w:val="nil"/>
                  </w:tcBorders>
                  <w:shd w:val="clear" w:color="auto" w:fill="auto"/>
                  <w:vAlign w:val="center"/>
                </w:tcPr>
                <w:p w14:paraId="411117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XFT-750</w:t>
                  </w:r>
                </w:p>
              </w:tc>
              <w:tc>
                <w:tcPr>
                  <w:tcW w:w="790" w:type="pct"/>
                  <w:tcBorders>
                    <w:tl2br w:val="nil"/>
                    <w:tr2bl w:val="nil"/>
                  </w:tcBorders>
                  <w:shd w:val="clear" w:color="auto" w:fill="auto"/>
                  <w:vAlign w:val="center"/>
                </w:tcPr>
                <w:p w14:paraId="630F68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2.2KW</w:t>
                  </w:r>
                </w:p>
              </w:tc>
              <w:tc>
                <w:tcPr>
                  <w:tcW w:w="724" w:type="pct"/>
                  <w:tcBorders>
                    <w:tl2br w:val="nil"/>
                    <w:tr2bl w:val="nil"/>
                  </w:tcBorders>
                  <w:shd w:val="clear" w:color="auto" w:fill="auto"/>
                  <w:vAlign w:val="center"/>
                </w:tcPr>
                <w:p w14:paraId="2EC6AE6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w:t>
                  </w:r>
                </w:p>
              </w:tc>
              <w:tc>
                <w:tcPr>
                  <w:tcW w:w="760" w:type="pct"/>
                  <w:tcBorders>
                    <w:tl2br w:val="nil"/>
                    <w:tr2bl w:val="nil"/>
                  </w:tcBorders>
                  <w:shd w:val="clear" w:color="auto" w:fill="auto"/>
                  <w:vAlign w:val="center"/>
                </w:tcPr>
                <w:p w14:paraId="19E5C9B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7FF8B7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1D3590A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134</w:t>
                  </w:r>
                </w:p>
              </w:tc>
              <w:tc>
                <w:tcPr>
                  <w:tcW w:w="926" w:type="pct"/>
                  <w:tcBorders>
                    <w:tl2br w:val="nil"/>
                    <w:tr2bl w:val="nil"/>
                  </w:tcBorders>
                  <w:shd w:val="clear" w:color="auto" w:fill="auto"/>
                  <w:vAlign w:val="center"/>
                </w:tcPr>
                <w:p w14:paraId="215282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全自动制片机</w:t>
                  </w:r>
                </w:p>
              </w:tc>
              <w:tc>
                <w:tcPr>
                  <w:tcW w:w="1328" w:type="pct"/>
                  <w:tcBorders>
                    <w:tl2br w:val="nil"/>
                    <w:tr2bl w:val="nil"/>
                  </w:tcBorders>
                  <w:shd w:val="clear" w:color="auto" w:fill="auto"/>
                  <w:vAlign w:val="center"/>
                </w:tcPr>
                <w:p w14:paraId="563546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ZY-B-H2T2-G</w:t>
                  </w:r>
                </w:p>
              </w:tc>
              <w:tc>
                <w:tcPr>
                  <w:tcW w:w="790" w:type="pct"/>
                  <w:tcBorders>
                    <w:tl2br w:val="nil"/>
                    <w:tr2bl w:val="nil"/>
                  </w:tcBorders>
                  <w:shd w:val="clear" w:color="auto" w:fill="auto"/>
                  <w:vAlign w:val="center"/>
                </w:tcPr>
                <w:p w14:paraId="56A5C55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07C36BE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30</w:t>
                  </w:r>
                </w:p>
              </w:tc>
              <w:tc>
                <w:tcPr>
                  <w:tcW w:w="760" w:type="pct"/>
                  <w:tcBorders>
                    <w:tl2br w:val="nil"/>
                    <w:tr2bl w:val="nil"/>
                  </w:tcBorders>
                  <w:shd w:val="clear" w:color="auto" w:fill="auto"/>
                  <w:vAlign w:val="center"/>
                </w:tcPr>
                <w:p w14:paraId="038AF6A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新增设备</w:t>
                  </w:r>
                </w:p>
              </w:tc>
            </w:tr>
            <w:tr w14:paraId="5F8CEF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54148B6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135</w:t>
                  </w:r>
                </w:p>
              </w:tc>
              <w:tc>
                <w:tcPr>
                  <w:tcW w:w="926" w:type="pct"/>
                  <w:tcBorders>
                    <w:tl2br w:val="nil"/>
                    <w:tr2bl w:val="nil"/>
                  </w:tcBorders>
                  <w:shd w:val="clear" w:color="auto" w:fill="auto"/>
                  <w:vAlign w:val="center"/>
                </w:tcPr>
                <w:p w14:paraId="0DD5BC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回馈式针床化成检测设备</w:t>
                  </w:r>
                </w:p>
              </w:tc>
              <w:tc>
                <w:tcPr>
                  <w:tcW w:w="1328" w:type="pct"/>
                  <w:tcBorders>
                    <w:tl2br w:val="nil"/>
                    <w:tr2bl w:val="nil"/>
                  </w:tcBorders>
                  <w:shd w:val="clear" w:color="auto" w:fill="auto"/>
                  <w:vAlign w:val="center"/>
                </w:tcPr>
                <w:p w14:paraId="5AD5D8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WP-1280CH-1A-FK </w:t>
                  </w:r>
                </w:p>
              </w:tc>
              <w:tc>
                <w:tcPr>
                  <w:tcW w:w="790" w:type="pct"/>
                  <w:tcBorders>
                    <w:tl2br w:val="nil"/>
                    <w:tr2bl w:val="nil"/>
                  </w:tcBorders>
                  <w:shd w:val="clear" w:color="auto" w:fill="auto"/>
                  <w:vAlign w:val="center"/>
                </w:tcPr>
                <w:p w14:paraId="6F4DE19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0537253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195</w:t>
                  </w:r>
                </w:p>
              </w:tc>
              <w:tc>
                <w:tcPr>
                  <w:tcW w:w="760" w:type="pct"/>
                  <w:tcBorders>
                    <w:tl2br w:val="nil"/>
                    <w:tr2bl w:val="nil"/>
                  </w:tcBorders>
                  <w:shd w:val="clear" w:color="auto" w:fill="auto"/>
                  <w:vAlign w:val="center"/>
                </w:tcPr>
                <w:p w14:paraId="7206E5C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新增设备</w:t>
                  </w:r>
                </w:p>
              </w:tc>
            </w:tr>
            <w:tr w14:paraId="55C019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0C200D6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136</w:t>
                  </w:r>
                </w:p>
              </w:tc>
              <w:tc>
                <w:tcPr>
                  <w:tcW w:w="926" w:type="pct"/>
                  <w:tcBorders>
                    <w:tl2br w:val="nil"/>
                    <w:tr2bl w:val="nil"/>
                  </w:tcBorders>
                  <w:shd w:val="clear" w:color="auto" w:fill="auto"/>
                  <w:vAlign w:val="center"/>
                </w:tcPr>
                <w:p w14:paraId="22ABC3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自动上料机</w:t>
                  </w:r>
                </w:p>
              </w:tc>
              <w:tc>
                <w:tcPr>
                  <w:tcW w:w="1328" w:type="pct"/>
                  <w:tcBorders>
                    <w:tl2br w:val="nil"/>
                    <w:tr2bl w:val="nil"/>
                  </w:tcBorders>
                  <w:shd w:val="clear" w:color="auto" w:fill="auto"/>
                  <w:vAlign w:val="center"/>
                </w:tcPr>
                <w:p w14:paraId="71EEB5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18650</w:t>
                  </w:r>
                </w:p>
              </w:tc>
              <w:tc>
                <w:tcPr>
                  <w:tcW w:w="790" w:type="pct"/>
                  <w:tcBorders>
                    <w:tl2br w:val="nil"/>
                    <w:tr2bl w:val="nil"/>
                  </w:tcBorders>
                  <w:shd w:val="clear" w:color="auto" w:fill="auto"/>
                  <w:vAlign w:val="center"/>
                </w:tcPr>
                <w:p w14:paraId="4C0445F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1000FB6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19</w:t>
                  </w:r>
                </w:p>
              </w:tc>
              <w:tc>
                <w:tcPr>
                  <w:tcW w:w="760" w:type="pct"/>
                  <w:tcBorders>
                    <w:tl2br w:val="nil"/>
                    <w:tr2bl w:val="nil"/>
                  </w:tcBorders>
                  <w:shd w:val="clear" w:color="auto" w:fill="auto"/>
                  <w:vAlign w:val="center"/>
                </w:tcPr>
                <w:p w14:paraId="4071800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新增设备</w:t>
                  </w:r>
                </w:p>
              </w:tc>
            </w:tr>
            <w:tr w14:paraId="4FEEC6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586FB0F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137</w:t>
                  </w:r>
                </w:p>
              </w:tc>
              <w:tc>
                <w:tcPr>
                  <w:tcW w:w="926" w:type="pct"/>
                  <w:tcBorders>
                    <w:tl2br w:val="nil"/>
                    <w:tr2bl w:val="nil"/>
                  </w:tcBorders>
                  <w:shd w:val="clear" w:color="auto" w:fill="auto"/>
                  <w:vAlign w:val="center"/>
                </w:tcPr>
                <w:p w14:paraId="255EE3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自动装盒机（双通道）</w:t>
                  </w:r>
                </w:p>
              </w:tc>
              <w:tc>
                <w:tcPr>
                  <w:tcW w:w="1328" w:type="pct"/>
                  <w:tcBorders>
                    <w:tl2br w:val="nil"/>
                    <w:tr2bl w:val="nil"/>
                  </w:tcBorders>
                  <w:shd w:val="clear" w:color="auto" w:fill="auto"/>
                  <w:vAlign w:val="center"/>
                </w:tcPr>
                <w:p w14:paraId="44CF83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18650</w:t>
                  </w:r>
                </w:p>
              </w:tc>
              <w:tc>
                <w:tcPr>
                  <w:tcW w:w="790" w:type="pct"/>
                  <w:tcBorders>
                    <w:tl2br w:val="nil"/>
                    <w:tr2bl w:val="nil"/>
                  </w:tcBorders>
                  <w:shd w:val="clear" w:color="auto" w:fill="auto"/>
                  <w:vAlign w:val="center"/>
                </w:tcPr>
                <w:p w14:paraId="735094E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4AEAA60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8</w:t>
                  </w:r>
                </w:p>
              </w:tc>
              <w:tc>
                <w:tcPr>
                  <w:tcW w:w="760" w:type="pct"/>
                  <w:tcBorders>
                    <w:tl2br w:val="nil"/>
                    <w:tr2bl w:val="nil"/>
                  </w:tcBorders>
                  <w:shd w:val="clear" w:color="auto" w:fill="auto"/>
                  <w:vAlign w:val="center"/>
                </w:tcPr>
                <w:p w14:paraId="738F2F5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新增设备</w:t>
                  </w:r>
                </w:p>
              </w:tc>
            </w:tr>
            <w:tr w14:paraId="3B216B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46B9DDD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138</w:t>
                  </w:r>
                </w:p>
              </w:tc>
              <w:tc>
                <w:tcPr>
                  <w:tcW w:w="926" w:type="pct"/>
                  <w:tcBorders>
                    <w:tl2br w:val="nil"/>
                    <w:tr2bl w:val="nil"/>
                  </w:tcBorders>
                  <w:shd w:val="clear" w:color="auto" w:fill="auto"/>
                  <w:vAlign w:val="center"/>
                </w:tcPr>
                <w:p w14:paraId="035E3D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40K超声波金属焊接机</w:t>
                  </w:r>
                </w:p>
              </w:tc>
              <w:tc>
                <w:tcPr>
                  <w:tcW w:w="1328" w:type="pct"/>
                  <w:tcBorders>
                    <w:tl2br w:val="nil"/>
                    <w:tr2bl w:val="nil"/>
                  </w:tcBorders>
                  <w:shd w:val="clear" w:color="auto" w:fill="auto"/>
                  <w:vAlign w:val="center"/>
                </w:tcPr>
                <w:p w14:paraId="72AB6B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NP-C-40-700VA</w:t>
                  </w:r>
                </w:p>
              </w:tc>
              <w:tc>
                <w:tcPr>
                  <w:tcW w:w="790" w:type="pct"/>
                  <w:tcBorders>
                    <w:tl2br w:val="nil"/>
                    <w:tr2bl w:val="nil"/>
                  </w:tcBorders>
                  <w:shd w:val="clear" w:color="auto" w:fill="auto"/>
                  <w:vAlign w:val="center"/>
                </w:tcPr>
                <w:p w14:paraId="136D5E2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2C81652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6A0CB4A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7D090C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38DD572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139</w:t>
                  </w:r>
                </w:p>
              </w:tc>
              <w:tc>
                <w:tcPr>
                  <w:tcW w:w="926" w:type="pct"/>
                  <w:tcBorders>
                    <w:tl2br w:val="nil"/>
                    <w:tr2bl w:val="nil"/>
                  </w:tcBorders>
                  <w:shd w:val="clear" w:color="auto" w:fill="auto"/>
                  <w:vAlign w:val="center"/>
                </w:tcPr>
                <w:p w14:paraId="07C755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手动贴胶机</w:t>
                  </w:r>
                </w:p>
              </w:tc>
              <w:tc>
                <w:tcPr>
                  <w:tcW w:w="1328" w:type="pct"/>
                  <w:tcBorders>
                    <w:tl2br w:val="nil"/>
                    <w:tr2bl w:val="nil"/>
                  </w:tcBorders>
                  <w:shd w:val="clear" w:color="auto" w:fill="auto"/>
                  <w:vAlign w:val="center"/>
                </w:tcPr>
                <w:p w14:paraId="56FBDA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TJA078</w:t>
                  </w:r>
                </w:p>
              </w:tc>
              <w:tc>
                <w:tcPr>
                  <w:tcW w:w="790" w:type="pct"/>
                  <w:tcBorders>
                    <w:tl2br w:val="nil"/>
                    <w:tr2bl w:val="nil"/>
                  </w:tcBorders>
                  <w:shd w:val="clear" w:color="auto" w:fill="auto"/>
                  <w:vAlign w:val="center"/>
                </w:tcPr>
                <w:p w14:paraId="52ABB08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3BEC88C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1716173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268886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625BFA1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140</w:t>
                  </w:r>
                </w:p>
              </w:tc>
              <w:tc>
                <w:tcPr>
                  <w:tcW w:w="926" w:type="pct"/>
                  <w:tcBorders>
                    <w:tl2br w:val="nil"/>
                    <w:tr2bl w:val="nil"/>
                  </w:tcBorders>
                  <w:shd w:val="clear" w:color="auto" w:fill="auto"/>
                  <w:vAlign w:val="center"/>
                </w:tcPr>
                <w:p w14:paraId="3CA0D7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全自动卷绕机</w:t>
                  </w:r>
                </w:p>
              </w:tc>
              <w:tc>
                <w:tcPr>
                  <w:tcW w:w="1328" w:type="pct"/>
                  <w:tcBorders>
                    <w:tl2br w:val="nil"/>
                    <w:tr2bl w:val="nil"/>
                  </w:tcBorders>
                  <w:shd w:val="clear" w:color="auto" w:fill="auto"/>
                  <w:vAlign w:val="center"/>
                </w:tcPr>
                <w:p w14:paraId="4EAF4F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ZY-18/65-L</w:t>
                  </w:r>
                </w:p>
              </w:tc>
              <w:tc>
                <w:tcPr>
                  <w:tcW w:w="790" w:type="pct"/>
                  <w:tcBorders>
                    <w:tl2br w:val="nil"/>
                    <w:tr2bl w:val="nil"/>
                  </w:tcBorders>
                  <w:shd w:val="clear" w:color="auto" w:fill="auto"/>
                  <w:vAlign w:val="center"/>
                </w:tcPr>
                <w:p w14:paraId="210138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10KW</w:t>
                  </w:r>
                </w:p>
              </w:tc>
              <w:tc>
                <w:tcPr>
                  <w:tcW w:w="724" w:type="pct"/>
                  <w:tcBorders>
                    <w:tl2br w:val="nil"/>
                    <w:tr2bl w:val="nil"/>
                  </w:tcBorders>
                  <w:shd w:val="clear" w:color="auto" w:fill="auto"/>
                  <w:vAlign w:val="center"/>
                </w:tcPr>
                <w:p w14:paraId="1F18361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46</w:t>
                  </w:r>
                </w:p>
              </w:tc>
              <w:tc>
                <w:tcPr>
                  <w:tcW w:w="760" w:type="pct"/>
                  <w:tcBorders>
                    <w:tl2br w:val="nil"/>
                    <w:tr2bl w:val="nil"/>
                  </w:tcBorders>
                  <w:shd w:val="clear" w:color="auto" w:fill="auto"/>
                  <w:vAlign w:val="center"/>
                </w:tcPr>
                <w:p w14:paraId="5DAF2DC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41732A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F833C6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141</w:t>
                  </w:r>
                </w:p>
              </w:tc>
              <w:tc>
                <w:tcPr>
                  <w:tcW w:w="926" w:type="pct"/>
                  <w:tcBorders>
                    <w:tl2br w:val="nil"/>
                    <w:tr2bl w:val="nil"/>
                  </w:tcBorders>
                  <w:shd w:val="clear" w:color="auto" w:fill="auto"/>
                  <w:vAlign w:val="center"/>
                </w:tcPr>
                <w:p w14:paraId="03E209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手动卷绕机</w:t>
                  </w:r>
                </w:p>
              </w:tc>
              <w:tc>
                <w:tcPr>
                  <w:tcW w:w="1328" w:type="pct"/>
                  <w:tcBorders>
                    <w:tl2br w:val="nil"/>
                    <w:tr2bl w:val="nil"/>
                  </w:tcBorders>
                  <w:shd w:val="clear" w:color="auto" w:fill="auto"/>
                  <w:vAlign w:val="center"/>
                </w:tcPr>
                <w:p w14:paraId="42F0DE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65919</w:t>
                  </w:r>
                </w:p>
              </w:tc>
              <w:tc>
                <w:tcPr>
                  <w:tcW w:w="790" w:type="pct"/>
                  <w:tcBorders>
                    <w:tl2br w:val="nil"/>
                    <w:tr2bl w:val="nil"/>
                  </w:tcBorders>
                  <w:shd w:val="clear" w:color="auto" w:fill="auto"/>
                  <w:vAlign w:val="center"/>
                </w:tcPr>
                <w:p w14:paraId="7DFFCB7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3216362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3</w:t>
                  </w:r>
                </w:p>
              </w:tc>
              <w:tc>
                <w:tcPr>
                  <w:tcW w:w="760" w:type="pct"/>
                  <w:tcBorders>
                    <w:tl2br w:val="nil"/>
                    <w:tr2bl w:val="nil"/>
                  </w:tcBorders>
                  <w:shd w:val="clear" w:color="auto" w:fill="auto"/>
                  <w:vAlign w:val="center"/>
                </w:tcPr>
                <w:p w14:paraId="147EE74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3BCF0D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0C666E3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142</w:t>
                  </w:r>
                </w:p>
              </w:tc>
              <w:tc>
                <w:tcPr>
                  <w:tcW w:w="926" w:type="pct"/>
                  <w:tcBorders>
                    <w:tl2br w:val="nil"/>
                    <w:tr2bl w:val="nil"/>
                  </w:tcBorders>
                  <w:shd w:val="clear" w:color="auto" w:fill="auto"/>
                  <w:vAlign w:val="center"/>
                </w:tcPr>
                <w:p w14:paraId="693307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全自动入壳机</w:t>
                  </w:r>
                </w:p>
              </w:tc>
              <w:tc>
                <w:tcPr>
                  <w:tcW w:w="1328" w:type="pct"/>
                  <w:tcBorders>
                    <w:tl2br w:val="nil"/>
                    <w:tr2bl w:val="nil"/>
                  </w:tcBorders>
                  <w:shd w:val="clear" w:color="auto" w:fill="auto"/>
                  <w:vAlign w:val="center"/>
                </w:tcPr>
                <w:p w14:paraId="0D4C57E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90" w:type="pct"/>
                  <w:tcBorders>
                    <w:tl2br w:val="nil"/>
                    <w:tr2bl w:val="nil"/>
                  </w:tcBorders>
                  <w:shd w:val="clear" w:color="auto" w:fill="auto"/>
                  <w:vAlign w:val="center"/>
                </w:tcPr>
                <w:p w14:paraId="08D298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2KW</w:t>
                  </w:r>
                </w:p>
              </w:tc>
              <w:tc>
                <w:tcPr>
                  <w:tcW w:w="724" w:type="pct"/>
                  <w:tcBorders>
                    <w:tl2br w:val="nil"/>
                    <w:tr2bl w:val="nil"/>
                  </w:tcBorders>
                  <w:shd w:val="clear" w:color="auto" w:fill="auto"/>
                  <w:vAlign w:val="center"/>
                </w:tcPr>
                <w:p w14:paraId="4AC7757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43</w:t>
                  </w:r>
                </w:p>
              </w:tc>
              <w:tc>
                <w:tcPr>
                  <w:tcW w:w="760" w:type="pct"/>
                  <w:tcBorders>
                    <w:tl2br w:val="nil"/>
                    <w:tr2bl w:val="nil"/>
                  </w:tcBorders>
                  <w:shd w:val="clear" w:color="auto" w:fill="auto"/>
                  <w:vAlign w:val="center"/>
                </w:tcPr>
                <w:p w14:paraId="169BBC2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6FDBEF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0BD7AB9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143</w:t>
                  </w:r>
                </w:p>
              </w:tc>
              <w:tc>
                <w:tcPr>
                  <w:tcW w:w="926" w:type="pct"/>
                  <w:tcBorders>
                    <w:tl2br w:val="nil"/>
                    <w:tr2bl w:val="nil"/>
                  </w:tcBorders>
                  <w:shd w:val="clear" w:color="auto" w:fill="auto"/>
                  <w:vAlign w:val="center"/>
                </w:tcPr>
                <w:p w14:paraId="629848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18650入壳收盒机</w:t>
                  </w:r>
                </w:p>
              </w:tc>
              <w:tc>
                <w:tcPr>
                  <w:tcW w:w="1328" w:type="pct"/>
                  <w:tcBorders>
                    <w:tl2br w:val="nil"/>
                    <w:tr2bl w:val="nil"/>
                  </w:tcBorders>
                  <w:shd w:val="clear" w:color="auto" w:fill="auto"/>
                  <w:vAlign w:val="center"/>
                </w:tcPr>
                <w:p w14:paraId="003B46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HYX-RKJ-18650</w:t>
                  </w:r>
                </w:p>
              </w:tc>
              <w:tc>
                <w:tcPr>
                  <w:tcW w:w="790" w:type="pct"/>
                  <w:tcBorders>
                    <w:tl2br w:val="nil"/>
                    <w:tr2bl w:val="nil"/>
                  </w:tcBorders>
                  <w:shd w:val="clear" w:color="auto" w:fill="auto"/>
                  <w:vAlign w:val="center"/>
                </w:tcPr>
                <w:p w14:paraId="76FD0B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1KW</w:t>
                  </w:r>
                </w:p>
              </w:tc>
              <w:tc>
                <w:tcPr>
                  <w:tcW w:w="724" w:type="pct"/>
                  <w:tcBorders>
                    <w:tl2br w:val="nil"/>
                    <w:tr2bl w:val="nil"/>
                  </w:tcBorders>
                  <w:shd w:val="clear" w:color="auto" w:fill="auto"/>
                  <w:vAlign w:val="center"/>
                </w:tcPr>
                <w:p w14:paraId="093E3D7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3</w:t>
                  </w:r>
                </w:p>
              </w:tc>
              <w:tc>
                <w:tcPr>
                  <w:tcW w:w="760" w:type="pct"/>
                  <w:tcBorders>
                    <w:tl2br w:val="nil"/>
                    <w:tr2bl w:val="nil"/>
                  </w:tcBorders>
                  <w:shd w:val="clear" w:color="auto" w:fill="auto"/>
                  <w:vAlign w:val="center"/>
                </w:tcPr>
                <w:p w14:paraId="0BA97D4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5773F6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3088475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144</w:t>
                  </w:r>
                </w:p>
              </w:tc>
              <w:tc>
                <w:tcPr>
                  <w:tcW w:w="926" w:type="pct"/>
                  <w:tcBorders>
                    <w:tl2br w:val="nil"/>
                    <w:tr2bl w:val="nil"/>
                  </w:tcBorders>
                  <w:shd w:val="clear" w:color="auto" w:fill="auto"/>
                  <w:vAlign w:val="center"/>
                </w:tcPr>
                <w:p w14:paraId="4DFEF0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自动入壳机</w:t>
                  </w:r>
                </w:p>
              </w:tc>
              <w:tc>
                <w:tcPr>
                  <w:tcW w:w="1328" w:type="pct"/>
                  <w:tcBorders>
                    <w:tl2br w:val="nil"/>
                    <w:tr2bl w:val="nil"/>
                  </w:tcBorders>
                  <w:shd w:val="clear" w:color="auto" w:fill="auto"/>
                  <w:vAlign w:val="center"/>
                </w:tcPr>
                <w:p w14:paraId="0ACB2B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XN-RK18A</w:t>
                  </w:r>
                </w:p>
              </w:tc>
              <w:tc>
                <w:tcPr>
                  <w:tcW w:w="790" w:type="pct"/>
                  <w:tcBorders>
                    <w:tl2br w:val="nil"/>
                    <w:tr2bl w:val="nil"/>
                  </w:tcBorders>
                  <w:shd w:val="clear" w:color="auto" w:fill="auto"/>
                  <w:vAlign w:val="center"/>
                </w:tcPr>
                <w:p w14:paraId="5D77EC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2KW</w:t>
                  </w:r>
                </w:p>
              </w:tc>
              <w:tc>
                <w:tcPr>
                  <w:tcW w:w="724" w:type="pct"/>
                  <w:tcBorders>
                    <w:tl2br w:val="nil"/>
                    <w:tr2bl w:val="nil"/>
                  </w:tcBorders>
                  <w:shd w:val="clear" w:color="auto" w:fill="auto"/>
                  <w:vAlign w:val="center"/>
                </w:tcPr>
                <w:p w14:paraId="70E2390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19C5B9E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75C4AC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08169AB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145</w:t>
                  </w:r>
                </w:p>
              </w:tc>
              <w:tc>
                <w:tcPr>
                  <w:tcW w:w="926" w:type="pct"/>
                  <w:tcBorders>
                    <w:tl2br w:val="nil"/>
                    <w:tr2bl w:val="nil"/>
                  </w:tcBorders>
                  <w:shd w:val="clear" w:color="auto" w:fill="auto"/>
                  <w:vAlign w:val="center"/>
                </w:tcPr>
                <w:p w14:paraId="63EAF3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全自动装配线</w:t>
                  </w:r>
                </w:p>
              </w:tc>
              <w:tc>
                <w:tcPr>
                  <w:tcW w:w="1328" w:type="pct"/>
                  <w:tcBorders>
                    <w:tl2br w:val="nil"/>
                    <w:tr2bl w:val="nil"/>
                  </w:tcBorders>
                  <w:shd w:val="clear" w:color="auto" w:fill="auto"/>
                  <w:vAlign w:val="center"/>
                </w:tcPr>
                <w:p w14:paraId="2129EA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YDZD-18A</w:t>
                  </w:r>
                </w:p>
              </w:tc>
              <w:tc>
                <w:tcPr>
                  <w:tcW w:w="790" w:type="pct"/>
                  <w:tcBorders>
                    <w:tl2br w:val="nil"/>
                    <w:tr2bl w:val="nil"/>
                  </w:tcBorders>
                  <w:shd w:val="clear" w:color="auto" w:fill="auto"/>
                  <w:vAlign w:val="center"/>
                </w:tcPr>
                <w:p w14:paraId="77DDB5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1.5KW</w:t>
                  </w:r>
                </w:p>
              </w:tc>
              <w:tc>
                <w:tcPr>
                  <w:tcW w:w="724" w:type="pct"/>
                  <w:tcBorders>
                    <w:tl2br w:val="nil"/>
                    <w:tr2bl w:val="nil"/>
                  </w:tcBorders>
                  <w:shd w:val="clear" w:color="auto" w:fill="auto"/>
                  <w:vAlign w:val="center"/>
                </w:tcPr>
                <w:p w14:paraId="7AA098C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32</w:t>
                  </w:r>
                </w:p>
              </w:tc>
              <w:tc>
                <w:tcPr>
                  <w:tcW w:w="760" w:type="pct"/>
                  <w:tcBorders>
                    <w:tl2br w:val="nil"/>
                    <w:tr2bl w:val="nil"/>
                  </w:tcBorders>
                  <w:shd w:val="clear" w:color="auto" w:fill="auto"/>
                  <w:vAlign w:val="center"/>
                </w:tcPr>
                <w:p w14:paraId="5547D79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760B26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4F5ADAD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146</w:t>
                  </w:r>
                </w:p>
              </w:tc>
              <w:tc>
                <w:tcPr>
                  <w:tcW w:w="926" w:type="pct"/>
                  <w:tcBorders>
                    <w:tl2br w:val="nil"/>
                    <w:tr2bl w:val="nil"/>
                  </w:tcBorders>
                  <w:shd w:val="clear" w:color="auto" w:fill="auto"/>
                  <w:vAlign w:val="center"/>
                </w:tcPr>
                <w:p w14:paraId="5832BB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一拖四注液泵</w:t>
                  </w:r>
                </w:p>
              </w:tc>
              <w:tc>
                <w:tcPr>
                  <w:tcW w:w="1328" w:type="pct"/>
                  <w:tcBorders>
                    <w:tl2br w:val="nil"/>
                    <w:tr2bl w:val="nil"/>
                  </w:tcBorders>
                  <w:shd w:val="clear" w:color="auto" w:fill="auto"/>
                  <w:vAlign w:val="center"/>
                </w:tcPr>
                <w:p w14:paraId="3AF9942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90" w:type="pct"/>
                  <w:tcBorders>
                    <w:tl2br w:val="nil"/>
                    <w:tr2bl w:val="nil"/>
                  </w:tcBorders>
                  <w:shd w:val="clear" w:color="auto" w:fill="auto"/>
                  <w:vAlign w:val="center"/>
                </w:tcPr>
                <w:p w14:paraId="28A2D1D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0174013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32</w:t>
                  </w:r>
                </w:p>
              </w:tc>
              <w:tc>
                <w:tcPr>
                  <w:tcW w:w="760" w:type="pct"/>
                  <w:tcBorders>
                    <w:tl2br w:val="nil"/>
                    <w:tr2bl w:val="nil"/>
                  </w:tcBorders>
                  <w:shd w:val="clear" w:color="auto" w:fill="auto"/>
                  <w:vAlign w:val="center"/>
                </w:tcPr>
                <w:p w14:paraId="6B6157F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33D060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5902B75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147</w:t>
                  </w:r>
                </w:p>
              </w:tc>
              <w:tc>
                <w:tcPr>
                  <w:tcW w:w="926" w:type="pct"/>
                  <w:tcBorders>
                    <w:tl2br w:val="nil"/>
                    <w:tr2bl w:val="nil"/>
                  </w:tcBorders>
                  <w:shd w:val="clear" w:color="auto" w:fill="auto"/>
                  <w:vAlign w:val="center"/>
                </w:tcPr>
                <w:p w14:paraId="154890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高真空泵烤箱</w:t>
                  </w:r>
                </w:p>
              </w:tc>
              <w:tc>
                <w:tcPr>
                  <w:tcW w:w="1328" w:type="pct"/>
                  <w:tcBorders>
                    <w:tl2br w:val="nil"/>
                    <w:tr2bl w:val="nil"/>
                  </w:tcBorders>
                  <w:shd w:val="clear" w:color="auto" w:fill="auto"/>
                  <w:vAlign w:val="center"/>
                </w:tcPr>
                <w:p w14:paraId="47DDDF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ZRJX-G320-D</w:t>
                  </w:r>
                </w:p>
              </w:tc>
              <w:tc>
                <w:tcPr>
                  <w:tcW w:w="790" w:type="pct"/>
                  <w:tcBorders>
                    <w:tl2br w:val="nil"/>
                    <w:tr2bl w:val="nil"/>
                  </w:tcBorders>
                  <w:shd w:val="clear" w:color="auto" w:fill="auto"/>
                  <w:vAlign w:val="center"/>
                </w:tcPr>
                <w:p w14:paraId="09B4E7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9.5KW</w:t>
                  </w:r>
                </w:p>
              </w:tc>
              <w:tc>
                <w:tcPr>
                  <w:tcW w:w="724" w:type="pct"/>
                  <w:tcBorders>
                    <w:tl2br w:val="nil"/>
                    <w:tr2bl w:val="nil"/>
                  </w:tcBorders>
                  <w:shd w:val="clear" w:color="auto" w:fill="auto"/>
                  <w:vAlign w:val="center"/>
                </w:tcPr>
                <w:p w14:paraId="5C40F79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w:t>
                  </w:r>
                </w:p>
              </w:tc>
              <w:tc>
                <w:tcPr>
                  <w:tcW w:w="760" w:type="pct"/>
                  <w:tcBorders>
                    <w:tl2br w:val="nil"/>
                    <w:tr2bl w:val="nil"/>
                  </w:tcBorders>
                  <w:shd w:val="clear" w:color="auto" w:fill="auto"/>
                  <w:vAlign w:val="center"/>
                </w:tcPr>
                <w:p w14:paraId="7A1E7C0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6E2313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00BC97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148</w:t>
                  </w:r>
                </w:p>
              </w:tc>
              <w:tc>
                <w:tcPr>
                  <w:tcW w:w="926" w:type="pct"/>
                  <w:tcBorders>
                    <w:tl2br w:val="nil"/>
                    <w:tr2bl w:val="nil"/>
                  </w:tcBorders>
                  <w:shd w:val="clear" w:color="auto" w:fill="auto"/>
                  <w:vAlign w:val="center"/>
                </w:tcPr>
                <w:p w14:paraId="4539B4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高真空泵机组</w:t>
                  </w:r>
                </w:p>
              </w:tc>
              <w:tc>
                <w:tcPr>
                  <w:tcW w:w="1328" w:type="pct"/>
                  <w:tcBorders>
                    <w:tl2br w:val="nil"/>
                    <w:tr2bl w:val="nil"/>
                  </w:tcBorders>
                  <w:shd w:val="clear" w:color="auto" w:fill="auto"/>
                  <w:vAlign w:val="center"/>
                </w:tcPr>
                <w:p w14:paraId="6E2E12D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90" w:type="pct"/>
                  <w:tcBorders>
                    <w:tl2br w:val="nil"/>
                    <w:tr2bl w:val="nil"/>
                  </w:tcBorders>
                  <w:shd w:val="clear" w:color="auto" w:fill="auto"/>
                  <w:vAlign w:val="center"/>
                </w:tcPr>
                <w:p w14:paraId="0892B7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9.5KW</w:t>
                  </w:r>
                </w:p>
              </w:tc>
              <w:tc>
                <w:tcPr>
                  <w:tcW w:w="724" w:type="pct"/>
                  <w:tcBorders>
                    <w:tl2br w:val="nil"/>
                    <w:tr2bl w:val="nil"/>
                  </w:tcBorders>
                  <w:shd w:val="clear" w:color="auto" w:fill="auto"/>
                  <w:vAlign w:val="center"/>
                </w:tcPr>
                <w:p w14:paraId="4990356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0B6B3A9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443D91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D854B0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149</w:t>
                  </w:r>
                </w:p>
              </w:tc>
              <w:tc>
                <w:tcPr>
                  <w:tcW w:w="926" w:type="pct"/>
                  <w:tcBorders>
                    <w:tl2br w:val="nil"/>
                    <w:tr2bl w:val="nil"/>
                  </w:tcBorders>
                  <w:shd w:val="clear" w:color="auto" w:fill="auto"/>
                  <w:vAlign w:val="center"/>
                </w:tcPr>
                <w:p w14:paraId="4C66C3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高真空泵烤箱</w:t>
                  </w:r>
                </w:p>
              </w:tc>
              <w:tc>
                <w:tcPr>
                  <w:tcW w:w="1328" w:type="pct"/>
                  <w:tcBorders>
                    <w:tl2br w:val="nil"/>
                    <w:tr2bl w:val="nil"/>
                  </w:tcBorders>
                  <w:shd w:val="clear" w:color="auto" w:fill="auto"/>
                  <w:vAlign w:val="center"/>
                </w:tcPr>
                <w:p w14:paraId="095A509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90" w:type="pct"/>
                  <w:tcBorders>
                    <w:tl2br w:val="nil"/>
                    <w:tr2bl w:val="nil"/>
                  </w:tcBorders>
                  <w:shd w:val="clear" w:color="auto" w:fill="auto"/>
                  <w:vAlign w:val="center"/>
                </w:tcPr>
                <w:p w14:paraId="49A0D9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9.5KW</w:t>
                  </w:r>
                </w:p>
              </w:tc>
              <w:tc>
                <w:tcPr>
                  <w:tcW w:w="724" w:type="pct"/>
                  <w:tcBorders>
                    <w:tl2br w:val="nil"/>
                    <w:tr2bl w:val="nil"/>
                  </w:tcBorders>
                  <w:shd w:val="clear" w:color="auto" w:fill="auto"/>
                  <w:vAlign w:val="center"/>
                </w:tcPr>
                <w:p w14:paraId="6D9812E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w:t>
                  </w:r>
                </w:p>
              </w:tc>
              <w:tc>
                <w:tcPr>
                  <w:tcW w:w="760" w:type="pct"/>
                  <w:tcBorders>
                    <w:tl2br w:val="nil"/>
                    <w:tr2bl w:val="nil"/>
                  </w:tcBorders>
                  <w:shd w:val="clear" w:color="auto" w:fill="auto"/>
                  <w:vAlign w:val="center"/>
                </w:tcPr>
                <w:p w14:paraId="3F13487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65279A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42B1C3E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150</w:t>
                  </w:r>
                </w:p>
              </w:tc>
              <w:tc>
                <w:tcPr>
                  <w:tcW w:w="926" w:type="pct"/>
                  <w:tcBorders>
                    <w:tl2br w:val="nil"/>
                    <w:tr2bl w:val="nil"/>
                  </w:tcBorders>
                  <w:shd w:val="clear" w:color="auto" w:fill="auto"/>
                  <w:vAlign w:val="center"/>
                </w:tcPr>
                <w:p w14:paraId="3BD504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40K超声波金属焊接机</w:t>
                  </w:r>
                </w:p>
              </w:tc>
              <w:tc>
                <w:tcPr>
                  <w:tcW w:w="1328" w:type="pct"/>
                  <w:tcBorders>
                    <w:tl2br w:val="nil"/>
                    <w:tr2bl w:val="nil"/>
                  </w:tcBorders>
                  <w:shd w:val="clear" w:color="auto" w:fill="auto"/>
                  <w:vAlign w:val="center"/>
                </w:tcPr>
                <w:p w14:paraId="67C39E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NP-C-40-700VA</w:t>
                  </w:r>
                </w:p>
              </w:tc>
              <w:tc>
                <w:tcPr>
                  <w:tcW w:w="790" w:type="pct"/>
                  <w:tcBorders>
                    <w:tl2br w:val="nil"/>
                    <w:tr2bl w:val="nil"/>
                  </w:tcBorders>
                  <w:shd w:val="clear" w:color="auto" w:fill="auto"/>
                  <w:vAlign w:val="center"/>
                </w:tcPr>
                <w:p w14:paraId="7878B3A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36A36B5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w:t>
                  </w:r>
                </w:p>
              </w:tc>
              <w:tc>
                <w:tcPr>
                  <w:tcW w:w="760" w:type="pct"/>
                  <w:tcBorders>
                    <w:tl2br w:val="nil"/>
                    <w:tr2bl w:val="nil"/>
                  </w:tcBorders>
                  <w:shd w:val="clear" w:color="auto" w:fill="auto"/>
                  <w:vAlign w:val="center"/>
                </w:tcPr>
                <w:p w14:paraId="2DC62E2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6010D7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585F297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151</w:t>
                  </w:r>
                </w:p>
              </w:tc>
              <w:tc>
                <w:tcPr>
                  <w:tcW w:w="926" w:type="pct"/>
                  <w:tcBorders>
                    <w:tl2br w:val="nil"/>
                    <w:tr2bl w:val="nil"/>
                  </w:tcBorders>
                  <w:shd w:val="clear" w:color="auto" w:fill="auto"/>
                  <w:vAlign w:val="center"/>
                </w:tcPr>
                <w:p w14:paraId="33A127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双通道清洗装盒机</w:t>
                  </w:r>
                </w:p>
              </w:tc>
              <w:tc>
                <w:tcPr>
                  <w:tcW w:w="1328" w:type="pct"/>
                  <w:tcBorders>
                    <w:tl2br w:val="nil"/>
                    <w:tr2bl w:val="nil"/>
                  </w:tcBorders>
                  <w:shd w:val="clear" w:color="auto" w:fill="auto"/>
                  <w:vAlign w:val="center"/>
                </w:tcPr>
                <w:p w14:paraId="5554F59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90" w:type="pct"/>
                  <w:tcBorders>
                    <w:tl2br w:val="nil"/>
                    <w:tr2bl w:val="nil"/>
                  </w:tcBorders>
                  <w:shd w:val="clear" w:color="auto" w:fill="auto"/>
                  <w:vAlign w:val="center"/>
                </w:tcPr>
                <w:p w14:paraId="456090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15KW</w:t>
                  </w:r>
                </w:p>
              </w:tc>
              <w:tc>
                <w:tcPr>
                  <w:tcW w:w="724" w:type="pct"/>
                  <w:tcBorders>
                    <w:tl2br w:val="nil"/>
                    <w:tr2bl w:val="nil"/>
                  </w:tcBorders>
                  <w:shd w:val="clear" w:color="auto" w:fill="auto"/>
                  <w:vAlign w:val="center"/>
                </w:tcPr>
                <w:p w14:paraId="7AF8C07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8</w:t>
                  </w:r>
                </w:p>
              </w:tc>
              <w:tc>
                <w:tcPr>
                  <w:tcW w:w="760" w:type="pct"/>
                  <w:tcBorders>
                    <w:tl2br w:val="nil"/>
                    <w:tr2bl w:val="nil"/>
                  </w:tcBorders>
                  <w:shd w:val="clear" w:color="auto" w:fill="auto"/>
                  <w:vAlign w:val="center"/>
                </w:tcPr>
                <w:p w14:paraId="46F4669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62036B8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1615957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152</w:t>
                  </w:r>
                </w:p>
              </w:tc>
              <w:tc>
                <w:tcPr>
                  <w:tcW w:w="926" w:type="pct"/>
                  <w:tcBorders>
                    <w:tl2br w:val="nil"/>
                    <w:tr2bl w:val="nil"/>
                  </w:tcBorders>
                  <w:shd w:val="clear" w:color="auto" w:fill="auto"/>
                  <w:vAlign w:val="center"/>
                </w:tcPr>
                <w:p w14:paraId="30A385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直线封口机</w:t>
                  </w:r>
                </w:p>
              </w:tc>
              <w:tc>
                <w:tcPr>
                  <w:tcW w:w="1328" w:type="pct"/>
                  <w:tcBorders>
                    <w:tl2br w:val="nil"/>
                    <w:tr2bl w:val="nil"/>
                  </w:tcBorders>
                  <w:shd w:val="clear" w:color="auto" w:fill="auto"/>
                  <w:vAlign w:val="center"/>
                </w:tcPr>
                <w:p w14:paraId="1FC4F8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18650</w:t>
                  </w:r>
                </w:p>
              </w:tc>
              <w:tc>
                <w:tcPr>
                  <w:tcW w:w="790" w:type="pct"/>
                  <w:tcBorders>
                    <w:tl2br w:val="nil"/>
                    <w:tr2bl w:val="nil"/>
                  </w:tcBorders>
                  <w:shd w:val="clear" w:color="auto" w:fill="auto"/>
                  <w:vAlign w:val="center"/>
                </w:tcPr>
                <w:p w14:paraId="4254DD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2.2KW</w:t>
                  </w:r>
                </w:p>
              </w:tc>
              <w:tc>
                <w:tcPr>
                  <w:tcW w:w="724" w:type="pct"/>
                  <w:tcBorders>
                    <w:tl2br w:val="nil"/>
                    <w:tr2bl w:val="nil"/>
                  </w:tcBorders>
                  <w:shd w:val="clear" w:color="auto" w:fill="auto"/>
                  <w:vAlign w:val="center"/>
                </w:tcPr>
                <w:p w14:paraId="1CB82A1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16</w:t>
                  </w:r>
                </w:p>
              </w:tc>
              <w:tc>
                <w:tcPr>
                  <w:tcW w:w="760" w:type="pct"/>
                  <w:tcBorders>
                    <w:tl2br w:val="nil"/>
                    <w:tr2bl w:val="nil"/>
                  </w:tcBorders>
                  <w:shd w:val="clear" w:color="auto" w:fill="auto"/>
                  <w:vAlign w:val="center"/>
                </w:tcPr>
                <w:p w14:paraId="096A661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7C7198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3122F13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153</w:t>
                  </w:r>
                </w:p>
              </w:tc>
              <w:tc>
                <w:tcPr>
                  <w:tcW w:w="926" w:type="pct"/>
                  <w:tcBorders>
                    <w:tl2br w:val="nil"/>
                    <w:tr2bl w:val="nil"/>
                  </w:tcBorders>
                  <w:shd w:val="clear" w:color="auto" w:fill="auto"/>
                  <w:vAlign w:val="center"/>
                </w:tcPr>
                <w:p w14:paraId="515D07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直线封口机</w:t>
                  </w:r>
                </w:p>
              </w:tc>
              <w:tc>
                <w:tcPr>
                  <w:tcW w:w="1328" w:type="pct"/>
                  <w:tcBorders>
                    <w:tl2br w:val="nil"/>
                    <w:tr2bl w:val="nil"/>
                  </w:tcBorders>
                  <w:shd w:val="clear" w:color="auto" w:fill="auto"/>
                  <w:vAlign w:val="center"/>
                </w:tcPr>
                <w:p w14:paraId="24BC7C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J23-10T</w:t>
                  </w:r>
                </w:p>
              </w:tc>
              <w:tc>
                <w:tcPr>
                  <w:tcW w:w="790" w:type="pct"/>
                  <w:tcBorders>
                    <w:tl2br w:val="nil"/>
                    <w:tr2bl w:val="nil"/>
                  </w:tcBorders>
                  <w:shd w:val="clear" w:color="auto" w:fill="auto"/>
                  <w:vAlign w:val="center"/>
                </w:tcPr>
                <w:p w14:paraId="42D543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2.2KW</w:t>
                  </w:r>
                </w:p>
              </w:tc>
              <w:tc>
                <w:tcPr>
                  <w:tcW w:w="724" w:type="pct"/>
                  <w:tcBorders>
                    <w:tl2br w:val="nil"/>
                    <w:tr2bl w:val="nil"/>
                  </w:tcBorders>
                  <w:shd w:val="clear" w:color="auto" w:fill="auto"/>
                  <w:vAlign w:val="center"/>
                </w:tcPr>
                <w:p w14:paraId="661194D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16</w:t>
                  </w:r>
                </w:p>
              </w:tc>
              <w:tc>
                <w:tcPr>
                  <w:tcW w:w="760" w:type="pct"/>
                  <w:tcBorders>
                    <w:tl2br w:val="nil"/>
                    <w:tr2bl w:val="nil"/>
                  </w:tcBorders>
                  <w:shd w:val="clear" w:color="auto" w:fill="auto"/>
                  <w:vAlign w:val="center"/>
                </w:tcPr>
                <w:p w14:paraId="754E56E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2F83C6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3537157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154</w:t>
                  </w:r>
                </w:p>
              </w:tc>
              <w:tc>
                <w:tcPr>
                  <w:tcW w:w="926" w:type="pct"/>
                  <w:tcBorders>
                    <w:tl2br w:val="nil"/>
                    <w:tr2bl w:val="nil"/>
                  </w:tcBorders>
                  <w:shd w:val="clear" w:color="auto" w:fill="auto"/>
                  <w:vAlign w:val="center"/>
                </w:tcPr>
                <w:p w14:paraId="52F3FE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二次电池分容设备</w:t>
                  </w:r>
                </w:p>
              </w:tc>
              <w:tc>
                <w:tcPr>
                  <w:tcW w:w="1328" w:type="pct"/>
                  <w:tcBorders>
                    <w:tl2br w:val="nil"/>
                    <w:tr2bl w:val="nil"/>
                  </w:tcBorders>
                  <w:shd w:val="clear" w:color="auto" w:fill="auto"/>
                  <w:vAlign w:val="center"/>
                </w:tcPr>
                <w:p w14:paraId="77601C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LJ-5512F-2</w:t>
                  </w:r>
                </w:p>
              </w:tc>
              <w:tc>
                <w:tcPr>
                  <w:tcW w:w="790" w:type="pct"/>
                  <w:tcBorders>
                    <w:tl2br w:val="nil"/>
                    <w:tr2bl w:val="nil"/>
                  </w:tcBorders>
                  <w:shd w:val="clear" w:color="auto" w:fill="auto"/>
                  <w:vAlign w:val="center"/>
                </w:tcPr>
                <w:p w14:paraId="7879BC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3KW</w:t>
                  </w:r>
                </w:p>
              </w:tc>
              <w:tc>
                <w:tcPr>
                  <w:tcW w:w="724" w:type="pct"/>
                  <w:tcBorders>
                    <w:tl2br w:val="nil"/>
                    <w:tr2bl w:val="nil"/>
                  </w:tcBorders>
                  <w:shd w:val="clear" w:color="auto" w:fill="auto"/>
                  <w:vAlign w:val="center"/>
                </w:tcPr>
                <w:p w14:paraId="12F6E38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8</w:t>
                  </w:r>
                </w:p>
              </w:tc>
              <w:tc>
                <w:tcPr>
                  <w:tcW w:w="760" w:type="pct"/>
                  <w:tcBorders>
                    <w:tl2br w:val="nil"/>
                    <w:tr2bl w:val="nil"/>
                  </w:tcBorders>
                  <w:shd w:val="clear" w:color="auto" w:fill="auto"/>
                  <w:vAlign w:val="center"/>
                </w:tcPr>
                <w:p w14:paraId="694A16A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152790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6138215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155</w:t>
                  </w:r>
                </w:p>
              </w:tc>
              <w:tc>
                <w:tcPr>
                  <w:tcW w:w="926" w:type="pct"/>
                  <w:tcBorders>
                    <w:tl2br w:val="nil"/>
                    <w:tr2bl w:val="nil"/>
                  </w:tcBorders>
                  <w:shd w:val="clear" w:color="auto" w:fill="auto"/>
                  <w:vAlign w:val="center"/>
                </w:tcPr>
                <w:p w14:paraId="1B2B2C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圆柱锂电池回馈式化成分容设备</w:t>
                  </w:r>
                </w:p>
              </w:tc>
              <w:tc>
                <w:tcPr>
                  <w:tcW w:w="1328" w:type="pct"/>
                  <w:tcBorders>
                    <w:tl2br w:val="nil"/>
                    <w:tr2bl w:val="nil"/>
                  </w:tcBorders>
                  <w:shd w:val="clear" w:color="auto" w:fill="auto"/>
                  <w:vAlign w:val="center"/>
                </w:tcPr>
                <w:p w14:paraId="371B12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WP-512-3A-FK</w:t>
                  </w:r>
                </w:p>
              </w:tc>
              <w:tc>
                <w:tcPr>
                  <w:tcW w:w="790" w:type="pct"/>
                  <w:tcBorders>
                    <w:tl2br w:val="nil"/>
                    <w:tr2bl w:val="nil"/>
                  </w:tcBorders>
                  <w:shd w:val="clear" w:color="auto" w:fill="auto"/>
                  <w:vAlign w:val="center"/>
                </w:tcPr>
                <w:p w14:paraId="629C9A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3KW</w:t>
                  </w:r>
                </w:p>
              </w:tc>
              <w:tc>
                <w:tcPr>
                  <w:tcW w:w="724" w:type="pct"/>
                  <w:tcBorders>
                    <w:tl2br w:val="nil"/>
                    <w:tr2bl w:val="nil"/>
                  </w:tcBorders>
                  <w:shd w:val="clear" w:color="auto" w:fill="auto"/>
                  <w:vAlign w:val="center"/>
                </w:tcPr>
                <w:p w14:paraId="6D56163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w:t>
                  </w:r>
                </w:p>
              </w:tc>
              <w:tc>
                <w:tcPr>
                  <w:tcW w:w="760" w:type="pct"/>
                  <w:tcBorders>
                    <w:tl2br w:val="nil"/>
                    <w:tr2bl w:val="nil"/>
                  </w:tcBorders>
                  <w:shd w:val="clear" w:color="auto" w:fill="auto"/>
                  <w:vAlign w:val="center"/>
                </w:tcPr>
                <w:p w14:paraId="7C36524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56A6A6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4D0FB40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156</w:t>
                  </w:r>
                </w:p>
              </w:tc>
              <w:tc>
                <w:tcPr>
                  <w:tcW w:w="926" w:type="pct"/>
                  <w:tcBorders>
                    <w:tl2br w:val="nil"/>
                    <w:tr2bl w:val="nil"/>
                  </w:tcBorders>
                  <w:shd w:val="clear" w:color="auto" w:fill="auto"/>
                  <w:vAlign w:val="center"/>
                </w:tcPr>
                <w:p w14:paraId="6061F7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电池套标分选一体机</w:t>
                  </w:r>
                </w:p>
              </w:tc>
              <w:tc>
                <w:tcPr>
                  <w:tcW w:w="1328" w:type="pct"/>
                  <w:tcBorders>
                    <w:tl2br w:val="nil"/>
                    <w:tr2bl w:val="nil"/>
                  </w:tcBorders>
                  <w:shd w:val="clear" w:color="auto" w:fill="auto"/>
                  <w:vAlign w:val="center"/>
                </w:tcPr>
                <w:p w14:paraId="3BCE53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SC-TC02</w:t>
                  </w:r>
                </w:p>
              </w:tc>
              <w:tc>
                <w:tcPr>
                  <w:tcW w:w="790" w:type="pct"/>
                  <w:tcBorders>
                    <w:tl2br w:val="nil"/>
                    <w:tr2bl w:val="nil"/>
                  </w:tcBorders>
                  <w:shd w:val="clear" w:color="auto" w:fill="auto"/>
                  <w:vAlign w:val="center"/>
                </w:tcPr>
                <w:p w14:paraId="18006F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1.5KW</w:t>
                  </w:r>
                </w:p>
              </w:tc>
              <w:tc>
                <w:tcPr>
                  <w:tcW w:w="724" w:type="pct"/>
                  <w:tcBorders>
                    <w:tl2br w:val="nil"/>
                    <w:tr2bl w:val="nil"/>
                  </w:tcBorders>
                  <w:shd w:val="clear" w:color="auto" w:fill="auto"/>
                  <w:vAlign w:val="center"/>
                </w:tcPr>
                <w:p w14:paraId="5789513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18</w:t>
                  </w:r>
                </w:p>
              </w:tc>
              <w:tc>
                <w:tcPr>
                  <w:tcW w:w="760" w:type="pct"/>
                  <w:tcBorders>
                    <w:tl2br w:val="nil"/>
                    <w:tr2bl w:val="nil"/>
                  </w:tcBorders>
                  <w:shd w:val="clear" w:color="auto" w:fill="auto"/>
                  <w:vAlign w:val="center"/>
                </w:tcPr>
                <w:p w14:paraId="0259EAD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29DFE0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3EC0FBC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157</w:t>
                  </w:r>
                </w:p>
              </w:tc>
              <w:tc>
                <w:tcPr>
                  <w:tcW w:w="926" w:type="pct"/>
                  <w:tcBorders>
                    <w:tl2br w:val="nil"/>
                    <w:tr2bl w:val="nil"/>
                  </w:tcBorders>
                  <w:shd w:val="clear" w:color="auto" w:fill="auto"/>
                  <w:vAlign w:val="center"/>
                </w:tcPr>
                <w:p w14:paraId="610E52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圆柱电池测试分选机</w:t>
                  </w:r>
                </w:p>
              </w:tc>
              <w:tc>
                <w:tcPr>
                  <w:tcW w:w="1328" w:type="pct"/>
                  <w:tcBorders>
                    <w:tl2br w:val="nil"/>
                    <w:tr2bl w:val="nil"/>
                  </w:tcBorders>
                  <w:shd w:val="clear" w:color="auto" w:fill="auto"/>
                  <w:vAlign w:val="center"/>
                </w:tcPr>
                <w:p w14:paraId="5A0E9D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ST-TS1810C</w:t>
                  </w:r>
                </w:p>
              </w:tc>
              <w:tc>
                <w:tcPr>
                  <w:tcW w:w="790" w:type="pct"/>
                  <w:tcBorders>
                    <w:tl2br w:val="nil"/>
                    <w:tr2bl w:val="nil"/>
                  </w:tcBorders>
                  <w:shd w:val="clear" w:color="auto" w:fill="auto"/>
                  <w:vAlign w:val="center"/>
                </w:tcPr>
                <w:p w14:paraId="0C9076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1KW</w:t>
                  </w:r>
                </w:p>
              </w:tc>
              <w:tc>
                <w:tcPr>
                  <w:tcW w:w="724" w:type="pct"/>
                  <w:tcBorders>
                    <w:tl2br w:val="nil"/>
                    <w:tr2bl w:val="nil"/>
                  </w:tcBorders>
                  <w:shd w:val="clear" w:color="auto" w:fill="auto"/>
                  <w:vAlign w:val="center"/>
                </w:tcPr>
                <w:p w14:paraId="1984D5C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1EA547B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3C15D7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791AD3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158</w:t>
                  </w:r>
                </w:p>
              </w:tc>
              <w:tc>
                <w:tcPr>
                  <w:tcW w:w="926" w:type="pct"/>
                  <w:tcBorders>
                    <w:tl2br w:val="nil"/>
                    <w:tr2bl w:val="nil"/>
                  </w:tcBorders>
                  <w:shd w:val="clear" w:color="auto" w:fill="auto"/>
                  <w:vAlign w:val="center"/>
                </w:tcPr>
                <w:p w14:paraId="66D326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20W激光打标机</w:t>
                  </w:r>
                </w:p>
              </w:tc>
              <w:tc>
                <w:tcPr>
                  <w:tcW w:w="1328" w:type="pct"/>
                  <w:tcBorders>
                    <w:tl2br w:val="nil"/>
                    <w:tr2bl w:val="nil"/>
                  </w:tcBorders>
                  <w:shd w:val="clear" w:color="auto" w:fill="auto"/>
                  <w:vAlign w:val="center"/>
                </w:tcPr>
                <w:p w14:paraId="41CB01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HT-M20FC</w:t>
                  </w:r>
                </w:p>
              </w:tc>
              <w:tc>
                <w:tcPr>
                  <w:tcW w:w="790" w:type="pct"/>
                  <w:tcBorders>
                    <w:tl2br w:val="nil"/>
                    <w:tr2bl w:val="nil"/>
                  </w:tcBorders>
                  <w:shd w:val="clear" w:color="auto" w:fill="auto"/>
                  <w:vAlign w:val="center"/>
                </w:tcPr>
                <w:p w14:paraId="75B9C6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0.5KW</w:t>
                  </w:r>
                </w:p>
              </w:tc>
              <w:tc>
                <w:tcPr>
                  <w:tcW w:w="724" w:type="pct"/>
                  <w:tcBorders>
                    <w:tl2br w:val="nil"/>
                    <w:tr2bl w:val="nil"/>
                  </w:tcBorders>
                  <w:shd w:val="clear" w:color="auto" w:fill="auto"/>
                  <w:vAlign w:val="center"/>
                </w:tcPr>
                <w:p w14:paraId="49649EC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12</w:t>
                  </w:r>
                </w:p>
              </w:tc>
              <w:tc>
                <w:tcPr>
                  <w:tcW w:w="760" w:type="pct"/>
                  <w:tcBorders>
                    <w:tl2br w:val="nil"/>
                    <w:tr2bl w:val="nil"/>
                  </w:tcBorders>
                  <w:shd w:val="clear" w:color="auto" w:fill="auto"/>
                  <w:vAlign w:val="center"/>
                </w:tcPr>
                <w:p w14:paraId="416525E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6DC7A9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00DE6D2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159</w:t>
                  </w:r>
                </w:p>
              </w:tc>
              <w:tc>
                <w:tcPr>
                  <w:tcW w:w="926" w:type="pct"/>
                  <w:tcBorders>
                    <w:tl2br w:val="nil"/>
                    <w:tr2bl w:val="nil"/>
                  </w:tcBorders>
                  <w:shd w:val="clear" w:color="auto" w:fill="auto"/>
                  <w:vAlign w:val="center"/>
                </w:tcPr>
                <w:p w14:paraId="669929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激光打标机</w:t>
                  </w:r>
                </w:p>
              </w:tc>
              <w:tc>
                <w:tcPr>
                  <w:tcW w:w="1328" w:type="pct"/>
                  <w:tcBorders>
                    <w:tl2br w:val="nil"/>
                    <w:tr2bl w:val="nil"/>
                  </w:tcBorders>
                  <w:shd w:val="clear" w:color="auto" w:fill="auto"/>
                  <w:vAlign w:val="center"/>
                </w:tcPr>
                <w:p w14:paraId="37691A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XHP-20W</w:t>
                  </w:r>
                </w:p>
              </w:tc>
              <w:tc>
                <w:tcPr>
                  <w:tcW w:w="790" w:type="pct"/>
                  <w:tcBorders>
                    <w:tl2br w:val="nil"/>
                    <w:tr2bl w:val="nil"/>
                  </w:tcBorders>
                  <w:shd w:val="clear" w:color="auto" w:fill="auto"/>
                  <w:vAlign w:val="center"/>
                </w:tcPr>
                <w:p w14:paraId="732E0B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0.5KW</w:t>
                  </w:r>
                </w:p>
              </w:tc>
              <w:tc>
                <w:tcPr>
                  <w:tcW w:w="724" w:type="pct"/>
                  <w:tcBorders>
                    <w:tl2br w:val="nil"/>
                    <w:tr2bl w:val="nil"/>
                  </w:tcBorders>
                  <w:shd w:val="clear" w:color="auto" w:fill="auto"/>
                  <w:vAlign w:val="center"/>
                </w:tcPr>
                <w:p w14:paraId="7BE2A84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7</w:t>
                  </w:r>
                </w:p>
              </w:tc>
              <w:tc>
                <w:tcPr>
                  <w:tcW w:w="760" w:type="pct"/>
                  <w:tcBorders>
                    <w:tl2br w:val="nil"/>
                    <w:tr2bl w:val="nil"/>
                  </w:tcBorders>
                  <w:shd w:val="clear" w:color="auto" w:fill="auto"/>
                  <w:vAlign w:val="center"/>
                </w:tcPr>
                <w:p w14:paraId="2F75144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579DC5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7EF940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160</w:t>
                  </w:r>
                </w:p>
              </w:tc>
              <w:tc>
                <w:tcPr>
                  <w:tcW w:w="926" w:type="pct"/>
                  <w:tcBorders>
                    <w:tl2br w:val="nil"/>
                    <w:tr2bl w:val="nil"/>
                  </w:tcBorders>
                  <w:shd w:val="clear" w:color="auto" w:fill="auto"/>
                  <w:vAlign w:val="center"/>
                </w:tcPr>
                <w:p w14:paraId="44E536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电池装盒机</w:t>
                  </w:r>
                </w:p>
              </w:tc>
              <w:tc>
                <w:tcPr>
                  <w:tcW w:w="1328" w:type="pct"/>
                  <w:tcBorders>
                    <w:tl2br w:val="nil"/>
                    <w:tr2bl w:val="nil"/>
                  </w:tcBorders>
                  <w:shd w:val="clear" w:color="auto" w:fill="auto"/>
                  <w:vAlign w:val="center"/>
                </w:tcPr>
                <w:p w14:paraId="78AB38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JY2116-001</w:t>
                  </w:r>
                </w:p>
              </w:tc>
              <w:tc>
                <w:tcPr>
                  <w:tcW w:w="790" w:type="pct"/>
                  <w:tcBorders>
                    <w:tl2br w:val="nil"/>
                    <w:tr2bl w:val="nil"/>
                  </w:tcBorders>
                  <w:shd w:val="clear" w:color="auto" w:fill="auto"/>
                  <w:vAlign w:val="center"/>
                </w:tcPr>
                <w:p w14:paraId="02C180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1KW</w:t>
                  </w:r>
                </w:p>
              </w:tc>
              <w:tc>
                <w:tcPr>
                  <w:tcW w:w="724" w:type="pct"/>
                  <w:tcBorders>
                    <w:tl2br w:val="nil"/>
                    <w:tr2bl w:val="nil"/>
                  </w:tcBorders>
                  <w:shd w:val="clear" w:color="auto" w:fill="auto"/>
                  <w:vAlign w:val="center"/>
                </w:tcPr>
                <w:p w14:paraId="54200D6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18</w:t>
                  </w:r>
                </w:p>
              </w:tc>
              <w:tc>
                <w:tcPr>
                  <w:tcW w:w="760" w:type="pct"/>
                  <w:tcBorders>
                    <w:tl2br w:val="nil"/>
                    <w:tr2bl w:val="nil"/>
                  </w:tcBorders>
                  <w:shd w:val="clear" w:color="auto" w:fill="auto"/>
                  <w:vAlign w:val="center"/>
                </w:tcPr>
                <w:p w14:paraId="5D39B6E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056F2B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C5E635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161</w:t>
                  </w:r>
                </w:p>
              </w:tc>
              <w:tc>
                <w:tcPr>
                  <w:tcW w:w="926" w:type="pct"/>
                  <w:tcBorders>
                    <w:tl2br w:val="nil"/>
                    <w:tr2bl w:val="nil"/>
                  </w:tcBorders>
                  <w:shd w:val="clear" w:color="auto" w:fill="auto"/>
                  <w:vAlign w:val="center"/>
                </w:tcPr>
                <w:p w14:paraId="791212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喷码机</w:t>
                  </w:r>
                </w:p>
              </w:tc>
              <w:tc>
                <w:tcPr>
                  <w:tcW w:w="1328" w:type="pct"/>
                  <w:tcBorders>
                    <w:tl2br w:val="nil"/>
                    <w:tr2bl w:val="nil"/>
                  </w:tcBorders>
                  <w:shd w:val="clear" w:color="auto" w:fill="auto"/>
                  <w:vAlign w:val="center"/>
                </w:tcPr>
                <w:p w14:paraId="575F7F0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90" w:type="pct"/>
                  <w:tcBorders>
                    <w:tl2br w:val="nil"/>
                    <w:tr2bl w:val="nil"/>
                  </w:tcBorders>
                  <w:shd w:val="clear" w:color="auto" w:fill="auto"/>
                  <w:vAlign w:val="center"/>
                </w:tcPr>
                <w:p w14:paraId="731C2DA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73C74D9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122CAFD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447A0A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572E394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162</w:t>
                  </w:r>
                </w:p>
              </w:tc>
              <w:tc>
                <w:tcPr>
                  <w:tcW w:w="926" w:type="pct"/>
                  <w:tcBorders>
                    <w:tl2br w:val="nil"/>
                    <w:tr2bl w:val="nil"/>
                  </w:tcBorders>
                  <w:shd w:val="clear" w:color="auto" w:fill="auto"/>
                  <w:vAlign w:val="center"/>
                </w:tcPr>
                <w:p w14:paraId="26A9F6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制水机</w:t>
                  </w:r>
                </w:p>
              </w:tc>
              <w:tc>
                <w:tcPr>
                  <w:tcW w:w="1328" w:type="pct"/>
                  <w:tcBorders>
                    <w:tl2br w:val="nil"/>
                    <w:tr2bl w:val="nil"/>
                  </w:tcBorders>
                  <w:shd w:val="clear" w:color="auto" w:fill="auto"/>
                  <w:vAlign w:val="center"/>
                </w:tcPr>
                <w:p w14:paraId="5D7F52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10T</w:t>
                  </w:r>
                </w:p>
              </w:tc>
              <w:tc>
                <w:tcPr>
                  <w:tcW w:w="790" w:type="pct"/>
                  <w:tcBorders>
                    <w:tl2br w:val="nil"/>
                    <w:tr2bl w:val="nil"/>
                  </w:tcBorders>
                  <w:shd w:val="clear" w:color="auto" w:fill="auto"/>
                  <w:vAlign w:val="center"/>
                </w:tcPr>
                <w:p w14:paraId="437397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5.5KW</w:t>
                  </w:r>
                </w:p>
              </w:tc>
              <w:tc>
                <w:tcPr>
                  <w:tcW w:w="724" w:type="pct"/>
                  <w:tcBorders>
                    <w:tl2br w:val="nil"/>
                    <w:tr2bl w:val="nil"/>
                  </w:tcBorders>
                  <w:shd w:val="clear" w:color="auto" w:fill="auto"/>
                  <w:vAlign w:val="center"/>
                </w:tcPr>
                <w:p w14:paraId="2B862E1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51E5A9E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5CF883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5000" w:type="pct"/>
                  <w:gridSpan w:val="6"/>
                  <w:tcBorders>
                    <w:tl2br w:val="nil"/>
                    <w:tr2bl w:val="nil"/>
                  </w:tcBorders>
                  <w:shd w:val="clear" w:color="auto" w:fill="auto"/>
                  <w:vAlign w:val="center"/>
                </w:tcPr>
                <w:p w14:paraId="31356A7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6车间</w:t>
                  </w:r>
                  <w:r>
                    <w:rPr>
                      <w:rFonts w:hint="eastAsia" w:cs="Times New Roman"/>
                      <w:sz w:val="21"/>
                      <w:szCs w:val="21"/>
                      <w:highlight w:val="none"/>
                      <w:lang w:val="en-US" w:eastAsia="zh-CN"/>
                    </w:rPr>
                    <w:t>（南厂区）</w:t>
                  </w:r>
                </w:p>
              </w:tc>
            </w:tr>
            <w:tr w14:paraId="742EF8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5B7A684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i w:val="0"/>
                      <w:iCs w:val="0"/>
                      <w:color w:val="000000"/>
                      <w:kern w:val="0"/>
                      <w:sz w:val="21"/>
                      <w:szCs w:val="21"/>
                      <w:highlight w:val="none"/>
                      <w:u w:val="none"/>
                      <w:lang w:val="en-US" w:eastAsia="zh-CN" w:bidi="ar"/>
                    </w:rPr>
                    <w:t>163</w:t>
                  </w:r>
                </w:p>
              </w:tc>
              <w:tc>
                <w:tcPr>
                  <w:tcW w:w="926" w:type="pct"/>
                  <w:tcBorders>
                    <w:tl2br w:val="nil"/>
                    <w:tr2bl w:val="nil"/>
                  </w:tcBorders>
                  <w:shd w:val="clear" w:color="auto" w:fill="auto"/>
                  <w:vAlign w:val="center"/>
                </w:tcPr>
                <w:p w14:paraId="7B88E4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LD-双行星动力混合机</w:t>
                  </w:r>
                </w:p>
              </w:tc>
              <w:tc>
                <w:tcPr>
                  <w:tcW w:w="1328" w:type="pct"/>
                  <w:tcBorders>
                    <w:tl2br w:val="nil"/>
                    <w:tr2bl w:val="nil"/>
                  </w:tcBorders>
                  <w:shd w:val="clear" w:color="auto" w:fill="auto"/>
                  <w:vAlign w:val="center"/>
                </w:tcPr>
                <w:p w14:paraId="04974C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SXJ-1000</w:t>
                  </w:r>
                </w:p>
              </w:tc>
              <w:tc>
                <w:tcPr>
                  <w:tcW w:w="790" w:type="pct"/>
                  <w:tcBorders>
                    <w:tl2br w:val="nil"/>
                    <w:tr2bl w:val="nil"/>
                  </w:tcBorders>
                  <w:shd w:val="clear" w:color="auto" w:fill="auto"/>
                  <w:vAlign w:val="center"/>
                </w:tcPr>
                <w:p w14:paraId="244BF3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110KW</w:t>
                  </w:r>
                </w:p>
              </w:tc>
              <w:tc>
                <w:tcPr>
                  <w:tcW w:w="724" w:type="pct"/>
                  <w:tcBorders>
                    <w:tl2br w:val="nil"/>
                    <w:tr2bl w:val="nil"/>
                  </w:tcBorders>
                  <w:shd w:val="clear" w:color="auto" w:fill="auto"/>
                  <w:vAlign w:val="center"/>
                </w:tcPr>
                <w:p w14:paraId="732BFC5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6</w:t>
                  </w:r>
                </w:p>
              </w:tc>
              <w:tc>
                <w:tcPr>
                  <w:tcW w:w="760" w:type="pct"/>
                  <w:tcBorders>
                    <w:tl2br w:val="nil"/>
                    <w:tr2bl w:val="nil"/>
                  </w:tcBorders>
                  <w:shd w:val="clear" w:color="auto" w:fill="auto"/>
                  <w:vAlign w:val="center"/>
                </w:tcPr>
                <w:p w14:paraId="6FF2B6C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57505E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0556AAE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164</w:t>
                  </w:r>
                </w:p>
              </w:tc>
              <w:tc>
                <w:tcPr>
                  <w:tcW w:w="926" w:type="pct"/>
                  <w:tcBorders>
                    <w:tl2br w:val="nil"/>
                    <w:tr2bl w:val="nil"/>
                  </w:tcBorders>
                  <w:shd w:val="clear" w:color="auto" w:fill="auto"/>
                  <w:vAlign w:val="center"/>
                </w:tcPr>
                <w:p w14:paraId="3FE812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打胶机</w:t>
                  </w:r>
                </w:p>
              </w:tc>
              <w:tc>
                <w:tcPr>
                  <w:tcW w:w="1328" w:type="pct"/>
                  <w:tcBorders>
                    <w:tl2br w:val="nil"/>
                    <w:tr2bl w:val="nil"/>
                  </w:tcBorders>
                  <w:shd w:val="clear" w:color="auto" w:fill="auto"/>
                  <w:vAlign w:val="center"/>
                </w:tcPr>
                <w:p w14:paraId="6FBCDB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1000L</w:t>
                  </w:r>
                </w:p>
              </w:tc>
              <w:tc>
                <w:tcPr>
                  <w:tcW w:w="790" w:type="pct"/>
                  <w:tcBorders>
                    <w:tl2br w:val="nil"/>
                    <w:tr2bl w:val="nil"/>
                  </w:tcBorders>
                  <w:shd w:val="clear" w:color="auto" w:fill="auto"/>
                  <w:vAlign w:val="center"/>
                </w:tcPr>
                <w:p w14:paraId="023EAD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11KW</w:t>
                  </w:r>
                </w:p>
              </w:tc>
              <w:tc>
                <w:tcPr>
                  <w:tcW w:w="724" w:type="pct"/>
                  <w:tcBorders>
                    <w:tl2br w:val="nil"/>
                    <w:tr2bl w:val="nil"/>
                  </w:tcBorders>
                  <w:shd w:val="clear" w:color="auto" w:fill="auto"/>
                  <w:vAlign w:val="center"/>
                </w:tcPr>
                <w:p w14:paraId="35FDF14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49D5266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3794A3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6CF93D1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165</w:t>
                  </w:r>
                </w:p>
              </w:tc>
              <w:tc>
                <w:tcPr>
                  <w:tcW w:w="926" w:type="pct"/>
                  <w:tcBorders>
                    <w:tl2br w:val="nil"/>
                    <w:tr2bl w:val="nil"/>
                  </w:tcBorders>
                  <w:shd w:val="clear" w:color="auto" w:fill="auto"/>
                  <w:vAlign w:val="center"/>
                </w:tcPr>
                <w:p w14:paraId="343A2D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涂布缓存罐</w:t>
                  </w:r>
                </w:p>
              </w:tc>
              <w:tc>
                <w:tcPr>
                  <w:tcW w:w="1328" w:type="pct"/>
                  <w:tcBorders>
                    <w:tl2br w:val="nil"/>
                    <w:tr2bl w:val="nil"/>
                  </w:tcBorders>
                  <w:shd w:val="clear" w:color="auto" w:fill="auto"/>
                  <w:vAlign w:val="center"/>
                </w:tcPr>
                <w:p w14:paraId="357AAE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1400L</w:t>
                  </w:r>
                </w:p>
              </w:tc>
              <w:tc>
                <w:tcPr>
                  <w:tcW w:w="790" w:type="pct"/>
                  <w:tcBorders>
                    <w:tl2br w:val="nil"/>
                    <w:tr2bl w:val="nil"/>
                  </w:tcBorders>
                  <w:shd w:val="clear" w:color="auto" w:fill="auto"/>
                  <w:vAlign w:val="center"/>
                </w:tcPr>
                <w:p w14:paraId="7EB93EB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4B6B2BC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5</w:t>
                  </w:r>
                </w:p>
              </w:tc>
              <w:tc>
                <w:tcPr>
                  <w:tcW w:w="760" w:type="pct"/>
                  <w:tcBorders>
                    <w:tl2br w:val="nil"/>
                    <w:tr2bl w:val="nil"/>
                  </w:tcBorders>
                  <w:shd w:val="clear" w:color="auto" w:fill="auto"/>
                  <w:vAlign w:val="center"/>
                </w:tcPr>
                <w:p w14:paraId="3E67791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0C89271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BD5561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166</w:t>
                  </w:r>
                </w:p>
              </w:tc>
              <w:tc>
                <w:tcPr>
                  <w:tcW w:w="926" w:type="pct"/>
                  <w:tcBorders>
                    <w:tl2br w:val="nil"/>
                    <w:tr2bl w:val="nil"/>
                  </w:tcBorders>
                  <w:shd w:val="clear" w:color="auto" w:fill="auto"/>
                  <w:vAlign w:val="center"/>
                </w:tcPr>
                <w:p w14:paraId="610907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真空上料系统</w:t>
                  </w:r>
                </w:p>
              </w:tc>
              <w:tc>
                <w:tcPr>
                  <w:tcW w:w="1328" w:type="pct"/>
                  <w:tcBorders>
                    <w:tl2br w:val="nil"/>
                    <w:tr2bl w:val="nil"/>
                  </w:tcBorders>
                  <w:shd w:val="clear" w:color="auto" w:fill="auto"/>
                  <w:vAlign w:val="center"/>
                </w:tcPr>
                <w:p w14:paraId="17E20A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5吨/小时</w:t>
                  </w:r>
                </w:p>
              </w:tc>
              <w:tc>
                <w:tcPr>
                  <w:tcW w:w="790" w:type="pct"/>
                  <w:tcBorders>
                    <w:tl2br w:val="nil"/>
                    <w:tr2bl w:val="nil"/>
                  </w:tcBorders>
                  <w:shd w:val="clear" w:color="auto" w:fill="auto"/>
                  <w:vAlign w:val="center"/>
                </w:tcPr>
                <w:p w14:paraId="6836C1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7.5KW</w:t>
                  </w:r>
                </w:p>
              </w:tc>
              <w:tc>
                <w:tcPr>
                  <w:tcW w:w="724" w:type="pct"/>
                  <w:tcBorders>
                    <w:tl2br w:val="nil"/>
                    <w:tr2bl w:val="nil"/>
                  </w:tcBorders>
                  <w:shd w:val="clear" w:color="auto" w:fill="auto"/>
                  <w:vAlign w:val="center"/>
                </w:tcPr>
                <w:p w14:paraId="0F5C4D3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3212567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66CEE9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3E435CD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167</w:t>
                  </w:r>
                </w:p>
              </w:tc>
              <w:tc>
                <w:tcPr>
                  <w:tcW w:w="926" w:type="pct"/>
                  <w:tcBorders>
                    <w:tl2br w:val="nil"/>
                    <w:tr2bl w:val="nil"/>
                  </w:tcBorders>
                  <w:shd w:val="clear" w:color="auto" w:fill="auto"/>
                  <w:vAlign w:val="center"/>
                </w:tcPr>
                <w:p w14:paraId="49746A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双层精密挤压涂布机</w:t>
                  </w:r>
                </w:p>
              </w:tc>
              <w:tc>
                <w:tcPr>
                  <w:tcW w:w="1328" w:type="pct"/>
                  <w:tcBorders>
                    <w:tl2br w:val="nil"/>
                    <w:tr2bl w:val="nil"/>
                  </w:tcBorders>
                  <w:shd w:val="clear" w:color="auto" w:fill="auto"/>
                  <w:vAlign w:val="center"/>
                </w:tcPr>
                <w:p w14:paraId="3B91CE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XHPT-7949LS</w:t>
                  </w:r>
                </w:p>
              </w:tc>
              <w:tc>
                <w:tcPr>
                  <w:tcW w:w="790" w:type="pct"/>
                  <w:tcBorders>
                    <w:tl2br w:val="nil"/>
                    <w:tr2bl w:val="nil"/>
                  </w:tcBorders>
                  <w:shd w:val="clear" w:color="auto" w:fill="auto"/>
                  <w:vAlign w:val="center"/>
                </w:tcPr>
                <w:p w14:paraId="49C012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10KW</w:t>
                  </w:r>
                </w:p>
              </w:tc>
              <w:tc>
                <w:tcPr>
                  <w:tcW w:w="724" w:type="pct"/>
                  <w:tcBorders>
                    <w:tl2br w:val="nil"/>
                    <w:tr2bl w:val="nil"/>
                  </w:tcBorders>
                  <w:shd w:val="clear" w:color="auto" w:fill="auto"/>
                  <w:vAlign w:val="center"/>
                </w:tcPr>
                <w:p w14:paraId="05FC137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w:t>
                  </w:r>
                </w:p>
              </w:tc>
              <w:tc>
                <w:tcPr>
                  <w:tcW w:w="760" w:type="pct"/>
                  <w:tcBorders>
                    <w:tl2br w:val="nil"/>
                    <w:tr2bl w:val="nil"/>
                  </w:tcBorders>
                  <w:shd w:val="clear" w:color="auto" w:fill="auto"/>
                  <w:vAlign w:val="center"/>
                </w:tcPr>
                <w:p w14:paraId="62E285A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2D32D3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5E87CB5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168</w:t>
                  </w:r>
                </w:p>
              </w:tc>
              <w:tc>
                <w:tcPr>
                  <w:tcW w:w="926" w:type="pct"/>
                  <w:tcBorders>
                    <w:tl2br w:val="nil"/>
                    <w:tr2bl w:val="nil"/>
                  </w:tcBorders>
                  <w:shd w:val="clear" w:color="auto" w:fill="auto"/>
                  <w:vAlign w:val="center"/>
                </w:tcPr>
                <w:p w14:paraId="71395F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连续辊压机</w:t>
                  </w:r>
                </w:p>
              </w:tc>
              <w:tc>
                <w:tcPr>
                  <w:tcW w:w="1328" w:type="pct"/>
                  <w:tcBorders>
                    <w:tl2br w:val="nil"/>
                    <w:tr2bl w:val="nil"/>
                  </w:tcBorders>
                  <w:shd w:val="clear" w:color="auto" w:fill="auto"/>
                  <w:vAlign w:val="center"/>
                </w:tcPr>
                <w:p w14:paraId="28C557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DYG-703BH-∅800型</w:t>
                  </w:r>
                </w:p>
              </w:tc>
              <w:tc>
                <w:tcPr>
                  <w:tcW w:w="790" w:type="pct"/>
                  <w:tcBorders>
                    <w:tl2br w:val="nil"/>
                    <w:tr2bl w:val="nil"/>
                  </w:tcBorders>
                  <w:shd w:val="clear" w:color="auto" w:fill="auto"/>
                  <w:vAlign w:val="center"/>
                </w:tcPr>
                <w:p w14:paraId="39E1D1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22KW</w:t>
                  </w:r>
                </w:p>
              </w:tc>
              <w:tc>
                <w:tcPr>
                  <w:tcW w:w="724" w:type="pct"/>
                  <w:tcBorders>
                    <w:tl2br w:val="nil"/>
                    <w:tr2bl w:val="nil"/>
                  </w:tcBorders>
                  <w:shd w:val="clear" w:color="auto" w:fill="auto"/>
                  <w:vAlign w:val="center"/>
                </w:tcPr>
                <w:p w14:paraId="68C29FA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4A3731D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697558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48B4762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169</w:t>
                  </w:r>
                </w:p>
              </w:tc>
              <w:tc>
                <w:tcPr>
                  <w:tcW w:w="926" w:type="pct"/>
                  <w:tcBorders>
                    <w:tl2br w:val="nil"/>
                    <w:tr2bl w:val="nil"/>
                  </w:tcBorders>
                  <w:shd w:val="clear" w:color="auto" w:fill="auto"/>
                  <w:vAlign w:val="center"/>
                </w:tcPr>
                <w:p w14:paraId="7D1B79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连续辊压机</w:t>
                  </w:r>
                </w:p>
              </w:tc>
              <w:tc>
                <w:tcPr>
                  <w:tcW w:w="1328" w:type="pct"/>
                  <w:tcBorders>
                    <w:tl2br w:val="nil"/>
                    <w:tr2bl w:val="nil"/>
                  </w:tcBorders>
                  <w:shd w:val="clear" w:color="auto" w:fill="auto"/>
                  <w:vAlign w:val="center"/>
                </w:tcPr>
                <w:p w14:paraId="3F9DC4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DYG703BH-ϕ600/300T</w:t>
                  </w:r>
                </w:p>
              </w:tc>
              <w:tc>
                <w:tcPr>
                  <w:tcW w:w="790" w:type="pct"/>
                  <w:tcBorders>
                    <w:tl2br w:val="nil"/>
                    <w:tr2bl w:val="nil"/>
                  </w:tcBorders>
                  <w:shd w:val="clear" w:color="auto" w:fill="auto"/>
                  <w:vAlign w:val="center"/>
                </w:tcPr>
                <w:p w14:paraId="572343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22KW</w:t>
                  </w:r>
                </w:p>
              </w:tc>
              <w:tc>
                <w:tcPr>
                  <w:tcW w:w="724" w:type="pct"/>
                  <w:tcBorders>
                    <w:tl2br w:val="nil"/>
                    <w:tr2bl w:val="nil"/>
                  </w:tcBorders>
                  <w:shd w:val="clear" w:color="auto" w:fill="auto"/>
                  <w:vAlign w:val="center"/>
                </w:tcPr>
                <w:p w14:paraId="5ADB15A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w:t>
                  </w:r>
                </w:p>
              </w:tc>
              <w:tc>
                <w:tcPr>
                  <w:tcW w:w="760" w:type="pct"/>
                  <w:tcBorders>
                    <w:tl2br w:val="nil"/>
                    <w:tr2bl w:val="nil"/>
                  </w:tcBorders>
                  <w:shd w:val="clear" w:color="auto" w:fill="auto"/>
                  <w:vAlign w:val="center"/>
                </w:tcPr>
                <w:p w14:paraId="5C7143F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07C096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66CD56D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170</w:t>
                  </w:r>
                </w:p>
              </w:tc>
              <w:tc>
                <w:tcPr>
                  <w:tcW w:w="926" w:type="pct"/>
                  <w:tcBorders>
                    <w:tl2br w:val="nil"/>
                    <w:tr2bl w:val="nil"/>
                  </w:tcBorders>
                  <w:shd w:val="clear" w:color="auto" w:fill="auto"/>
                  <w:vAlign w:val="center"/>
                </w:tcPr>
                <w:p w14:paraId="7515CB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自动分条机</w:t>
                  </w:r>
                </w:p>
              </w:tc>
              <w:tc>
                <w:tcPr>
                  <w:tcW w:w="1328" w:type="pct"/>
                  <w:tcBorders>
                    <w:tl2br w:val="nil"/>
                    <w:tr2bl w:val="nil"/>
                  </w:tcBorders>
                  <w:shd w:val="clear" w:color="auto" w:fill="auto"/>
                  <w:vAlign w:val="center"/>
                </w:tcPr>
                <w:p w14:paraId="128D64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FT-750</w:t>
                  </w:r>
                </w:p>
              </w:tc>
              <w:tc>
                <w:tcPr>
                  <w:tcW w:w="790" w:type="pct"/>
                  <w:tcBorders>
                    <w:tl2br w:val="nil"/>
                    <w:tr2bl w:val="nil"/>
                  </w:tcBorders>
                  <w:shd w:val="clear" w:color="auto" w:fill="auto"/>
                  <w:vAlign w:val="center"/>
                </w:tcPr>
                <w:p w14:paraId="529D5F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2.2KW</w:t>
                  </w:r>
                </w:p>
              </w:tc>
              <w:tc>
                <w:tcPr>
                  <w:tcW w:w="724" w:type="pct"/>
                  <w:tcBorders>
                    <w:tl2br w:val="nil"/>
                    <w:tr2bl w:val="nil"/>
                  </w:tcBorders>
                  <w:shd w:val="clear" w:color="auto" w:fill="auto"/>
                  <w:vAlign w:val="center"/>
                </w:tcPr>
                <w:p w14:paraId="22EF8BF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w:t>
                  </w:r>
                </w:p>
              </w:tc>
              <w:tc>
                <w:tcPr>
                  <w:tcW w:w="760" w:type="pct"/>
                  <w:tcBorders>
                    <w:tl2br w:val="nil"/>
                    <w:tr2bl w:val="nil"/>
                  </w:tcBorders>
                  <w:shd w:val="clear" w:color="auto" w:fill="auto"/>
                  <w:vAlign w:val="center"/>
                </w:tcPr>
                <w:p w14:paraId="6DD1B4D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39E033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1DDDB1C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171</w:t>
                  </w:r>
                </w:p>
              </w:tc>
              <w:tc>
                <w:tcPr>
                  <w:tcW w:w="926" w:type="pct"/>
                  <w:tcBorders>
                    <w:tl2br w:val="nil"/>
                    <w:tr2bl w:val="nil"/>
                  </w:tcBorders>
                  <w:shd w:val="clear" w:color="auto" w:fill="auto"/>
                  <w:vAlign w:val="center"/>
                </w:tcPr>
                <w:p w14:paraId="7431A4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全自动制片机</w:t>
                  </w:r>
                </w:p>
              </w:tc>
              <w:tc>
                <w:tcPr>
                  <w:tcW w:w="1328" w:type="pct"/>
                  <w:tcBorders>
                    <w:tl2br w:val="nil"/>
                    <w:tr2bl w:val="nil"/>
                  </w:tcBorders>
                  <w:shd w:val="clear" w:color="auto" w:fill="auto"/>
                  <w:vAlign w:val="center"/>
                </w:tcPr>
                <w:p w14:paraId="0E5DD7A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w:t>
                  </w:r>
                </w:p>
              </w:tc>
              <w:tc>
                <w:tcPr>
                  <w:tcW w:w="790" w:type="pct"/>
                  <w:tcBorders>
                    <w:tl2br w:val="nil"/>
                    <w:tr2bl w:val="nil"/>
                  </w:tcBorders>
                  <w:shd w:val="clear" w:color="auto" w:fill="auto"/>
                  <w:vAlign w:val="center"/>
                </w:tcPr>
                <w:p w14:paraId="07E587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3.5KW</w:t>
                  </w:r>
                </w:p>
              </w:tc>
              <w:tc>
                <w:tcPr>
                  <w:tcW w:w="724" w:type="pct"/>
                  <w:tcBorders>
                    <w:tl2br w:val="nil"/>
                    <w:tr2bl w:val="nil"/>
                  </w:tcBorders>
                  <w:shd w:val="clear" w:color="auto" w:fill="auto"/>
                  <w:vAlign w:val="center"/>
                </w:tcPr>
                <w:p w14:paraId="18A6367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34</w:t>
                  </w:r>
                </w:p>
              </w:tc>
              <w:tc>
                <w:tcPr>
                  <w:tcW w:w="760" w:type="pct"/>
                  <w:tcBorders>
                    <w:tl2br w:val="nil"/>
                    <w:tr2bl w:val="nil"/>
                  </w:tcBorders>
                  <w:shd w:val="clear" w:color="auto" w:fill="auto"/>
                  <w:vAlign w:val="center"/>
                </w:tcPr>
                <w:p w14:paraId="49650CF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26A85F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09F0767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172</w:t>
                  </w:r>
                </w:p>
              </w:tc>
              <w:tc>
                <w:tcPr>
                  <w:tcW w:w="926" w:type="pct"/>
                  <w:tcBorders>
                    <w:tl2br w:val="nil"/>
                    <w:tr2bl w:val="nil"/>
                  </w:tcBorders>
                  <w:shd w:val="clear" w:color="auto" w:fill="auto"/>
                  <w:vAlign w:val="center"/>
                </w:tcPr>
                <w:p w14:paraId="4D41C3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全自动制片机</w:t>
                  </w:r>
                </w:p>
              </w:tc>
              <w:tc>
                <w:tcPr>
                  <w:tcW w:w="1328" w:type="pct"/>
                  <w:tcBorders>
                    <w:tl2br w:val="nil"/>
                    <w:tr2bl w:val="nil"/>
                  </w:tcBorders>
                  <w:shd w:val="clear" w:color="auto" w:fill="auto"/>
                  <w:vAlign w:val="center"/>
                </w:tcPr>
                <w:p w14:paraId="4946C63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kern w:val="2"/>
                      <w:sz w:val="20"/>
                      <w:szCs w:val="20"/>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ZY-B-H2T2-G</w:t>
                  </w:r>
                </w:p>
              </w:tc>
              <w:tc>
                <w:tcPr>
                  <w:tcW w:w="790" w:type="pct"/>
                  <w:tcBorders>
                    <w:tl2br w:val="nil"/>
                    <w:tr2bl w:val="nil"/>
                  </w:tcBorders>
                  <w:shd w:val="clear" w:color="auto" w:fill="auto"/>
                  <w:vAlign w:val="center"/>
                </w:tcPr>
                <w:p w14:paraId="4FCC847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3A99E5F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10</w:t>
                  </w:r>
                </w:p>
              </w:tc>
              <w:tc>
                <w:tcPr>
                  <w:tcW w:w="760" w:type="pct"/>
                  <w:tcBorders>
                    <w:tl2br w:val="nil"/>
                    <w:tr2bl w:val="nil"/>
                  </w:tcBorders>
                  <w:shd w:val="clear" w:color="auto" w:fill="auto"/>
                  <w:vAlign w:val="center"/>
                </w:tcPr>
                <w:p w14:paraId="1554D20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新增设备</w:t>
                  </w:r>
                </w:p>
              </w:tc>
            </w:tr>
            <w:tr w14:paraId="75A7F8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66708B2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i w:val="0"/>
                      <w:iCs w:val="0"/>
                      <w:color w:val="000000"/>
                      <w:kern w:val="0"/>
                      <w:sz w:val="21"/>
                      <w:szCs w:val="21"/>
                      <w:highlight w:val="none"/>
                      <w:u w:val="none"/>
                      <w:lang w:val="en-US" w:eastAsia="zh-CN" w:bidi="ar"/>
                    </w:rPr>
                    <w:t>173</w:t>
                  </w:r>
                </w:p>
              </w:tc>
              <w:tc>
                <w:tcPr>
                  <w:tcW w:w="926" w:type="pct"/>
                  <w:tcBorders>
                    <w:tl2br w:val="nil"/>
                    <w:tr2bl w:val="nil"/>
                  </w:tcBorders>
                  <w:shd w:val="clear" w:color="auto" w:fill="auto"/>
                  <w:vAlign w:val="center"/>
                </w:tcPr>
                <w:p w14:paraId="49C144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40K超声波金属焊接机</w:t>
                  </w:r>
                </w:p>
              </w:tc>
              <w:tc>
                <w:tcPr>
                  <w:tcW w:w="1328" w:type="pct"/>
                  <w:tcBorders>
                    <w:tl2br w:val="nil"/>
                    <w:tr2bl w:val="nil"/>
                  </w:tcBorders>
                  <w:shd w:val="clear" w:color="auto" w:fill="auto"/>
                  <w:vAlign w:val="center"/>
                </w:tcPr>
                <w:p w14:paraId="5A61C6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NP-C-40-700VA</w:t>
                  </w:r>
                </w:p>
              </w:tc>
              <w:tc>
                <w:tcPr>
                  <w:tcW w:w="790" w:type="pct"/>
                  <w:tcBorders>
                    <w:tl2br w:val="nil"/>
                    <w:tr2bl w:val="nil"/>
                  </w:tcBorders>
                  <w:shd w:val="clear" w:color="auto" w:fill="auto"/>
                  <w:vAlign w:val="center"/>
                </w:tcPr>
                <w:p w14:paraId="58DBB74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77703C2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3</w:t>
                  </w:r>
                </w:p>
              </w:tc>
              <w:tc>
                <w:tcPr>
                  <w:tcW w:w="760" w:type="pct"/>
                  <w:tcBorders>
                    <w:tl2br w:val="nil"/>
                    <w:tr2bl w:val="nil"/>
                  </w:tcBorders>
                  <w:shd w:val="clear" w:color="auto" w:fill="auto"/>
                  <w:vAlign w:val="center"/>
                </w:tcPr>
                <w:p w14:paraId="6B743C1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332CCE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681CBD0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174</w:t>
                  </w:r>
                </w:p>
              </w:tc>
              <w:tc>
                <w:tcPr>
                  <w:tcW w:w="926" w:type="pct"/>
                  <w:tcBorders>
                    <w:tl2br w:val="nil"/>
                    <w:tr2bl w:val="nil"/>
                  </w:tcBorders>
                  <w:shd w:val="clear" w:color="auto" w:fill="auto"/>
                  <w:vAlign w:val="center"/>
                </w:tcPr>
                <w:p w14:paraId="2F5D76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高频逆变电焊机</w:t>
                  </w:r>
                </w:p>
              </w:tc>
              <w:tc>
                <w:tcPr>
                  <w:tcW w:w="1328" w:type="pct"/>
                  <w:tcBorders>
                    <w:tl2br w:val="nil"/>
                    <w:tr2bl w:val="nil"/>
                  </w:tcBorders>
                  <w:shd w:val="clear" w:color="auto" w:fill="auto"/>
                  <w:vAlign w:val="center"/>
                </w:tcPr>
                <w:p w14:paraId="08D868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XC-2044</w:t>
                  </w:r>
                </w:p>
              </w:tc>
              <w:tc>
                <w:tcPr>
                  <w:tcW w:w="790" w:type="pct"/>
                  <w:tcBorders>
                    <w:tl2br w:val="nil"/>
                    <w:tr2bl w:val="nil"/>
                  </w:tcBorders>
                  <w:shd w:val="clear" w:color="auto" w:fill="auto"/>
                  <w:vAlign w:val="center"/>
                </w:tcPr>
                <w:p w14:paraId="79CAF01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029E7EF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6E240E0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2B7734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EED242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175</w:t>
                  </w:r>
                </w:p>
              </w:tc>
              <w:tc>
                <w:tcPr>
                  <w:tcW w:w="926" w:type="pct"/>
                  <w:tcBorders>
                    <w:tl2br w:val="nil"/>
                    <w:tr2bl w:val="nil"/>
                  </w:tcBorders>
                  <w:shd w:val="clear" w:color="auto" w:fill="auto"/>
                  <w:vAlign w:val="center"/>
                </w:tcPr>
                <w:p w14:paraId="6A0ED4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手动包胶机</w:t>
                  </w:r>
                </w:p>
              </w:tc>
              <w:tc>
                <w:tcPr>
                  <w:tcW w:w="1328" w:type="pct"/>
                  <w:tcBorders>
                    <w:tl2br w:val="nil"/>
                    <w:tr2bl w:val="nil"/>
                  </w:tcBorders>
                  <w:shd w:val="clear" w:color="auto" w:fill="auto"/>
                  <w:vAlign w:val="center"/>
                </w:tcPr>
                <w:p w14:paraId="0F8AC8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TJA075</w:t>
                  </w:r>
                </w:p>
              </w:tc>
              <w:tc>
                <w:tcPr>
                  <w:tcW w:w="790" w:type="pct"/>
                  <w:tcBorders>
                    <w:tl2br w:val="nil"/>
                    <w:tr2bl w:val="nil"/>
                  </w:tcBorders>
                  <w:shd w:val="clear" w:color="auto" w:fill="auto"/>
                  <w:vAlign w:val="center"/>
                </w:tcPr>
                <w:p w14:paraId="6F88A73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439691F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3CA6824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5B4C25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0AC117C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176</w:t>
                  </w:r>
                </w:p>
              </w:tc>
              <w:tc>
                <w:tcPr>
                  <w:tcW w:w="926" w:type="pct"/>
                  <w:tcBorders>
                    <w:tl2br w:val="nil"/>
                    <w:tr2bl w:val="nil"/>
                  </w:tcBorders>
                  <w:shd w:val="clear" w:color="auto" w:fill="auto"/>
                  <w:vAlign w:val="center"/>
                </w:tcPr>
                <w:p w14:paraId="6F0FA0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40K超声波金属焊接机</w:t>
                  </w:r>
                </w:p>
              </w:tc>
              <w:tc>
                <w:tcPr>
                  <w:tcW w:w="1328" w:type="pct"/>
                  <w:tcBorders>
                    <w:tl2br w:val="nil"/>
                    <w:tr2bl w:val="nil"/>
                  </w:tcBorders>
                  <w:shd w:val="clear" w:color="auto" w:fill="auto"/>
                  <w:vAlign w:val="center"/>
                </w:tcPr>
                <w:p w14:paraId="582FB9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NP-C-40-1000VA</w:t>
                  </w:r>
                </w:p>
              </w:tc>
              <w:tc>
                <w:tcPr>
                  <w:tcW w:w="790" w:type="pct"/>
                  <w:tcBorders>
                    <w:tl2br w:val="nil"/>
                    <w:tr2bl w:val="nil"/>
                  </w:tcBorders>
                  <w:shd w:val="clear" w:color="auto" w:fill="auto"/>
                  <w:vAlign w:val="center"/>
                </w:tcPr>
                <w:p w14:paraId="62DB3D0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71CA87A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3</w:t>
                  </w:r>
                </w:p>
              </w:tc>
              <w:tc>
                <w:tcPr>
                  <w:tcW w:w="760" w:type="pct"/>
                  <w:tcBorders>
                    <w:tl2br w:val="nil"/>
                    <w:tr2bl w:val="nil"/>
                  </w:tcBorders>
                  <w:shd w:val="clear" w:color="auto" w:fill="auto"/>
                  <w:vAlign w:val="center"/>
                </w:tcPr>
                <w:p w14:paraId="1357A49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13B34E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298231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177</w:t>
                  </w:r>
                </w:p>
              </w:tc>
              <w:tc>
                <w:tcPr>
                  <w:tcW w:w="926" w:type="pct"/>
                  <w:tcBorders>
                    <w:tl2br w:val="nil"/>
                    <w:tr2bl w:val="nil"/>
                  </w:tcBorders>
                  <w:shd w:val="clear" w:color="auto" w:fill="auto"/>
                  <w:vAlign w:val="center"/>
                </w:tcPr>
                <w:p w14:paraId="6D3BC6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全自动卷绕机</w:t>
                  </w:r>
                </w:p>
              </w:tc>
              <w:tc>
                <w:tcPr>
                  <w:tcW w:w="1328" w:type="pct"/>
                  <w:tcBorders>
                    <w:tl2br w:val="nil"/>
                    <w:tr2bl w:val="nil"/>
                  </w:tcBorders>
                  <w:shd w:val="clear" w:color="auto" w:fill="auto"/>
                  <w:vAlign w:val="center"/>
                </w:tcPr>
                <w:p w14:paraId="62F8C7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ZY-18/65-L</w:t>
                  </w:r>
                </w:p>
              </w:tc>
              <w:tc>
                <w:tcPr>
                  <w:tcW w:w="790" w:type="pct"/>
                  <w:tcBorders>
                    <w:tl2br w:val="nil"/>
                    <w:tr2bl w:val="nil"/>
                  </w:tcBorders>
                  <w:shd w:val="clear" w:color="auto" w:fill="auto"/>
                  <w:vAlign w:val="center"/>
                </w:tcPr>
                <w:p w14:paraId="5F92F7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10KW</w:t>
                  </w:r>
                </w:p>
              </w:tc>
              <w:tc>
                <w:tcPr>
                  <w:tcW w:w="724" w:type="pct"/>
                  <w:tcBorders>
                    <w:tl2br w:val="nil"/>
                    <w:tr2bl w:val="nil"/>
                  </w:tcBorders>
                  <w:shd w:val="clear" w:color="auto" w:fill="auto"/>
                  <w:vAlign w:val="center"/>
                </w:tcPr>
                <w:p w14:paraId="576FAA0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46</w:t>
                  </w:r>
                </w:p>
              </w:tc>
              <w:tc>
                <w:tcPr>
                  <w:tcW w:w="760" w:type="pct"/>
                  <w:tcBorders>
                    <w:tl2br w:val="nil"/>
                    <w:tr2bl w:val="nil"/>
                  </w:tcBorders>
                  <w:shd w:val="clear" w:color="auto" w:fill="auto"/>
                  <w:vAlign w:val="center"/>
                </w:tcPr>
                <w:p w14:paraId="44432A1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208DF9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EEE9E4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178</w:t>
                  </w:r>
                </w:p>
              </w:tc>
              <w:tc>
                <w:tcPr>
                  <w:tcW w:w="926" w:type="pct"/>
                  <w:tcBorders>
                    <w:tl2br w:val="nil"/>
                    <w:tr2bl w:val="nil"/>
                  </w:tcBorders>
                  <w:shd w:val="clear" w:color="auto" w:fill="auto"/>
                  <w:vAlign w:val="center"/>
                </w:tcPr>
                <w:p w14:paraId="6B14C0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圆形半自动卷绕机</w:t>
                  </w:r>
                </w:p>
              </w:tc>
              <w:tc>
                <w:tcPr>
                  <w:tcW w:w="1328" w:type="pct"/>
                  <w:tcBorders>
                    <w:tl2br w:val="nil"/>
                    <w:tr2bl w:val="nil"/>
                  </w:tcBorders>
                  <w:shd w:val="clear" w:color="auto" w:fill="auto"/>
                  <w:vAlign w:val="center"/>
                </w:tcPr>
                <w:p w14:paraId="3D7A1F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65913</w:t>
                  </w:r>
                </w:p>
              </w:tc>
              <w:tc>
                <w:tcPr>
                  <w:tcW w:w="790" w:type="pct"/>
                  <w:tcBorders>
                    <w:tl2br w:val="nil"/>
                    <w:tr2bl w:val="nil"/>
                  </w:tcBorders>
                  <w:shd w:val="clear" w:color="auto" w:fill="auto"/>
                  <w:vAlign w:val="center"/>
                </w:tcPr>
                <w:p w14:paraId="7B01F09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35BEC1B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3</w:t>
                  </w:r>
                </w:p>
              </w:tc>
              <w:tc>
                <w:tcPr>
                  <w:tcW w:w="760" w:type="pct"/>
                  <w:tcBorders>
                    <w:tl2br w:val="nil"/>
                    <w:tr2bl w:val="nil"/>
                  </w:tcBorders>
                  <w:shd w:val="clear" w:color="auto" w:fill="auto"/>
                  <w:vAlign w:val="center"/>
                </w:tcPr>
                <w:p w14:paraId="7A38399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64D17C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0F73B1C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179</w:t>
                  </w:r>
                </w:p>
              </w:tc>
              <w:tc>
                <w:tcPr>
                  <w:tcW w:w="926" w:type="pct"/>
                  <w:tcBorders>
                    <w:tl2br w:val="nil"/>
                    <w:tr2bl w:val="nil"/>
                  </w:tcBorders>
                  <w:shd w:val="clear" w:color="auto" w:fill="auto"/>
                  <w:vAlign w:val="center"/>
                </w:tcPr>
                <w:p w14:paraId="272413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全自动入壳机</w:t>
                  </w:r>
                </w:p>
              </w:tc>
              <w:tc>
                <w:tcPr>
                  <w:tcW w:w="1328" w:type="pct"/>
                  <w:tcBorders>
                    <w:tl2br w:val="nil"/>
                    <w:tr2bl w:val="nil"/>
                  </w:tcBorders>
                  <w:shd w:val="clear" w:color="auto" w:fill="auto"/>
                  <w:vAlign w:val="center"/>
                </w:tcPr>
                <w:p w14:paraId="410856A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90" w:type="pct"/>
                  <w:tcBorders>
                    <w:tl2br w:val="nil"/>
                    <w:tr2bl w:val="nil"/>
                  </w:tcBorders>
                  <w:shd w:val="clear" w:color="auto" w:fill="auto"/>
                  <w:vAlign w:val="center"/>
                </w:tcPr>
                <w:p w14:paraId="1DA73F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2KW</w:t>
                  </w:r>
                </w:p>
              </w:tc>
              <w:tc>
                <w:tcPr>
                  <w:tcW w:w="724" w:type="pct"/>
                  <w:tcBorders>
                    <w:tl2br w:val="nil"/>
                    <w:tr2bl w:val="nil"/>
                  </w:tcBorders>
                  <w:shd w:val="clear" w:color="auto" w:fill="auto"/>
                  <w:vAlign w:val="center"/>
                </w:tcPr>
                <w:p w14:paraId="0AF63DE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46</w:t>
                  </w:r>
                </w:p>
              </w:tc>
              <w:tc>
                <w:tcPr>
                  <w:tcW w:w="760" w:type="pct"/>
                  <w:tcBorders>
                    <w:tl2br w:val="nil"/>
                    <w:tr2bl w:val="nil"/>
                  </w:tcBorders>
                  <w:shd w:val="clear" w:color="auto" w:fill="auto"/>
                  <w:vAlign w:val="center"/>
                </w:tcPr>
                <w:p w14:paraId="5277FDB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01370B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6DD2FC6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180</w:t>
                  </w:r>
                </w:p>
              </w:tc>
              <w:tc>
                <w:tcPr>
                  <w:tcW w:w="926" w:type="pct"/>
                  <w:tcBorders>
                    <w:tl2br w:val="nil"/>
                    <w:tr2bl w:val="nil"/>
                  </w:tcBorders>
                  <w:shd w:val="clear" w:color="auto" w:fill="auto"/>
                  <w:vAlign w:val="center"/>
                </w:tcPr>
                <w:p w14:paraId="70312D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18650入壳收盒机</w:t>
                  </w:r>
                </w:p>
              </w:tc>
              <w:tc>
                <w:tcPr>
                  <w:tcW w:w="1328" w:type="pct"/>
                  <w:tcBorders>
                    <w:tl2br w:val="nil"/>
                    <w:tr2bl w:val="nil"/>
                  </w:tcBorders>
                  <w:shd w:val="clear" w:color="auto" w:fill="auto"/>
                  <w:vAlign w:val="center"/>
                </w:tcPr>
                <w:p w14:paraId="0BC419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HYX-RKJ-18650</w:t>
                  </w:r>
                </w:p>
              </w:tc>
              <w:tc>
                <w:tcPr>
                  <w:tcW w:w="790" w:type="pct"/>
                  <w:tcBorders>
                    <w:tl2br w:val="nil"/>
                    <w:tr2bl w:val="nil"/>
                  </w:tcBorders>
                  <w:shd w:val="clear" w:color="auto" w:fill="auto"/>
                  <w:vAlign w:val="center"/>
                </w:tcPr>
                <w:p w14:paraId="2754AA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1KW</w:t>
                  </w:r>
                </w:p>
              </w:tc>
              <w:tc>
                <w:tcPr>
                  <w:tcW w:w="724" w:type="pct"/>
                  <w:tcBorders>
                    <w:tl2br w:val="nil"/>
                    <w:tr2bl w:val="nil"/>
                  </w:tcBorders>
                  <w:shd w:val="clear" w:color="auto" w:fill="auto"/>
                  <w:vAlign w:val="center"/>
                </w:tcPr>
                <w:p w14:paraId="6462BA5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3</w:t>
                  </w:r>
                </w:p>
              </w:tc>
              <w:tc>
                <w:tcPr>
                  <w:tcW w:w="760" w:type="pct"/>
                  <w:tcBorders>
                    <w:tl2br w:val="nil"/>
                    <w:tr2bl w:val="nil"/>
                  </w:tcBorders>
                  <w:shd w:val="clear" w:color="auto" w:fill="auto"/>
                  <w:vAlign w:val="center"/>
                </w:tcPr>
                <w:p w14:paraId="6C2060F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5120B1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444D018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181</w:t>
                  </w:r>
                </w:p>
              </w:tc>
              <w:tc>
                <w:tcPr>
                  <w:tcW w:w="926" w:type="pct"/>
                  <w:tcBorders>
                    <w:tl2br w:val="nil"/>
                    <w:tr2bl w:val="nil"/>
                  </w:tcBorders>
                  <w:shd w:val="clear" w:color="auto" w:fill="auto"/>
                  <w:vAlign w:val="center"/>
                </w:tcPr>
                <w:p w14:paraId="58D71E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全自动装配注液线</w:t>
                  </w:r>
                </w:p>
              </w:tc>
              <w:tc>
                <w:tcPr>
                  <w:tcW w:w="1328" w:type="pct"/>
                  <w:tcBorders>
                    <w:tl2br w:val="nil"/>
                    <w:tr2bl w:val="nil"/>
                  </w:tcBorders>
                  <w:shd w:val="clear" w:color="auto" w:fill="auto"/>
                  <w:vAlign w:val="center"/>
                </w:tcPr>
                <w:p w14:paraId="79CA62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YDZE-18A</w:t>
                  </w:r>
                </w:p>
              </w:tc>
              <w:tc>
                <w:tcPr>
                  <w:tcW w:w="790" w:type="pct"/>
                  <w:tcBorders>
                    <w:tl2br w:val="nil"/>
                    <w:tr2bl w:val="nil"/>
                  </w:tcBorders>
                  <w:shd w:val="clear" w:color="auto" w:fill="auto"/>
                  <w:vAlign w:val="center"/>
                </w:tcPr>
                <w:p w14:paraId="1B0216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1.5KW</w:t>
                  </w:r>
                </w:p>
              </w:tc>
              <w:tc>
                <w:tcPr>
                  <w:tcW w:w="724" w:type="pct"/>
                  <w:tcBorders>
                    <w:tl2br w:val="nil"/>
                    <w:tr2bl w:val="nil"/>
                  </w:tcBorders>
                  <w:shd w:val="clear" w:color="auto" w:fill="auto"/>
                  <w:vAlign w:val="center"/>
                </w:tcPr>
                <w:p w14:paraId="2119A13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32</w:t>
                  </w:r>
                </w:p>
              </w:tc>
              <w:tc>
                <w:tcPr>
                  <w:tcW w:w="760" w:type="pct"/>
                  <w:tcBorders>
                    <w:tl2br w:val="nil"/>
                    <w:tr2bl w:val="nil"/>
                  </w:tcBorders>
                  <w:shd w:val="clear" w:color="auto" w:fill="auto"/>
                  <w:vAlign w:val="center"/>
                </w:tcPr>
                <w:p w14:paraId="3BA452A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368875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C737B8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182</w:t>
                  </w:r>
                </w:p>
              </w:tc>
              <w:tc>
                <w:tcPr>
                  <w:tcW w:w="926" w:type="pct"/>
                  <w:tcBorders>
                    <w:tl2br w:val="nil"/>
                    <w:tr2bl w:val="nil"/>
                  </w:tcBorders>
                  <w:shd w:val="clear" w:color="auto" w:fill="auto"/>
                  <w:vAlign w:val="center"/>
                </w:tcPr>
                <w:p w14:paraId="1680CC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一拖四单头电动注液泵</w:t>
                  </w:r>
                </w:p>
              </w:tc>
              <w:tc>
                <w:tcPr>
                  <w:tcW w:w="1328" w:type="pct"/>
                  <w:tcBorders>
                    <w:tl2br w:val="nil"/>
                    <w:tr2bl w:val="nil"/>
                  </w:tcBorders>
                  <w:shd w:val="clear" w:color="auto" w:fill="auto"/>
                  <w:vAlign w:val="center"/>
                </w:tcPr>
                <w:p w14:paraId="0AF10A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JKR-1600Z</w:t>
                  </w:r>
                </w:p>
              </w:tc>
              <w:tc>
                <w:tcPr>
                  <w:tcW w:w="790" w:type="pct"/>
                  <w:tcBorders>
                    <w:tl2br w:val="nil"/>
                    <w:tr2bl w:val="nil"/>
                  </w:tcBorders>
                  <w:shd w:val="clear" w:color="auto" w:fill="auto"/>
                  <w:vAlign w:val="center"/>
                </w:tcPr>
                <w:p w14:paraId="64F8056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38B7F8A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32</w:t>
                  </w:r>
                </w:p>
              </w:tc>
              <w:tc>
                <w:tcPr>
                  <w:tcW w:w="760" w:type="pct"/>
                  <w:tcBorders>
                    <w:tl2br w:val="nil"/>
                    <w:tr2bl w:val="nil"/>
                  </w:tcBorders>
                  <w:shd w:val="clear" w:color="auto" w:fill="auto"/>
                  <w:vAlign w:val="center"/>
                </w:tcPr>
                <w:p w14:paraId="6C87B62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244422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4272A07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183</w:t>
                  </w:r>
                </w:p>
              </w:tc>
              <w:tc>
                <w:tcPr>
                  <w:tcW w:w="926" w:type="pct"/>
                  <w:tcBorders>
                    <w:tl2br w:val="nil"/>
                    <w:tr2bl w:val="nil"/>
                  </w:tcBorders>
                  <w:shd w:val="clear" w:color="auto" w:fill="auto"/>
                  <w:vAlign w:val="center"/>
                </w:tcPr>
                <w:p w14:paraId="35CEA8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高真空泵烤箱</w:t>
                  </w:r>
                </w:p>
              </w:tc>
              <w:tc>
                <w:tcPr>
                  <w:tcW w:w="1328" w:type="pct"/>
                  <w:tcBorders>
                    <w:tl2br w:val="nil"/>
                    <w:tr2bl w:val="nil"/>
                  </w:tcBorders>
                  <w:shd w:val="clear" w:color="auto" w:fill="auto"/>
                  <w:vAlign w:val="center"/>
                </w:tcPr>
                <w:p w14:paraId="021273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M</w:t>
                  </w:r>
                  <w:r>
                    <w:rPr>
                      <w:rStyle w:val="84"/>
                      <w:rFonts w:hint="default" w:ascii="Times New Roman" w:hAnsi="Times New Roman" w:eastAsia="宋体" w:cs="Times New Roman"/>
                      <w:sz w:val="21"/>
                      <w:szCs w:val="21"/>
                      <w:highlight w:val="none"/>
                      <w:lang w:val="en-US" w:eastAsia="zh-CN" w:bidi="ar"/>
                    </w:rPr>
                    <w:t>D-GNW308-03B</w:t>
                  </w:r>
                </w:p>
              </w:tc>
              <w:tc>
                <w:tcPr>
                  <w:tcW w:w="790" w:type="pct"/>
                  <w:tcBorders>
                    <w:tl2br w:val="nil"/>
                    <w:tr2bl w:val="nil"/>
                  </w:tcBorders>
                  <w:shd w:val="clear" w:color="auto" w:fill="auto"/>
                  <w:vAlign w:val="center"/>
                </w:tcPr>
                <w:p w14:paraId="610B6B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9.5KW</w:t>
                  </w:r>
                </w:p>
              </w:tc>
              <w:tc>
                <w:tcPr>
                  <w:tcW w:w="724" w:type="pct"/>
                  <w:tcBorders>
                    <w:tl2br w:val="nil"/>
                    <w:tr2bl w:val="nil"/>
                  </w:tcBorders>
                  <w:shd w:val="clear" w:color="auto" w:fill="auto"/>
                  <w:vAlign w:val="center"/>
                </w:tcPr>
                <w:p w14:paraId="44508F8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3</w:t>
                  </w:r>
                </w:p>
              </w:tc>
              <w:tc>
                <w:tcPr>
                  <w:tcW w:w="760" w:type="pct"/>
                  <w:tcBorders>
                    <w:tl2br w:val="nil"/>
                    <w:tr2bl w:val="nil"/>
                  </w:tcBorders>
                  <w:shd w:val="clear" w:color="auto" w:fill="auto"/>
                  <w:vAlign w:val="center"/>
                </w:tcPr>
                <w:p w14:paraId="539976C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11A4039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0263C2B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184</w:t>
                  </w:r>
                </w:p>
              </w:tc>
              <w:tc>
                <w:tcPr>
                  <w:tcW w:w="926" w:type="pct"/>
                  <w:tcBorders>
                    <w:tl2br w:val="nil"/>
                    <w:tr2bl w:val="nil"/>
                  </w:tcBorders>
                  <w:shd w:val="clear" w:color="auto" w:fill="auto"/>
                  <w:vAlign w:val="center"/>
                </w:tcPr>
                <w:p w14:paraId="20F61A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高真空烤箱箱体</w:t>
                  </w:r>
                </w:p>
              </w:tc>
              <w:tc>
                <w:tcPr>
                  <w:tcW w:w="1328" w:type="pct"/>
                  <w:tcBorders>
                    <w:tl2br w:val="nil"/>
                    <w:tr2bl w:val="nil"/>
                  </w:tcBorders>
                  <w:shd w:val="clear" w:color="auto" w:fill="auto"/>
                  <w:vAlign w:val="center"/>
                </w:tcPr>
                <w:p w14:paraId="4E05BB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一拖四（16台）</w:t>
                  </w:r>
                </w:p>
              </w:tc>
              <w:tc>
                <w:tcPr>
                  <w:tcW w:w="790" w:type="pct"/>
                  <w:tcBorders>
                    <w:tl2br w:val="nil"/>
                    <w:tr2bl w:val="nil"/>
                  </w:tcBorders>
                  <w:shd w:val="clear" w:color="auto" w:fill="auto"/>
                  <w:vAlign w:val="center"/>
                </w:tcPr>
                <w:p w14:paraId="04DB55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9.5KW</w:t>
                  </w:r>
                </w:p>
              </w:tc>
              <w:tc>
                <w:tcPr>
                  <w:tcW w:w="724" w:type="pct"/>
                  <w:tcBorders>
                    <w:tl2br w:val="nil"/>
                    <w:tr2bl w:val="nil"/>
                  </w:tcBorders>
                  <w:shd w:val="clear" w:color="auto" w:fill="auto"/>
                  <w:vAlign w:val="center"/>
                </w:tcPr>
                <w:p w14:paraId="7619E0D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4套（每套4台）</w:t>
                  </w:r>
                </w:p>
              </w:tc>
              <w:tc>
                <w:tcPr>
                  <w:tcW w:w="760" w:type="pct"/>
                  <w:tcBorders>
                    <w:tl2br w:val="nil"/>
                    <w:tr2bl w:val="nil"/>
                  </w:tcBorders>
                  <w:shd w:val="clear" w:color="auto" w:fill="auto"/>
                  <w:vAlign w:val="center"/>
                </w:tcPr>
                <w:p w14:paraId="576E565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00759C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67DBFE6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185</w:t>
                  </w:r>
                </w:p>
              </w:tc>
              <w:tc>
                <w:tcPr>
                  <w:tcW w:w="926" w:type="pct"/>
                  <w:tcBorders>
                    <w:tl2br w:val="nil"/>
                    <w:tr2bl w:val="nil"/>
                  </w:tcBorders>
                  <w:shd w:val="clear" w:color="auto" w:fill="auto"/>
                  <w:vAlign w:val="center"/>
                </w:tcPr>
                <w:p w14:paraId="5727C6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40K焊帽机</w:t>
                  </w:r>
                </w:p>
              </w:tc>
              <w:tc>
                <w:tcPr>
                  <w:tcW w:w="1328" w:type="pct"/>
                  <w:tcBorders>
                    <w:tl2br w:val="nil"/>
                    <w:tr2bl w:val="nil"/>
                  </w:tcBorders>
                  <w:shd w:val="clear" w:color="auto" w:fill="auto"/>
                  <w:vAlign w:val="center"/>
                </w:tcPr>
                <w:p w14:paraId="4368947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sz w:val="21"/>
                      <w:szCs w:val="21"/>
                      <w:highlight w:val="none"/>
                      <w:vertAlign w:val="baseline"/>
                      <w:lang w:val="en-US" w:eastAsia="zh-CN"/>
                    </w:rPr>
                    <w:t>/</w:t>
                  </w:r>
                </w:p>
              </w:tc>
              <w:tc>
                <w:tcPr>
                  <w:tcW w:w="790" w:type="pct"/>
                  <w:tcBorders>
                    <w:tl2br w:val="nil"/>
                    <w:tr2bl w:val="nil"/>
                  </w:tcBorders>
                  <w:shd w:val="clear" w:color="auto" w:fill="auto"/>
                  <w:vAlign w:val="center"/>
                </w:tcPr>
                <w:p w14:paraId="0C3AB88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3D507BF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3</w:t>
                  </w:r>
                </w:p>
              </w:tc>
              <w:tc>
                <w:tcPr>
                  <w:tcW w:w="760" w:type="pct"/>
                  <w:tcBorders>
                    <w:tl2br w:val="nil"/>
                    <w:tr2bl w:val="nil"/>
                  </w:tcBorders>
                  <w:shd w:val="clear" w:color="auto" w:fill="auto"/>
                  <w:vAlign w:val="center"/>
                </w:tcPr>
                <w:p w14:paraId="48FA3EB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5EE7403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4099390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186</w:t>
                  </w:r>
                </w:p>
              </w:tc>
              <w:tc>
                <w:tcPr>
                  <w:tcW w:w="926" w:type="pct"/>
                  <w:tcBorders>
                    <w:tl2br w:val="nil"/>
                    <w:tr2bl w:val="nil"/>
                  </w:tcBorders>
                  <w:shd w:val="clear" w:color="auto" w:fill="auto"/>
                  <w:vAlign w:val="center"/>
                </w:tcPr>
                <w:p w14:paraId="1D4ADD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全自动清洗机</w:t>
                  </w:r>
                </w:p>
              </w:tc>
              <w:tc>
                <w:tcPr>
                  <w:tcW w:w="1328" w:type="pct"/>
                  <w:tcBorders>
                    <w:tl2br w:val="nil"/>
                    <w:tr2bl w:val="nil"/>
                  </w:tcBorders>
                  <w:shd w:val="clear" w:color="auto" w:fill="auto"/>
                  <w:vAlign w:val="center"/>
                </w:tcPr>
                <w:p w14:paraId="5B5FAC8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sz w:val="21"/>
                      <w:szCs w:val="21"/>
                      <w:highlight w:val="none"/>
                      <w:vertAlign w:val="baseline"/>
                      <w:lang w:val="en-US" w:eastAsia="zh-CN"/>
                    </w:rPr>
                    <w:t>/</w:t>
                  </w:r>
                </w:p>
              </w:tc>
              <w:tc>
                <w:tcPr>
                  <w:tcW w:w="790" w:type="pct"/>
                  <w:tcBorders>
                    <w:tl2br w:val="nil"/>
                    <w:tr2bl w:val="nil"/>
                  </w:tcBorders>
                  <w:shd w:val="clear" w:color="auto" w:fill="auto"/>
                  <w:vAlign w:val="center"/>
                </w:tcPr>
                <w:p w14:paraId="22D378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15KW</w:t>
                  </w:r>
                </w:p>
              </w:tc>
              <w:tc>
                <w:tcPr>
                  <w:tcW w:w="724" w:type="pct"/>
                  <w:tcBorders>
                    <w:tl2br w:val="nil"/>
                    <w:tr2bl w:val="nil"/>
                  </w:tcBorders>
                  <w:shd w:val="clear" w:color="auto" w:fill="auto"/>
                  <w:vAlign w:val="center"/>
                </w:tcPr>
                <w:p w14:paraId="5FCBF93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8</w:t>
                  </w:r>
                </w:p>
              </w:tc>
              <w:tc>
                <w:tcPr>
                  <w:tcW w:w="760" w:type="pct"/>
                  <w:tcBorders>
                    <w:tl2br w:val="nil"/>
                    <w:tr2bl w:val="nil"/>
                  </w:tcBorders>
                  <w:shd w:val="clear" w:color="auto" w:fill="auto"/>
                  <w:vAlign w:val="center"/>
                </w:tcPr>
                <w:p w14:paraId="29D0924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326F77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078BB32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187</w:t>
                  </w:r>
                </w:p>
              </w:tc>
              <w:tc>
                <w:tcPr>
                  <w:tcW w:w="926" w:type="pct"/>
                  <w:tcBorders>
                    <w:tl2br w:val="nil"/>
                    <w:tr2bl w:val="nil"/>
                  </w:tcBorders>
                  <w:shd w:val="clear" w:color="auto" w:fill="auto"/>
                  <w:vAlign w:val="center"/>
                </w:tcPr>
                <w:p w14:paraId="2D4BBD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直线封口机</w:t>
                  </w:r>
                </w:p>
              </w:tc>
              <w:tc>
                <w:tcPr>
                  <w:tcW w:w="1328" w:type="pct"/>
                  <w:tcBorders>
                    <w:tl2br w:val="nil"/>
                    <w:tr2bl w:val="nil"/>
                  </w:tcBorders>
                  <w:shd w:val="clear" w:color="auto" w:fill="auto"/>
                  <w:vAlign w:val="center"/>
                </w:tcPr>
                <w:p w14:paraId="434C85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J23-10T</w:t>
                  </w:r>
                </w:p>
              </w:tc>
              <w:tc>
                <w:tcPr>
                  <w:tcW w:w="790" w:type="pct"/>
                  <w:tcBorders>
                    <w:tl2br w:val="nil"/>
                    <w:tr2bl w:val="nil"/>
                  </w:tcBorders>
                  <w:shd w:val="clear" w:color="auto" w:fill="auto"/>
                  <w:vAlign w:val="center"/>
                </w:tcPr>
                <w:p w14:paraId="1749C5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2.2KW</w:t>
                  </w:r>
                </w:p>
              </w:tc>
              <w:tc>
                <w:tcPr>
                  <w:tcW w:w="724" w:type="pct"/>
                  <w:tcBorders>
                    <w:tl2br w:val="nil"/>
                    <w:tr2bl w:val="nil"/>
                  </w:tcBorders>
                  <w:shd w:val="clear" w:color="auto" w:fill="auto"/>
                  <w:vAlign w:val="center"/>
                </w:tcPr>
                <w:p w14:paraId="7567E08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34</w:t>
                  </w:r>
                </w:p>
              </w:tc>
              <w:tc>
                <w:tcPr>
                  <w:tcW w:w="760" w:type="pct"/>
                  <w:tcBorders>
                    <w:tl2br w:val="nil"/>
                    <w:tr2bl w:val="nil"/>
                  </w:tcBorders>
                  <w:shd w:val="clear" w:color="auto" w:fill="auto"/>
                  <w:vAlign w:val="center"/>
                </w:tcPr>
                <w:p w14:paraId="0491B9A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191E4E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DD6391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188</w:t>
                  </w:r>
                </w:p>
              </w:tc>
              <w:tc>
                <w:tcPr>
                  <w:tcW w:w="926" w:type="pct"/>
                  <w:tcBorders>
                    <w:tl2br w:val="nil"/>
                    <w:tr2bl w:val="nil"/>
                  </w:tcBorders>
                  <w:shd w:val="clear" w:color="auto" w:fill="auto"/>
                  <w:vAlign w:val="center"/>
                </w:tcPr>
                <w:p w14:paraId="0F45B1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二次电池化成设备</w:t>
                  </w:r>
                </w:p>
              </w:tc>
              <w:tc>
                <w:tcPr>
                  <w:tcW w:w="1328" w:type="pct"/>
                  <w:tcBorders>
                    <w:tl2br w:val="nil"/>
                    <w:tr2bl w:val="nil"/>
                  </w:tcBorders>
                  <w:shd w:val="clear" w:color="auto" w:fill="auto"/>
                  <w:vAlign w:val="center"/>
                </w:tcPr>
                <w:p w14:paraId="2C7D5A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JR-50-800F</w:t>
                  </w:r>
                </w:p>
              </w:tc>
              <w:tc>
                <w:tcPr>
                  <w:tcW w:w="790" w:type="pct"/>
                  <w:tcBorders>
                    <w:tl2br w:val="nil"/>
                    <w:tr2bl w:val="nil"/>
                  </w:tcBorders>
                  <w:shd w:val="clear" w:color="auto" w:fill="auto"/>
                  <w:vAlign w:val="center"/>
                </w:tcPr>
                <w:p w14:paraId="579B07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3KW</w:t>
                  </w:r>
                </w:p>
              </w:tc>
              <w:tc>
                <w:tcPr>
                  <w:tcW w:w="724" w:type="pct"/>
                  <w:tcBorders>
                    <w:tl2br w:val="nil"/>
                    <w:tr2bl w:val="nil"/>
                  </w:tcBorders>
                  <w:shd w:val="clear" w:color="auto" w:fill="auto"/>
                  <w:vAlign w:val="center"/>
                </w:tcPr>
                <w:p w14:paraId="68E987A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17</w:t>
                  </w:r>
                </w:p>
              </w:tc>
              <w:tc>
                <w:tcPr>
                  <w:tcW w:w="760" w:type="pct"/>
                  <w:tcBorders>
                    <w:tl2br w:val="nil"/>
                    <w:tr2bl w:val="nil"/>
                  </w:tcBorders>
                  <w:shd w:val="clear" w:color="auto" w:fill="auto"/>
                  <w:vAlign w:val="center"/>
                </w:tcPr>
                <w:p w14:paraId="41E85B4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0D0005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44A7BBD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189</w:t>
                  </w:r>
                </w:p>
              </w:tc>
              <w:tc>
                <w:tcPr>
                  <w:tcW w:w="926" w:type="pct"/>
                  <w:tcBorders>
                    <w:tl2br w:val="nil"/>
                    <w:tr2bl w:val="nil"/>
                  </w:tcBorders>
                  <w:shd w:val="clear" w:color="auto" w:fill="auto"/>
                  <w:vAlign w:val="center"/>
                </w:tcPr>
                <w:p w14:paraId="2FA38F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回馈式针床</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化成检测设备</w:t>
                  </w:r>
                </w:p>
              </w:tc>
              <w:tc>
                <w:tcPr>
                  <w:tcW w:w="1328" w:type="pct"/>
                  <w:tcBorders>
                    <w:tl2br w:val="nil"/>
                    <w:tr2bl w:val="nil"/>
                  </w:tcBorders>
                  <w:shd w:val="clear" w:color="auto" w:fill="auto"/>
                  <w:vAlign w:val="center"/>
                </w:tcPr>
                <w:p w14:paraId="79325E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WP-1280CH-1A-FK</w:t>
                  </w:r>
                </w:p>
              </w:tc>
              <w:tc>
                <w:tcPr>
                  <w:tcW w:w="790" w:type="pct"/>
                  <w:tcBorders>
                    <w:tl2br w:val="nil"/>
                    <w:tr2bl w:val="nil"/>
                  </w:tcBorders>
                  <w:shd w:val="clear" w:color="auto" w:fill="auto"/>
                  <w:vAlign w:val="center"/>
                </w:tcPr>
                <w:p w14:paraId="483AD87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52A0734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195</w:t>
                  </w:r>
                </w:p>
              </w:tc>
              <w:tc>
                <w:tcPr>
                  <w:tcW w:w="760" w:type="pct"/>
                  <w:tcBorders>
                    <w:tl2br w:val="nil"/>
                    <w:tr2bl w:val="nil"/>
                  </w:tcBorders>
                  <w:shd w:val="clear" w:color="auto" w:fill="auto"/>
                  <w:vAlign w:val="center"/>
                </w:tcPr>
                <w:p w14:paraId="1E6E0ED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新增设备</w:t>
                  </w:r>
                </w:p>
              </w:tc>
            </w:tr>
            <w:tr w14:paraId="33259F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6DE2DF7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190</w:t>
                  </w:r>
                </w:p>
              </w:tc>
              <w:tc>
                <w:tcPr>
                  <w:tcW w:w="926" w:type="pct"/>
                  <w:tcBorders>
                    <w:tl2br w:val="nil"/>
                    <w:tr2bl w:val="nil"/>
                  </w:tcBorders>
                  <w:shd w:val="clear" w:color="auto" w:fill="auto"/>
                  <w:vAlign w:val="center"/>
                </w:tcPr>
                <w:p w14:paraId="362229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电池套标分选一体机</w:t>
                  </w:r>
                </w:p>
              </w:tc>
              <w:tc>
                <w:tcPr>
                  <w:tcW w:w="1328" w:type="pct"/>
                  <w:tcBorders>
                    <w:tl2br w:val="nil"/>
                    <w:tr2bl w:val="nil"/>
                  </w:tcBorders>
                  <w:shd w:val="clear" w:color="auto" w:fill="auto"/>
                  <w:vAlign w:val="center"/>
                </w:tcPr>
                <w:p w14:paraId="4F1FC2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SC-TC02</w:t>
                  </w:r>
                </w:p>
              </w:tc>
              <w:tc>
                <w:tcPr>
                  <w:tcW w:w="790" w:type="pct"/>
                  <w:tcBorders>
                    <w:tl2br w:val="nil"/>
                    <w:tr2bl w:val="nil"/>
                  </w:tcBorders>
                  <w:shd w:val="clear" w:color="auto" w:fill="auto"/>
                  <w:vAlign w:val="center"/>
                </w:tcPr>
                <w:p w14:paraId="1C559D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1.5KW</w:t>
                  </w:r>
                </w:p>
              </w:tc>
              <w:tc>
                <w:tcPr>
                  <w:tcW w:w="724" w:type="pct"/>
                  <w:tcBorders>
                    <w:tl2br w:val="nil"/>
                    <w:tr2bl w:val="nil"/>
                  </w:tcBorders>
                  <w:shd w:val="clear" w:color="auto" w:fill="auto"/>
                  <w:vAlign w:val="center"/>
                </w:tcPr>
                <w:p w14:paraId="0777AF4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18</w:t>
                  </w:r>
                </w:p>
              </w:tc>
              <w:tc>
                <w:tcPr>
                  <w:tcW w:w="760" w:type="pct"/>
                  <w:tcBorders>
                    <w:tl2br w:val="nil"/>
                    <w:tr2bl w:val="nil"/>
                  </w:tcBorders>
                  <w:shd w:val="clear" w:color="auto" w:fill="auto"/>
                  <w:vAlign w:val="center"/>
                </w:tcPr>
                <w:p w14:paraId="57CBF8C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0FD70C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55DD964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191</w:t>
                  </w:r>
                </w:p>
              </w:tc>
              <w:tc>
                <w:tcPr>
                  <w:tcW w:w="926" w:type="pct"/>
                  <w:tcBorders>
                    <w:tl2br w:val="nil"/>
                    <w:tr2bl w:val="nil"/>
                  </w:tcBorders>
                  <w:shd w:val="clear" w:color="auto" w:fill="auto"/>
                  <w:vAlign w:val="center"/>
                </w:tcPr>
                <w:p w14:paraId="76E234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圆柱电池测试分选机</w:t>
                  </w:r>
                </w:p>
              </w:tc>
              <w:tc>
                <w:tcPr>
                  <w:tcW w:w="1328" w:type="pct"/>
                  <w:tcBorders>
                    <w:tl2br w:val="nil"/>
                    <w:tr2bl w:val="nil"/>
                  </w:tcBorders>
                  <w:shd w:val="clear" w:color="auto" w:fill="auto"/>
                  <w:vAlign w:val="center"/>
                </w:tcPr>
                <w:p w14:paraId="24FF71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ST-TS1810C</w:t>
                  </w:r>
                </w:p>
              </w:tc>
              <w:tc>
                <w:tcPr>
                  <w:tcW w:w="790" w:type="pct"/>
                  <w:tcBorders>
                    <w:tl2br w:val="nil"/>
                    <w:tr2bl w:val="nil"/>
                  </w:tcBorders>
                  <w:shd w:val="clear" w:color="auto" w:fill="auto"/>
                  <w:vAlign w:val="center"/>
                </w:tcPr>
                <w:p w14:paraId="4F2CAE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1.5KW</w:t>
                  </w:r>
                </w:p>
              </w:tc>
              <w:tc>
                <w:tcPr>
                  <w:tcW w:w="724" w:type="pct"/>
                  <w:tcBorders>
                    <w:tl2br w:val="nil"/>
                    <w:tr2bl w:val="nil"/>
                  </w:tcBorders>
                  <w:shd w:val="clear" w:color="auto" w:fill="auto"/>
                  <w:vAlign w:val="center"/>
                </w:tcPr>
                <w:p w14:paraId="4CB8413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w:t>
                  </w:r>
                </w:p>
              </w:tc>
              <w:tc>
                <w:tcPr>
                  <w:tcW w:w="760" w:type="pct"/>
                  <w:tcBorders>
                    <w:tl2br w:val="nil"/>
                    <w:tr2bl w:val="nil"/>
                  </w:tcBorders>
                  <w:shd w:val="clear" w:color="auto" w:fill="auto"/>
                  <w:vAlign w:val="center"/>
                </w:tcPr>
                <w:p w14:paraId="311C848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43CC75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57D445E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192</w:t>
                  </w:r>
                </w:p>
              </w:tc>
              <w:tc>
                <w:tcPr>
                  <w:tcW w:w="926" w:type="pct"/>
                  <w:tcBorders>
                    <w:tl2br w:val="nil"/>
                    <w:tr2bl w:val="nil"/>
                  </w:tcBorders>
                  <w:shd w:val="clear" w:color="auto" w:fill="auto"/>
                  <w:vAlign w:val="center"/>
                </w:tcPr>
                <w:p w14:paraId="51779A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自动上料机</w:t>
                  </w:r>
                </w:p>
              </w:tc>
              <w:tc>
                <w:tcPr>
                  <w:tcW w:w="1328" w:type="pct"/>
                  <w:tcBorders>
                    <w:tl2br w:val="nil"/>
                    <w:tr2bl w:val="nil"/>
                  </w:tcBorders>
                  <w:shd w:val="clear" w:color="auto" w:fill="auto"/>
                  <w:vAlign w:val="center"/>
                </w:tcPr>
                <w:p w14:paraId="604566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SC-SL18D</w:t>
                  </w:r>
                </w:p>
              </w:tc>
              <w:tc>
                <w:tcPr>
                  <w:tcW w:w="790" w:type="pct"/>
                  <w:tcBorders>
                    <w:tl2br w:val="nil"/>
                    <w:tr2bl w:val="nil"/>
                  </w:tcBorders>
                  <w:shd w:val="clear" w:color="auto" w:fill="auto"/>
                  <w:vAlign w:val="center"/>
                </w:tcPr>
                <w:p w14:paraId="087E2EC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6F8FE0E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19</w:t>
                  </w:r>
                </w:p>
              </w:tc>
              <w:tc>
                <w:tcPr>
                  <w:tcW w:w="760" w:type="pct"/>
                  <w:tcBorders>
                    <w:tl2br w:val="nil"/>
                    <w:tr2bl w:val="nil"/>
                  </w:tcBorders>
                  <w:shd w:val="clear" w:color="auto" w:fill="auto"/>
                  <w:vAlign w:val="center"/>
                </w:tcPr>
                <w:p w14:paraId="50E9C4A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新增设备</w:t>
                  </w:r>
                </w:p>
              </w:tc>
            </w:tr>
            <w:tr w14:paraId="0B11AA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136E940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193</w:t>
                  </w:r>
                </w:p>
              </w:tc>
              <w:tc>
                <w:tcPr>
                  <w:tcW w:w="926" w:type="pct"/>
                  <w:tcBorders>
                    <w:tl2br w:val="nil"/>
                    <w:tr2bl w:val="nil"/>
                  </w:tcBorders>
                  <w:shd w:val="clear" w:color="auto" w:fill="auto"/>
                  <w:vAlign w:val="center"/>
                </w:tcPr>
                <w:p w14:paraId="5561DC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自动装盒机（双通道）</w:t>
                  </w:r>
                </w:p>
              </w:tc>
              <w:tc>
                <w:tcPr>
                  <w:tcW w:w="1328" w:type="pct"/>
                  <w:tcBorders>
                    <w:tl2br w:val="nil"/>
                    <w:tr2bl w:val="nil"/>
                  </w:tcBorders>
                  <w:shd w:val="clear" w:color="auto" w:fill="auto"/>
                  <w:vAlign w:val="center"/>
                </w:tcPr>
                <w:p w14:paraId="0411C4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18650</w:t>
                  </w:r>
                </w:p>
              </w:tc>
              <w:tc>
                <w:tcPr>
                  <w:tcW w:w="790" w:type="pct"/>
                  <w:tcBorders>
                    <w:tl2br w:val="nil"/>
                    <w:tr2bl w:val="nil"/>
                  </w:tcBorders>
                  <w:shd w:val="clear" w:color="auto" w:fill="auto"/>
                  <w:vAlign w:val="center"/>
                </w:tcPr>
                <w:p w14:paraId="5E29C56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0D1A0D2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8</w:t>
                  </w:r>
                </w:p>
              </w:tc>
              <w:tc>
                <w:tcPr>
                  <w:tcW w:w="760" w:type="pct"/>
                  <w:tcBorders>
                    <w:tl2br w:val="nil"/>
                    <w:tr2bl w:val="nil"/>
                  </w:tcBorders>
                  <w:shd w:val="clear" w:color="auto" w:fill="auto"/>
                  <w:vAlign w:val="center"/>
                </w:tcPr>
                <w:p w14:paraId="5BD95D4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新增设备</w:t>
                  </w:r>
                </w:p>
              </w:tc>
            </w:tr>
            <w:tr w14:paraId="5A187F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F11F2A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194</w:t>
                  </w:r>
                </w:p>
              </w:tc>
              <w:tc>
                <w:tcPr>
                  <w:tcW w:w="926" w:type="pct"/>
                  <w:tcBorders>
                    <w:tl2br w:val="nil"/>
                    <w:tr2bl w:val="nil"/>
                  </w:tcBorders>
                  <w:shd w:val="clear" w:color="auto" w:fill="auto"/>
                  <w:vAlign w:val="center"/>
                </w:tcPr>
                <w:p w14:paraId="7458E3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激光打标机</w:t>
                  </w:r>
                </w:p>
              </w:tc>
              <w:tc>
                <w:tcPr>
                  <w:tcW w:w="1328" w:type="pct"/>
                  <w:tcBorders>
                    <w:tl2br w:val="nil"/>
                    <w:tr2bl w:val="nil"/>
                  </w:tcBorders>
                  <w:shd w:val="clear" w:color="auto" w:fill="auto"/>
                  <w:vAlign w:val="center"/>
                </w:tcPr>
                <w:p w14:paraId="42E26F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XHP-20W</w:t>
                  </w:r>
                </w:p>
              </w:tc>
              <w:tc>
                <w:tcPr>
                  <w:tcW w:w="790" w:type="pct"/>
                  <w:tcBorders>
                    <w:tl2br w:val="nil"/>
                    <w:tr2bl w:val="nil"/>
                  </w:tcBorders>
                  <w:shd w:val="clear" w:color="auto" w:fill="auto"/>
                  <w:vAlign w:val="center"/>
                </w:tcPr>
                <w:p w14:paraId="0BE585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0.5KW</w:t>
                  </w:r>
                </w:p>
              </w:tc>
              <w:tc>
                <w:tcPr>
                  <w:tcW w:w="724" w:type="pct"/>
                  <w:tcBorders>
                    <w:tl2br w:val="nil"/>
                    <w:tr2bl w:val="nil"/>
                  </w:tcBorders>
                  <w:shd w:val="clear" w:color="auto" w:fill="auto"/>
                  <w:vAlign w:val="center"/>
                </w:tcPr>
                <w:p w14:paraId="37E3D1F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5</w:t>
                  </w:r>
                </w:p>
              </w:tc>
              <w:tc>
                <w:tcPr>
                  <w:tcW w:w="760" w:type="pct"/>
                  <w:tcBorders>
                    <w:tl2br w:val="nil"/>
                    <w:tr2bl w:val="nil"/>
                  </w:tcBorders>
                  <w:shd w:val="clear" w:color="auto" w:fill="auto"/>
                  <w:vAlign w:val="center"/>
                </w:tcPr>
                <w:p w14:paraId="3B4436B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73B320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741DC02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195</w:t>
                  </w:r>
                </w:p>
              </w:tc>
              <w:tc>
                <w:tcPr>
                  <w:tcW w:w="926" w:type="pct"/>
                  <w:tcBorders>
                    <w:tl2br w:val="nil"/>
                    <w:tr2bl w:val="nil"/>
                  </w:tcBorders>
                  <w:shd w:val="clear" w:color="auto" w:fill="auto"/>
                  <w:vAlign w:val="center"/>
                </w:tcPr>
                <w:p w14:paraId="5C50FE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光纤激光打标机</w:t>
                  </w:r>
                </w:p>
              </w:tc>
              <w:tc>
                <w:tcPr>
                  <w:tcW w:w="1328" w:type="pct"/>
                  <w:tcBorders>
                    <w:tl2br w:val="nil"/>
                    <w:tr2bl w:val="nil"/>
                  </w:tcBorders>
                  <w:shd w:val="clear" w:color="auto" w:fill="auto"/>
                  <w:vAlign w:val="center"/>
                </w:tcPr>
                <w:p w14:paraId="6F7B40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HT-20L</w:t>
                  </w:r>
                </w:p>
              </w:tc>
              <w:tc>
                <w:tcPr>
                  <w:tcW w:w="790" w:type="pct"/>
                  <w:tcBorders>
                    <w:tl2br w:val="nil"/>
                    <w:tr2bl w:val="nil"/>
                  </w:tcBorders>
                  <w:shd w:val="clear" w:color="auto" w:fill="auto"/>
                  <w:vAlign w:val="center"/>
                </w:tcPr>
                <w:p w14:paraId="28CA0F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0.5KW</w:t>
                  </w:r>
                </w:p>
              </w:tc>
              <w:tc>
                <w:tcPr>
                  <w:tcW w:w="724" w:type="pct"/>
                  <w:tcBorders>
                    <w:tl2br w:val="nil"/>
                    <w:tr2bl w:val="nil"/>
                  </w:tcBorders>
                  <w:shd w:val="clear" w:color="auto" w:fill="auto"/>
                  <w:vAlign w:val="center"/>
                </w:tcPr>
                <w:p w14:paraId="0F04DDB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11</w:t>
                  </w:r>
                </w:p>
              </w:tc>
              <w:tc>
                <w:tcPr>
                  <w:tcW w:w="760" w:type="pct"/>
                  <w:tcBorders>
                    <w:tl2br w:val="nil"/>
                    <w:tr2bl w:val="nil"/>
                  </w:tcBorders>
                  <w:shd w:val="clear" w:color="auto" w:fill="auto"/>
                  <w:vAlign w:val="center"/>
                </w:tcPr>
                <w:p w14:paraId="65CD227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1F5B99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74D3DD8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196</w:t>
                  </w:r>
                </w:p>
              </w:tc>
              <w:tc>
                <w:tcPr>
                  <w:tcW w:w="926" w:type="pct"/>
                  <w:tcBorders>
                    <w:tl2br w:val="nil"/>
                    <w:tr2bl w:val="nil"/>
                  </w:tcBorders>
                  <w:shd w:val="clear" w:color="auto" w:fill="auto"/>
                  <w:vAlign w:val="center"/>
                </w:tcPr>
                <w:p w14:paraId="638BB8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激光打标机</w:t>
                  </w:r>
                </w:p>
              </w:tc>
              <w:tc>
                <w:tcPr>
                  <w:tcW w:w="1328" w:type="pct"/>
                  <w:tcBorders>
                    <w:tl2br w:val="nil"/>
                    <w:tr2bl w:val="nil"/>
                  </w:tcBorders>
                  <w:shd w:val="clear" w:color="auto" w:fill="auto"/>
                  <w:vAlign w:val="center"/>
                </w:tcPr>
                <w:p w14:paraId="4771E3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XHP-20W</w:t>
                  </w:r>
                </w:p>
              </w:tc>
              <w:tc>
                <w:tcPr>
                  <w:tcW w:w="790" w:type="pct"/>
                  <w:tcBorders>
                    <w:tl2br w:val="nil"/>
                    <w:tr2bl w:val="nil"/>
                  </w:tcBorders>
                  <w:shd w:val="clear" w:color="auto" w:fill="auto"/>
                  <w:vAlign w:val="center"/>
                </w:tcPr>
                <w:p w14:paraId="00DD02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0.5KW</w:t>
                  </w:r>
                </w:p>
              </w:tc>
              <w:tc>
                <w:tcPr>
                  <w:tcW w:w="724" w:type="pct"/>
                  <w:tcBorders>
                    <w:tl2br w:val="nil"/>
                    <w:tr2bl w:val="nil"/>
                  </w:tcBorders>
                  <w:shd w:val="clear" w:color="auto" w:fill="auto"/>
                  <w:vAlign w:val="center"/>
                </w:tcPr>
                <w:p w14:paraId="7E21267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3</w:t>
                  </w:r>
                </w:p>
              </w:tc>
              <w:tc>
                <w:tcPr>
                  <w:tcW w:w="760" w:type="pct"/>
                  <w:tcBorders>
                    <w:tl2br w:val="nil"/>
                    <w:tr2bl w:val="nil"/>
                  </w:tcBorders>
                  <w:shd w:val="clear" w:color="auto" w:fill="auto"/>
                  <w:vAlign w:val="center"/>
                </w:tcPr>
                <w:p w14:paraId="4B9F7E7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2EF43C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1BD0ED7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197</w:t>
                  </w:r>
                </w:p>
              </w:tc>
              <w:tc>
                <w:tcPr>
                  <w:tcW w:w="926" w:type="pct"/>
                  <w:tcBorders>
                    <w:tl2br w:val="nil"/>
                    <w:tr2bl w:val="nil"/>
                  </w:tcBorders>
                  <w:shd w:val="clear" w:color="auto" w:fill="auto"/>
                  <w:vAlign w:val="center"/>
                </w:tcPr>
                <w:p w14:paraId="375257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电池装盒机</w:t>
                  </w:r>
                </w:p>
              </w:tc>
              <w:tc>
                <w:tcPr>
                  <w:tcW w:w="1328" w:type="pct"/>
                  <w:tcBorders>
                    <w:tl2br w:val="nil"/>
                    <w:tr2bl w:val="nil"/>
                  </w:tcBorders>
                  <w:shd w:val="clear" w:color="auto" w:fill="auto"/>
                  <w:vAlign w:val="center"/>
                </w:tcPr>
                <w:p w14:paraId="157006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JY2116-026</w:t>
                  </w:r>
                </w:p>
              </w:tc>
              <w:tc>
                <w:tcPr>
                  <w:tcW w:w="790" w:type="pct"/>
                  <w:tcBorders>
                    <w:tl2br w:val="nil"/>
                    <w:tr2bl w:val="nil"/>
                  </w:tcBorders>
                  <w:shd w:val="clear" w:color="auto" w:fill="auto"/>
                  <w:vAlign w:val="center"/>
                </w:tcPr>
                <w:p w14:paraId="65AD31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1KW</w:t>
                  </w:r>
                </w:p>
              </w:tc>
              <w:tc>
                <w:tcPr>
                  <w:tcW w:w="724" w:type="pct"/>
                  <w:tcBorders>
                    <w:tl2br w:val="nil"/>
                    <w:tr2bl w:val="nil"/>
                  </w:tcBorders>
                  <w:shd w:val="clear" w:color="auto" w:fill="auto"/>
                  <w:vAlign w:val="center"/>
                </w:tcPr>
                <w:p w14:paraId="769382C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18</w:t>
                  </w:r>
                </w:p>
              </w:tc>
              <w:tc>
                <w:tcPr>
                  <w:tcW w:w="760" w:type="pct"/>
                  <w:tcBorders>
                    <w:tl2br w:val="nil"/>
                    <w:tr2bl w:val="nil"/>
                  </w:tcBorders>
                  <w:shd w:val="clear" w:color="auto" w:fill="auto"/>
                  <w:vAlign w:val="center"/>
                </w:tcPr>
                <w:p w14:paraId="29E7633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375495B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6"/>
                  <w:tcBorders>
                    <w:tl2br w:val="nil"/>
                    <w:tr2bl w:val="nil"/>
                  </w:tcBorders>
                  <w:shd w:val="clear" w:color="auto" w:fill="auto"/>
                  <w:vAlign w:val="center"/>
                </w:tcPr>
                <w:p w14:paraId="5E3A4C5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正级材料车间（北厂</w:t>
                  </w:r>
                  <w:r>
                    <w:rPr>
                      <w:rFonts w:hint="eastAsia" w:cs="Times New Roman"/>
                      <w:sz w:val="21"/>
                      <w:szCs w:val="21"/>
                      <w:highlight w:val="none"/>
                      <w:vertAlign w:val="baseline"/>
                      <w:lang w:val="en-US" w:eastAsia="zh-CN"/>
                    </w:rPr>
                    <w:t>区</w:t>
                  </w:r>
                  <w:r>
                    <w:rPr>
                      <w:rFonts w:hint="eastAsia" w:ascii="Times New Roman" w:hAnsi="Times New Roman" w:eastAsia="宋体" w:cs="Times New Roman"/>
                      <w:sz w:val="21"/>
                      <w:szCs w:val="21"/>
                      <w:highlight w:val="none"/>
                      <w:vertAlign w:val="baseline"/>
                      <w:lang w:val="en-US" w:eastAsia="zh-CN"/>
                    </w:rPr>
                    <w:t>）</w:t>
                  </w:r>
                </w:p>
              </w:tc>
            </w:tr>
            <w:tr w14:paraId="60806A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0683CDD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198</w:t>
                  </w:r>
                </w:p>
              </w:tc>
              <w:tc>
                <w:tcPr>
                  <w:tcW w:w="926" w:type="pct"/>
                  <w:tcBorders>
                    <w:tl2br w:val="nil"/>
                    <w:tr2bl w:val="nil"/>
                  </w:tcBorders>
                  <w:shd w:val="clear" w:color="auto" w:fill="auto"/>
                  <w:vAlign w:val="center"/>
                </w:tcPr>
                <w:p w14:paraId="13C01FC1">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混料机</w:t>
                  </w:r>
                </w:p>
              </w:tc>
              <w:tc>
                <w:tcPr>
                  <w:tcW w:w="1328" w:type="pct"/>
                  <w:tcBorders>
                    <w:tl2br w:val="nil"/>
                    <w:tr2bl w:val="nil"/>
                  </w:tcBorders>
                  <w:shd w:val="clear" w:color="auto" w:fill="auto"/>
                  <w:vAlign w:val="center"/>
                </w:tcPr>
                <w:p w14:paraId="4FC34656">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w:t>
                  </w:r>
                </w:p>
              </w:tc>
              <w:tc>
                <w:tcPr>
                  <w:tcW w:w="790" w:type="pct"/>
                  <w:tcBorders>
                    <w:tl2br w:val="nil"/>
                    <w:tr2bl w:val="nil"/>
                  </w:tcBorders>
                  <w:shd w:val="clear" w:color="auto" w:fill="auto"/>
                  <w:vAlign w:val="center"/>
                </w:tcPr>
                <w:p w14:paraId="069DCE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724" w:type="pct"/>
                  <w:tcBorders>
                    <w:tl2br w:val="nil"/>
                    <w:tr2bl w:val="nil"/>
                  </w:tcBorders>
                  <w:shd w:val="clear" w:color="auto" w:fill="auto"/>
                  <w:vAlign w:val="center"/>
                </w:tcPr>
                <w:p w14:paraId="74BA90C7">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1</w:t>
                  </w:r>
                </w:p>
              </w:tc>
              <w:tc>
                <w:tcPr>
                  <w:tcW w:w="760" w:type="pct"/>
                  <w:tcBorders>
                    <w:tl2br w:val="nil"/>
                    <w:tr2bl w:val="nil"/>
                  </w:tcBorders>
                  <w:shd w:val="clear" w:color="auto" w:fill="auto"/>
                  <w:vAlign w:val="center"/>
                </w:tcPr>
                <w:p w14:paraId="71F016C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5C0415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1F21F73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199</w:t>
                  </w:r>
                </w:p>
              </w:tc>
              <w:tc>
                <w:tcPr>
                  <w:tcW w:w="926" w:type="pct"/>
                  <w:tcBorders>
                    <w:tl2br w:val="nil"/>
                    <w:tr2bl w:val="nil"/>
                  </w:tcBorders>
                  <w:shd w:val="clear" w:color="auto" w:fill="auto"/>
                  <w:vAlign w:val="center"/>
                </w:tcPr>
                <w:p w14:paraId="0E566EA1">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辊道窑</w:t>
                  </w:r>
                </w:p>
              </w:tc>
              <w:tc>
                <w:tcPr>
                  <w:tcW w:w="1328" w:type="pct"/>
                  <w:tcBorders>
                    <w:tl2br w:val="nil"/>
                    <w:tr2bl w:val="nil"/>
                  </w:tcBorders>
                  <w:shd w:val="clear" w:color="auto" w:fill="auto"/>
                  <w:vAlign w:val="center"/>
                </w:tcPr>
                <w:p w14:paraId="5F9C3E8F">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w:t>
                  </w:r>
                </w:p>
              </w:tc>
              <w:tc>
                <w:tcPr>
                  <w:tcW w:w="790" w:type="pct"/>
                  <w:tcBorders>
                    <w:tl2br w:val="nil"/>
                    <w:tr2bl w:val="nil"/>
                  </w:tcBorders>
                  <w:shd w:val="clear" w:color="auto" w:fill="auto"/>
                  <w:vAlign w:val="center"/>
                </w:tcPr>
                <w:p w14:paraId="0CE044F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1DCE6644">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3</w:t>
                  </w:r>
                </w:p>
              </w:tc>
              <w:tc>
                <w:tcPr>
                  <w:tcW w:w="760" w:type="pct"/>
                  <w:tcBorders>
                    <w:tl2br w:val="nil"/>
                    <w:tr2bl w:val="nil"/>
                  </w:tcBorders>
                  <w:shd w:val="clear" w:color="auto" w:fill="auto"/>
                  <w:vAlign w:val="center"/>
                </w:tcPr>
                <w:p w14:paraId="7F522FC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电加热</w:t>
                  </w:r>
                </w:p>
              </w:tc>
            </w:tr>
            <w:tr w14:paraId="553B2F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5429800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200</w:t>
                  </w:r>
                </w:p>
              </w:tc>
              <w:tc>
                <w:tcPr>
                  <w:tcW w:w="926" w:type="pct"/>
                  <w:tcBorders>
                    <w:tl2br w:val="nil"/>
                    <w:tr2bl w:val="nil"/>
                  </w:tcBorders>
                  <w:shd w:val="clear" w:color="auto" w:fill="auto"/>
                  <w:vAlign w:val="center"/>
                </w:tcPr>
                <w:p w14:paraId="3CF54524">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加料机</w:t>
                  </w:r>
                </w:p>
              </w:tc>
              <w:tc>
                <w:tcPr>
                  <w:tcW w:w="1328" w:type="pct"/>
                  <w:tcBorders>
                    <w:tl2br w:val="nil"/>
                    <w:tr2bl w:val="nil"/>
                  </w:tcBorders>
                  <w:shd w:val="clear" w:color="auto" w:fill="auto"/>
                  <w:vAlign w:val="center"/>
                </w:tcPr>
                <w:p w14:paraId="7EECFFC7">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w:t>
                  </w:r>
                </w:p>
              </w:tc>
              <w:tc>
                <w:tcPr>
                  <w:tcW w:w="790" w:type="pct"/>
                  <w:tcBorders>
                    <w:tl2br w:val="nil"/>
                    <w:tr2bl w:val="nil"/>
                  </w:tcBorders>
                  <w:shd w:val="clear" w:color="auto" w:fill="auto"/>
                  <w:vAlign w:val="center"/>
                </w:tcPr>
                <w:p w14:paraId="138180C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20FD6492">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2</w:t>
                  </w:r>
                </w:p>
              </w:tc>
              <w:tc>
                <w:tcPr>
                  <w:tcW w:w="760" w:type="pct"/>
                  <w:tcBorders>
                    <w:tl2br w:val="nil"/>
                    <w:tr2bl w:val="nil"/>
                  </w:tcBorders>
                  <w:shd w:val="clear" w:color="auto" w:fill="auto"/>
                  <w:vAlign w:val="center"/>
                </w:tcPr>
                <w:p w14:paraId="0A15FDB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73E262D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271DBD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201</w:t>
                  </w:r>
                </w:p>
              </w:tc>
              <w:tc>
                <w:tcPr>
                  <w:tcW w:w="926" w:type="pct"/>
                  <w:tcBorders>
                    <w:tl2br w:val="nil"/>
                    <w:tr2bl w:val="nil"/>
                  </w:tcBorders>
                  <w:shd w:val="clear" w:color="auto" w:fill="auto"/>
                  <w:vAlign w:val="center"/>
                </w:tcPr>
                <w:p w14:paraId="1B300C9B">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旋振筛</w:t>
                  </w:r>
                </w:p>
              </w:tc>
              <w:tc>
                <w:tcPr>
                  <w:tcW w:w="1328" w:type="pct"/>
                  <w:tcBorders>
                    <w:tl2br w:val="nil"/>
                    <w:tr2bl w:val="nil"/>
                  </w:tcBorders>
                  <w:shd w:val="clear" w:color="auto" w:fill="auto"/>
                  <w:vAlign w:val="center"/>
                </w:tcPr>
                <w:p w14:paraId="2E42DA55">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SZS-1200</w:t>
                  </w:r>
                </w:p>
              </w:tc>
              <w:tc>
                <w:tcPr>
                  <w:tcW w:w="790" w:type="pct"/>
                  <w:tcBorders>
                    <w:tl2br w:val="nil"/>
                    <w:tr2bl w:val="nil"/>
                  </w:tcBorders>
                  <w:shd w:val="clear" w:color="auto" w:fill="auto"/>
                  <w:vAlign w:val="center"/>
                </w:tcPr>
                <w:p w14:paraId="265C447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31AB9DC1">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6</w:t>
                  </w:r>
                </w:p>
              </w:tc>
              <w:tc>
                <w:tcPr>
                  <w:tcW w:w="760" w:type="pct"/>
                  <w:tcBorders>
                    <w:tl2br w:val="nil"/>
                    <w:tr2bl w:val="nil"/>
                  </w:tcBorders>
                  <w:shd w:val="clear" w:color="auto" w:fill="auto"/>
                  <w:vAlign w:val="center"/>
                </w:tcPr>
                <w:p w14:paraId="34E9603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3C6E61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6"/>
                  <w:tcBorders>
                    <w:tl2br w:val="nil"/>
                    <w:tr2bl w:val="nil"/>
                  </w:tcBorders>
                  <w:shd w:val="clear" w:color="auto" w:fill="auto"/>
                  <w:vAlign w:val="center"/>
                </w:tcPr>
                <w:p w14:paraId="2C0CA99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正级材料车间（</w:t>
                  </w:r>
                  <w:r>
                    <w:rPr>
                      <w:rFonts w:hint="eastAsia" w:cs="Times New Roman"/>
                      <w:sz w:val="21"/>
                      <w:szCs w:val="21"/>
                      <w:highlight w:val="none"/>
                      <w:vertAlign w:val="baseline"/>
                      <w:lang w:val="en-US" w:eastAsia="zh-CN"/>
                    </w:rPr>
                    <w:t>南</w:t>
                  </w:r>
                  <w:r>
                    <w:rPr>
                      <w:rFonts w:hint="eastAsia" w:ascii="Times New Roman" w:hAnsi="Times New Roman" w:eastAsia="宋体" w:cs="Times New Roman"/>
                      <w:sz w:val="21"/>
                      <w:szCs w:val="21"/>
                      <w:highlight w:val="none"/>
                      <w:vertAlign w:val="baseline"/>
                      <w:lang w:val="en-US" w:eastAsia="zh-CN"/>
                    </w:rPr>
                    <w:t>厂</w:t>
                  </w:r>
                  <w:r>
                    <w:rPr>
                      <w:rFonts w:hint="eastAsia" w:cs="Times New Roman"/>
                      <w:sz w:val="21"/>
                      <w:szCs w:val="21"/>
                      <w:highlight w:val="none"/>
                      <w:vertAlign w:val="baseline"/>
                      <w:lang w:val="en-US" w:eastAsia="zh-CN"/>
                    </w:rPr>
                    <w:t>区</w:t>
                  </w:r>
                  <w:r>
                    <w:rPr>
                      <w:rFonts w:hint="eastAsia" w:ascii="Times New Roman" w:hAnsi="Times New Roman" w:eastAsia="宋体" w:cs="Times New Roman"/>
                      <w:sz w:val="21"/>
                      <w:szCs w:val="21"/>
                      <w:highlight w:val="none"/>
                      <w:vertAlign w:val="baseline"/>
                      <w:lang w:val="en-US" w:eastAsia="zh-CN"/>
                    </w:rPr>
                    <w:t>）</w:t>
                  </w:r>
                </w:p>
              </w:tc>
            </w:tr>
            <w:tr w14:paraId="4B0509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142F88A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202</w:t>
                  </w:r>
                </w:p>
              </w:tc>
              <w:tc>
                <w:tcPr>
                  <w:tcW w:w="926" w:type="pct"/>
                  <w:tcBorders>
                    <w:tl2br w:val="nil"/>
                    <w:tr2bl w:val="nil"/>
                  </w:tcBorders>
                  <w:shd w:val="clear" w:color="auto" w:fill="auto"/>
                  <w:vAlign w:val="center"/>
                </w:tcPr>
                <w:p w14:paraId="03475D8D">
                  <w:pPr>
                    <w:keepNext w:val="0"/>
                    <w:keepLines w:val="0"/>
                    <w:suppressLineNumbers w:val="0"/>
                    <w:spacing w:before="0" w:beforeAutospacing="0" w:after="0" w:afterAutospacing="0"/>
                    <w:ind w:left="0" w:right="0"/>
                    <w:jc w:val="center"/>
                    <w:textAlignment w:val="bottom"/>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辊道窑（电加热）</w:t>
                  </w:r>
                </w:p>
              </w:tc>
              <w:tc>
                <w:tcPr>
                  <w:tcW w:w="1328" w:type="pct"/>
                  <w:tcBorders>
                    <w:tl2br w:val="nil"/>
                    <w:tr2bl w:val="nil"/>
                  </w:tcBorders>
                  <w:shd w:val="clear" w:color="auto" w:fill="auto"/>
                  <w:vAlign w:val="center"/>
                </w:tcPr>
                <w:p w14:paraId="73AA8929">
                  <w:pPr>
                    <w:keepNext w:val="0"/>
                    <w:keepLines w:val="0"/>
                    <w:suppressLineNumbers w:val="0"/>
                    <w:spacing w:before="0" w:beforeAutospacing="0" w:after="0" w:afterAutospacing="0"/>
                    <w:ind w:left="0" w:right="0"/>
                    <w:jc w:val="center"/>
                    <w:textAlignment w:val="bottom"/>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bidi="ar"/>
                      <w14:textFill>
                        <w14:solidFill>
                          <w14:schemeClr w14:val="tx1"/>
                        </w14:solidFill>
                      </w14:textFill>
                    </w:rPr>
                    <w:t>35.36M-RHK-JTC</w:t>
                  </w:r>
                </w:p>
              </w:tc>
              <w:tc>
                <w:tcPr>
                  <w:tcW w:w="790" w:type="pct"/>
                  <w:tcBorders>
                    <w:tl2br w:val="nil"/>
                    <w:tr2bl w:val="nil"/>
                  </w:tcBorders>
                  <w:shd w:val="clear" w:color="auto" w:fill="auto"/>
                  <w:vAlign w:val="center"/>
                </w:tcPr>
                <w:p w14:paraId="7ADE5C9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4CB80FF2">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2"/>
                      <w:sz w:val="21"/>
                      <w:szCs w:val="21"/>
                      <w:highlight w:val="none"/>
                      <w14:textFill>
                        <w14:solidFill>
                          <w14:schemeClr w14:val="tx1"/>
                        </w14:solidFill>
                      </w14:textFill>
                    </w:rPr>
                    <w:t>6</w:t>
                  </w:r>
                </w:p>
              </w:tc>
              <w:tc>
                <w:tcPr>
                  <w:tcW w:w="760" w:type="pct"/>
                  <w:tcBorders>
                    <w:tl2br w:val="nil"/>
                    <w:tr2bl w:val="nil"/>
                  </w:tcBorders>
                  <w:shd w:val="clear" w:color="auto" w:fill="auto"/>
                  <w:vAlign w:val="center"/>
                </w:tcPr>
                <w:p w14:paraId="5FB7445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17BEDA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1831F5D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203</w:t>
                  </w:r>
                </w:p>
              </w:tc>
              <w:tc>
                <w:tcPr>
                  <w:tcW w:w="926" w:type="pct"/>
                  <w:tcBorders>
                    <w:tl2br w:val="nil"/>
                    <w:tr2bl w:val="nil"/>
                  </w:tcBorders>
                  <w:shd w:val="clear" w:color="auto" w:fill="auto"/>
                  <w:vAlign w:val="center"/>
                </w:tcPr>
                <w:p w14:paraId="504A27EE">
                  <w:pPr>
                    <w:keepNext w:val="0"/>
                    <w:keepLines w:val="0"/>
                    <w:suppressLineNumbers w:val="0"/>
                    <w:spacing w:before="0" w:beforeAutospacing="0" w:after="0" w:afterAutospacing="0"/>
                    <w:ind w:left="0" w:right="0"/>
                    <w:jc w:val="center"/>
                    <w:textAlignment w:val="bottom"/>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eastAsia" w:eastAsia="宋体" w:cs="Times New Roman"/>
                      <w:color w:val="000000"/>
                      <w:sz w:val="21"/>
                      <w:szCs w:val="21"/>
                      <w:highlight w:val="none"/>
                      <w:lang w:val="en-US" w:eastAsia="zh-CN"/>
                    </w:rPr>
                    <w:t>混料机</w:t>
                  </w:r>
                </w:p>
              </w:tc>
              <w:tc>
                <w:tcPr>
                  <w:tcW w:w="1328" w:type="pct"/>
                  <w:tcBorders>
                    <w:tl2br w:val="nil"/>
                    <w:tr2bl w:val="nil"/>
                  </w:tcBorders>
                  <w:shd w:val="clear" w:color="auto" w:fill="auto"/>
                  <w:vAlign w:val="center"/>
                </w:tcPr>
                <w:p w14:paraId="57A56376">
                  <w:pPr>
                    <w:keepNext w:val="0"/>
                    <w:keepLines w:val="0"/>
                    <w:suppressLineNumbers w:val="0"/>
                    <w:spacing w:before="0" w:beforeAutospacing="0" w:after="0" w:afterAutospacing="0"/>
                    <w:ind w:left="0" w:right="0"/>
                    <w:jc w:val="center"/>
                    <w:textAlignment w:val="bottom"/>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sz w:val="21"/>
                      <w:szCs w:val="21"/>
                      <w:highlight w:val="none"/>
                      <w:lang w:bidi="ar"/>
                    </w:rPr>
                    <w:t>WSM3000</w:t>
                  </w:r>
                </w:p>
              </w:tc>
              <w:tc>
                <w:tcPr>
                  <w:tcW w:w="790" w:type="pct"/>
                  <w:tcBorders>
                    <w:tl2br w:val="nil"/>
                    <w:tr2bl w:val="nil"/>
                  </w:tcBorders>
                  <w:shd w:val="clear" w:color="auto" w:fill="auto"/>
                  <w:vAlign w:val="center"/>
                </w:tcPr>
                <w:p w14:paraId="00FDA43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55CED333">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kern w:val="2"/>
                      <w:sz w:val="21"/>
                      <w:szCs w:val="21"/>
                      <w:highlight w:val="none"/>
                    </w:rPr>
                    <w:t>6</w:t>
                  </w:r>
                </w:p>
              </w:tc>
              <w:tc>
                <w:tcPr>
                  <w:tcW w:w="760" w:type="pct"/>
                  <w:tcBorders>
                    <w:tl2br w:val="nil"/>
                    <w:tr2bl w:val="nil"/>
                  </w:tcBorders>
                  <w:shd w:val="clear" w:color="auto" w:fill="auto"/>
                  <w:vAlign w:val="center"/>
                </w:tcPr>
                <w:p w14:paraId="1FD92C0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40B22E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47A0C33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204</w:t>
                  </w:r>
                </w:p>
              </w:tc>
              <w:tc>
                <w:tcPr>
                  <w:tcW w:w="926" w:type="pct"/>
                  <w:tcBorders>
                    <w:tl2br w:val="nil"/>
                    <w:tr2bl w:val="nil"/>
                  </w:tcBorders>
                  <w:shd w:val="clear" w:color="auto" w:fill="auto"/>
                  <w:vAlign w:val="center"/>
                </w:tcPr>
                <w:p w14:paraId="18A66926">
                  <w:pPr>
                    <w:keepNext w:val="0"/>
                    <w:keepLines w:val="0"/>
                    <w:suppressLineNumbers w:val="0"/>
                    <w:spacing w:before="0" w:beforeAutospacing="0" w:after="0" w:afterAutospacing="0"/>
                    <w:ind w:left="0" w:right="0"/>
                    <w:jc w:val="center"/>
                    <w:textAlignment w:val="bottom"/>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eastAsia" w:cs="Times New Roman"/>
                      <w:color w:val="000000"/>
                      <w:sz w:val="21"/>
                      <w:szCs w:val="21"/>
                      <w:highlight w:val="none"/>
                      <w:lang w:val="en-US" w:eastAsia="zh-CN" w:bidi="ar"/>
                    </w:rPr>
                    <w:t>加料</w:t>
                  </w:r>
                  <w:r>
                    <w:rPr>
                      <w:rFonts w:hint="default" w:ascii="Times New Roman" w:hAnsi="Times New Roman" w:cs="Times New Roman"/>
                      <w:color w:val="000000"/>
                      <w:sz w:val="21"/>
                      <w:szCs w:val="21"/>
                      <w:highlight w:val="none"/>
                      <w:lang w:bidi="ar"/>
                    </w:rPr>
                    <w:t>机</w:t>
                  </w:r>
                </w:p>
              </w:tc>
              <w:tc>
                <w:tcPr>
                  <w:tcW w:w="1328" w:type="pct"/>
                  <w:tcBorders>
                    <w:tl2br w:val="nil"/>
                    <w:tr2bl w:val="nil"/>
                  </w:tcBorders>
                  <w:shd w:val="clear" w:color="auto" w:fill="auto"/>
                  <w:vAlign w:val="center"/>
                </w:tcPr>
                <w:p w14:paraId="340C034B">
                  <w:pPr>
                    <w:keepNext w:val="0"/>
                    <w:keepLines w:val="0"/>
                    <w:suppressLineNumbers w:val="0"/>
                    <w:spacing w:before="0" w:beforeAutospacing="0" w:after="0" w:afterAutospacing="0"/>
                    <w:ind w:left="0" w:right="0"/>
                    <w:jc w:val="center"/>
                    <w:textAlignment w:val="bottom"/>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sz w:val="21"/>
                      <w:szCs w:val="21"/>
                      <w:highlight w:val="none"/>
                    </w:rPr>
                    <w:t>1000mm</w:t>
                  </w:r>
                </w:p>
              </w:tc>
              <w:tc>
                <w:tcPr>
                  <w:tcW w:w="790" w:type="pct"/>
                  <w:tcBorders>
                    <w:tl2br w:val="nil"/>
                    <w:tr2bl w:val="nil"/>
                  </w:tcBorders>
                  <w:shd w:val="clear" w:color="auto" w:fill="auto"/>
                  <w:vAlign w:val="center"/>
                </w:tcPr>
                <w:p w14:paraId="58A259C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7199B470">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eastAsia" w:eastAsia="微软雅黑" w:cs="Times New Roman"/>
                      <w:kern w:val="2"/>
                      <w:sz w:val="21"/>
                      <w:szCs w:val="21"/>
                      <w:highlight w:val="none"/>
                      <w:lang w:val="en-US" w:eastAsia="zh-CN"/>
                    </w:rPr>
                    <w:t>6</w:t>
                  </w:r>
                </w:p>
              </w:tc>
              <w:tc>
                <w:tcPr>
                  <w:tcW w:w="760" w:type="pct"/>
                  <w:tcBorders>
                    <w:tl2br w:val="nil"/>
                    <w:tr2bl w:val="nil"/>
                  </w:tcBorders>
                  <w:shd w:val="clear" w:color="auto" w:fill="auto"/>
                  <w:vAlign w:val="center"/>
                </w:tcPr>
                <w:p w14:paraId="351B126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6B43BF8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68C685F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205</w:t>
                  </w:r>
                </w:p>
              </w:tc>
              <w:tc>
                <w:tcPr>
                  <w:tcW w:w="926" w:type="pct"/>
                  <w:tcBorders>
                    <w:tl2br w:val="nil"/>
                    <w:tr2bl w:val="nil"/>
                  </w:tcBorders>
                  <w:shd w:val="clear" w:color="auto" w:fill="auto"/>
                  <w:vAlign w:val="center"/>
                </w:tcPr>
                <w:p w14:paraId="035A6868">
                  <w:pPr>
                    <w:keepNext w:val="0"/>
                    <w:keepLines w:val="0"/>
                    <w:suppressLineNumbers w:val="0"/>
                    <w:spacing w:before="0" w:beforeAutospacing="0" w:after="0" w:afterAutospacing="0"/>
                    <w:ind w:left="0" w:right="0"/>
                    <w:jc w:val="center"/>
                    <w:textAlignment w:val="bottom"/>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sz w:val="21"/>
                      <w:szCs w:val="21"/>
                      <w:highlight w:val="none"/>
                      <w:lang w:bidi="ar"/>
                    </w:rPr>
                    <w:t>中间料仓</w:t>
                  </w:r>
                </w:p>
              </w:tc>
              <w:tc>
                <w:tcPr>
                  <w:tcW w:w="1328" w:type="pct"/>
                  <w:tcBorders>
                    <w:tl2br w:val="nil"/>
                    <w:tr2bl w:val="nil"/>
                  </w:tcBorders>
                  <w:shd w:val="clear" w:color="auto" w:fill="auto"/>
                  <w:vAlign w:val="center"/>
                </w:tcPr>
                <w:p w14:paraId="1D87F080">
                  <w:pPr>
                    <w:keepNext w:val="0"/>
                    <w:keepLines w:val="0"/>
                    <w:suppressLineNumbers w:val="0"/>
                    <w:spacing w:before="0" w:beforeAutospacing="0" w:after="0" w:afterAutospacing="0"/>
                    <w:ind w:left="0" w:right="0"/>
                    <w:jc w:val="center"/>
                    <w:textAlignment w:val="bottom"/>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sz w:val="21"/>
                      <w:szCs w:val="21"/>
                      <w:highlight w:val="none"/>
                      <w:lang w:bidi="ar"/>
                    </w:rPr>
                    <w:t>4000L</w:t>
                  </w:r>
                </w:p>
              </w:tc>
              <w:tc>
                <w:tcPr>
                  <w:tcW w:w="790" w:type="pct"/>
                  <w:tcBorders>
                    <w:tl2br w:val="nil"/>
                    <w:tr2bl w:val="nil"/>
                  </w:tcBorders>
                  <w:shd w:val="clear" w:color="auto" w:fill="auto"/>
                  <w:vAlign w:val="center"/>
                </w:tcPr>
                <w:p w14:paraId="078D737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3D0B183F">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kern w:val="2"/>
                      <w:sz w:val="21"/>
                      <w:szCs w:val="21"/>
                      <w:highlight w:val="none"/>
                    </w:rPr>
                    <w:t>3</w:t>
                  </w:r>
                </w:p>
              </w:tc>
              <w:tc>
                <w:tcPr>
                  <w:tcW w:w="760" w:type="pct"/>
                  <w:tcBorders>
                    <w:tl2br w:val="nil"/>
                    <w:tr2bl w:val="nil"/>
                  </w:tcBorders>
                  <w:shd w:val="clear" w:color="auto" w:fill="auto"/>
                  <w:vAlign w:val="center"/>
                </w:tcPr>
                <w:p w14:paraId="40F5482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411288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2257A34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206</w:t>
                  </w:r>
                </w:p>
              </w:tc>
              <w:tc>
                <w:tcPr>
                  <w:tcW w:w="926" w:type="pct"/>
                  <w:tcBorders>
                    <w:tl2br w:val="nil"/>
                    <w:tr2bl w:val="nil"/>
                  </w:tcBorders>
                  <w:shd w:val="clear" w:color="auto" w:fill="auto"/>
                  <w:vAlign w:val="center"/>
                </w:tcPr>
                <w:p w14:paraId="1286C069">
                  <w:pPr>
                    <w:keepNext w:val="0"/>
                    <w:keepLines w:val="0"/>
                    <w:suppressLineNumbers w:val="0"/>
                    <w:spacing w:before="0" w:beforeAutospacing="0" w:after="0" w:afterAutospacing="0"/>
                    <w:ind w:left="0" w:right="0"/>
                    <w:jc w:val="center"/>
                    <w:textAlignment w:val="bottom"/>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旋振筛</w:t>
                  </w:r>
                </w:p>
              </w:tc>
              <w:tc>
                <w:tcPr>
                  <w:tcW w:w="1328" w:type="pct"/>
                  <w:tcBorders>
                    <w:tl2br w:val="nil"/>
                    <w:tr2bl w:val="nil"/>
                  </w:tcBorders>
                  <w:shd w:val="clear" w:color="auto" w:fill="auto"/>
                  <w:vAlign w:val="center"/>
                </w:tcPr>
                <w:p w14:paraId="5C318BA1">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sz w:val="21"/>
                      <w:szCs w:val="21"/>
                      <w:highlight w:val="none"/>
                    </w:rPr>
                    <w:t>SZS1200-2S</w:t>
                  </w:r>
                </w:p>
              </w:tc>
              <w:tc>
                <w:tcPr>
                  <w:tcW w:w="790" w:type="pct"/>
                  <w:tcBorders>
                    <w:tl2br w:val="nil"/>
                    <w:tr2bl w:val="nil"/>
                  </w:tcBorders>
                  <w:shd w:val="clear" w:color="auto" w:fill="auto"/>
                  <w:vAlign w:val="center"/>
                </w:tcPr>
                <w:p w14:paraId="7FD65CF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7E820BD1">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kern w:val="2"/>
                      <w:sz w:val="21"/>
                      <w:szCs w:val="21"/>
                      <w:highlight w:val="none"/>
                    </w:rPr>
                    <w:t>9</w:t>
                  </w:r>
                </w:p>
              </w:tc>
              <w:tc>
                <w:tcPr>
                  <w:tcW w:w="760" w:type="pct"/>
                  <w:tcBorders>
                    <w:tl2br w:val="nil"/>
                    <w:tr2bl w:val="nil"/>
                  </w:tcBorders>
                  <w:shd w:val="clear" w:color="auto" w:fill="auto"/>
                  <w:vAlign w:val="center"/>
                </w:tcPr>
                <w:p w14:paraId="516FE46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680696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50CE200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207</w:t>
                  </w:r>
                </w:p>
              </w:tc>
              <w:tc>
                <w:tcPr>
                  <w:tcW w:w="926" w:type="pct"/>
                  <w:tcBorders>
                    <w:tl2br w:val="nil"/>
                    <w:tr2bl w:val="nil"/>
                  </w:tcBorders>
                  <w:shd w:val="clear" w:color="auto" w:fill="auto"/>
                  <w:vAlign w:val="center"/>
                </w:tcPr>
                <w:p w14:paraId="691C5618">
                  <w:pPr>
                    <w:keepNext w:val="0"/>
                    <w:keepLines w:val="0"/>
                    <w:suppressLineNumbers w:val="0"/>
                    <w:spacing w:before="0" w:beforeAutospacing="0" w:after="0" w:afterAutospacing="0"/>
                    <w:ind w:left="0" w:right="0"/>
                    <w:jc w:val="center"/>
                    <w:textAlignment w:val="bottom"/>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sz w:val="21"/>
                      <w:szCs w:val="21"/>
                      <w:highlight w:val="none"/>
                    </w:rPr>
                    <w:t>储料仓</w:t>
                  </w:r>
                </w:p>
              </w:tc>
              <w:tc>
                <w:tcPr>
                  <w:tcW w:w="1328" w:type="pct"/>
                  <w:tcBorders>
                    <w:tl2br w:val="nil"/>
                    <w:tr2bl w:val="nil"/>
                  </w:tcBorders>
                  <w:shd w:val="clear" w:color="auto" w:fill="auto"/>
                  <w:vAlign w:val="center"/>
                </w:tcPr>
                <w:p w14:paraId="21BB3FA7">
                  <w:pPr>
                    <w:keepNext w:val="0"/>
                    <w:keepLines w:val="0"/>
                    <w:suppressLineNumbers w:val="0"/>
                    <w:spacing w:before="0" w:beforeAutospacing="0" w:after="0" w:afterAutospacing="0"/>
                    <w:ind w:left="0" w:right="0"/>
                    <w:jc w:val="center"/>
                    <w:textAlignment w:val="bottom"/>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sz w:val="21"/>
                      <w:szCs w:val="21"/>
                      <w:highlight w:val="none"/>
                      <w:lang w:bidi="ar"/>
                    </w:rPr>
                    <w:t>1500L</w:t>
                  </w:r>
                </w:p>
              </w:tc>
              <w:tc>
                <w:tcPr>
                  <w:tcW w:w="790" w:type="pct"/>
                  <w:tcBorders>
                    <w:tl2br w:val="nil"/>
                    <w:tr2bl w:val="nil"/>
                  </w:tcBorders>
                  <w:shd w:val="clear" w:color="auto" w:fill="auto"/>
                  <w:vAlign w:val="center"/>
                </w:tcPr>
                <w:p w14:paraId="6885348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397916CC">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kern w:val="2"/>
                      <w:sz w:val="21"/>
                      <w:szCs w:val="21"/>
                      <w:highlight w:val="none"/>
                    </w:rPr>
                    <w:t>3</w:t>
                  </w:r>
                </w:p>
              </w:tc>
              <w:tc>
                <w:tcPr>
                  <w:tcW w:w="760" w:type="pct"/>
                  <w:tcBorders>
                    <w:tl2br w:val="nil"/>
                    <w:tr2bl w:val="nil"/>
                  </w:tcBorders>
                  <w:shd w:val="clear" w:color="auto" w:fill="auto"/>
                  <w:vAlign w:val="center"/>
                </w:tcPr>
                <w:p w14:paraId="0D4BBB6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38B905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45A27E0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208</w:t>
                  </w:r>
                </w:p>
              </w:tc>
              <w:tc>
                <w:tcPr>
                  <w:tcW w:w="926" w:type="pct"/>
                  <w:tcBorders>
                    <w:tl2br w:val="nil"/>
                    <w:tr2bl w:val="nil"/>
                  </w:tcBorders>
                  <w:shd w:val="clear" w:color="auto" w:fill="auto"/>
                  <w:vAlign w:val="center"/>
                </w:tcPr>
                <w:p w14:paraId="6D001F50">
                  <w:pPr>
                    <w:keepNext w:val="0"/>
                    <w:keepLines w:val="0"/>
                    <w:suppressLineNumbers w:val="0"/>
                    <w:spacing w:before="0" w:beforeAutospacing="0" w:after="0" w:afterAutospacing="0"/>
                    <w:ind w:left="0" w:right="0"/>
                    <w:jc w:val="center"/>
                    <w:textAlignment w:val="bottom"/>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sz w:val="21"/>
                      <w:szCs w:val="21"/>
                      <w:highlight w:val="none"/>
                    </w:rPr>
                    <w:t>成品仓</w:t>
                  </w:r>
                </w:p>
              </w:tc>
              <w:tc>
                <w:tcPr>
                  <w:tcW w:w="1328" w:type="pct"/>
                  <w:tcBorders>
                    <w:tl2br w:val="nil"/>
                    <w:tr2bl w:val="nil"/>
                  </w:tcBorders>
                  <w:shd w:val="clear" w:color="auto" w:fill="auto"/>
                  <w:vAlign w:val="center"/>
                </w:tcPr>
                <w:p w14:paraId="4D336A2F">
                  <w:pPr>
                    <w:keepNext w:val="0"/>
                    <w:keepLines w:val="0"/>
                    <w:suppressLineNumbers w:val="0"/>
                    <w:spacing w:before="0" w:beforeAutospacing="0" w:after="0" w:afterAutospacing="0"/>
                    <w:ind w:left="0" w:right="0"/>
                    <w:jc w:val="center"/>
                    <w:textAlignment w:val="bottom"/>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sz w:val="21"/>
                      <w:szCs w:val="21"/>
                      <w:highlight w:val="none"/>
                      <w:lang w:bidi="ar"/>
                    </w:rPr>
                    <w:t>1500L</w:t>
                  </w:r>
                </w:p>
              </w:tc>
              <w:tc>
                <w:tcPr>
                  <w:tcW w:w="790" w:type="pct"/>
                  <w:tcBorders>
                    <w:tl2br w:val="nil"/>
                    <w:tr2bl w:val="nil"/>
                  </w:tcBorders>
                  <w:shd w:val="clear" w:color="auto" w:fill="auto"/>
                  <w:vAlign w:val="center"/>
                </w:tcPr>
                <w:p w14:paraId="351712A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4D2D1001">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kern w:val="2"/>
                      <w:sz w:val="21"/>
                      <w:szCs w:val="21"/>
                      <w:highlight w:val="none"/>
                    </w:rPr>
                    <w:t>9</w:t>
                  </w:r>
                </w:p>
              </w:tc>
              <w:tc>
                <w:tcPr>
                  <w:tcW w:w="760" w:type="pct"/>
                  <w:tcBorders>
                    <w:tl2br w:val="nil"/>
                    <w:tr2bl w:val="nil"/>
                  </w:tcBorders>
                  <w:shd w:val="clear" w:color="auto" w:fill="auto"/>
                  <w:vAlign w:val="center"/>
                </w:tcPr>
                <w:p w14:paraId="672EC66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285AA4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3C273CD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209</w:t>
                  </w:r>
                </w:p>
              </w:tc>
              <w:tc>
                <w:tcPr>
                  <w:tcW w:w="926" w:type="pct"/>
                  <w:tcBorders>
                    <w:tl2br w:val="nil"/>
                    <w:tr2bl w:val="nil"/>
                  </w:tcBorders>
                  <w:shd w:val="clear" w:color="auto" w:fill="auto"/>
                  <w:vAlign w:val="center"/>
                </w:tcPr>
                <w:p w14:paraId="0C48880C">
                  <w:pPr>
                    <w:keepNext w:val="0"/>
                    <w:keepLines w:val="0"/>
                    <w:suppressLineNumbers w:val="0"/>
                    <w:spacing w:before="0" w:beforeAutospacing="0" w:after="0" w:afterAutospacing="0"/>
                    <w:ind w:left="0" w:right="0"/>
                    <w:jc w:val="center"/>
                    <w:textAlignment w:val="bottom"/>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sz w:val="21"/>
                      <w:szCs w:val="21"/>
                      <w:highlight w:val="none"/>
                    </w:rPr>
                    <w:t>熟料仓</w:t>
                  </w:r>
                </w:p>
              </w:tc>
              <w:tc>
                <w:tcPr>
                  <w:tcW w:w="1328" w:type="pct"/>
                  <w:tcBorders>
                    <w:tl2br w:val="nil"/>
                    <w:tr2bl w:val="nil"/>
                  </w:tcBorders>
                  <w:shd w:val="clear" w:color="auto" w:fill="auto"/>
                  <w:vAlign w:val="center"/>
                </w:tcPr>
                <w:p w14:paraId="070539D6">
                  <w:pPr>
                    <w:keepNext w:val="0"/>
                    <w:keepLines w:val="0"/>
                    <w:suppressLineNumbers w:val="0"/>
                    <w:spacing w:before="0" w:beforeAutospacing="0" w:after="0" w:afterAutospacing="0"/>
                    <w:ind w:left="0" w:right="0"/>
                    <w:jc w:val="center"/>
                    <w:textAlignment w:val="bottom"/>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sz w:val="21"/>
                      <w:szCs w:val="21"/>
                      <w:highlight w:val="none"/>
                      <w:lang w:bidi="ar"/>
                    </w:rPr>
                    <w:t>1500L</w:t>
                  </w:r>
                </w:p>
              </w:tc>
              <w:tc>
                <w:tcPr>
                  <w:tcW w:w="790" w:type="pct"/>
                  <w:tcBorders>
                    <w:tl2br w:val="nil"/>
                    <w:tr2bl w:val="nil"/>
                  </w:tcBorders>
                  <w:shd w:val="clear" w:color="auto" w:fill="auto"/>
                  <w:vAlign w:val="center"/>
                </w:tcPr>
                <w:p w14:paraId="0200289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584B0B0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eastAsia" w:ascii="Times New Roman" w:hAnsi="Times New Roman" w:eastAsia="微软雅黑" w:cs="Times New Roman"/>
                      <w:i w:val="0"/>
                      <w:iCs w:val="0"/>
                      <w:color w:val="000000"/>
                      <w:kern w:val="0"/>
                      <w:sz w:val="20"/>
                      <w:szCs w:val="20"/>
                      <w:highlight w:val="none"/>
                      <w:u w:val="none"/>
                      <w:lang w:val="en-US" w:eastAsia="zh-CN" w:bidi="ar"/>
                    </w:rPr>
                    <w:t>9</w:t>
                  </w:r>
                </w:p>
              </w:tc>
              <w:tc>
                <w:tcPr>
                  <w:tcW w:w="760" w:type="pct"/>
                  <w:tcBorders>
                    <w:tl2br w:val="nil"/>
                    <w:tr2bl w:val="nil"/>
                  </w:tcBorders>
                  <w:shd w:val="clear" w:color="auto" w:fill="auto"/>
                  <w:vAlign w:val="center"/>
                </w:tcPr>
                <w:p w14:paraId="55FF521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148CCF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69DE446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210</w:t>
                  </w:r>
                </w:p>
              </w:tc>
              <w:tc>
                <w:tcPr>
                  <w:tcW w:w="926" w:type="pct"/>
                  <w:tcBorders>
                    <w:tl2br w:val="nil"/>
                    <w:tr2bl w:val="nil"/>
                  </w:tcBorders>
                  <w:shd w:val="clear" w:color="auto" w:fill="auto"/>
                  <w:vAlign w:val="center"/>
                </w:tcPr>
                <w:p w14:paraId="4CDF3E78">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自动托盘式化成设备</w:t>
                  </w:r>
                </w:p>
              </w:tc>
              <w:tc>
                <w:tcPr>
                  <w:tcW w:w="1328" w:type="pct"/>
                  <w:tcBorders>
                    <w:tl2br w:val="nil"/>
                    <w:tr2bl w:val="nil"/>
                  </w:tcBorders>
                  <w:shd w:val="clear" w:color="auto" w:fill="auto"/>
                  <w:vAlign w:val="center"/>
                </w:tcPr>
                <w:p w14:paraId="525821D2">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JR-50-800F</w:t>
                  </w:r>
                </w:p>
              </w:tc>
              <w:tc>
                <w:tcPr>
                  <w:tcW w:w="790" w:type="pct"/>
                  <w:tcBorders>
                    <w:tl2br w:val="nil"/>
                    <w:tr2bl w:val="nil"/>
                  </w:tcBorders>
                  <w:shd w:val="clear" w:color="auto" w:fill="auto"/>
                  <w:vAlign w:val="center"/>
                </w:tcPr>
                <w:p w14:paraId="6657156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5BDBAC7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微软雅黑"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902台</w:t>
                  </w:r>
                </w:p>
              </w:tc>
              <w:tc>
                <w:tcPr>
                  <w:tcW w:w="760" w:type="pct"/>
                  <w:tcBorders>
                    <w:tl2br w:val="nil"/>
                    <w:tr2bl w:val="nil"/>
                  </w:tcBorders>
                  <w:shd w:val="clear" w:color="auto" w:fill="auto"/>
                  <w:vAlign w:val="center"/>
                </w:tcPr>
                <w:p w14:paraId="3400FA5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1C0CC5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6"/>
                  <w:tcBorders>
                    <w:tl2br w:val="nil"/>
                    <w:tr2bl w:val="nil"/>
                  </w:tcBorders>
                  <w:shd w:val="clear" w:color="auto" w:fill="auto"/>
                  <w:vAlign w:val="center"/>
                </w:tcPr>
                <w:p w14:paraId="067521D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CNT导电浆生产车间</w:t>
                  </w:r>
                  <w:r>
                    <w:rPr>
                      <w:rFonts w:hint="eastAsia" w:cs="Times New Roman"/>
                      <w:sz w:val="21"/>
                      <w:szCs w:val="21"/>
                      <w:highlight w:val="none"/>
                      <w:vertAlign w:val="baseline"/>
                      <w:lang w:val="en-US" w:eastAsia="zh-CN"/>
                    </w:rPr>
                    <w:t>（北厂区）</w:t>
                  </w:r>
                </w:p>
              </w:tc>
            </w:tr>
            <w:tr w14:paraId="55827B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195236D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211</w:t>
                  </w:r>
                </w:p>
              </w:tc>
              <w:tc>
                <w:tcPr>
                  <w:tcW w:w="926" w:type="pct"/>
                  <w:tcBorders>
                    <w:tl2br w:val="nil"/>
                    <w:tr2bl w:val="nil"/>
                  </w:tcBorders>
                  <w:shd w:val="clear" w:color="auto" w:fill="auto"/>
                  <w:vAlign w:val="center"/>
                </w:tcPr>
                <w:p w14:paraId="43411AAD">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粉体投料站</w:t>
                  </w:r>
                </w:p>
              </w:tc>
              <w:tc>
                <w:tcPr>
                  <w:tcW w:w="1328" w:type="pct"/>
                  <w:tcBorders>
                    <w:tl2br w:val="nil"/>
                    <w:tr2bl w:val="nil"/>
                  </w:tcBorders>
                  <w:shd w:val="clear" w:color="auto" w:fill="auto"/>
                  <w:vAlign w:val="center"/>
                </w:tcPr>
                <w:p w14:paraId="56423B96">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w:t>
                  </w:r>
                </w:p>
              </w:tc>
              <w:tc>
                <w:tcPr>
                  <w:tcW w:w="790" w:type="pct"/>
                  <w:tcBorders>
                    <w:tl2br w:val="nil"/>
                    <w:tr2bl w:val="nil"/>
                  </w:tcBorders>
                  <w:shd w:val="clear" w:color="auto" w:fill="auto"/>
                  <w:vAlign w:val="center"/>
                </w:tcPr>
                <w:p w14:paraId="61091D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724" w:type="pct"/>
                  <w:tcBorders>
                    <w:tl2br w:val="nil"/>
                    <w:tr2bl w:val="nil"/>
                  </w:tcBorders>
                  <w:shd w:val="clear" w:color="auto" w:fill="auto"/>
                  <w:vAlign w:val="center"/>
                </w:tcPr>
                <w:p w14:paraId="25CA2A0A">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1</w:t>
                  </w:r>
                </w:p>
              </w:tc>
              <w:tc>
                <w:tcPr>
                  <w:tcW w:w="760" w:type="pct"/>
                  <w:tcBorders>
                    <w:tl2br w:val="nil"/>
                    <w:tr2bl w:val="nil"/>
                  </w:tcBorders>
                  <w:shd w:val="clear" w:color="auto" w:fill="auto"/>
                  <w:vAlign w:val="center"/>
                </w:tcPr>
                <w:p w14:paraId="14CD210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027414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1227FE6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212</w:t>
                  </w:r>
                </w:p>
              </w:tc>
              <w:tc>
                <w:tcPr>
                  <w:tcW w:w="926" w:type="pct"/>
                  <w:tcBorders>
                    <w:tl2br w:val="nil"/>
                    <w:tr2bl w:val="nil"/>
                  </w:tcBorders>
                  <w:shd w:val="clear" w:color="auto" w:fill="auto"/>
                  <w:vAlign w:val="center"/>
                </w:tcPr>
                <w:p w14:paraId="7D3CD2E3">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砂磨机</w:t>
                  </w:r>
                </w:p>
              </w:tc>
              <w:tc>
                <w:tcPr>
                  <w:tcW w:w="1328" w:type="pct"/>
                  <w:tcBorders>
                    <w:tl2br w:val="nil"/>
                    <w:tr2bl w:val="nil"/>
                  </w:tcBorders>
                  <w:shd w:val="clear" w:color="auto" w:fill="auto"/>
                  <w:vAlign w:val="center"/>
                </w:tcPr>
                <w:p w14:paraId="52FAB274">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MN-W90L</w:t>
                  </w:r>
                </w:p>
              </w:tc>
              <w:tc>
                <w:tcPr>
                  <w:tcW w:w="790" w:type="pct"/>
                  <w:tcBorders>
                    <w:tl2br w:val="nil"/>
                    <w:tr2bl w:val="nil"/>
                  </w:tcBorders>
                  <w:shd w:val="clear" w:color="auto" w:fill="auto"/>
                  <w:vAlign w:val="center"/>
                </w:tcPr>
                <w:p w14:paraId="07FC1C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724" w:type="pct"/>
                  <w:tcBorders>
                    <w:tl2br w:val="nil"/>
                    <w:tr2bl w:val="nil"/>
                  </w:tcBorders>
                  <w:shd w:val="clear" w:color="auto" w:fill="auto"/>
                  <w:vAlign w:val="center"/>
                </w:tcPr>
                <w:p w14:paraId="1E4BE856">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2</w:t>
                  </w:r>
                </w:p>
              </w:tc>
              <w:tc>
                <w:tcPr>
                  <w:tcW w:w="760" w:type="pct"/>
                  <w:tcBorders>
                    <w:tl2br w:val="nil"/>
                    <w:tr2bl w:val="nil"/>
                  </w:tcBorders>
                  <w:shd w:val="clear" w:color="auto" w:fill="auto"/>
                  <w:vAlign w:val="center"/>
                </w:tcPr>
                <w:p w14:paraId="7F1E5FB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3BFFA6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3A26DAD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213</w:t>
                  </w:r>
                </w:p>
              </w:tc>
              <w:tc>
                <w:tcPr>
                  <w:tcW w:w="926" w:type="pct"/>
                  <w:tcBorders>
                    <w:tl2br w:val="nil"/>
                    <w:tr2bl w:val="nil"/>
                  </w:tcBorders>
                  <w:shd w:val="clear" w:color="auto" w:fill="auto"/>
                  <w:vAlign w:val="center"/>
                </w:tcPr>
                <w:p w14:paraId="7EB34095">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预混罐</w:t>
                  </w:r>
                </w:p>
              </w:tc>
              <w:tc>
                <w:tcPr>
                  <w:tcW w:w="1328" w:type="pct"/>
                  <w:tcBorders>
                    <w:tl2br w:val="nil"/>
                    <w:tr2bl w:val="nil"/>
                  </w:tcBorders>
                  <w:shd w:val="clear" w:color="auto" w:fill="auto"/>
                  <w:vAlign w:val="center"/>
                </w:tcPr>
                <w:p w14:paraId="152E2F3E">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w:t>
                  </w:r>
                </w:p>
              </w:tc>
              <w:tc>
                <w:tcPr>
                  <w:tcW w:w="790" w:type="pct"/>
                  <w:tcBorders>
                    <w:tl2br w:val="nil"/>
                    <w:tr2bl w:val="nil"/>
                  </w:tcBorders>
                  <w:shd w:val="clear" w:color="auto" w:fill="auto"/>
                  <w:vAlign w:val="center"/>
                </w:tcPr>
                <w:p w14:paraId="075CD6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1500L</w:t>
                  </w:r>
                </w:p>
              </w:tc>
              <w:tc>
                <w:tcPr>
                  <w:tcW w:w="724" w:type="pct"/>
                  <w:tcBorders>
                    <w:tl2br w:val="nil"/>
                    <w:tr2bl w:val="nil"/>
                  </w:tcBorders>
                  <w:shd w:val="clear" w:color="auto" w:fill="auto"/>
                  <w:vAlign w:val="center"/>
                </w:tcPr>
                <w:p w14:paraId="2524BBE9">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1</w:t>
                  </w:r>
                </w:p>
              </w:tc>
              <w:tc>
                <w:tcPr>
                  <w:tcW w:w="760" w:type="pct"/>
                  <w:tcBorders>
                    <w:tl2br w:val="nil"/>
                    <w:tr2bl w:val="nil"/>
                  </w:tcBorders>
                  <w:shd w:val="clear" w:color="auto" w:fill="auto"/>
                  <w:vAlign w:val="center"/>
                </w:tcPr>
                <w:p w14:paraId="62C3B2D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6DBD64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47FD424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214</w:t>
                  </w:r>
                </w:p>
              </w:tc>
              <w:tc>
                <w:tcPr>
                  <w:tcW w:w="926" w:type="pct"/>
                  <w:tcBorders>
                    <w:tl2br w:val="nil"/>
                    <w:tr2bl w:val="nil"/>
                  </w:tcBorders>
                  <w:shd w:val="clear" w:color="auto" w:fill="auto"/>
                  <w:vAlign w:val="center"/>
                </w:tcPr>
                <w:p w14:paraId="37FA600A">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搅拌罐</w:t>
                  </w:r>
                </w:p>
              </w:tc>
              <w:tc>
                <w:tcPr>
                  <w:tcW w:w="1328" w:type="pct"/>
                  <w:tcBorders>
                    <w:tl2br w:val="nil"/>
                    <w:tr2bl w:val="nil"/>
                  </w:tcBorders>
                  <w:shd w:val="clear" w:color="auto" w:fill="auto"/>
                  <w:vAlign w:val="center"/>
                </w:tcPr>
                <w:p w14:paraId="7342BAD6">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w:t>
                  </w:r>
                </w:p>
              </w:tc>
              <w:tc>
                <w:tcPr>
                  <w:tcW w:w="790" w:type="pct"/>
                  <w:tcBorders>
                    <w:tl2br w:val="nil"/>
                    <w:tr2bl w:val="nil"/>
                  </w:tcBorders>
                  <w:shd w:val="clear" w:color="auto" w:fill="auto"/>
                  <w:vAlign w:val="center"/>
                </w:tcPr>
                <w:p w14:paraId="74CD2E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1500L</w:t>
                  </w:r>
                </w:p>
              </w:tc>
              <w:tc>
                <w:tcPr>
                  <w:tcW w:w="724" w:type="pct"/>
                  <w:tcBorders>
                    <w:tl2br w:val="nil"/>
                    <w:tr2bl w:val="nil"/>
                  </w:tcBorders>
                  <w:shd w:val="clear" w:color="auto" w:fill="auto"/>
                  <w:vAlign w:val="center"/>
                </w:tcPr>
                <w:p w14:paraId="4706FEB8">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4</w:t>
                  </w:r>
                </w:p>
              </w:tc>
              <w:tc>
                <w:tcPr>
                  <w:tcW w:w="760" w:type="pct"/>
                  <w:tcBorders>
                    <w:tl2br w:val="nil"/>
                    <w:tr2bl w:val="nil"/>
                  </w:tcBorders>
                  <w:shd w:val="clear" w:color="auto" w:fill="auto"/>
                  <w:vAlign w:val="center"/>
                </w:tcPr>
                <w:p w14:paraId="63C65F8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0F60E6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7E3F11D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215</w:t>
                  </w:r>
                </w:p>
              </w:tc>
              <w:tc>
                <w:tcPr>
                  <w:tcW w:w="926" w:type="pct"/>
                  <w:tcBorders>
                    <w:tl2br w:val="nil"/>
                    <w:tr2bl w:val="nil"/>
                  </w:tcBorders>
                  <w:shd w:val="clear" w:color="auto" w:fill="auto"/>
                  <w:vAlign w:val="center"/>
                </w:tcPr>
                <w:p w14:paraId="258FFD48">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成品罐</w:t>
                  </w:r>
                </w:p>
              </w:tc>
              <w:tc>
                <w:tcPr>
                  <w:tcW w:w="1328" w:type="pct"/>
                  <w:tcBorders>
                    <w:tl2br w:val="nil"/>
                    <w:tr2bl w:val="nil"/>
                  </w:tcBorders>
                  <w:shd w:val="clear" w:color="auto" w:fill="auto"/>
                  <w:vAlign w:val="center"/>
                </w:tcPr>
                <w:p w14:paraId="04F2BD5F">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w:t>
                  </w:r>
                </w:p>
              </w:tc>
              <w:tc>
                <w:tcPr>
                  <w:tcW w:w="790" w:type="pct"/>
                  <w:tcBorders>
                    <w:tl2br w:val="nil"/>
                    <w:tr2bl w:val="nil"/>
                  </w:tcBorders>
                  <w:shd w:val="clear" w:color="auto" w:fill="auto"/>
                  <w:vAlign w:val="center"/>
                </w:tcPr>
                <w:p w14:paraId="27AF0A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5000L</w:t>
                  </w:r>
                </w:p>
              </w:tc>
              <w:tc>
                <w:tcPr>
                  <w:tcW w:w="724" w:type="pct"/>
                  <w:tcBorders>
                    <w:tl2br w:val="nil"/>
                    <w:tr2bl w:val="nil"/>
                  </w:tcBorders>
                  <w:shd w:val="clear" w:color="auto" w:fill="auto"/>
                  <w:vAlign w:val="center"/>
                </w:tcPr>
                <w:p w14:paraId="1C3DCC9B">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1</w:t>
                  </w:r>
                </w:p>
              </w:tc>
              <w:tc>
                <w:tcPr>
                  <w:tcW w:w="760" w:type="pct"/>
                  <w:tcBorders>
                    <w:tl2br w:val="nil"/>
                    <w:tr2bl w:val="nil"/>
                  </w:tcBorders>
                  <w:shd w:val="clear" w:color="auto" w:fill="auto"/>
                  <w:vAlign w:val="center"/>
                </w:tcPr>
                <w:p w14:paraId="2054125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r w14:paraId="1B1E6D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6"/>
                  <w:tcBorders>
                    <w:tl2br w:val="nil"/>
                    <w:tr2bl w:val="nil"/>
                  </w:tcBorders>
                  <w:shd w:val="clear" w:color="auto" w:fill="auto"/>
                  <w:vAlign w:val="center"/>
                </w:tcPr>
                <w:p w14:paraId="2B3AAC0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淘汰设备</w:t>
                  </w:r>
                </w:p>
              </w:tc>
            </w:tr>
            <w:tr w14:paraId="0EA767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4879B77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216</w:t>
                  </w:r>
                </w:p>
              </w:tc>
              <w:tc>
                <w:tcPr>
                  <w:tcW w:w="926" w:type="pct"/>
                  <w:tcBorders>
                    <w:tl2br w:val="nil"/>
                    <w:tr2bl w:val="nil"/>
                  </w:tcBorders>
                  <w:shd w:val="clear" w:color="auto" w:fill="auto"/>
                  <w:vAlign w:val="center"/>
                </w:tcPr>
                <w:p w14:paraId="4D0A18D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全自动制片机</w:t>
                  </w:r>
                </w:p>
              </w:tc>
              <w:tc>
                <w:tcPr>
                  <w:tcW w:w="1328" w:type="pct"/>
                  <w:tcBorders>
                    <w:tl2br w:val="nil"/>
                    <w:tr2bl w:val="nil"/>
                  </w:tcBorders>
                  <w:shd w:val="clear" w:color="auto" w:fill="auto"/>
                  <w:vAlign w:val="center"/>
                </w:tcPr>
                <w:p w14:paraId="7505EEF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微软雅黑" w:cs="Times New Roman"/>
                      <w:i w:val="0"/>
                      <w:iCs w:val="0"/>
                      <w:color w:val="000000"/>
                      <w:kern w:val="0"/>
                      <w:sz w:val="20"/>
                      <w:szCs w:val="20"/>
                      <w:highlight w:val="none"/>
                      <w:u w:val="none"/>
                      <w:lang w:val="en-US" w:eastAsia="zh-CN" w:bidi="ar"/>
                    </w:rPr>
                    <w:t>ZYC-C-H1T1</w:t>
                  </w:r>
                </w:p>
              </w:tc>
              <w:tc>
                <w:tcPr>
                  <w:tcW w:w="790" w:type="pct"/>
                  <w:tcBorders>
                    <w:tl2br w:val="nil"/>
                    <w:tr2bl w:val="nil"/>
                  </w:tcBorders>
                  <w:shd w:val="clear" w:color="auto" w:fill="auto"/>
                  <w:vAlign w:val="center"/>
                </w:tcPr>
                <w:p w14:paraId="56E7779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0D1E08A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微软雅黑" w:cs="Times New Roman"/>
                      <w:i w:val="0"/>
                      <w:iCs w:val="0"/>
                      <w:color w:val="000000"/>
                      <w:kern w:val="0"/>
                      <w:sz w:val="20"/>
                      <w:szCs w:val="20"/>
                      <w:highlight w:val="none"/>
                      <w:u w:val="none"/>
                      <w:lang w:val="en-US" w:eastAsia="zh-CN" w:bidi="ar"/>
                    </w:rPr>
                    <w:t>98</w:t>
                  </w:r>
                </w:p>
              </w:tc>
              <w:tc>
                <w:tcPr>
                  <w:tcW w:w="760" w:type="pct"/>
                  <w:tcBorders>
                    <w:tl2br w:val="nil"/>
                    <w:tr2bl w:val="nil"/>
                  </w:tcBorders>
                  <w:shd w:val="clear" w:color="auto" w:fill="auto"/>
                  <w:vAlign w:val="center"/>
                </w:tcPr>
                <w:p w14:paraId="32EF08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both"/>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五车间76台，六车间22台</w:t>
                  </w:r>
                </w:p>
              </w:tc>
            </w:tr>
            <w:tr w14:paraId="46E54D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446BC11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217</w:t>
                  </w:r>
                </w:p>
              </w:tc>
              <w:tc>
                <w:tcPr>
                  <w:tcW w:w="926" w:type="pct"/>
                  <w:tcBorders>
                    <w:tl2br w:val="nil"/>
                    <w:tr2bl w:val="nil"/>
                  </w:tcBorders>
                  <w:shd w:val="clear" w:color="auto" w:fill="auto"/>
                  <w:vAlign w:val="center"/>
                </w:tcPr>
                <w:p w14:paraId="61F3334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圆柱锂电池恒流恒压化成设备</w:t>
                  </w:r>
                </w:p>
              </w:tc>
              <w:tc>
                <w:tcPr>
                  <w:tcW w:w="1328" w:type="pct"/>
                  <w:tcBorders>
                    <w:tl2br w:val="nil"/>
                    <w:tr2bl w:val="nil"/>
                  </w:tcBorders>
                  <w:shd w:val="clear" w:color="auto" w:fill="auto"/>
                  <w:vAlign w:val="center"/>
                </w:tcPr>
                <w:p w14:paraId="0E0DA6A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微软雅黑" w:cs="Times New Roman"/>
                      <w:i w:val="0"/>
                      <w:iCs w:val="0"/>
                      <w:color w:val="000000"/>
                      <w:kern w:val="0"/>
                      <w:sz w:val="20"/>
                      <w:szCs w:val="20"/>
                      <w:highlight w:val="none"/>
                      <w:u w:val="none"/>
                      <w:lang w:val="en-US" w:eastAsia="zh-CN" w:bidi="ar"/>
                    </w:rPr>
                    <w:t>JR-1024F-5V1A</w:t>
                  </w:r>
                </w:p>
              </w:tc>
              <w:tc>
                <w:tcPr>
                  <w:tcW w:w="790" w:type="pct"/>
                  <w:tcBorders>
                    <w:tl2br w:val="nil"/>
                    <w:tr2bl w:val="nil"/>
                  </w:tcBorders>
                  <w:shd w:val="clear" w:color="auto" w:fill="auto"/>
                  <w:vAlign w:val="center"/>
                </w:tcPr>
                <w:p w14:paraId="2049C4E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463A2D3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微软雅黑" w:cs="Times New Roman"/>
                      <w:i w:val="0"/>
                      <w:iCs w:val="0"/>
                      <w:color w:val="000000"/>
                      <w:kern w:val="0"/>
                      <w:sz w:val="20"/>
                      <w:szCs w:val="20"/>
                      <w:highlight w:val="none"/>
                      <w:u w:val="none"/>
                      <w:lang w:val="en-US" w:eastAsia="zh-CN" w:bidi="ar"/>
                    </w:rPr>
                    <w:t>62</w:t>
                  </w:r>
                </w:p>
              </w:tc>
              <w:tc>
                <w:tcPr>
                  <w:tcW w:w="760" w:type="pct"/>
                  <w:tcBorders>
                    <w:tl2br w:val="nil"/>
                    <w:tr2bl w:val="nil"/>
                  </w:tcBorders>
                  <w:shd w:val="clear" w:color="auto" w:fill="auto"/>
                  <w:vAlign w:val="center"/>
                </w:tcPr>
                <w:p w14:paraId="38EA89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both"/>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一车间</w:t>
                  </w:r>
                </w:p>
              </w:tc>
            </w:tr>
            <w:tr w14:paraId="4ACED8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tcBorders>
                    <w:tl2br w:val="nil"/>
                    <w:tr2bl w:val="nil"/>
                  </w:tcBorders>
                  <w:shd w:val="clear" w:color="auto" w:fill="auto"/>
                  <w:vAlign w:val="center"/>
                </w:tcPr>
                <w:p w14:paraId="503E7F6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218</w:t>
                  </w:r>
                </w:p>
              </w:tc>
              <w:tc>
                <w:tcPr>
                  <w:tcW w:w="926" w:type="pct"/>
                  <w:tcBorders>
                    <w:tl2br w:val="nil"/>
                    <w:tr2bl w:val="nil"/>
                  </w:tcBorders>
                  <w:shd w:val="clear" w:color="auto" w:fill="auto"/>
                  <w:vAlign w:val="center"/>
                </w:tcPr>
                <w:p w14:paraId="67D1DD5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二次电池化成设备</w:t>
                  </w:r>
                </w:p>
              </w:tc>
              <w:tc>
                <w:tcPr>
                  <w:tcW w:w="1328" w:type="pct"/>
                  <w:tcBorders>
                    <w:tl2br w:val="nil"/>
                    <w:tr2bl w:val="nil"/>
                  </w:tcBorders>
                  <w:shd w:val="clear" w:color="auto" w:fill="auto"/>
                  <w:vAlign w:val="center"/>
                </w:tcPr>
                <w:p w14:paraId="20A5AB1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微软雅黑" w:cs="Times New Roman"/>
                      <w:i w:val="0"/>
                      <w:iCs w:val="0"/>
                      <w:color w:val="000000"/>
                      <w:kern w:val="0"/>
                      <w:sz w:val="20"/>
                      <w:szCs w:val="20"/>
                      <w:highlight w:val="none"/>
                      <w:u w:val="none"/>
                      <w:lang w:val="en-US" w:eastAsia="zh-CN" w:bidi="ar"/>
                    </w:rPr>
                    <w:t>JR-50-800F</w:t>
                  </w:r>
                </w:p>
              </w:tc>
              <w:tc>
                <w:tcPr>
                  <w:tcW w:w="790" w:type="pct"/>
                  <w:tcBorders>
                    <w:tl2br w:val="nil"/>
                    <w:tr2bl w:val="nil"/>
                  </w:tcBorders>
                  <w:shd w:val="clear" w:color="auto" w:fill="auto"/>
                  <w:vAlign w:val="center"/>
                </w:tcPr>
                <w:p w14:paraId="194F69A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sz w:val="21"/>
                      <w:szCs w:val="21"/>
                      <w:highlight w:val="none"/>
                      <w:vertAlign w:val="baseline"/>
                      <w:lang w:val="en-US" w:eastAsia="zh-CN"/>
                    </w:rPr>
                    <w:t>/</w:t>
                  </w:r>
                </w:p>
              </w:tc>
              <w:tc>
                <w:tcPr>
                  <w:tcW w:w="724" w:type="pct"/>
                  <w:tcBorders>
                    <w:tl2br w:val="nil"/>
                    <w:tr2bl w:val="nil"/>
                  </w:tcBorders>
                  <w:shd w:val="clear" w:color="auto" w:fill="auto"/>
                  <w:vAlign w:val="center"/>
                </w:tcPr>
                <w:p w14:paraId="7012239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微软雅黑" w:cs="Times New Roman"/>
                      <w:i w:val="0"/>
                      <w:iCs w:val="0"/>
                      <w:color w:val="000000"/>
                      <w:kern w:val="0"/>
                      <w:sz w:val="20"/>
                      <w:szCs w:val="20"/>
                      <w:highlight w:val="none"/>
                      <w:u w:val="none"/>
                      <w:lang w:val="en-US" w:eastAsia="zh-CN" w:bidi="ar"/>
                    </w:rPr>
                    <w:t>798</w:t>
                  </w:r>
                </w:p>
              </w:tc>
              <w:tc>
                <w:tcPr>
                  <w:tcW w:w="760" w:type="pct"/>
                  <w:tcBorders>
                    <w:tl2br w:val="nil"/>
                    <w:tr2bl w:val="nil"/>
                  </w:tcBorders>
                  <w:shd w:val="clear" w:color="auto" w:fill="auto"/>
                  <w:vAlign w:val="center"/>
                </w:tcPr>
                <w:p w14:paraId="0703DF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both"/>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二车间111台，三车间110台，五车间287台，六车间290台</w:t>
                  </w:r>
                </w:p>
              </w:tc>
            </w:tr>
          </w:tbl>
          <w:p w14:paraId="2F769677">
            <w:pPr>
              <w:keepNext w:val="0"/>
              <w:keepLines w:val="0"/>
              <w:suppressLineNumbers w:val="0"/>
              <w:adjustRightInd w:val="0"/>
              <w:snapToGrid w:val="0"/>
              <w:spacing w:before="0" w:beforeAutospacing="0" w:after="0" w:afterAutospacing="0" w:line="440" w:lineRule="exact"/>
              <w:ind w:left="0" w:right="0" w:firstLine="511" w:firstLineChars="212"/>
              <w:textAlignment w:val="baseline"/>
              <w:rPr>
                <w:rFonts w:hint="default" w:ascii="宋体" w:hAnsi="宋体"/>
                <w:b/>
                <w:sz w:val="24"/>
              </w:rPr>
            </w:pPr>
            <w:r>
              <w:rPr>
                <w:rFonts w:hint="eastAsia" w:cs="Times New Roman"/>
                <w:b/>
                <w:sz w:val="24"/>
                <w:lang w:val="en-US" w:eastAsia="zh-CN"/>
              </w:rPr>
              <w:t>5</w:t>
            </w:r>
            <w:r>
              <w:rPr>
                <w:rFonts w:hint="default" w:ascii="宋体" w:hAnsi="宋体"/>
                <w:b/>
                <w:sz w:val="24"/>
              </w:rPr>
              <w:t>、</w:t>
            </w:r>
            <w:r>
              <w:rPr>
                <w:rFonts w:hint="eastAsia" w:ascii="宋体" w:hAnsi="宋体"/>
                <w:b/>
                <w:sz w:val="24"/>
              </w:rPr>
              <w:t>本项目主要原辅材料消耗量</w:t>
            </w:r>
          </w:p>
          <w:p w14:paraId="76CDB3DF">
            <w:pPr>
              <w:pStyle w:val="57"/>
              <w:keepNext w:val="0"/>
              <w:keepLines w:val="0"/>
              <w:suppressLineNumbers w:val="0"/>
              <w:spacing w:before="0" w:beforeAutospacing="0" w:after="0" w:afterAutospacing="0" w:line="440" w:lineRule="exact"/>
              <w:ind w:left="0" w:leftChars="0" w:right="0" w:firstLine="480" w:firstLineChars="200"/>
              <w:rPr>
                <w:rFonts w:hint="eastAsia"/>
                <w:color w:val="auto"/>
                <w:sz w:val="24"/>
                <w:szCs w:val="24"/>
                <w:highlight w:val="none"/>
              </w:rPr>
            </w:pPr>
            <w:r>
              <w:rPr>
                <w:rFonts w:hint="eastAsia"/>
                <w:color w:val="auto"/>
                <w:sz w:val="24"/>
                <w:szCs w:val="24"/>
                <w:highlight w:val="none"/>
                <w:lang w:val="en-US" w:eastAsia="zh-CN"/>
              </w:rPr>
              <w:t>本项目为改建项目，仅对设备进行更新替代。生产工艺不发生变化，产品产能不变，原辅材料不发生变化。项目建成后，全厂原辅材料消耗量见下表</w:t>
            </w:r>
            <w:r>
              <w:rPr>
                <w:rFonts w:hint="eastAsia"/>
                <w:color w:val="auto"/>
                <w:sz w:val="24"/>
                <w:szCs w:val="24"/>
                <w:highlight w:val="none"/>
              </w:rPr>
              <w:t>。</w:t>
            </w:r>
          </w:p>
          <w:p w14:paraId="5454EB8B">
            <w:pPr>
              <w:pStyle w:val="57"/>
              <w:keepNext w:val="0"/>
              <w:keepLines w:val="0"/>
              <w:suppressLineNumbers w:val="0"/>
              <w:spacing w:before="0" w:beforeAutospacing="0" w:after="0" w:afterAutospacing="0" w:line="440" w:lineRule="exact"/>
              <w:ind w:left="0" w:leftChars="0" w:right="0" w:firstLine="482" w:firstLineChars="200"/>
              <w:jc w:val="center"/>
              <w:rPr>
                <w:rFonts w:hint="eastAsia"/>
                <w:color w:val="auto"/>
                <w:sz w:val="24"/>
                <w:szCs w:val="24"/>
                <w:highlight w:val="yellow"/>
              </w:rPr>
            </w:pPr>
            <w:r>
              <w:rPr>
                <w:rFonts w:hint="eastAsia" w:ascii="Times New Roman" w:hAnsi="Times New Roman" w:cs="Times New Roman"/>
                <w:b/>
                <w:bCs/>
                <w:color w:val="auto"/>
                <w:sz w:val="24"/>
                <w:szCs w:val="24"/>
                <w:highlight w:val="none"/>
                <w:lang w:val="en-US" w:eastAsia="zh-CN"/>
              </w:rPr>
              <w:t>表1</w:t>
            </w:r>
            <w:r>
              <w:rPr>
                <w:rFonts w:hint="eastAsia" w:cs="Times New Roman"/>
                <w:b/>
                <w:bCs/>
                <w:color w:val="auto"/>
                <w:sz w:val="24"/>
                <w:szCs w:val="24"/>
                <w:highlight w:val="none"/>
                <w:lang w:val="en-US" w:eastAsia="zh-CN"/>
              </w:rPr>
              <w:t>5</w:t>
            </w:r>
            <w:r>
              <w:rPr>
                <w:rFonts w:hint="eastAsia" w:hAnsi="宋体" w:cs="Times New Roman"/>
                <w:b/>
                <w:bCs/>
                <w:color w:val="auto"/>
                <w:sz w:val="24"/>
                <w:szCs w:val="24"/>
                <w:highlight w:val="none"/>
                <w:lang w:val="en-US" w:eastAsia="zh-CN"/>
              </w:rPr>
              <w:t xml:space="preserve"> </w:t>
            </w:r>
            <w:r>
              <w:rPr>
                <w:rFonts w:hint="eastAsia" w:hAnsi="宋体" w:cs="Times New Roman"/>
                <w:b/>
                <w:bCs/>
                <w:color w:val="000000"/>
                <w:sz w:val="24"/>
                <w:szCs w:val="24"/>
                <w:highlight w:val="none"/>
                <w:lang w:val="en-US" w:eastAsia="zh-CN"/>
              </w:rPr>
              <w:t xml:space="preserve"> 全厂原辅料消耗一览表</w:t>
            </w:r>
          </w:p>
          <w:tbl>
            <w:tblPr>
              <w:tblStyle w:val="23"/>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54"/>
              <w:gridCol w:w="2777"/>
              <w:gridCol w:w="1611"/>
              <w:gridCol w:w="1643"/>
              <w:gridCol w:w="2016"/>
            </w:tblGrid>
            <w:tr w14:paraId="3374759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428" w:type="pct"/>
                  <w:tcBorders>
                    <w:bottom w:val="single" w:color="auto" w:sz="8" w:space="0"/>
                  </w:tcBorders>
                  <w:vAlign w:val="center"/>
                </w:tcPr>
                <w:p w14:paraId="67EA01CC">
                  <w:pPr>
                    <w:keepNext w:val="0"/>
                    <w:keepLines w:val="0"/>
                    <w:suppressLineNumbers w:val="0"/>
                    <w:spacing w:before="0" w:beforeAutospacing="0" w:after="0" w:afterAutospacing="0" w:line="240" w:lineRule="auto"/>
                    <w:ind w:left="0" w:right="0" w:firstLine="0" w:firstLineChars="0"/>
                    <w:jc w:val="center"/>
                    <w:rPr>
                      <w:rFonts w:hint="default"/>
                      <w:b/>
                      <w:sz w:val="21"/>
                      <w:szCs w:val="21"/>
                    </w:rPr>
                  </w:pPr>
                  <w:r>
                    <w:rPr>
                      <w:rFonts w:hint="default"/>
                      <w:b/>
                      <w:sz w:val="21"/>
                      <w:szCs w:val="21"/>
                    </w:rPr>
                    <w:t>序号</w:t>
                  </w:r>
                </w:p>
              </w:tc>
              <w:tc>
                <w:tcPr>
                  <w:tcW w:w="1577" w:type="pct"/>
                  <w:tcBorders>
                    <w:bottom w:val="single" w:color="auto" w:sz="8" w:space="0"/>
                  </w:tcBorders>
                  <w:vAlign w:val="center"/>
                </w:tcPr>
                <w:p w14:paraId="0B27E50F">
                  <w:pPr>
                    <w:keepNext w:val="0"/>
                    <w:keepLines w:val="0"/>
                    <w:suppressLineNumbers w:val="0"/>
                    <w:spacing w:before="0" w:beforeAutospacing="0" w:after="0" w:afterAutospacing="0" w:line="240" w:lineRule="auto"/>
                    <w:ind w:left="0" w:right="0" w:firstLine="0" w:firstLineChars="0"/>
                    <w:jc w:val="center"/>
                    <w:rPr>
                      <w:rFonts w:hint="default"/>
                      <w:b/>
                      <w:sz w:val="21"/>
                      <w:szCs w:val="21"/>
                    </w:rPr>
                  </w:pPr>
                  <w:r>
                    <w:rPr>
                      <w:rFonts w:hint="default"/>
                      <w:b/>
                      <w:sz w:val="21"/>
                      <w:szCs w:val="21"/>
                    </w:rPr>
                    <w:t>名称</w:t>
                  </w:r>
                </w:p>
              </w:tc>
              <w:tc>
                <w:tcPr>
                  <w:tcW w:w="915" w:type="pct"/>
                  <w:tcBorders>
                    <w:bottom w:val="single" w:color="auto" w:sz="8" w:space="0"/>
                  </w:tcBorders>
                  <w:vAlign w:val="center"/>
                </w:tcPr>
                <w:p w14:paraId="35CD441A">
                  <w:pPr>
                    <w:keepNext w:val="0"/>
                    <w:keepLines w:val="0"/>
                    <w:suppressLineNumbers w:val="0"/>
                    <w:spacing w:before="0" w:beforeAutospacing="0" w:after="0" w:afterAutospacing="0" w:line="240" w:lineRule="auto"/>
                    <w:ind w:left="0" w:right="0" w:firstLine="0" w:firstLineChars="0"/>
                    <w:jc w:val="center"/>
                    <w:rPr>
                      <w:rFonts w:hint="default"/>
                      <w:b/>
                      <w:sz w:val="21"/>
                      <w:szCs w:val="21"/>
                    </w:rPr>
                  </w:pPr>
                  <w:r>
                    <w:rPr>
                      <w:rFonts w:hint="eastAsia"/>
                      <w:b/>
                      <w:sz w:val="21"/>
                      <w:szCs w:val="21"/>
                    </w:rPr>
                    <w:t>物料状态及包装方式</w:t>
                  </w:r>
                </w:p>
              </w:tc>
              <w:tc>
                <w:tcPr>
                  <w:tcW w:w="933" w:type="pct"/>
                  <w:tcBorders>
                    <w:bottom w:val="single" w:color="auto" w:sz="8" w:space="0"/>
                  </w:tcBorders>
                  <w:vAlign w:val="center"/>
                </w:tcPr>
                <w:p w14:paraId="07DFF1A9">
                  <w:pPr>
                    <w:keepNext w:val="0"/>
                    <w:keepLines w:val="0"/>
                    <w:suppressLineNumbers w:val="0"/>
                    <w:spacing w:before="0" w:beforeAutospacing="0" w:after="0" w:afterAutospacing="0" w:line="240" w:lineRule="auto"/>
                    <w:ind w:left="0" w:right="0" w:firstLine="0" w:firstLineChars="0"/>
                    <w:jc w:val="center"/>
                    <w:rPr>
                      <w:rFonts w:hint="default"/>
                      <w:b/>
                      <w:sz w:val="21"/>
                      <w:szCs w:val="21"/>
                    </w:rPr>
                  </w:pPr>
                  <w:r>
                    <w:rPr>
                      <w:rFonts w:hint="eastAsia"/>
                      <w:b/>
                      <w:sz w:val="21"/>
                      <w:szCs w:val="21"/>
                      <w:lang w:val="en-US" w:eastAsia="zh-CN"/>
                    </w:rPr>
                    <w:t>全厂</w:t>
                  </w:r>
                  <w:r>
                    <w:rPr>
                      <w:rFonts w:hint="eastAsia"/>
                      <w:b/>
                      <w:sz w:val="21"/>
                      <w:szCs w:val="21"/>
                    </w:rPr>
                    <w:t>用量（t/a）</w:t>
                  </w:r>
                </w:p>
              </w:tc>
              <w:tc>
                <w:tcPr>
                  <w:tcW w:w="1145" w:type="pct"/>
                  <w:tcBorders>
                    <w:bottom w:val="single" w:color="auto" w:sz="8" w:space="0"/>
                  </w:tcBorders>
                  <w:vAlign w:val="center"/>
                </w:tcPr>
                <w:p w14:paraId="4A6AF8C3">
                  <w:pPr>
                    <w:keepNext w:val="0"/>
                    <w:keepLines w:val="0"/>
                    <w:suppressLineNumbers w:val="0"/>
                    <w:spacing w:before="0" w:beforeAutospacing="0" w:after="0" w:afterAutospacing="0" w:line="240" w:lineRule="auto"/>
                    <w:ind w:left="0" w:right="0" w:firstLine="0" w:firstLineChars="0"/>
                    <w:jc w:val="center"/>
                    <w:rPr>
                      <w:rFonts w:hint="default"/>
                      <w:b/>
                      <w:sz w:val="21"/>
                      <w:szCs w:val="21"/>
                    </w:rPr>
                  </w:pPr>
                  <w:r>
                    <w:rPr>
                      <w:rFonts w:hint="eastAsia"/>
                      <w:b/>
                      <w:sz w:val="21"/>
                      <w:szCs w:val="21"/>
                    </w:rPr>
                    <w:t>来源</w:t>
                  </w:r>
                </w:p>
              </w:tc>
            </w:tr>
            <w:tr w14:paraId="74041C2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428" w:type="pct"/>
                  <w:tcBorders>
                    <w:top w:val="single" w:color="auto" w:sz="4" w:space="0"/>
                    <w:bottom w:val="single" w:color="auto" w:sz="4" w:space="0"/>
                  </w:tcBorders>
                  <w:vAlign w:val="center"/>
                </w:tcPr>
                <w:p w14:paraId="0EBB7D63">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default"/>
                      <w:sz w:val="21"/>
                      <w:szCs w:val="21"/>
                    </w:rPr>
                    <w:t>1</w:t>
                  </w:r>
                </w:p>
              </w:tc>
              <w:tc>
                <w:tcPr>
                  <w:tcW w:w="1577" w:type="pct"/>
                  <w:tcBorders>
                    <w:top w:val="single" w:color="auto" w:sz="4" w:space="0"/>
                    <w:bottom w:val="single" w:color="auto" w:sz="4" w:space="0"/>
                  </w:tcBorders>
                  <w:shd w:val="clear" w:color="auto" w:fill="FFFFFF" w:themeFill="background1"/>
                  <w:vAlign w:val="center"/>
                </w:tcPr>
                <w:p w14:paraId="193CBA2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锰酸锂</w:t>
                  </w:r>
                </w:p>
              </w:tc>
              <w:tc>
                <w:tcPr>
                  <w:tcW w:w="915" w:type="pct"/>
                  <w:tcBorders>
                    <w:top w:val="single" w:color="auto" w:sz="4" w:space="0"/>
                    <w:bottom w:val="single" w:color="auto" w:sz="4" w:space="0"/>
                  </w:tcBorders>
                  <w:shd w:val="clear" w:color="auto" w:fill="FFFFFF" w:themeFill="background1"/>
                  <w:vAlign w:val="center"/>
                </w:tcPr>
                <w:p w14:paraId="35899FE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eastAsia"/>
                      <w:color w:val="auto"/>
                      <w:sz w:val="21"/>
                      <w:szCs w:val="21"/>
                      <w:highlight w:val="none"/>
                    </w:rPr>
                    <w:t>粉状吨包</w:t>
                  </w:r>
                </w:p>
              </w:tc>
              <w:tc>
                <w:tcPr>
                  <w:tcW w:w="933" w:type="pct"/>
                  <w:tcBorders>
                    <w:top w:val="single" w:color="auto" w:sz="4" w:space="0"/>
                    <w:bottom w:val="single" w:color="auto" w:sz="4" w:space="0"/>
                  </w:tcBorders>
                  <w:shd w:val="clear" w:color="auto" w:fill="FFFFFF" w:themeFill="background1"/>
                  <w:vAlign w:val="center"/>
                </w:tcPr>
                <w:p w14:paraId="726360B4">
                  <w:pPr>
                    <w:keepNext w:val="0"/>
                    <w:keepLines w:val="0"/>
                    <w:suppressLineNumbers w:val="0"/>
                    <w:spacing w:before="0" w:beforeAutospacing="0" w:after="0" w:afterAutospacing="0" w:line="240" w:lineRule="auto"/>
                    <w:ind w:left="0" w:right="0" w:firstLine="0" w:firstLineChars="0"/>
                    <w:jc w:val="center"/>
                    <w:rPr>
                      <w:rFonts w:hint="default" w:ascii="宋体" w:hAnsi="宋体" w:eastAsia="宋体" w:cs="宋体"/>
                      <w:color w:val="auto"/>
                      <w:sz w:val="21"/>
                      <w:szCs w:val="21"/>
                      <w:highlight w:val="none"/>
                      <w:lang w:val="en-US" w:eastAsia="zh-CN"/>
                    </w:rPr>
                  </w:pPr>
                  <w:r>
                    <w:rPr>
                      <w:rFonts w:hint="eastAsia"/>
                      <w:color w:val="auto"/>
                      <w:sz w:val="21"/>
                      <w:szCs w:val="21"/>
                      <w:highlight w:val="none"/>
                      <w:lang w:val="en-US" w:eastAsia="zh-CN"/>
                    </w:rPr>
                    <w:t>16234</w:t>
                  </w:r>
                </w:p>
              </w:tc>
              <w:tc>
                <w:tcPr>
                  <w:tcW w:w="1145" w:type="pct"/>
                  <w:tcBorders>
                    <w:top w:val="single" w:color="auto" w:sz="4" w:space="0"/>
                    <w:bottom w:val="single" w:color="auto" w:sz="4" w:space="0"/>
                  </w:tcBorders>
                  <w:shd w:val="clear" w:color="auto" w:fill="FFFFFF" w:themeFill="background1"/>
                  <w:vAlign w:val="center"/>
                </w:tcPr>
                <w:p w14:paraId="46E91CE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eastAsia"/>
                      <w:color w:val="auto"/>
                      <w:sz w:val="21"/>
                      <w:szCs w:val="21"/>
                      <w:highlight w:val="none"/>
                    </w:rPr>
                    <w:t>自制</w:t>
                  </w:r>
                </w:p>
              </w:tc>
            </w:tr>
            <w:tr w14:paraId="1BD439A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428" w:type="pct"/>
                  <w:tcBorders>
                    <w:top w:val="single" w:color="auto" w:sz="4" w:space="0"/>
                    <w:bottom w:val="single" w:color="auto" w:sz="4" w:space="0"/>
                  </w:tcBorders>
                  <w:vAlign w:val="center"/>
                </w:tcPr>
                <w:p w14:paraId="5994BE66">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default"/>
                      <w:sz w:val="21"/>
                      <w:szCs w:val="21"/>
                    </w:rPr>
                    <w:t>2</w:t>
                  </w:r>
                </w:p>
              </w:tc>
              <w:tc>
                <w:tcPr>
                  <w:tcW w:w="1577" w:type="pct"/>
                  <w:tcBorders>
                    <w:top w:val="single" w:color="auto" w:sz="4" w:space="0"/>
                    <w:bottom w:val="single" w:color="auto" w:sz="4" w:space="0"/>
                  </w:tcBorders>
                  <w:shd w:val="clear" w:color="auto" w:fill="FFFFFF" w:themeFill="background1"/>
                  <w:vAlign w:val="center"/>
                </w:tcPr>
                <w:p w14:paraId="5D94F9E8">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镍钴锰酸锂</w:t>
                  </w:r>
                </w:p>
              </w:tc>
              <w:tc>
                <w:tcPr>
                  <w:tcW w:w="915" w:type="pct"/>
                  <w:tcBorders>
                    <w:top w:val="single" w:color="auto" w:sz="4" w:space="0"/>
                    <w:bottom w:val="single" w:color="auto" w:sz="4" w:space="0"/>
                  </w:tcBorders>
                  <w:shd w:val="clear" w:color="auto" w:fill="FFFFFF" w:themeFill="background1"/>
                  <w:vAlign w:val="center"/>
                </w:tcPr>
                <w:p w14:paraId="3F9F3193">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粉状吨包</w:t>
                  </w:r>
                </w:p>
              </w:tc>
              <w:tc>
                <w:tcPr>
                  <w:tcW w:w="933" w:type="pct"/>
                  <w:tcBorders>
                    <w:top w:val="single" w:color="auto" w:sz="4" w:space="0"/>
                    <w:bottom w:val="single" w:color="auto" w:sz="4" w:space="0"/>
                  </w:tcBorders>
                  <w:shd w:val="clear" w:color="auto" w:fill="FFFFFF" w:themeFill="background1"/>
                  <w:vAlign w:val="center"/>
                </w:tcPr>
                <w:p w14:paraId="3A4CA44E">
                  <w:pPr>
                    <w:keepNext w:val="0"/>
                    <w:keepLines w:val="0"/>
                    <w:suppressLineNumbers w:val="0"/>
                    <w:spacing w:before="0" w:beforeAutospacing="0" w:after="0" w:afterAutospacing="0" w:line="240" w:lineRule="auto"/>
                    <w:ind w:left="0" w:right="0"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530</w:t>
                  </w:r>
                </w:p>
              </w:tc>
              <w:tc>
                <w:tcPr>
                  <w:tcW w:w="1145" w:type="pct"/>
                  <w:tcBorders>
                    <w:top w:val="single" w:color="auto" w:sz="4" w:space="0"/>
                    <w:bottom w:val="single" w:color="auto" w:sz="4" w:space="0"/>
                  </w:tcBorders>
                  <w:shd w:val="clear" w:color="auto" w:fill="FFFFFF" w:themeFill="background1"/>
                  <w:vAlign w:val="center"/>
                </w:tcPr>
                <w:p w14:paraId="4EA326CD">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外购</w:t>
                  </w:r>
                </w:p>
              </w:tc>
            </w:tr>
            <w:tr w14:paraId="42BC676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428" w:type="pct"/>
                  <w:tcBorders>
                    <w:top w:val="single" w:color="auto" w:sz="4" w:space="0"/>
                    <w:bottom w:val="single" w:color="auto" w:sz="4" w:space="0"/>
                  </w:tcBorders>
                  <w:vAlign w:val="center"/>
                </w:tcPr>
                <w:p w14:paraId="29AE9E35">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default"/>
                      <w:sz w:val="21"/>
                      <w:szCs w:val="21"/>
                    </w:rPr>
                    <w:t>3</w:t>
                  </w:r>
                </w:p>
              </w:tc>
              <w:tc>
                <w:tcPr>
                  <w:tcW w:w="1577" w:type="pct"/>
                  <w:tcBorders>
                    <w:top w:val="single" w:color="auto" w:sz="4" w:space="0"/>
                    <w:bottom w:val="single" w:color="auto" w:sz="4" w:space="0"/>
                  </w:tcBorders>
                  <w:vAlign w:val="center"/>
                </w:tcPr>
                <w:p w14:paraId="78C0B1AA">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default"/>
                      <w:sz w:val="21"/>
                      <w:szCs w:val="21"/>
                    </w:rPr>
                    <w:t>石墨粉</w:t>
                  </w:r>
                </w:p>
              </w:tc>
              <w:tc>
                <w:tcPr>
                  <w:tcW w:w="915" w:type="pct"/>
                  <w:tcBorders>
                    <w:top w:val="single" w:color="auto" w:sz="4" w:space="0"/>
                    <w:bottom w:val="single" w:color="auto" w:sz="4" w:space="0"/>
                  </w:tcBorders>
                  <w:vAlign w:val="center"/>
                </w:tcPr>
                <w:p w14:paraId="3A3BBE87">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粉状吨包</w:t>
                  </w:r>
                </w:p>
              </w:tc>
              <w:tc>
                <w:tcPr>
                  <w:tcW w:w="933" w:type="pct"/>
                  <w:tcBorders>
                    <w:top w:val="single" w:color="auto" w:sz="4" w:space="0"/>
                    <w:bottom w:val="single" w:color="auto" w:sz="4" w:space="0"/>
                  </w:tcBorders>
                  <w:vAlign w:val="center"/>
                </w:tcPr>
                <w:p w14:paraId="7D03E6F8">
                  <w:pPr>
                    <w:keepNext w:val="0"/>
                    <w:keepLines w:val="0"/>
                    <w:suppressLineNumbers w:val="0"/>
                    <w:spacing w:before="0" w:beforeAutospacing="0" w:after="0" w:afterAutospacing="0" w:line="240" w:lineRule="auto"/>
                    <w:ind w:left="0" w:right="0" w:firstLine="0" w:firstLineChars="0"/>
                    <w:jc w:val="center"/>
                    <w:rPr>
                      <w:rFonts w:hint="default" w:ascii="宋体" w:hAnsi="宋体" w:eastAsia="宋体" w:cs="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7455</w:t>
                  </w:r>
                </w:p>
              </w:tc>
              <w:tc>
                <w:tcPr>
                  <w:tcW w:w="1145" w:type="pct"/>
                  <w:tcBorders>
                    <w:top w:val="single" w:color="auto" w:sz="4" w:space="0"/>
                    <w:bottom w:val="single" w:color="auto" w:sz="4" w:space="0"/>
                  </w:tcBorders>
                  <w:vAlign w:val="center"/>
                </w:tcPr>
                <w:p w14:paraId="2ED701D5">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外购</w:t>
                  </w:r>
                </w:p>
              </w:tc>
            </w:tr>
            <w:tr w14:paraId="523252F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428" w:type="pct"/>
                  <w:tcBorders>
                    <w:top w:val="single" w:color="auto" w:sz="4" w:space="0"/>
                    <w:bottom w:val="single" w:color="auto" w:sz="4" w:space="0"/>
                  </w:tcBorders>
                  <w:vAlign w:val="center"/>
                </w:tcPr>
                <w:p w14:paraId="4B7E4711">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default"/>
                      <w:sz w:val="21"/>
                      <w:szCs w:val="21"/>
                    </w:rPr>
                    <w:t>4</w:t>
                  </w:r>
                </w:p>
              </w:tc>
              <w:tc>
                <w:tcPr>
                  <w:tcW w:w="1577" w:type="pct"/>
                  <w:tcBorders>
                    <w:top w:val="single" w:color="auto" w:sz="4" w:space="0"/>
                    <w:bottom w:val="single" w:color="auto" w:sz="4" w:space="0"/>
                  </w:tcBorders>
                  <w:vAlign w:val="center"/>
                </w:tcPr>
                <w:p w14:paraId="15BCA70A">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default"/>
                      <w:sz w:val="21"/>
                      <w:szCs w:val="21"/>
                    </w:rPr>
                    <w:t>导电浆</w:t>
                  </w:r>
                </w:p>
                <w:p w14:paraId="04A05F1B">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w:t>
                  </w:r>
                  <w:r>
                    <w:rPr>
                      <w:rFonts w:hint="default"/>
                      <w:sz w:val="21"/>
                      <w:szCs w:val="21"/>
                    </w:rPr>
                    <w:t>CNTs</w:t>
                  </w:r>
                  <w:r>
                    <w:rPr>
                      <w:rFonts w:hint="eastAsia"/>
                      <w:sz w:val="21"/>
                      <w:szCs w:val="21"/>
                    </w:rPr>
                    <w:t>)</w:t>
                  </w:r>
                </w:p>
              </w:tc>
              <w:tc>
                <w:tcPr>
                  <w:tcW w:w="915" w:type="pct"/>
                  <w:tcBorders>
                    <w:top w:val="single" w:color="auto" w:sz="4" w:space="0"/>
                    <w:bottom w:val="single" w:color="auto" w:sz="4" w:space="0"/>
                  </w:tcBorders>
                  <w:vAlign w:val="center"/>
                </w:tcPr>
                <w:p w14:paraId="34E9F4B5">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浆状</w:t>
                  </w:r>
                </w:p>
              </w:tc>
              <w:tc>
                <w:tcPr>
                  <w:tcW w:w="933" w:type="pct"/>
                  <w:tcBorders>
                    <w:top w:val="single" w:color="auto" w:sz="4" w:space="0"/>
                    <w:bottom w:val="single" w:color="auto" w:sz="4" w:space="0"/>
                  </w:tcBorders>
                  <w:vAlign w:val="center"/>
                </w:tcPr>
                <w:p w14:paraId="71F0823A">
                  <w:pPr>
                    <w:keepNext w:val="0"/>
                    <w:keepLines w:val="0"/>
                    <w:suppressLineNumbers w:val="0"/>
                    <w:spacing w:before="0" w:beforeAutospacing="0" w:after="0" w:afterAutospacing="0" w:line="240" w:lineRule="auto"/>
                    <w:ind w:left="0" w:right="0" w:firstLine="0" w:firstLineChars="0"/>
                    <w:jc w:val="center"/>
                    <w:rPr>
                      <w:rFonts w:hint="default" w:ascii="宋体" w:hAnsi="宋体" w:eastAsia="宋体" w:cs="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2962</w:t>
                  </w:r>
                </w:p>
              </w:tc>
              <w:tc>
                <w:tcPr>
                  <w:tcW w:w="1145" w:type="pct"/>
                  <w:tcBorders>
                    <w:top w:val="single" w:color="auto" w:sz="4" w:space="0"/>
                    <w:bottom w:val="single" w:color="auto" w:sz="4" w:space="0"/>
                  </w:tcBorders>
                  <w:vAlign w:val="center"/>
                </w:tcPr>
                <w:p w14:paraId="489273B6">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default"/>
                      <w:sz w:val="21"/>
                      <w:szCs w:val="21"/>
                    </w:rPr>
                    <w:t>自制</w:t>
                  </w:r>
                </w:p>
              </w:tc>
            </w:tr>
            <w:tr w14:paraId="17DD25B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428" w:type="pct"/>
                  <w:tcBorders>
                    <w:top w:val="single" w:color="auto" w:sz="4" w:space="0"/>
                    <w:bottom w:val="single" w:color="auto" w:sz="4" w:space="0"/>
                  </w:tcBorders>
                  <w:vAlign w:val="center"/>
                </w:tcPr>
                <w:p w14:paraId="266DE874">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default"/>
                      <w:sz w:val="21"/>
                      <w:szCs w:val="21"/>
                    </w:rPr>
                    <w:t>5</w:t>
                  </w:r>
                </w:p>
              </w:tc>
              <w:tc>
                <w:tcPr>
                  <w:tcW w:w="1577" w:type="pct"/>
                  <w:tcBorders>
                    <w:top w:val="single" w:color="auto" w:sz="4" w:space="0"/>
                    <w:bottom w:val="single" w:color="auto" w:sz="4" w:space="0"/>
                  </w:tcBorders>
                  <w:vAlign w:val="center"/>
                </w:tcPr>
                <w:p w14:paraId="4D993B65">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default"/>
                      <w:sz w:val="21"/>
                      <w:szCs w:val="21"/>
                    </w:rPr>
                    <w:t>聚偏氟乙烯</w:t>
                  </w:r>
                </w:p>
                <w:p w14:paraId="63F619EF">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default"/>
                      <w:sz w:val="21"/>
                      <w:szCs w:val="21"/>
                    </w:rPr>
                    <w:t>(PVDF)</w:t>
                  </w:r>
                </w:p>
              </w:tc>
              <w:tc>
                <w:tcPr>
                  <w:tcW w:w="915" w:type="pct"/>
                  <w:tcBorders>
                    <w:top w:val="single" w:color="auto" w:sz="4" w:space="0"/>
                    <w:bottom w:val="single" w:color="auto" w:sz="4" w:space="0"/>
                  </w:tcBorders>
                  <w:vAlign w:val="center"/>
                </w:tcPr>
                <w:p w14:paraId="25B0C60B">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颗粒状</w:t>
                  </w:r>
                </w:p>
                <w:p w14:paraId="0CB81C11">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吨包</w:t>
                  </w:r>
                </w:p>
              </w:tc>
              <w:tc>
                <w:tcPr>
                  <w:tcW w:w="933" w:type="pct"/>
                  <w:tcBorders>
                    <w:top w:val="single" w:color="auto" w:sz="4" w:space="0"/>
                    <w:bottom w:val="single" w:color="auto" w:sz="4" w:space="0"/>
                  </w:tcBorders>
                  <w:vAlign w:val="center"/>
                </w:tcPr>
                <w:p w14:paraId="0C468A7B">
                  <w:pPr>
                    <w:keepNext w:val="0"/>
                    <w:keepLines w:val="0"/>
                    <w:suppressLineNumbers w:val="0"/>
                    <w:spacing w:before="0" w:beforeAutospacing="0" w:after="0" w:afterAutospacing="0" w:line="240" w:lineRule="auto"/>
                    <w:ind w:left="0" w:right="0" w:firstLine="0" w:firstLineChars="0"/>
                    <w:jc w:val="center"/>
                    <w:rPr>
                      <w:rFonts w:hint="default" w:ascii="宋体" w:hAnsi="宋体" w:eastAsia="宋体" w:cs="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227</w:t>
                  </w:r>
                </w:p>
              </w:tc>
              <w:tc>
                <w:tcPr>
                  <w:tcW w:w="1145" w:type="pct"/>
                  <w:tcBorders>
                    <w:top w:val="single" w:color="auto" w:sz="4" w:space="0"/>
                    <w:bottom w:val="single" w:color="auto" w:sz="4" w:space="0"/>
                  </w:tcBorders>
                  <w:vAlign w:val="center"/>
                </w:tcPr>
                <w:p w14:paraId="250651A4">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外购</w:t>
                  </w:r>
                </w:p>
              </w:tc>
            </w:tr>
            <w:tr w14:paraId="2E71AAF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428" w:type="pct"/>
                  <w:tcBorders>
                    <w:top w:val="single" w:color="auto" w:sz="4" w:space="0"/>
                  </w:tcBorders>
                  <w:vAlign w:val="center"/>
                </w:tcPr>
                <w:p w14:paraId="70A17D98">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default"/>
                      <w:sz w:val="21"/>
                      <w:szCs w:val="21"/>
                    </w:rPr>
                    <w:t>6</w:t>
                  </w:r>
                </w:p>
              </w:tc>
              <w:tc>
                <w:tcPr>
                  <w:tcW w:w="1577" w:type="pct"/>
                  <w:tcBorders>
                    <w:top w:val="single" w:color="auto" w:sz="4" w:space="0"/>
                    <w:bottom w:val="single" w:color="auto" w:sz="4" w:space="0"/>
                  </w:tcBorders>
                  <w:vAlign w:val="center"/>
                </w:tcPr>
                <w:p w14:paraId="7A04DA6A">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default"/>
                      <w:sz w:val="21"/>
                      <w:szCs w:val="21"/>
                    </w:rPr>
                    <w:t>N-甲基吡咯烷酮</w:t>
                  </w:r>
                  <w:r>
                    <w:rPr>
                      <w:rFonts w:hint="eastAsia"/>
                      <w:sz w:val="21"/>
                      <w:szCs w:val="21"/>
                    </w:rPr>
                    <w:t>(</w:t>
                  </w:r>
                  <w:r>
                    <w:rPr>
                      <w:rFonts w:hint="default"/>
                      <w:sz w:val="21"/>
                      <w:szCs w:val="21"/>
                    </w:rPr>
                    <w:t>NMP)</w:t>
                  </w:r>
                  <w:r>
                    <w:rPr>
                      <w:rFonts w:hint="eastAsia"/>
                      <w:sz w:val="21"/>
                      <w:szCs w:val="21"/>
                    </w:rPr>
                    <w:t>-正极配料</w:t>
                  </w:r>
                </w:p>
              </w:tc>
              <w:tc>
                <w:tcPr>
                  <w:tcW w:w="915" w:type="pct"/>
                  <w:tcBorders>
                    <w:top w:val="single" w:color="auto" w:sz="4" w:space="0"/>
                    <w:bottom w:val="single" w:color="auto" w:sz="4" w:space="0"/>
                  </w:tcBorders>
                  <w:vAlign w:val="center"/>
                </w:tcPr>
                <w:p w14:paraId="2154DE41">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液态</w:t>
                  </w:r>
                </w:p>
                <w:p w14:paraId="6CFF0AC7">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罐储存</w:t>
                  </w:r>
                </w:p>
              </w:tc>
              <w:tc>
                <w:tcPr>
                  <w:tcW w:w="933" w:type="pct"/>
                  <w:tcBorders>
                    <w:top w:val="single" w:color="auto" w:sz="4" w:space="0"/>
                  </w:tcBorders>
                  <w:vAlign w:val="center"/>
                </w:tcPr>
                <w:p w14:paraId="634CFB79">
                  <w:pPr>
                    <w:keepNext w:val="0"/>
                    <w:keepLines w:val="0"/>
                    <w:suppressLineNumbers w:val="0"/>
                    <w:spacing w:before="0" w:beforeAutospacing="0" w:after="0" w:afterAutospacing="0" w:line="240" w:lineRule="auto"/>
                    <w:ind w:left="0" w:right="0" w:firstLine="0" w:firstLineChars="0"/>
                    <w:jc w:val="center"/>
                    <w:rPr>
                      <w:rFonts w:hint="default" w:ascii="宋体" w:hAnsi="宋体" w:eastAsia="宋体" w:cs="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5014</w:t>
                  </w:r>
                </w:p>
              </w:tc>
              <w:tc>
                <w:tcPr>
                  <w:tcW w:w="1145" w:type="pct"/>
                  <w:tcBorders>
                    <w:top w:val="single" w:color="auto" w:sz="4" w:space="0"/>
                  </w:tcBorders>
                  <w:vAlign w:val="center"/>
                </w:tcPr>
                <w:p w14:paraId="170E11B1">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外购</w:t>
                  </w:r>
                </w:p>
              </w:tc>
            </w:tr>
            <w:tr w14:paraId="5BDF9CB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428" w:type="pct"/>
                  <w:tcBorders>
                    <w:top w:val="single" w:color="auto" w:sz="4" w:space="0"/>
                    <w:bottom w:val="single" w:color="auto" w:sz="4" w:space="0"/>
                  </w:tcBorders>
                  <w:vAlign w:val="center"/>
                </w:tcPr>
                <w:p w14:paraId="1ECA2CB2">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default"/>
                      <w:sz w:val="21"/>
                      <w:szCs w:val="21"/>
                    </w:rPr>
                    <w:t>7</w:t>
                  </w:r>
                </w:p>
              </w:tc>
              <w:tc>
                <w:tcPr>
                  <w:tcW w:w="1577" w:type="pct"/>
                  <w:tcBorders>
                    <w:top w:val="single" w:color="auto" w:sz="4" w:space="0"/>
                    <w:bottom w:val="single" w:color="auto" w:sz="4" w:space="0"/>
                  </w:tcBorders>
                  <w:vAlign w:val="center"/>
                </w:tcPr>
                <w:p w14:paraId="405EB888">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default"/>
                      <w:sz w:val="21"/>
                      <w:szCs w:val="21"/>
                    </w:rPr>
                    <w:t>羧甲基纤维素钠</w:t>
                  </w:r>
                  <w:r>
                    <w:rPr>
                      <w:rFonts w:hint="eastAsia"/>
                      <w:sz w:val="21"/>
                      <w:szCs w:val="21"/>
                    </w:rPr>
                    <w:t>(</w:t>
                  </w:r>
                  <w:r>
                    <w:rPr>
                      <w:rFonts w:hint="default"/>
                      <w:sz w:val="21"/>
                      <w:szCs w:val="21"/>
                    </w:rPr>
                    <w:t>CMC)</w:t>
                  </w:r>
                </w:p>
              </w:tc>
              <w:tc>
                <w:tcPr>
                  <w:tcW w:w="915" w:type="pct"/>
                  <w:tcBorders>
                    <w:top w:val="single" w:color="auto" w:sz="4" w:space="0"/>
                    <w:bottom w:val="single" w:color="auto" w:sz="4" w:space="0"/>
                  </w:tcBorders>
                  <w:vAlign w:val="center"/>
                </w:tcPr>
                <w:p w14:paraId="761B5A67">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颗粒状</w:t>
                  </w:r>
                </w:p>
                <w:p w14:paraId="0FD101DF">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吨包</w:t>
                  </w:r>
                </w:p>
              </w:tc>
              <w:tc>
                <w:tcPr>
                  <w:tcW w:w="933" w:type="pct"/>
                  <w:tcBorders>
                    <w:top w:val="single" w:color="auto" w:sz="4" w:space="0"/>
                    <w:bottom w:val="single" w:color="auto" w:sz="4" w:space="0"/>
                  </w:tcBorders>
                  <w:vAlign w:val="center"/>
                </w:tcPr>
                <w:p w14:paraId="748401F8">
                  <w:pPr>
                    <w:keepNext w:val="0"/>
                    <w:keepLines w:val="0"/>
                    <w:suppressLineNumbers w:val="0"/>
                    <w:spacing w:before="0" w:beforeAutospacing="0" w:after="0" w:afterAutospacing="0" w:line="240" w:lineRule="auto"/>
                    <w:ind w:left="0" w:right="0" w:firstLine="0" w:firstLineChars="0"/>
                    <w:jc w:val="center"/>
                    <w:rPr>
                      <w:rFonts w:hint="default" w:ascii="宋体" w:hAnsi="宋体" w:eastAsia="宋体" w:cs="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146.8</w:t>
                  </w:r>
                </w:p>
              </w:tc>
              <w:tc>
                <w:tcPr>
                  <w:tcW w:w="1145" w:type="pct"/>
                  <w:tcBorders>
                    <w:top w:val="single" w:color="auto" w:sz="4" w:space="0"/>
                    <w:bottom w:val="single" w:color="auto" w:sz="4" w:space="0"/>
                  </w:tcBorders>
                  <w:vAlign w:val="center"/>
                </w:tcPr>
                <w:p w14:paraId="4DD2706F">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外购</w:t>
                  </w:r>
                </w:p>
              </w:tc>
            </w:tr>
            <w:tr w14:paraId="5A7FC19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428" w:type="pct"/>
                  <w:tcBorders>
                    <w:top w:val="single" w:color="auto" w:sz="4" w:space="0"/>
                    <w:bottom w:val="single" w:color="auto" w:sz="4" w:space="0"/>
                  </w:tcBorders>
                  <w:vAlign w:val="center"/>
                </w:tcPr>
                <w:p w14:paraId="0A68C237">
                  <w:pPr>
                    <w:keepNext w:val="0"/>
                    <w:keepLines w:val="0"/>
                    <w:suppressLineNumbers w:val="0"/>
                    <w:tabs>
                      <w:tab w:val="left" w:pos="591"/>
                    </w:tabs>
                    <w:spacing w:before="0" w:beforeAutospacing="0" w:after="0" w:afterAutospacing="0" w:line="240" w:lineRule="auto"/>
                    <w:ind w:left="0" w:right="0" w:firstLine="0" w:firstLineChars="0"/>
                    <w:jc w:val="center"/>
                    <w:rPr>
                      <w:rFonts w:hint="default"/>
                      <w:sz w:val="21"/>
                      <w:szCs w:val="21"/>
                    </w:rPr>
                  </w:pPr>
                  <w:r>
                    <w:rPr>
                      <w:rFonts w:hint="default"/>
                      <w:sz w:val="21"/>
                      <w:szCs w:val="21"/>
                    </w:rPr>
                    <w:t>8</w:t>
                  </w:r>
                </w:p>
              </w:tc>
              <w:tc>
                <w:tcPr>
                  <w:tcW w:w="1577" w:type="pct"/>
                  <w:tcBorders>
                    <w:top w:val="single" w:color="auto" w:sz="4" w:space="0"/>
                    <w:bottom w:val="single" w:color="auto" w:sz="4" w:space="0"/>
                  </w:tcBorders>
                  <w:vAlign w:val="center"/>
                </w:tcPr>
                <w:p w14:paraId="3978BD6D">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default"/>
                      <w:sz w:val="21"/>
                      <w:szCs w:val="21"/>
                    </w:rPr>
                    <w:t>丁苯橡胶</w:t>
                  </w:r>
                </w:p>
                <w:p w14:paraId="162B2CFA">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w:t>
                  </w:r>
                  <w:r>
                    <w:rPr>
                      <w:rFonts w:hint="default"/>
                      <w:sz w:val="21"/>
                      <w:szCs w:val="21"/>
                    </w:rPr>
                    <w:t>SBR)</w:t>
                  </w:r>
                </w:p>
              </w:tc>
              <w:tc>
                <w:tcPr>
                  <w:tcW w:w="915" w:type="pct"/>
                  <w:tcBorders>
                    <w:top w:val="single" w:color="auto" w:sz="4" w:space="0"/>
                    <w:bottom w:val="single" w:color="auto" w:sz="4" w:space="0"/>
                  </w:tcBorders>
                  <w:vAlign w:val="center"/>
                </w:tcPr>
                <w:p w14:paraId="5133CB8B">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颗粒状</w:t>
                  </w:r>
                </w:p>
                <w:p w14:paraId="7E3701EE">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吨包</w:t>
                  </w:r>
                </w:p>
              </w:tc>
              <w:tc>
                <w:tcPr>
                  <w:tcW w:w="933" w:type="pct"/>
                  <w:tcBorders>
                    <w:top w:val="single" w:color="auto" w:sz="4" w:space="0"/>
                    <w:bottom w:val="single" w:color="auto" w:sz="4" w:space="0"/>
                  </w:tcBorders>
                  <w:vAlign w:val="center"/>
                </w:tcPr>
                <w:p w14:paraId="24E9C6C6">
                  <w:pPr>
                    <w:keepNext w:val="0"/>
                    <w:keepLines w:val="0"/>
                    <w:suppressLineNumbers w:val="0"/>
                    <w:spacing w:before="0" w:beforeAutospacing="0" w:after="0" w:afterAutospacing="0" w:line="240" w:lineRule="auto"/>
                    <w:ind w:left="0" w:right="0" w:firstLine="0" w:firstLineChars="0"/>
                    <w:jc w:val="center"/>
                    <w:rPr>
                      <w:rFonts w:hint="default" w:ascii="宋体" w:hAnsi="宋体" w:eastAsia="宋体" w:cs="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432</w:t>
                  </w:r>
                </w:p>
              </w:tc>
              <w:tc>
                <w:tcPr>
                  <w:tcW w:w="1145" w:type="pct"/>
                  <w:tcBorders>
                    <w:top w:val="single" w:color="auto" w:sz="4" w:space="0"/>
                    <w:bottom w:val="single" w:color="auto" w:sz="4" w:space="0"/>
                  </w:tcBorders>
                  <w:vAlign w:val="center"/>
                </w:tcPr>
                <w:p w14:paraId="32501283">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外购</w:t>
                  </w:r>
                </w:p>
              </w:tc>
            </w:tr>
            <w:tr w14:paraId="7A0C86D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428" w:type="pct"/>
                  <w:tcBorders>
                    <w:top w:val="single" w:color="auto" w:sz="4" w:space="0"/>
                    <w:bottom w:val="single" w:color="auto" w:sz="4" w:space="0"/>
                  </w:tcBorders>
                  <w:vAlign w:val="center"/>
                </w:tcPr>
                <w:p w14:paraId="18F10380">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default"/>
                      <w:sz w:val="21"/>
                      <w:szCs w:val="21"/>
                    </w:rPr>
                    <w:t>9</w:t>
                  </w:r>
                </w:p>
              </w:tc>
              <w:tc>
                <w:tcPr>
                  <w:tcW w:w="1577" w:type="pct"/>
                  <w:tcBorders>
                    <w:top w:val="single" w:color="auto" w:sz="4" w:space="0"/>
                    <w:bottom w:val="single" w:color="auto" w:sz="4" w:space="0"/>
                  </w:tcBorders>
                  <w:vAlign w:val="center"/>
                </w:tcPr>
                <w:p w14:paraId="76505352">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电解液</w:t>
                  </w:r>
                </w:p>
              </w:tc>
              <w:tc>
                <w:tcPr>
                  <w:tcW w:w="915" w:type="pct"/>
                  <w:tcBorders>
                    <w:top w:val="single" w:color="auto" w:sz="4" w:space="0"/>
                    <w:bottom w:val="single" w:color="auto" w:sz="4" w:space="0"/>
                  </w:tcBorders>
                  <w:vAlign w:val="center"/>
                </w:tcPr>
                <w:p w14:paraId="5542A59B">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液态</w:t>
                  </w:r>
                </w:p>
              </w:tc>
              <w:tc>
                <w:tcPr>
                  <w:tcW w:w="933" w:type="pct"/>
                  <w:tcBorders>
                    <w:top w:val="single" w:color="auto" w:sz="4" w:space="0"/>
                    <w:bottom w:val="single" w:color="auto" w:sz="4" w:space="0"/>
                  </w:tcBorders>
                  <w:vAlign w:val="center"/>
                </w:tcPr>
                <w:p w14:paraId="73E59E9E">
                  <w:pPr>
                    <w:keepNext w:val="0"/>
                    <w:keepLines w:val="0"/>
                    <w:suppressLineNumbers w:val="0"/>
                    <w:spacing w:before="0" w:beforeAutospacing="0" w:after="0" w:afterAutospacing="0" w:line="240" w:lineRule="auto"/>
                    <w:ind w:left="0" w:right="0"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7594</w:t>
                  </w:r>
                </w:p>
              </w:tc>
              <w:tc>
                <w:tcPr>
                  <w:tcW w:w="1145" w:type="pct"/>
                  <w:tcBorders>
                    <w:top w:val="single" w:color="auto" w:sz="4" w:space="0"/>
                    <w:bottom w:val="single" w:color="auto" w:sz="4" w:space="0"/>
                  </w:tcBorders>
                  <w:vAlign w:val="center"/>
                </w:tcPr>
                <w:p w14:paraId="7D018ED9">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外购</w:t>
                  </w:r>
                </w:p>
              </w:tc>
            </w:tr>
            <w:tr w14:paraId="0BEA1B6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428" w:type="pct"/>
                  <w:tcBorders>
                    <w:top w:val="single" w:color="auto" w:sz="4" w:space="0"/>
                    <w:bottom w:val="single" w:color="auto" w:sz="4" w:space="0"/>
                  </w:tcBorders>
                  <w:vAlign w:val="center"/>
                </w:tcPr>
                <w:p w14:paraId="6A91EC7E">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10</w:t>
                  </w:r>
                </w:p>
              </w:tc>
              <w:tc>
                <w:tcPr>
                  <w:tcW w:w="1577" w:type="pct"/>
                  <w:tcBorders>
                    <w:top w:val="single" w:color="auto" w:sz="4" w:space="0"/>
                    <w:bottom w:val="single" w:color="auto" w:sz="4" w:space="0"/>
                  </w:tcBorders>
                  <w:vAlign w:val="center"/>
                </w:tcPr>
                <w:p w14:paraId="370EDE85">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正极母卷（铝箔）</w:t>
                  </w:r>
                </w:p>
              </w:tc>
              <w:tc>
                <w:tcPr>
                  <w:tcW w:w="915" w:type="pct"/>
                  <w:tcBorders>
                    <w:top w:val="single" w:color="auto" w:sz="4" w:space="0"/>
                    <w:bottom w:val="single" w:color="auto" w:sz="4" w:space="0"/>
                  </w:tcBorders>
                  <w:vAlign w:val="center"/>
                </w:tcPr>
                <w:p w14:paraId="5D99AE24">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固态</w:t>
                  </w:r>
                </w:p>
              </w:tc>
              <w:tc>
                <w:tcPr>
                  <w:tcW w:w="933" w:type="pct"/>
                  <w:tcBorders>
                    <w:top w:val="single" w:color="auto" w:sz="4" w:space="0"/>
                    <w:bottom w:val="single" w:color="auto" w:sz="4" w:space="0"/>
                  </w:tcBorders>
                  <w:vAlign w:val="center"/>
                </w:tcPr>
                <w:p w14:paraId="3CDB69BC">
                  <w:pPr>
                    <w:keepNext w:val="0"/>
                    <w:keepLines w:val="0"/>
                    <w:suppressLineNumbers w:val="0"/>
                    <w:spacing w:before="0" w:beforeAutospacing="0" w:after="0" w:afterAutospacing="0" w:line="240" w:lineRule="auto"/>
                    <w:ind w:left="0" w:right="0" w:firstLine="0" w:firstLineChars="0"/>
                    <w:jc w:val="center"/>
                    <w:rPr>
                      <w:rFonts w:hint="default" w:ascii="宋体" w:hAnsi="宋体" w:eastAsia="宋体" w:cs="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20000</w:t>
                  </w:r>
                </w:p>
              </w:tc>
              <w:tc>
                <w:tcPr>
                  <w:tcW w:w="1145" w:type="pct"/>
                  <w:tcBorders>
                    <w:top w:val="single" w:color="auto" w:sz="4" w:space="0"/>
                    <w:bottom w:val="single" w:color="auto" w:sz="4" w:space="0"/>
                  </w:tcBorders>
                  <w:vAlign w:val="center"/>
                </w:tcPr>
                <w:p w14:paraId="21FB1467">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外购</w:t>
                  </w:r>
                </w:p>
              </w:tc>
            </w:tr>
            <w:tr w14:paraId="7D819B8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428" w:type="pct"/>
                  <w:tcBorders>
                    <w:top w:val="single" w:color="auto" w:sz="4" w:space="0"/>
                    <w:bottom w:val="single" w:color="auto" w:sz="4" w:space="0"/>
                  </w:tcBorders>
                  <w:vAlign w:val="center"/>
                </w:tcPr>
                <w:p w14:paraId="1DEF261A">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11</w:t>
                  </w:r>
                </w:p>
              </w:tc>
              <w:tc>
                <w:tcPr>
                  <w:tcW w:w="1577" w:type="pct"/>
                  <w:tcBorders>
                    <w:top w:val="single" w:color="auto" w:sz="4" w:space="0"/>
                    <w:bottom w:val="single" w:color="auto" w:sz="4" w:space="0"/>
                  </w:tcBorders>
                  <w:vAlign w:val="center"/>
                </w:tcPr>
                <w:p w14:paraId="6B5BF233">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负极母卷（铜箔）</w:t>
                  </w:r>
                </w:p>
              </w:tc>
              <w:tc>
                <w:tcPr>
                  <w:tcW w:w="915" w:type="pct"/>
                  <w:tcBorders>
                    <w:top w:val="single" w:color="auto" w:sz="4" w:space="0"/>
                    <w:bottom w:val="single" w:color="auto" w:sz="4" w:space="0"/>
                  </w:tcBorders>
                </w:tcPr>
                <w:p w14:paraId="23415AAC">
                  <w:pPr>
                    <w:keepNext w:val="0"/>
                    <w:keepLines w:val="0"/>
                    <w:suppressLineNumbers w:val="0"/>
                    <w:spacing w:before="0" w:beforeAutospacing="0" w:after="0" w:afterAutospacing="0" w:line="240" w:lineRule="auto"/>
                    <w:ind w:left="0" w:right="0" w:firstLine="0" w:firstLineChars="0"/>
                    <w:jc w:val="center"/>
                    <w:rPr>
                      <w:rFonts w:hint="default"/>
                    </w:rPr>
                  </w:pPr>
                  <w:r>
                    <w:rPr>
                      <w:rFonts w:hint="eastAsia"/>
                      <w:sz w:val="21"/>
                      <w:szCs w:val="21"/>
                    </w:rPr>
                    <w:t>固态</w:t>
                  </w:r>
                </w:p>
              </w:tc>
              <w:tc>
                <w:tcPr>
                  <w:tcW w:w="933" w:type="pct"/>
                  <w:tcBorders>
                    <w:top w:val="single" w:color="auto" w:sz="4" w:space="0"/>
                    <w:bottom w:val="single" w:color="auto" w:sz="4" w:space="0"/>
                  </w:tcBorders>
                  <w:vAlign w:val="center"/>
                </w:tcPr>
                <w:p w14:paraId="27FDCA62">
                  <w:pPr>
                    <w:keepNext w:val="0"/>
                    <w:keepLines w:val="0"/>
                    <w:suppressLineNumbers w:val="0"/>
                    <w:spacing w:before="0" w:beforeAutospacing="0" w:after="0" w:afterAutospacing="0" w:line="240" w:lineRule="auto"/>
                    <w:ind w:left="0" w:right="0" w:firstLine="0" w:firstLineChars="0"/>
                    <w:jc w:val="center"/>
                    <w:rPr>
                      <w:rFonts w:hint="default" w:ascii="宋体" w:hAnsi="宋体" w:eastAsia="宋体" w:cs="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12000</w:t>
                  </w:r>
                </w:p>
              </w:tc>
              <w:tc>
                <w:tcPr>
                  <w:tcW w:w="1145" w:type="pct"/>
                  <w:tcBorders>
                    <w:top w:val="single" w:color="auto" w:sz="4" w:space="0"/>
                    <w:bottom w:val="single" w:color="auto" w:sz="4" w:space="0"/>
                  </w:tcBorders>
                  <w:vAlign w:val="center"/>
                </w:tcPr>
                <w:p w14:paraId="046EE664">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外购</w:t>
                  </w:r>
                </w:p>
              </w:tc>
            </w:tr>
            <w:tr w14:paraId="02B6399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428" w:type="pct"/>
                  <w:tcBorders>
                    <w:top w:val="single" w:color="auto" w:sz="4" w:space="0"/>
                    <w:bottom w:val="single" w:color="auto" w:sz="4" w:space="0"/>
                  </w:tcBorders>
                  <w:vAlign w:val="center"/>
                </w:tcPr>
                <w:p w14:paraId="61AC29E1">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12</w:t>
                  </w:r>
                </w:p>
              </w:tc>
              <w:tc>
                <w:tcPr>
                  <w:tcW w:w="1577" w:type="pct"/>
                  <w:tcBorders>
                    <w:top w:val="single" w:color="auto" w:sz="4" w:space="0"/>
                    <w:bottom w:val="single" w:color="auto" w:sz="4" w:space="0"/>
                  </w:tcBorders>
                  <w:vAlign w:val="center"/>
                </w:tcPr>
                <w:p w14:paraId="099EC1C8">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钢壳</w:t>
                  </w:r>
                </w:p>
              </w:tc>
              <w:tc>
                <w:tcPr>
                  <w:tcW w:w="915" w:type="pct"/>
                  <w:tcBorders>
                    <w:top w:val="single" w:color="auto" w:sz="4" w:space="0"/>
                    <w:bottom w:val="single" w:color="auto" w:sz="4" w:space="0"/>
                  </w:tcBorders>
                </w:tcPr>
                <w:p w14:paraId="2EF91133">
                  <w:pPr>
                    <w:keepNext w:val="0"/>
                    <w:keepLines w:val="0"/>
                    <w:suppressLineNumbers w:val="0"/>
                    <w:spacing w:before="0" w:beforeAutospacing="0" w:after="0" w:afterAutospacing="0" w:line="240" w:lineRule="auto"/>
                    <w:ind w:left="0" w:right="0" w:firstLine="0" w:firstLineChars="0"/>
                    <w:jc w:val="center"/>
                    <w:rPr>
                      <w:rFonts w:hint="default"/>
                    </w:rPr>
                  </w:pPr>
                  <w:r>
                    <w:rPr>
                      <w:rFonts w:hint="eastAsia"/>
                      <w:sz w:val="21"/>
                      <w:szCs w:val="21"/>
                    </w:rPr>
                    <w:t>固态</w:t>
                  </w:r>
                </w:p>
              </w:tc>
              <w:tc>
                <w:tcPr>
                  <w:tcW w:w="933" w:type="pct"/>
                  <w:tcBorders>
                    <w:top w:val="single" w:color="auto" w:sz="4" w:space="0"/>
                    <w:bottom w:val="single" w:color="auto" w:sz="4" w:space="0"/>
                  </w:tcBorders>
                  <w:vAlign w:val="center"/>
                </w:tcPr>
                <w:p w14:paraId="19840D2E">
                  <w:pPr>
                    <w:keepNext w:val="0"/>
                    <w:keepLines w:val="0"/>
                    <w:suppressLineNumbers w:val="0"/>
                    <w:spacing w:before="0" w:beforeAutospacing="0" w:after="0" w:afterAutospacing="0" w:line="240" w:lineRule="auto"/>
                    <w:ind w:left="0" w:right="0"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12831</w:t>
                  </w:r>
                </w:p>
              </w:tc>
              <w:tc>
                <w:tcPr>
                  <w:tcW w:w="1145" w:type="pct"/>
                  <w:tcBorders>
                    <w:top w:val="single" w:color="auto" w:sz="4" w:space="0"/>
                    <w:bottom w:val="single" w:color="auto" w:sz="4" w:space="0"/>
                  </w:tcBorders>
                  <w:vAlign w:val="center"/>
                </w:tcPr>
                <w:p w14:paraId="26E1526A">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外购</w:t>
                  </w:r>
                </w:p>
              </w:tc>
            </w:tr>
            <w:tr w14:paraId="3D282B0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428" w:type="pct"/>
                  <w:tcBorders>
                    <w:top w:val="single" w:color="auto" w:sz="4" w:space="0"/>
                    <w:bottom w:val="single" w:color="auto" w:sz="4" w:space="0"/>
                  </w:tcBorders>
                  <w:vAlign w:val="center"/>
                </w:tcPr>
                <w:p w14:paraId="1799D033">
                  <w:pPr>
                    <w:keepNext w:val="0"/>
                    <w:keepLines w:val="0"/>
                    <w:suppressLineNumbers w:val="0"/>
                    <w:spacing w:before="0" w:beforeAutospacing="0" w:after="0" w:afterAutospacing="0" w:line="240" w:lineRule="auto"/>
                    <w:ind w:left="0" w:right="0" w:firstLine="0" w:firstLineChars="0"/>
                    <w:jc w:val="center"/>
                    <w:rPr>
                      <w:rFonts w:hint="default" w:eastAsia="宋体"/>
                      <w:sz w:val="21"/>
                      <w:szCs w:val="21"/>
                      <w:lang w:val="en-US" w:eastAsia="zh-CN"/>
                    </w:rPr>
                  </w:pPr>
                  <w:r>
                    <w:rPr>
                      <w:rFonts w:hint="eastAsia"/>
                      <w:sz w:val="21"/>
                      <w:szCs w:val="21"/>
                      <w:lang w:val="en-US" w:eastAsia="zh-CN"/>
                    </w:rPr>
                    <w:t>13</w:t>
                  </w:r>
                </w:p>
              </w:tc>
              <w:tc>
                <w:tcPr>
                  <w:tcW w:w="1577" w:type="pct"/>
                  <w:tcBorders>
                    <w:top w:val="single" w:color="auto" w:sz="4" w:space="0"/>
                    <w:bottom w:val="single" w:color="auto" w:sz="4" w:space="0"/>
                  </w:tcBorders>
                  <w:vAlign w:val="center"/>
                </w:tcPr>
                <w:p w14:paraId="0265BECF">
                  <w:pPr>
                    <w:keepNext w:val="0"/>
                    <w:keepLines w:val="0"/>
                    <w:suppressLineNumbers w:val="0"/>
                    <w:spacing w:before="0" w:beforeAutospacing="0" w:after="0" w:afterAutospacing="0" w:line="240" w:lineRule="auto"/>
                    <w:ind w:left="0" w:right="0" w:firstLine="0" w:firstLineChars="0"/>
                    <w:jc w:val="center"/>
                    <w:rPr>
                      <w:rFonts w:hint="eastAsia" w:eastAsia="宋体"/>
                      <w:sz w:val="21"/>
                      <w:szCs w:val="21"/>
                      <w:lang w:val="en-US" w:eastAsia="zh-CN"/>
                    </w:rPr>
                  </w:pPr>
                  <w:r>
                    <w:rPr>
                      <w:rFonts w:hint="eastAsia"/>
                      <w:sz w:val="21"/>
                      <w:szCs w:val="21"/>
                      <w:lang w:val="en-US" w:eastAsia="zh-CN"/>
                    </w:rPr>
                    <w:t>钢带</w:t>
                  </w:r>
                </w:p>
              </w:tc>
              <w:tc>
                <w:tcPr>
                  <w:tcW w:w="915" w:type="pct"/>
                  <w:tcBorders>
                    <w:top w:val="single" w:color="auto" w:sz="4" w:space="0"/>
                    <w:bottom w:val="single" w:color="auto" w:sz="4" w:space="0"/>
                  </w:tcBorders>
                </w:tcPr>
                <w:p w14:paraId="3A9CFBF0">
                  <w:pPr>
                    <w:keepNext w:val="0"/>
                    <w:keepLines w:val="0"/>
                    <w:suppressLineNumbers w:val="0"/>
                    <w:spacing w:before="0" w:beforeAutospacing="0" w:after="0" w:afterAutospacing="0" w:line="240" w:lineRule="auto"/>
                    <w:ind w:left="0" w:right="0" w:firstLine="0" w:firstLineChars="0"/>
                    <w:jc w:val="center"/>
                    <w:rPr>
                      <w:rFonts w:hint="eastAsia"/>
                      <w:sz w:val="21"/>
                      <w:szCs w:val="21"/>
                    </w:rPr>
                  </w:pPr>
                  <w:r>
                    <w:rPr>
                      <w:rFonts w:hint="eastAsia"/>
                      <w:sz w:val="21"/>
                      <w:szCs w:val="21"/>
                    </w:rPr>
                    <w:t>固态</w:t>
                  </w:r>
                </w:p>
              </w:tc>
              <w:tc>
                <w:tcPr>
                  <w:tcW w:w="933" w:type="pct"/>
                  <w:tcBorders>
                    <w:top w:val="single" w:color="auto" w:sz="4" w:space="0"/>
                    <w:bottom w:val="single" w:color="auto" w:sz="4" w:space="0"/>
                  </w:tcBorders>
                  <w:vAlign w:val="center"/>
                </w:tcPr>
                <w:p w14:paraId="2116C08E">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250</w:t>
                  </w:r>
                </w:p>
              </w:tc>
              <w:tc>
                <w:tcPr>
                  <w:tcW w:w="1145" w:type="pct"/>
                  <w:tcBorders>
                    <w:top w:val="single" w:color="auto" w:sz="4" w:space="0"/>
                    <w:bottom w:val="single" w:color="auto" w:sz="4" w:space="0"/>
                  </w:tcBorders>
                  <w:vAlign w:val="center"/>
                </w:tcPr>
                <w:p w14:paraId="198B0A95">
                  <w:pPr>
                    <w:keepNext w:val="0"/>
                    <w:keepLines w:val="0"/>
                    <w:suppressLineNumbers w:val="0"/>
                    <w:spacing w:before="0" w:beforeAutospacing="0" w:after="0" w:afterAutospacing="0" w:line="240" w:lineRule="auto"/>
                    <w:ind w:left="0" w:leftChars="0" w:right="0" w:rightChars="0" w:firstLine="0" w:firstLineChars="0"/>
                    <w:jc w:val="center"/>
                    <w:rPr>
                      <w:rFonts w:hint="eastAsia"/>
                      <w:sz w:val="21"/>
                      <w:szCs w:val="21"/>
                    </w:rPr>
                  </w:pPr>
                  <w:r>
                    <w:rPr>
                      <w:rFonts w:hint="eastAsia"/>
                      <w:sz w:val="21"/>
                      <w:szCs w:val="21"/>
                    </w:rPr>
                    <w:t>外购</w:t>
                  </w:r>
                </w:p>
              </w:tc>
            </w:tr>
            <w:tr w14:paraId="1790D0D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428" w:type="pct"/>
                  <w:tcBorders>
                    <w:top w:val="single" w:color="auto" w:sz="4" w:space="0"/>
                    <w:bottom w:val="single" w:color="auto" w:sz="4" w:space="0"/>
                  </w:tcBorders>
                  <w:vAlign w:val="center"/>
                </w:tcPr>
                <w:p w14:paraId="4ED53EFE">
                  <w:pPr>
                    <w:keepNext w:val="0"/>
                    <w:keepLines w:val="0"/>
                    <w:suppressLineNumbers w:val="0"/>
                    <w:spacing w:before="0" w:beforeAutospacing="0" w:after="0" w:afterAutospacing="0" w:line="240" w:lineRule="auto"/>
                    <w:ind w:left="0" w:right="0" w:firstLine="0" w:firstLineChars="0"/>
                    <w:jc w:val="center"/>
                    <w:rPr>
                      <w:rFonts w:hint="eastAsia"/>
                      <w:sz w:val="21"/>
                      <w:szCs w:val="21"/>
                    </w:rPr>
                  </w:pPr>
                  <w:r>
                    <w:rPr>
                      <w:rFonts w:hint="eastAsia"/>
                      <w:sz w:val="21"/>
                      <w:szCs w:val="21"/>
                    </w:rPr>
                    <w:t>14</w:t>
                  </w:r>
                </w:p>
              </w:tc>
              <w:tc>
                <w:tcPr>
                  <w:tcW w:w="1577" w:type="pct"/>
                  <w:tcBorders>
                    <w:top w:val="single" w:color="auto" w:sz="4" w:space="0"/>
                    <w:bottom w:val="single" w:color="auto" w:sz="4" w:space="0"/>
                  </w:tcBorders>
                  <w:vAlign w:val="center"/>
                </w:tcPr>
                <w:p w14:paraId="56E9774F">
                  <w:pPr>
                    <w:keepNext w:val="0"/>
                    <w:keepLines w:val="0"/>
                    <w:suppressLineNumbers w:val="0"/>
                    <w:spacing w:before="0" w:beforeAutospacing="0" w:after="0" w:afterAutospacing="0" w:line="240" w:lineRule="auto"/>
                    <w:ind w:left="0" w:right="0" w:firstLine="0" w:firstLineChars="0"/>
                    <w:jc w:val="center"/>
                    <w:rPr>
                      <w:rFonts w:hint="eastAsia"/>
                      <w:sz w:val="21"/>
                      <w:szCs w:val="21"/>
                    </w:rPr>
                  </w:pPr>
                  <w:r>
                    <w:rPr>
                      <w:rFonts w:hint="eastAsia"/>
                      <w:sz w:val="21"/>
                      <w:szCs w:val="21"/>
                    </w:rPr>
                    <w:t>盖帽</w:t>
                  </w:r>
                </w:p>
              </w:tc>
              <w:tc>
                <w:tcPr>
                  <w:tcW w:w="915" w:type="pct"/>
                  <w:tcBorders>
                    <w:top w:val="single" w:color="auto" w:sz="4" w:space="0"/>
                    <w:bottom w:val="single" w:color="auto" w:sz="4" w:space="0"/>
                  </w:tcBorders>
                  <w:vAlign w:val="top"/>
                </w:tcPr>
                <w:p w14:paraId="7B0CF7CA">
                  <w:pPr>
                    <w:keepNext w:val="0"/>
                    <w:keepLines w:val="0"/>
                    <w:suppressLineNumbers w:val="0"/>
                    <w:spacing w:before="0" w:beforeAutospacing="0" w:after="0" w:afterAutospacing="0" w:line="240" w:lineRule="auto"/>
                    <w:ind w:left="0" w:right="0" w:firstLine="0" w:firstLineChars="0"/>
                    <w:jc w:val="center"/>
                    <w:rPr>
                      <w:rFonts w:hint="eastAsia"/>
                      <w:sz w:val="21"/>
                      <w:szCs w:val="21"/>
                    </w:rPr>
                  </w:pPr>
                  <w:r>
                    <w:rPr>
                      <w:rFonts w:hint="eastAsia"/>
                      <w:sz w:val="21"/>
                      <w:szCs w:val="21"/>
                    </w:rPr>
                    <w:t>固态</w:t>
                  </w:r>
                </w:p>
              </w:tc>
              <w:tc>
                <w:tcPr>
                  <w:tcW w:w="933" w:type="pct"/>
                  <w:tcBorders>
                    <w:top w:val="single" w:color="auto" w:sz="4" w:space="0"/>
                    <w:bottom w:val="single" w:color="auto" w:sz="4" w:space="0"/>
                  </w:tcBorders>
                  <w:vAlign w:val="center"/>
                </w:tcPr>
                <w:p w14:paraId="1F820BAA">
                  <w:pPr>
                    <w:keepNext w:val="0"/>
                    <w:keepLines w:val="0"/>
                    <w:suppressLineNumbers w:val="0"/>
                    <w:spacing w:before="0" w:beforeAutospacing="0" w:after="0" w:afterAutospacing="0" w:line="240" w:lineRule="auto"/>
                    <w:ind w:left="0" w:right="0"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1900</w:t>
                  </w:r>
                </w:p>
              </w:tc>
              <w:tc>
                <w:tcPr>
                  <w:tcW w:w="1145" w:type="pct"/>
                  <w:tcBorders>
                    <w:top w:val="single" w:color="auto" w:sz="4" w:space="0"/>
                    <w:bottom w:val="single" w:color="auto" w:sz="4" w:space="0"/>
                  </w:tcBorders>
                  <w:vAlign w:val="center"/>
                </w:tcPr>
                <w:p w14:paraId="5A899E2B">
                  <w:pPr>
                    <w:keepNext w:val="0"/>
                    <w:keepLines w:val="0"/>
                    <w:suppressLineNumbers w:val="0"/>
                    <w:spacing w:before="0" w:beforeAutospacing="0" w:after="0" w:afterAutospacing="0" w:line="240" w:lineRule="auto"/>
                    <w:ind w:left="0" w:leftChars="0" w:right="0" w:rightChars="0" w:firstLine="0" w:firstLineChars="0"/>
                    <w:jc w:val="center"/>
                    <w:rPr>
                      <w:rFonts w:hint="eastAsia"/>
                      <w:sz w:val="21"/>
                      <w:szCs w:val="21"/>
                    </w:rPr>
                  </w:pPr>
                  <w:r>
                    <w:rPr>
                      <w:rFonts w:hint="eastAsia"/>
                      <w:sz w:val="21"/>
                      <w:szCs w:val="21"/>
                    </w:rPr>
                    <w:t>外购</w:t>
                  </w:r>
                </w:p>
              </w:tc>
            </w:tr>
            <w:tr w14:paraId="3DCF2F0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428" w:type="pct"/>
                  <w:tcBorders>
                    <w:top w:val="single" w:color="auto" w:sz="4" w:space="0"/>
                    <w:bottom w:val="single" w:color="auto" w:sz="4" w:space="0"/>
                  </w:tcBorders>
                  <w:vAlign w:val="center"/>
                </w:tcPr>
                <w:p w14:paraId="4BEE7A4A">
                  <w:pPr>
                    <w:keepNext w:val="0"/>
                    <w:keepLines w:val="0"/>
                    <w:suppressLineNumbers w:val="0"/>
                    <w:spacing w:before="0" w:beforeAutospacing="0" w:after="0" w:afterAutospacing="0" w:line="240" w:lineRule="auto"/>
                    <w:ind w:left="0" w:right="0" w:firstLine="0" w:firstLineChars="0"/>
                    <w:jc w:val="center"/>
                    <w:rPr>
                      <w:rFonts w:hint="eastAsia"/>
                      <w:sz w:val="21"/>
                      <w:szCs w:val="21"/>
                    </w:rPr>
                  </w:pPr>
                  <w:r>
                    <w:rPr>
                      <w:rFonts w:hint="eastAsia"/>
                      <w:sz w:val="21"/>
                      <w:szCs w:val="21"/>
                    </w:rPr>
                    <w:t>15</w:t>
                  </w:r>
                </w:p>
              </w:tc>
              <w:tc>
                <w:tcPr>
                  <w:tcW w:w="1577" w:type="pct"/>
                  <w:tcBorders>
                    <w:top w:val="single" w:color="auto" w:sz="4" w:space="0"/>
                    <w:bottom w:val="single" w:color="auto" w:sz="4" w:space="0"/>
                  </w:tcBorders>
                  <w:vAlign w:val="center"/>
                </w:tcPr>
                <w:p w14:paraId="50068844">
                  <w:pPr>
                    <w:keepNext w:val="0"/>
                    <w:keepLines w:val="0"/>
                    <w:suppressLineNumbers w:val="0"/>
                    <w:spacing w:before="0" w:beforeAutospacing="0" w:after="0" w:afterAutospacing="0" w:line="240" w:lineRule="auto"/>
                    <w:ind w:left="0" w:right="0" w:firstLine="0" w:firstLineChars="0"/>
                    <w:jc w:val="center"/>
                    <w:rPr>
                      <w:rFonts w:hint="eastAsia" w:eastAsia="宋体"/>
                      <w:sz w:val="21"/>
                      <w:szCs w:val="21"/>
                      <w:lang w:val="en-US" w:eastAsia="zh-CN"/>
                    </w:rPr>
                  </w:pPr>
                  <w:r>
                    <w:rPr>
                      <w:rFonts w:hint="eastAsia"/>
                      <w:sz w:val="21"/>
                      <w:szCs w:val="21"/>
                      <w:lang w:val="en-US" w:eastAsia="zh-CN"/>
                    </w:rPr>
                    <w:t>铝箔</w:t>
                  </w:r>
                </w:p>
              </w:tc>
              <w:tc>
                <w:tcPr>
                  <w:tcW w:w="915" w:type="pct"/>
                  <w:tcBorders>
                    <w:top w:val="single" w:color="auto" w:sz="4" w:space="0"/>
                    <w:bottom w:val="single" w:color="auto" w:sz="4" w:space="0"/>
                  </w:tcBorders>
                  <w:vAlign w:val="top"/>
                </w:tcPr>
                <w:p w14:paraId="631770DA">
                  <w:pPr>
                    <w:keepNext w:val="0"/>
                    <w:keepLines w:val="0"/>
                    <w:suppressLineNumbers w:val="0"/>
                    <w:spacing w:before="0" w:beforeAutospacing="0" w:after="0" w:afterAutospacing="0" w:line="240" w:lineRule="auto"/>
                    <w:ind w:left="0" w:leftChars="0" w:right="0" w:rightChars="0" w:firstLine="0" w:firstLineChars="0"/>
                    <w:jc w:val="center"/>
                    <w:rPr>
                      <w:rFonts w:hint="eastAsia"/>
                      <w:sz w:val="21"/>
                      <w:szCs w:val="21"/>
                    </w:rPr>
                  </w:pPr>
                  <w:r>
                    <w:rPr>
                      <w:rFonts w:hint="eastAsia"/>
                      <w:sz w:val="21"/>
                      <w:szCs w:val="21"/>
                    </w:rPr>
                    <w:t>固态</w:t>
                  </w:r>
                </w:p>
              </w:tc>
              <w:tc>
                <w:tcPr>
                  <w:tcW w:w="933" w:type="pct"/>
                  <w:tcBorders>
                    <w:top w:val="single" w:color="auto" w:sz="4" w:space="0"/>
                    <w:bottom w:val="single" w:color="auto" w:sz="4" w:space="0"/>
                  </w:tcBorders>
                  <w:vAlign w:val="center"/>
                </w:tcPr>
                <w:p w14:paraId="231F17C7">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4973</w:t>
                  </w:r>
                </w:p>
              </w:tc>
              <w:tc>
                <w:tcPr>
                  <w:tcW w:w="1145" w:type="pct"/>
                  <w:tcBorders>
                    <w:top w:val="single" w:color="auto" w:sz="4" w:space="0"/>
                    <w:bottom w:val="single" w:color="auto" w:sz="4" w:space="0"/>
                  </w:tcBorders>
                  <w:vAlign w:val="center"/>
                </w:tcPr>
                <w:p w14:paraId="2A6B5BF6">
                  <w:pPr>
                    <w:keepNext w:val="0"/>
                    <w:keepLines w:val="0"/>
                    <w:suppressLineNumbers w:val="0"/>
                    <w:spacing w:before="0" w:beforeAutospacing="0" w:after="0" w:afterAutospacing="0" w:line="240" w:lineRule="auto"/>
                    <w:ind w:left="0" w:leftChars="0" w:right="0" w:rightChars="0" w:firstLine="0" w:firstLineChars="0"/>
                    <w:jc w:val="center"/>
                    <w:rPr>
                      <w:rFonts w:hint="eastAsia"/>
                      <w:sz w:val="21"/>
                      <w:szCs w:val="21"/>
                    </w:rPr>
                  </w:pPr>
                  <w:r>
                    <w:rPr>
                      <w:rFonts w:hint="eastAsia"/>
                      <w:sz w:val="21"/>
                      <w:szCs w:val="21"/>
                    </w:rPr>
                    <w:t>外购</w:t>
                  </w:r>
                </w:p>
              </w:tc>
            </w:tr>
            <w:tr w14:paraId="2C0B382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428" w:type="pct"/>
                  <w:tcBorders>
                    <w:top w:val="single" w:color="auto" w:sz="4" w:space="0"/>
                    <w:bottom w:val="single" w:color="auto" w:sz="4" w:space="0"/>
                  </w:tcBorders>
                  <w:vAlign w:val="center"/>
                </w:tcPr>
                <w:p w14:paraId="4E454388">
                  <w:pPr>
                    <w:keepNext w:val="0"/>
                    <w:keepLines w:val="0"/>
                    <w:suppressLineNumbers w:val="0"/>
                    <w:spacing w:before="0" w:beforeAutospacing="0" w:after="0" w:afterAutospacing="0" w:line="240" w:lineRule="auto"/>
                    <w:ind w:left="0" w:right="0" w:firstLine="0" w:firstLineChars="0"/>
                    <w:jc w:val="center"/>
                    <w:rPr>
                      <w:rFonts w:hint="default" w:eastAsia="宋体"/>
                      <w:sz w:val="21"/>
                      <w:szCs w:val="21"/>
                      <w:lang w:val="en-US" w:eastAsia="zh-CN"/>
                    </w:rPr>
                  </w:pPr>
                  <w:r>
                    <w:rPr>
                      <w:rFonts w:hint="eastAsia"/>
                      <w:sz w:val="21"/>
                      <w:szCs w:val="21"/>
                      <w:lang w:val="en-US" w:eastAsia="zh-CN"/>
                    </w:rPr>
                    <w:t>16</w:t>
                  </w:r>
                </w:p>
              </w:tc>
              <w:tc>
                <w:tcPr>
                  <w:tcW w:w="1577" w:type="pct"/>
                  <w:tcBorders>
                    <w:top w:val="single" w:color="auto" w:sz="4" w:space="0"/>
                    <w:bottom w:val="single" w:color="auto" w:sz="4" w:space="0"/>
                  </w:tcBorders>
                  <w:vAlign w:val="center"/>
                </w:tcPr>
                <w:p w14:paraId="5501B63D">
                  <w:pPr>
                    <w:keepNext w:val="0"/>
                    <w:keepLines w:val="0"/>
                    <w:suppressLineNumbers w:val="0"/>
                    <w:spacing w:before="0" w:beforeAutospacing="0" w:after="0" w:afterAutospacing="0" w:line="240" w:lineRule="auto"/>
                    <w:ind w:left="0" w:right="0" w:firstLine="0" w:firstLineChars="0"/>
                    <w:jc w:val="center"/>
                    <w:rPr>
                      <w:rFonts w:hint="eastAsia" w:eastAsia="宋体"/>
                      <w:sz w:val="21"/>
                      <w:szCs w:val="21"/>
                      <w:lang w:val="en-US" w:eastAsia="zh-CN"/>
                    </w:rPr>
                  </w:pPr>
                  <w:r>
                    <w:rPr>
                      <w:rFonts w:hint="eastAsia"/>
                      <w:sz w:val="21"/>
                      <w:szCs w:val="21"/>
                      <w:lang w:val="en-US" w:eastAsia="zh-CN"/>
                    </w:rPr>
                    <w:t>铝带</w:t>
                  </w:r>
                </w:p>
              </w:tc>
              <w:tc>
                <w:tcPr>
                  <w:tcW w:w="915" w:type="pct"/>
                  <w:tcBorders>
                    <w:top w:val="single" w:color="auto" w:sz="4" w:space="0"/>
                    <w:bottom w:val="single" w:color="auto" w:sz="4" w:space="0"/>
                  </w:tcBorders>
                  <w:vAlign w:val="top"/>
                </w:tcPr>
                <w:p w14:paraId="7D9BA53B">
                  <w:pPr>
                    <w:keepNext w:val="0"/>
                    <w:keepLines w:val="0"/>
                    <w:suppressLineNumbers w:val="0"/>
                    <w:spacing w:before="0" w:beforeAutospacing="0" w:after="0" w:afterAutospacing="0" w:line="240" w:lineRule="auto"/>
                    <w:ind w:left="0" w:leftChars="0" w:right="0" w:rightChars="0" w:firstLine="0" w:firstLineChars="0"/>
                    <w:jc w:val="center"/>
                    <w:rPr>
                      <w:rFonts w:hint="eastAsia"/>
                      <w:sz w:val="21"/>
                      <w:szCs w:val="21"/>
                    </w:rPr>
                  </w:pPr>
                  <w:r>
                    <w:rPr>
                      <w:rFonts w:hint="eastAsia"/>
                      <w:sz w:val="21"/>
                      <w:szCs w:val="21"/>
                    </w:rPr>
                    <w:t>固态</w:t>
                  </w:r>
                </w:p>
              </w:tc>
              <w:tc>
                <w:tcPr>
                  <w:tcW w:w="933" w:type="pct"/>
                  <w:tcBorders>
                    <w:top w:val="single" w:color="auto" w:sz="4" w:space="0"/>
                    <w:bottom w:val="single" w:color="auto" w:sz="4" w:space="0"/>
                  </w:tcBorders>
                  <w:vAlign w:val="center"/>
                </w:tcPr>
                <w:p w14:paraId="2AE5CA57">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70</w:t>
                  </w:r>
                </w:p>
              </w:tc>
              <w:tc>
                <w:tcPr>
                  <w:tcW w:w="1145" w:type="pct"/>
                  <w:tcBorders>
                    <w:top w:val="single" w:color="auto" w:sz="4" w:space="0"/>
                    <w:bottom w:val="single" w:color="auto" w:sz="4" w:space="0"/>
                  </w:tcBorders>
                  <w:vAlign w:val="center"/>
                </w:tcPr>
                <w:p w14:paraId="6DB7D0F0">
                  <w:pPr>
                    <w:keepNext w:val="0"/>
                    <w:keepLines w:val="0"/>
                    <w:suppressLineNumbers w:val="0"/>
                    <w:spacing w:before="0" w:beforeAutospacing="0" w:after="0" w:afterAutospacing="0" w:line="240" w:lineRule="auto"/>
                    <w:ind w:left="0" w:leftChars="0" w:right="0" w:rightChars="0" w:firstLine="0" w:firstLineChars="0"/>
                    <w:jc w:val="center"/>
                    <w:rPr>
                      <w:rFonts w:hint="eastAsia"/>
                      <w:sz w:val="21"/>
                      <w:szCs w:val="21"/>
                    </w:rPr>
                  </w:pPr>
                  <w:r>
                    <w:rPr>
                      <w:rFonts w:hint="eastAsia"/>
                      <w:sz w:val="21"/>
                      <w:szCs w:val="21"/>
                    </w:rPr>
                    <w:t>外购</w:t>
                  </w:r>
                </w:p>
              </w:tc>
            </w:tr>
            <w:tr w14:paraId="5CBA1CE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428" w:type="pct"/>
                  <w:tcBorders>
                    <w:top w:val="single" w:color="auto" w:sz="4" w:space="0"/>
                    <w:bottom w:val="single" w:color="auto" w:sz="4" w:space="0"/>
                  </w:tcBorders>
                  <w:vAlign w:val="center"/>
                </w:tcPr>
                <w:p w14:paraId="3B85A44A">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17</w:t>
                  </w:r>
                </w:p>
              </w:tc>
              <w:tc>
                <w:tcPr>
                  <w:tcW w:w="1577" w:type="pct"/>
                  <w:tcBorders>
                    <w:top w:val="single" w:color="auto" w:sz="4" w:space="0"/>
                    <w:bottom w:val="single" w:color="auto" w:sz="4" w:space="0"/>
                  </w:tcBorders>
                  <w:vAlign w:val="center"/>
                </w:tcPr>
                <w:p w14:paraId="77A9EA2C">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隔膜</w:t>
                  </w:r>
                </w:p>
              </w:tc>
              <w:tc>
                <w:tcPr>
                  <w:tcW w:w="915" w:type="pct"/>
                  <w:tcBorders>
                    <w:top w:val="single" w:color="auto" w:sz="4" w:space="0"/>
                    <w:bottom w:val="single" w:color="auto" w:sz="4" w:space="0"/>
                  </w:tcBorders>
                </w:tcPr>
                <w:p w14:paraId="143D4EDD">
                  <w:pPr>
                    <w:keepNext w:val="0"/>
                    <w:keepLines w:val="0"/>
                    <w:suppressLineNumbers w:val="0"/>
                    <w:spacing w:before="0" w:beforeAutospacing="0" w:after="0" w:afterAutospacing="0" w:line="240" w:lineRule="auto"/>
                    <w:ind w:left="0" w:right="0" w:firstLine="0" w:firstLineChars="0"/>
                    <w:jc w:val="center"/>
                    <w:rPr>
                      <w:rFonts w:hint="default"/>
                    </w:rPr>
                  </w:pPr>
                  <w:r>
                    <w:rPr>
                      <w:rFonts w:hint="eastAsia"/>
                      <w:sz w:val="21"/>
                      <w:szCs w:val="21"/>
                    </w:rPr>
                    <w:t>固态</w:t>
                  </w:r>
                </w:p>
              </w:tc>
              <w:tc>
                <w:tcPr>
                  <w:tcW w:w="933" w:type="pct"/>
                  <w:tcBorders>
                    <w:top w:val="single" w:color="auto" w:sz="4" w:space="0"/>
                    <w:bottom w:val="single" w:color="auto" w:sz="4" w:space="0"/>
                  </w:tcBorders>
                  <w:vAlign w:val="center"/>
                </w:tcPr>
                <w:p w14:paraId="6035C5E6">
                  <w:pPr>
                    <w:keepNext w:val="0"/>
                    <w:keepLines w:val="0"/>
                    <w:suppressLineNumbers w:val="0"/>
                    <w:spacing w:before="0" w:beforeAutospacing="0" w:after="0" w:afterAutospacing="0" w:line="240" w:lineRule="auto"/>
                    <w:ind w:left="0" w:right="0"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2529</w:t>
                  </w:r>
                </w:p>
              </w:tc>
              <w:tc>
                <w:tcPr>
                  <w:tcW w:w="1145" w:type="pct"/>
                  <w:tcBorders>
                    <w:top w:val="single" w:color="auto" w:sz="4" w:space="0"/>
                    <w:bottom w:val="single" w:color="auto" w:sz="4" w:space="0"/>
                  </w:tcBorders>
                  <w:vAlign w:val="center"/>
                </w:tcPr>
                <w:p w14:paraId="65F17877">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外购</w:t>
                  </w:r>
                </w:p>
              </w:tc>
            </w:tr>
            <w:tr w14:paraId="6EDA8C9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428" w:type="pct"/>
                  <w:tcBorders>
                    <w:top w:val="single" w:color="auto" w:sz="4" w:space="0"/>
                    <w:bottom w:val="single" w:color="auto" w:sz="4" w:space="0"/>
                  </w:tcBorders>
                  <w:vAlign w:val="center"/>
                </w:tcPr>
                <w:p w14:paraId="5EE87010">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18</w:t>
                  </w:r>
                </w:p>
              </w:tc>
              <w:tc>
                <w:tcPr>
                  <w:tcW w:w="1577" w:type="pct"/>
                  <w:tcBorders>
                    <w:top w:val="single" w:color="auto" w:sz="4" w:space="0"/>
                    <w:bottom w:val="single" w:color="auto" w:sz="4" w:space="0"/>
                  </w:tcBorders>
                  <w:vAlign w:val="center"/>
                </w:tcPr>
                <w:p w14:paraId="77A9B5E1">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PVC包装套</w:t>
                  </w:r>
                </w:p>
              </w:tc>
              <w:tc>
                <w:tcPr>
                  <w:tcW w:w="915" w:type="pct"/>
                  <w:tcBorders>
                    <w:top w:val="single" w:color="auto" w:sz="4" w:space="0"/>
                    <w:bottom w:val="single" w:color="auto" w:sz="4" w:space="0"/>
                  </w:tcBorders>
                  <w:vAlign w:val="center"/>
                </w:tcPr>
                <w:p w14:paraId="0A00C3DA">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固态</w:t>
                  </w:r>
                </w:p>
              </w:tc>
              <w:tc>
                <w:tcPr>
                  <w:tcW w:w="933" w:type="pct"/>
                  <w:tcBorders>
                    <w:top w:val="single" w:color="auto" w:sz="4" w:space="0"/>
                    <w:bottom w:val="single" w:color="auto" w:sz="4" w:space="0"/>
                  </w:tcBorders>
                  <w:vAlign w:val="center"/>
                </w:tcPr>
                <w:p w14:paraId="6A15AB85">
                  <w:pPr>
                    <w:keepNext w:val="0"/>
                    <w:keepLines w:val="0"/>
                    <w:suppressLineNumbers w:val="0"/>
                    <w:spacing w:before="0" w:beforeAutospacing="0" w:after="0" w:afterAutospacing="0" w:line="240" w:lineRule="auto"/>
                    <w:ind w:left="0" w:right="0"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804</w:t>
                  </w:r>
                </w:p>
              </w:tc>
              <w:tc>
                <w:tcPr>
                  <w:tcW w:w="1145" w:type="pct"/>
                  <w:tcBorders>
                    <w:top w:val="single" w:color="auto" w:sz="4" w:space="0"/>
                    <w:bottom w:val="single" w:color="auto" w:sz="4" w:space="0"/>
                  </w:tcBorders>
                  <w:vAlign w:val="center"/>
                </w:tcPr>
                <w:p w14:paraId="27686C8A">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外购</w:t>
                  </w:r>
                </w:p>
              </w:tc>
            </w:tr>
            <w:tr w14:paraId="4FB6F94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428" w:type="pct"/>
                  <w:tcBorders>
                    <w:top w:val="single" w:color="auto" w:sz="4" w:space="0"/>
                    <w:bottom w:val="single" w:color="auto" w:sz="4" w:space="0"/>
                  </w:tcBorders>
                  <w:vAlign w:val="center"/>
                </w:tcPr>
                <w:p w14:paraId="0B4F313C">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19</w:t>
                  </w:r>
                </w:p>
              </w:tc>
              <w:tc>
                <w:tcPr>
                  <w:tcW w:w="1577" w:type="pct"/>
                  <w:tcBorders>
                    <w:top w:val="single" w:color="auto" w:sz="4" w:space="0"/>
                    <w:bottom w:val="single" w:color="auto" w:sz="4" w:space="0"/>
                  </w:tcBorders>
                  <w:vAlign w:val="center"/>
                </w:tcPr>
                <w:p w14:paraId="1E9465E8">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default"/>
                      <w:sz w:val="21"/>
                      <w:szCs w:val="21"/>
                    </w:rPr>
                    <w:t>N-甲基吡咯烷酮</w:t>
                  </w:r>
                  <w:r>
                    <w:rPr>
                      <w:rFonts w:hint="eastAsia"/>
                      <w:sz w:val="21"/>
                      <w:szCs w:val="21"/>
                    </w:rPr>
                    <w:t>(</w:t>
                  </w:r>
                  <w:r>
                    <w:rPr>
                      <w:rFonts w:hint="default"/>
                      <w:sz w:val="21"/>
                      <w:szCs w:val="21"/>
                    </w:rPr>
                    <w:t>NMP)</w:t>
                  </w:r>
                </w:p>
              </w:tc>
              <w:tc>
                <w:tcPr>
                  <w:tcW w:w="915" w:type="pct"/>
                  <w:tcBorders>
                    <w:top w:val="single" w:color="auto" w:sz="4" w:space="0"/>
                    <w:bottom w:val="single" w:color="auto" w:sz="4" w:space="0"/>
                  </w:tcBorders>
                  <w:vAlign w:val="center"/>
                </w:tcPr>
                <w:p w14:paraId="6A37194A">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液态</w:t>
                  </w:r>
                </w:p>
              </w:tc>
              <w:tc>
                <w:tcPr>
                  <w:tcW w:w="933" w:type="pct"/>
                  <w:tcBorders>
                    <w:top w:val="single" w:color="auto" w:sz="4" w:space="0"/>
                    <w:bottom w:val="single" w:color="auto" w:sz="4" w:space="0"/>
                  </w:tcBorders>
                  <w:vAlign w:val="center"/>
                </w:tcPr>
                <w:p w14:paraId="13D20A9A">
                  <w:pPr>
                    <w:keepNext w:val="0"/>
                    <w:keepLines w:val="0"/>
                    <w:suppressLineNumbers w:val="0"/>
                    <w:spacing w:before="0" w:beforeAutospacing="0" w:after="0" w:afterAutospacing="0" w:line="240" w:lineRule="auto"/>
                    <w:ind w:left="0" w:leftChars="0" w:right="0" w:rightChars="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2365</w:t>
                  </w:r>
                </w:p>
              </w:tc>
              <w:tc>
                <w:tcPr>
                  <w:tcW w:w="1145" w:type="pct"/>
                  <w:tcBorders>
                    <w:top w:val="single" w:color="auto" w:sz="4" w:space="0"/>
                    <w:bottom w:val="single" w:color="auto" w:sz="4" w:space="0"/>
                  </w:tcBorders>
                  <w:vAlign w:val="center"/>
                </w:tcPr>
                <w:p w14:paraId="35DC14B0">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外购</w:t>
                  </w:r>
                </w:p>
              </w:tc>
            </w:tr>
            <w:tr w14:paraId="6D18FEA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428" w:type="pct"/>
                  <w:tcBorders>
                    <w:top w:val="single" w:color="auto" w:sz="4" w:space="0"/>
                    <w:bottom w:val="single" w:color="auto" w:sz="4" w:space="0"/>
                  </w:tcBorders>
                  <w:vAlign w:val="center"/>
                </w:tcPr>
                <w:p w14:paraId="162E3BEE">
                  <w:pPr>
                    <w:keepNext w:val="0"/>
                    <w:keepLines w:val="0"/>
                    <w:suppressLineNumbers w:val="0"/>
                    <w:spacing w:before="0" w:beforeAutospacing="0" w:after="0" w:afterAutospacing="0" w:line="240" w:lineRule="auto"/>
                    <w:ind w:left="0" w:right="0" w:firstLine="0" w:firstLineChars="0"/>
                    <w:jc w:val="center"/>
                    <w:rPr>
                      <w:rFonts w:hint="default" w:eastAsia="宋体"/>
                      <w:sz w:val="21"/>
                      <w:szCs w:val="21"/>
                      <w:lang w:val="en-US" w:eastAsia="zh-CN"/>
                    </w:rPr>
                  </w:pPr>
                  <w:r>
                    <w:rPr>
                      <w:rFonts w:hint="eastAsia"/>
                      <w:sz w:val="21"/>
                      <w:szCs w:val="21"/>
                      <w:lang w:val="en-US" w:eastAsia="zh-CN"/>
                    </w:rPr>
                    <w:t>20</w:t>
                  </w:r>
                </w:p>
              </w:tc>
              <w:tc>
                <w:tcPr>
                  <w:tcW w:w="1577" w:type="pct"/>
                  <w:tcBorders>
                    <w:top w:val="single" w:color="auto" w:sz="4" w:space="0"/>
                    <w:bottom w:val="single" w:color="auto" w:sz="4" w:space="0"/>
                  </w:tcBorders>
                  <w:vAlign w:val="center"/>
                </w:tcPr>
                <w:p w14:paraId="5B394F3B">
                  <w:pPr>
                    <w:keepNext w:val="0"/>
                    <w:keepLines w:val="0"/>
                    <w:suppressLineNumbers w:val="0"/>
                    <w:spacing w:before="0" w:beforeAutospacing="0" w:after="0" w:afterAutospacing="0" w:line="240" w:lineRule="auto"/>
                    <w:ind w:left="0" w:right="0" w:firstLine="0" w:firstLineChars="0"/>
                    <w:jc w:val="center"/>
                    <w:rPr>
                      <w:rFonts w:hint="default"/>
                      <w:sz w:val="21"/>
                      <w:szCs w:val="21"/>
                      <w:highlight w:val="yellow"/>
                    </w:rPr>
                  </w:pPr>
                  <w:r>
                    <w:rPr>
                      <w:rFonts w:hint="eastAsia"/>
                      <w:sz w:val="21"/>
                      <w:szCs w:val="21"/>
                    </w:rPr>
                    <w:t>降粘剂</w:t>
                  </w:r>
                </w:p>
              </w:tc>
              <w:tc>
                <w:tcPr>
                  <w:tcW w:w="915" w:type="pct"/>
                  <w:tcBorders>
                    <w:top w:val="single" w:color="auto" w:sz="4" w:space="0"/>
                    <w:bottom w:val="single" w:color="auto" w:sz="4" w:space="0"/>
                  </w:tcBorders>
                  <w:vAlign w:val="center"/>
                </w:tcPr>
                <w:p w14:paraId="4D382F6F">
                  <w:pPr>
                    <w:keepNext w:val="0"/>
                    <w:keepLines w:val="0"/>
                    <w:suppressLineNumbers w:val="0"/>
                    <w:spacing w:before="0" w:beforeAutospacing="0" w:after="0" w:afterAutospacing="0" w:line="240" w:lineRule="auto"/>
                    <w:ind w:left="0" w:right="0" w:firstLine="0" w:firstLineChars="0"/>
                    <w:jc w:val="center"/>
                    <w:rPr>
                      <w:rFonts w:hint="default"/>
                      <w:sz w:val="21"/>
                      <w:szCs w:val="21"/>
                      <w:highlight w:val="yellow"/>
                    </w:rPr>
                  </w:pPr>
                  <w:r>
                    <w:rPr>
                      <w:rFonts w:hint="eastAsia"/>
                      <w:sz w:val="21"/>
                      <w:szCs w:val="21"/>
                    </w:rPr>
                    <w:t>有机聚合物，浅棕色半透明液体</w:t>
                  </w:r>
                </w:p>
              </w:tc>
              <w:tc>
                <w:tcPr>
                  <w:tcW w:w="933" w:type="pct"/>
                  <w:tcBorders>
                    <w:top w:val="single" w:color="auto" w:sz="4" w:space="0"/>
                    <w:bottom w:val="single" w:color="auto" w:sz="4" w:space="0"/>
                  </w:tcBorders>
                  <w:vAlign w:val="center"/>
                </w:tcPr>
                <w:p w14:paraId="513C72AF">
                  <w:pPr>
                    <w:keepNext w:val="0"/>
                    <w:keepLines w:val="0"/>
                    <w:suppressLineNumbers w:val="0"/>
                    <w:spacing w:before="0" w:beforeAutospacing="0" w:after="0" w:afterAutospacing="0" w:line="240" w:lineRule="auto"/>
                    <w:ind w:left="0" w:leftChars="0" w:right="0" w:rightChars="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w:t>
                  </w:r>
                </w:p>
              </w:tc>
              <w:tc>
                <w:tcPr>
                  <w:tcW w:w="1145" w:type="pct"/>
                  <w:tcBorders>
                    <w:top w:val="single" w:color="auto" w:sz="4" w:space="0"/>
                    <w:bottom w:val="single" w:color="auto" w:sz="4" w:space="0"/>
                  </w:tcBorders>
                  <w:vAlign w:val="center"/>
                </w:tcPr>
                <w:p w14:paraId="31A2FCA7">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外购</w:t>
                  </w:r>
                </w:p>
              </w:tc>
            </w:tr>
            <w:tr w14:paraId="728EE16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428" w:type="pct"/>
                  <w:tcBorders>
                    <w:top w:val="single" w:color="auto" w:sz="4" w:space="0"/>
                    <w:bottom w:val="single" w:color="auto" w:sz="4" w:space="0"/>
                  </w:tcBorders>
                  <w:vAlign w:val="center"/>
                </w:tcPr>
                <w:p w14:paraId="3942BB5F">
                  <w:pPr>
                    <w:keepNext w:val="0"/>
                    <w:keepLines w:val="0"/>
                    <w:suppressLineNumbers w:val="0"/>
                    <w:spacing w:before="0" w:beforeAutospacing="0" w:after="0" w:afterAutospacing="0" w:line="240" w:lineRule="auto"/>
                    <w:ind w:left="0" w:right="0" w:firstLine="0" w:firstLineChars="0"/>
                    <w:jc w:val="center"/>
                    <w:rPr>
                      <w:rFonts w:hint="default" w:eastAsia="宋体"/>
                      <w:sz w:val="21"/>
                      <w:szCs w:val="21"/>
                      <w:lang w:val="en-US" w:eastAsia="zh-CN"/>
                    </w:rPr>
                  </w:pPr>
                  <w:r>
                    <w:rPr>
                      <w:rFonts w:hint="eastAsia"/>
                      <w:sz w:val="21"/>
                      <w:szCs w:val="21"/>
                      <w:lang w:val="en-US" w:eastAsia="zh-CN"/>
                    </w:rPr>
                    <w:t>21</w:t>
                  </w:r>
                </w:p>
              </w:tc>
              <w:tc>
                <w:tcPr>
                  <w:tcW w:w="1577" w:type="pct"/>
                  <w:tcBorders>
                    <w:top w:val="single" w:color="auto" w:sz="4" w:space="0"/>
                    <w:bottom w:val="single" w:color="auto" w:sz="4" w:space="0"/>
                  </w:tcBorders>
                  <w:vAlign w:val="center"/>
                </w:tcPr>
                <w:p w14:paraId="0F0CD2C2">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碳纳米管</w:t>
                  </w:r>
                </w:p>
              </w:tc>
              <w:tc>
                <w:tcPr>
                  <w:tcW w:w="915" w:type="pct"/>
                  <w:tcBorders>
                    <w:top w:val="single" w:color="auto" w:sz="4" w:space="0"/>
                    <w:bottom w:val="single" w:color="auto" w:sz="4" w:space="0"/>
                  </w:tcBorders>
                  <w:vAlign w:val="center"/>
                </w:tcPr>
                <w:p w14:paraId="6E839206">
                  <w:pPr>
                    <w:keepNext w:val="0"/>
                    <w:keepLines w:val="0"/>
                    <w:suppressLineNumbers w:val="0"/>
                    <w:spacing w:before="0" w:beforeAutospacing="0" w:after="0" w:afterAutospacing="0" w:line="240" w:lineRule="auto"/>
                    <w:ind w:left="0" w:right="0" w:firstLine="0" w:firstLineChars="0"/>
                    <w:jc w:val="center"/>
                    <w:rPr>
                      <w:rFonts w:hint="default"/>
                    </w:rPr>
                  </w:pPr>
                  <w:r>
                    <w:rPr>
                      <w:rFonts w:hint="eastAsia"/>
                      <w:sz w:val="21"/>
                      <w:szCs w:val="21"/>
                    </w:rPr>
                    <w:t>粉状吨包</w:t>
                  </w:r>
                </w:p>
              </w:tc>
              <w:tc>
                <w:tcPr>
                  <w:tcW w:w="933" w:type="pct"/>
                  <w:tcBorders>
                    <w:top w:val="single" w:color="auto" w:sz="4" w:space="0"/>
                    <w:bottom w:val="single" w:color="auto" w:sz="4" w:space="0"/>
                  </w:tcBorders>
                  <w:vAlign w:val="center"/>
                </w:tcPr>
                <w:p w14:paraId="312EF2E4">
                  <w:pPr>
                    <w:keepNext w:val="0"/>
                    <w:keepLines w:val="0"/>
                    <w:suppressLineNumbers w:val="0"/>
                    <w:spacing w:before="0" w:beforeAutospacing="0" w:after="0" w:afterAutospacing="0" w:line="240" w:lineRule="auto"/>
                    <w:ind w:left="0" w:leftChars="0" w:right="0" w:rightChars="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100</w:t>
                  </w:r>
                </w:p>
              </w:tc>
              <w:tc>
                <w:tcPr>
                  <w:tcW w:w="1145" w:type="pct"/>
                  <w:tcBorders>
                    <w:top w:val="single" w:color="auto" w:sz="4" w:space="0"/>
                    <w:bottom w:val="single" w:color="auto" w:sz="4" w:space="0"/>
                  </w:tcBorders>
                  <w:vAlign w:val="center"/>
                </w:tcPr>
                <w:p w14:paraId="726D495A">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外购</w:t>
                  </w:r>
                </w:p>
              </w:tc>
            </w:tr>
            <w:tr w14:paraId="631AA8A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428" w:type="pct"/>
                  <w:tcBorders>
                    <w:top w:val="single" w:color="auto" w:sz="4" w:space="0"/>
                    <w:bottom w:val="single" w:color="auto" w:sz="4" w:space="0"/>
                  </w:tcBorders>
                  <w:vAlign w:val="center"/>
                </w:tcPr>
                <w:p w14:paraId="2610179D">
                  <w:pPr>
                    <w:keepNext w:val="0"/>
                    <w:keepLines w:val="0"/>
                    <w:suppressLineNumbers w:val="0"/>
                    <w:spacing w:before="0" w:beforeAutospacing="0" w:after="0" w:afterAutospacing="0" w:line="240" w:lineRule="auto"/>
                    <w:ind w:left="0" w:right="0" w:firstLine="0" w:firstLineChars="0"/>
                    <w:jc w:val="center"/>
                    <w:rPr>
                      <w:rFonts w:hint="default" w:eastAsia="宋体"/>
                      <w:sz w:val="21"/>
                      <w:szCs w:val="21"/>
                      <w:lang w:val="en-US" w:eastAsia="zh-CN"/>
                    </w:rPr>
                  </w:pPr>
                  <w:r>
                    <w:rPr>
                      <w:rFonts w:hint="eastAsia"/>
                      <w:sz w:val="21"/>
                      <w:szCs w:val="21"/>
                      <w:lang w:val="en-US" w:eastAsia="zh-CN"/>
                    </w:rPr>
                    <w:t>22</w:t>
                  </w:r>
                </w:p>
              </w:tc>
              <w:tc>
                <w:tcPr>
                  <w:tcW w:w="1577" w:type="pct"/>
                  <w:tcBorders>
                    <w:top w:val="single" w:color="auto" w:sz="4" w:space="0"/>
                    <w:bottom w:val="single" w:color="auto" w:sz="4" w:space="0"/>
                  </w:tcBorders>
                  <w:vAlign w:val="center"/>
                </w:tcPr>
                <w:p w14:paraId="3AC3D475">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聚乙烯吡咯烷酮（PVP）</w:t>
                  </w:r>
                </w:p>
              </w:tc>
              <w:tc>
                <w:tcPr>
                  <w:tcW w:w="915" w:type="pct"/>
                  <w:tcBorders>
                    <w:top w:val="single" w:color="auto" w:sz="4" w:space="0"/>
                    <w:bottom w:val="single" w:color="auto" w:sz="4" w:space="0"/>
                  </w:tcBorders>
                  <w:vAlign w:val="center"/>
                </w:tcPr>
                <w:p w14:paraId="52BCB03B">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颗粒状</w:t>
                  </w:r>
                </w:p>
                <w:p w14:paraId="025F11F6">
                  <w:pPr>
                    <w:keepNext w:val="0"/>
                    <w:keepLines w:val="0"/>
                    <w:suppressLineNumbers w:val="0"/>
                    <w:spacing w:before="0" w:beforeAutospacing="0" w:after="0" w:afterAutospacing="0" w:line="240" w:lineRule="auto"/>
                    <w:ind w:left="0" w:right="0" w:firstLine="0" w:firstLineChars="0"/>
                    <w:jc w:val="center"/>
                    <w:rPr>
                      <w:rFonts w:hint="default"/>
                    </w:rPr>
                  </w:pPr>
                  <w:r>
                    <w:rPr>
                      <w:rFonts w:hint="eastAsia"/>
                      <w:sz w:val="21"/>
                      <w:szCs w:val="21"/>
                    </w:rPr>
                    <w:t>吨包</w:t>
                  </w:r>
                </w:p>
              </w:tc>
              <w:tc>
                <w:tcPr>
                  <w:tcW w:w="933" w:type="pct"/>
                  <w:tcBorders>
                    <w:top w:val="single" w:color="auto" w:sz="4" w:space="0"/>
                    <w:bottom w:val="single" w:color="auto" w:sz="4" w:space="0"/>
                  </w:tcBorders>
                  <w:vAlign w:val="center"/>
                </w:tcPr>
                <w:p w14:paraId="22A1739E">
                  <w:pPr>
                    <w:keepNext w:val="0"/>
                    <w:keepLines w:val="0"/>
                    <w:suppressLineNumbers w:val="0"/>
                    <w:spacing w:before="0" w:beforeAutospacing="0" w:after="0" w:afterAutospacing="0" w:line="240" w:lineRule="auto"/>
                    <w:ind w:left="0" w:leftChars="0" w:right="0" w:rightChars="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25</w:t>
                  </w:r>
                </w:p>
              </w:tc>
              <w:tc>
                <w:tcPr>
                  <w:tcW w:w="1145" w:type="pct"/>
                  <w:tcBorders>
                    <w:top w:val="single" w:color="auto" w:sz="4" w:space="0"/>
                    <w:bottom w:val="single" w:color="auto" w:sz="4" w:space="0"/>
                  </w:tcBorders>
                  <w:vAlign w:val="center"/>
                </w:tcPr>
                <w:p w14:paraId="6BD7CA9B">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外购</w:t>
                  </w:r>
                </w:p>
              </w:tc>
            </w:tr>
            <w:tr w14:paraId="0600F2E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428" w:type="pct"/>
                  <w:tcBorders>
                    <w:top w:val="single" w:color="auto" w:sz="4" w:space="0"/>
                    <w:bottom w:val="single" w:color="auto" w:sz="4" w:space="0"/>
                  </w:tcBorders>
                  <w:vAlign w:val="center"/>
                </w:tcPr>
                <w:p w14:paraId="0EED7DE7">
                  <w:pPr>
                    <w:keepNext w:val="0"/>
                    <w:keepLines w:val="0"/>
                    <w:suppressLineNumbers w:val="0"/>
                    <w:spacing w:before="0" w:beforeAutospacing="0" w:after="0" w:afterAutospacing="0" w:line="240" w:lineRule="auto"/>
                    <w:ind w:left="0" w:right="0" w:firstLine="0" w:firstLineChars="0"/>
                    <w:jc w:val="center"/>
                    <w:rPr>
                      <w:rFonts w:hint="default" w:eastAsia="宋体"/>
                      <w:sz w:val="21"/>
                      <w:szCs w:val="21"/>
                      <w:lang w:val="en-US" w:eastAsia="zh-CN"/>
                    </w:rPr>
                  </w:pPr>
                  <w:r>
                    <w:rPr>
                      <w:rFonts w:hint="eastAsia"/>
                      <w:sz w:val="21"/>
                      <w:szCs w:val="21"/>
                      <w:lang w:val="en-US" w:eastAsia="zh-CN"/>
                    </w:rPr>
                    <w:t>23</w:t>
                  </w:r>
                </w:p>
              </w:tc>
              <w:tc>
                <w:tcPr>
                  <w:tcW w:w="1577" w:type="pct"/>
                  <w:tcBorders>
                    <w:top w:val="single" w:color="auto" w:sz="4" w:space="0"/>
                    <w:bottom w:val="single" w:color="auto" w:sz="4" w:space="0"/>
                  </w:tcBorders>
                  <w:vAlign w:val="center"/>
                </w:tcPr>
                <w:p w14:paraId="2C494372">
                  <w:pPr>
                    <w:keepNext w:val="0"/>
                    <w:keepLines w:val="0"/>
                    <w:suppressLineNumbers w:val="0"/>
                    <w:spacing w:before="0" w:beforeAutospacing="0" w:after="0" w:afterAutospacing="0" w:line="240" w:lineRule="auto"/>
                    <w:ind w:left="0" w:right="0" w:firstLine="0" w:firstLineChars="0"/>
                    <w:jc w:val="center"/>
                    <w:rPr>
                      <w:rFonts w:hint="eastAsia" w:eastAsia="宋体"/>
                      <w:sz w:val="21"/>
                      <w:szCs w:val="21"/>
                      <w:lang w:val="en-US" w:eastAsia="zh-CN"/>
                    </w:rPr>
                  </w:pPr>
                  <w:r>
                    <w:rPr>
                      <w:rFonts w:hint="eastAsia"/>
                      <w:sz w:val="21"/>
                      <w:szCs w:val="21"/>
                      <w:lang w:val="en-US" w:eastAsia="zh-CN"/>
                    </w:rPr>
                    <w:t>二氧化锰（四氧化三锰）</w:t>
                  </w:r>
                </w:p>
              </w:tc>
              <w:tc>
                <w:tcPr>
                  <w:tcW w:w="915" w:type="pct"/>
                  <w:tcBorders>
                    <w:top w:val="single" w:color="auto" w:sz="4" w:space="0"/>
                    <w:bottom w:val="single" w:color="auto" w:sz="4" w:space="0"/>
                  </w:tcBorders>
                  <w:vAlign w:val="center"/>
                </w:tcPr>
                <w:p w14:paraId="27D96F3F">
                  <w:pPr>
                    <w:keepNext w:val="0"/>
                    <w:keepLines w:val="0"/>
                    <w:suppressLineNumbers w:val="0"/>
                    <w:spacing w:before="0" w:beforeAutospacing="0" w:after="0" w:afterAutospacing="0" w:line="240" w:lineRule="auto"/>
                    <w:ind w:left="0" w:leftChars="0" w:right="0" w:rightChars="0" w:firstLine="0" w:firstLineChars="0"/>
                    <w:jc w:val="center"/>
                    <w:rPr>
                      <w:rFonts w:hint="eastAsia"/>
                      <w:sz w:val="21"/>
                      <w:szCs w:val="21"/>
                    </w:rPr>
                  </w:pPr>
                  <w:r>
                    <w:rPr>
                      <w:rFonts w:hint="eastAsia"/>
                      <w:sz w:val="21"/>
                      <w:szCs w:val="21"/>
                    </w:rPr>
                    <w:t>固态</w:t>
                  </w:r>
                </w:p>
              </w:tc>
              <w:tc>
                <w:tcPr>
                  <w:tcW w:w="933" w:type="pct"/>
                  <w:tcBorders>
                    <w:top w:val="single" w:color="auto" w:sz="4" w:space="0"/>
                    <w:bottom w:val="single" w:color="auto" w:sz="4" w:space="0"/>
                  </w:tcBorders>
                  <w:vAlign w:val="center"/>
                </w:tcPr>
                <w:p w14:paraId="1383E269">
                  <w:pPr>
                    <w:keepNext w:val="0"/>
                    <w:keepLines w:val="0"/>
                    <w:suppressLineNumbers w:val="0"/>
                    <w:spacing w:before="0" w:beforeAutospacing="0" w:after="0" w:afterAutospacing="0" w:line="240" w:lineRule="auto"/>
                    <w:ind w:left="0" w:right="0"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21000</w:t>
                  </w:r>
                </w:p>
              </w:tc>
              <w:tc>
                <w:tcPr>
                  <w:tcW w:w="1145" w:type="pct"/>
                  <w:tcBorders>
                    <w:top w:val="single" w:color="auto" w:sz="4" w:space="0"/>
                    <w:bottom w:val="single" w:color="auto" w:sz="4" w:space="0"/>
                  </w:tcBorders>
                  <w:vAlign w:val="center"/>
                </w:tcPr>
                <w:p w14:paraId="1672A6F6">
                  <w:pPr>
                    <w:keepNext w:val="0"/>
                    <w:keepLines w:val="0"/>
                    <w:suppressLineNumbers w:val="0"/>
                    <w:spacing w:before="0" w:beforeAutospacing="0" w:after="0" w:afterAutospacing="0" w:line="240" w:lineRule="auto"/>
                    <w:ind w:left="0" w:leftChars="0" w:right="0" w:rightChars="0" w:firstLine="0" w:firstLineChars="0"/>
                    <w:jc w:val="center"/>
                    <w:rPr>
                      <w:rFonts w:hint="eastAsia"/>
                      <w:sz w:val="21"/>
                      <w:szCs w:val="21"/>
                    </w:rPr>
                  </w:pPr>
                  <w:r>
                    <w:rPr>
                      <w:rFonts w:hint="eastAsia"/>
                      <w:sz w:val="21"/>
                      <w:szCs w:val="21"/>
                    </w:rPr>
                    <w:t>外购</w:t>
                  </w:r>
                </w:p>
              </w:tc>
            </w:tr>
            <w:tr w14:paraId="370FA4D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428" w:type="pct"/>
                  <w:tcBorders>
                    <w:top w:val="single" w:color="auto" w:sz="4" w:space="0"/>
                    <w:bottom w:val="single" w:color="auto" w:sz="4" w:space="0"/>
                  </w:tcBorders>
                  <w:vAlign w:val="center"/>
                </w:tcPr>
                <w:p w14:paraId="574B6B34">
                  <w:pPr>
                    <w:keepNext w:val="0"/>
                    <w:keepLines w:val="0"/>
                    <w:suppressLineNumbers w:val="0"/>
                    <w:spacing w:before="0" w:beforeAutospacing="0" w:after="0" w:afterAutospacing="0" w:line="240" w:lineRule="auto"/>
                    <w:ind w:left="0" w:right="0" w:firstLine="0" w:firstLineChars="0"/>
                    <w:jc w:val="center"/>
                    <w:rPr>
                      <w:rFonts w:hint="default" w:eastAsia="宋体"/>
                      <w:sz w:val="21"/>
                      <w:szCs w:val="21"/>
                      <w:lang w:val="en-US" w:eastAsia="zh-CN"/>
                    </w:rPr>
                  </w:pPr>
                  <w:r>
                    <w:rPr>
                      <w:rFonts w:hint="eastAsia"/>
                      <w:sz w:val="21"/>
                      <w:szCs w:val="21"/>
                      <w:lang w:val="en-US" w:eastAsia="zh-CN"/>
                    </w:rPr>
                    <w:t>24</w:t>
                  </w:r>
                </w:p>
              </w:tc>
              <w:tc>
                <w:tcPr>
                  <w:tcW w:w="1577" w:type="pct"/>
                  <w:tcBorders>
                    <w:top w:val="single" w:color="auto" w:sz="4" w:space="0"/>
                    <w:bottom w:val="single" w:color="auto" w:sz="4" w:space="0"/>
                  </w:tcBorders>
                  <w:vAlign w:val="center"/>
                </w:tcPr>
                <w:p w14:paraId="278D3963">
                  <w:pPr>
                    <w:keepNext w:val="0"/>
                    <w:keepLines w:val="0"/>
                    <w:suppressLineNumbers w:val="0"/>
                    <w:spacing w:before="0" w:beforeAutospacing="0" w:after="0" w:afterAutospacing="0" w:line="240" w:lineRule="auto"/>
                    <w:ind w:left="0" w:right="0" w:firstLine="0" w:firstLineChars="0"/>
                    <w:jc w:val="center"/>
                    <w:rPr>
                      <w:rFonts w:hint="default" w:eastAsia="宋体"/>
                      <w:sz w:val="21"/>
                      <w:szCs w:val="21"/>
                      <w:lang w:val="en-US" w:eastAsia="zh-CN"/>
                    </w:rPr>
                  </w:pPr>
                  <w:r>
                    <w:rPr>
                      <w:rFonts w:hint="eastAsia"/>
                      <w:sz w:val="21"/>
                      <w:szCs w:val="21"/>
                      <w:lang w:val="en-US" w:eastAsia="zh-CN"/>
                    </w:rPr>
                    <w:t>碳酸锂</w:t>
                  </w:r>
                </w:p>
              </w:tc>
              <w:tc>
                <w:tcPr>
                  <w:tcW w:w="915" w:type="pct"/>
                  <w:tcBorders>
                    <w:top w:val="single" w:color="auto" w:sz="4" w:space="0"/>
                    <w:bottom w:val="single" w:color="auto" w:sz="4" w:space="0"/>
                  </w:tcBorders>
                  <w:vAlign w:val="center"/>
                </w:tcPr>
                <w:p w14:paraId="37B0468E">
                  <w:pPr>
                    <w:keepNext w:val="0"/>
                    <w:keepLines w:val="0"/>
                    <w:suppressLineNumbers w:val="0"/>
                    <w:spacing w:before="0" w:beforeAutospacing="0" w:after="0" w:afterAutospacing="0" w:line="240" w:lineRule="auto"/>
                    <w:ind w:left="0" w:leftChars="0" w:right="0" w:rightChars="0" w:firstLine="0" w:firstLineChars="0"/>
                    <w:jc w:val="center"/>
                    <w:rPr>
                      <w:rFonts w:hint="eastAsia"/>
                      <w:sz w:val="21"/>
                      <w:szCs w:val="21"/>
                    </w:rPr>
                  </w:pPr>
                  <w:r>
                    <w:rPr>
                      <w:rFonts w:hint="eastAsia"/>
                      <w:sz w:val="21"/>
                      <w:szCs w:val="21"/>
                    </w:rPr>
                    <w:t>固态</w:t>
                  </w:r>
                </w:p>
              </w:tc>
              <w:tc>
                <w:tcPr>
                  <w:tcW w:w="933" w:type="pct"/>
                  <w:tcBorders>
                    <w:top w:val="single" w:color="auto" w:sz="4" w:space="0"/>
                    <w:bottom w:val="single" w:color="auto" w:sz="4" w:space="0"/>
                  </w:tcBorders>
                  <w:vAlign w:val="center"/>
                </w:tcPr>
                <w:p w14:paraId="6CCE8D92">
                  <w:pPr>
                    <w:keepNext w:val="0"/>
                    <w:keepLines w:val="0"/>
                    <w:suppressLineNumbers w:val="0"/>
                    <w:spacing w:before="0" w:beforeAutospacing="0" w:after="0" w:afterAutospacing="0" w:line="240" w:lineRule="auto"/>
                    <w:ind w:left="0" w:right="0"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4700</w:t>
                  </w:r>
                </w:p>
              </w:tc>
              <w:tc>
                <w:tcPr>
                  <w:tcW w:w="1145" w:type="pct"/>
                  <w:tcBorders>
                    <w:top w:val="single" w:color="auto" w:sz="4" w:space="0"/>
                    <w:bottom w:val="single" w:color="auto" w:sz="4" w:space="0"/>
                  </w:tcBorders>
                  <w:vAlign w:val="center"/>
                </w:tcPr>
                <w:p w14:paraId="07B10CEF">
                  <w:pPr>
                    <w:keepNext w:val="0"/>
                    <w:keepLines w:val="0"/>
                    <w:suppressLineNumbers w:val="0"/>
                    <w:spacing w:before="0" w:beforeAutospacing="0" w:after="0" w:afterAutospacing="0" w:line="240" w:lineRule="auto"/>
                    <w:ind w:left="0" w:leftChars="0" w:right="0" w:rightChars="0" w:firstLine="0" w:firstLineChars="0"/>
                    <w:jc w:val="center"/>
                    <w:rPr>
                      <w:rFonts w:hint="eastAsia"/>
                      <w:sz w:val="21"/>
                      <w:szCs w:val="21"/>
                    </w:rPr>
                  </w:pPr>
                  <w:r>
                    <w:rPr>
                      <w:rFonts w:hint="eastAsia"/>
                      <w:sz w:val="21"/>
                      <w:szCs w:val="21"/>
                    </w:rPr>
                    <w:t>外购</w:t>
                  </w:r>
                </w:p>
              </w:tc>
            </w:tr>
            <w:tr w14:paraId="067ED1D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428" w:type="pct"/>
                  <w:tcBorders>
                    <w:top w:val="single" w:color="auto" w:sz="4" w:space="0"/>
                    <w:bottom w:val="single" w:color="auto" w:sz="8" w:space="0"/>
                  </w:tcBorders>
                  <w:vAlign w:val="center"/>
                </w:tcPr>
                <w:p w14:paraId="0F4F19EC">
                  <w:pPr>
                    <w:keepNext w:val="0"/>
                    <w:keepLines w:val="0"/>
                    <w:suppressLineNumbers w:val="0"/>
                    <w:spacing w:before="0" w:beforeAutospacing="0" w:after="0" w:afterAutospacing="0" w:line="240" w:lineRule="auto"/>
                    <w:ind w:left="0" w:right="0" w:firstLine="0" w:firstLineChars="0"/>
                    <w:jc w:val="center"/>
                    <w:rPr>
                      <w:rFonts w:hint="default"/>
                      <w:sz w:val="21"/>
                      <w:szCs w:val="21"/>
                      <w:lang w:val="en-US" w:eastAsia="zh-CN"/>
                    </w:rPr>
                  </w:pPr>
                  <w:r>
                    <w:rPr>
                      <w:rFonts w:hint="eastAsia"/>
                      <w:sz w:val="21"/>
                      <w:szCs w:val="21"/>
                      <w:lang w:val="en-US" w:eastAsia="zh-CN"/>
                    </w:rPr>
                    <w:t>25</w:t>
                  </w:r>
                </w:p>
              </w:tc>
              <w:tc>
                <w:tcPr>
                  <w:tcW w:w="1577" w:type="pct"/>
                  <w:tcBorders>
                    <w:top w:val="single" w:color="auto" w:sz="4" w:space="0"/>
                    <w:bottom w:val="single" w:color="auto" w:sz="8" w:space="0"/>
                  </w:tcBorders>
                  <w:vAlign w:val="center"/>
                </w:tcPr>
                <w:p w14:paraId="0149568B">
                  <w:pPr>
                    <w:keepNext w:val="0"/>
                    <w:keepLines w:val="0"/>
                    <w:suppressLineNumbers w:val="0"/>
                    <w:spacing w:before="0" w:beforeAutospacing="0" w:after="0" w:afterAutospacing="0" w:line="240" w:lineRule="auto"/>
                    <w:ind w:left="0" w:right="0" w:firstLine="0" w:firstLineChars="0"/>
                    <w:jc w:val="center"/>
                    <w:rPr>
                      <w:rFonts w:hint="default"/>
                      <w:sz w:val="21"/>
                      <w:szCs w:val="21"/>
                      <w:lang w:val="en-US" w:eastAsia="zh-CN"/>
                    </w:rPr>
                  </w:pPr>
                  <w:r>
                    <w:rPr>
                      <w:rFonts w:hint="eastAsia"/>
                      <w:sz w:val="21"/>
                      <w:szCs w:val="21"/>
                      <w:lang w:val="en-US" w:eastAsia="zh-CN"/>
                    </w:rPr>
                    <w:t>防锈油</w:t>
                  </w:r>
                </w:p>
              </w:tc>
              <w:tc>
                <w:tcPr>
                  <w:tcW w:w="915" w:type="pct"/>
                  <w:tcBorders>
                    <w:top w:val="single" w:color="auto" w:sz="4" w:space="0"/>
                    <w:bottom w:val="single" w:color="auto" w:sz="8" w:space="0"/>
                  </w:tcBorders>
                  <w:vAlign w:val="center"/>
                </w:tcPr>
                <w:p w14:paraId="6D818B5F">
                  <w:pPr>
                    <w:keepNext w:val="0"/>
                    <w:keepLines w:val="0"/>
                    <w:suppressLineNumbers w:val="0"/>
                    <w:spacing w:before="0" w:beforeAutospacing="0" w:after="0" w:afterAutospacing="0" w:line="240" w:lineRule="auto"/>
                    <w:ind w:left="0" w:leftChars="0" w:right="0" w:rightChars="0" w:firstLine="0" w:firstLineChars="0"/>
                    <w:jc w:val="center"/>
                    <w:rPr>
                      <w:rFonts w:hint="eastAsia" w:eastAsia="宋体"/>
                      <w:sz w:val="21"/>
                      <w:szCs w:val="21"/>
                      <w:lang w:val="en-US" w:eastAsia="zh-CN"/>
                    </w:rPr>
                  </w:pPr>
                  <w:r>
                    <w:rPr>
                      <w:rFonts w:hint="eastAsia"/>
                      <w:sz w:val="21"/>
                      <w:szCs w:val="21"/>
                      <w:lang w:val="en-US" w:eastAsia="zh-CN"/>
                    </w:rPr>
                    <w:t>液态</w:t>
                  </w:r>
                </w:p>
              </w:tc>
              <w:tc>
                <w:tcPr>
                  <w:tcW w:w="933" w:type="pct"/>
                  <w:tcBorders>
                    <w:top w:val="single" w:color="auto" w:sz="4" w:space="0"/>
                    <w:bottom w:val="single" w:color="auto" w:sz="8" w:space="0"/>
                  </w:tcBorders>
                  <w:vAlign w:val="center"/>
                </w:tcPr>
                <w:p w14:paraId="20855AE6">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5</w:t>
                  </w:r>
                </w:p>
              </w:tc>
              <w:tc>
                <w:tcPr>
                  <w:tcW w:w="1145" w:type="pct"/>
                  <w:tcBorders>
                    <w:top w:val="single" w:color="auto" w:sz="4" w:space="0"/>
                    <w:bottom w:val="single" w:color="auto" w:sz="8" w:space="0"/>
                  </w:tcBorders>
                  <w:vAlign w:val="center"/>
                </w:tcPr>
                <w:p w14:paraId="3A8BFE0D">
                  <w:pPr>
                    <w:keepNext w:val="0"/>
                    <w:keepLines w:val="0"/>
                    <w:suppressLineNumbers w:val="0"/>
                    <w:spacing w:before="0" w:beforeAutospacing="0" w:after="0" w:afterAutospacing="0" w:line="240" w:lineRule="auto"/>
                    <w:ind w:left="0" w:leftChars="0" w:right="0" w:rightChars="0" w:firstLine="0" w:firstLineChars="0"/>
                    <w:jc w:val="center"/>
                    <w:rPr>
                      <w:rFonts w:hint="eastAsia"/>
                      <w:sz w:val="21"/>
                      <w:szCs w:val="21"/>
                    </w:rPr>
                  </w:pPr>
                  <w:r>
                    <w:rPr>
                      <w:rFonts w:hint="eastAsia"/>
                      <w:sz w:val="21"/>
                      <w:szCs w:val="21"/>
                    </w:rPr>
                    <w:t>外购</w:t>
                  </w:r>
                </w:p>
              </w:tc>
            </w:tr>
          </w:tbl>
          <w:p w14:paraId="17DD27A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baseline"/>
              <w:rPr>
                <w:rFonts w:hint="default"/>
              </w:rPr>
            </w:pPr>
            <w:r>
              <w:rPr>
                <w:rFonts w:hint="eastAsia"/>
              </w:rPr>
              <w:t>原辅材料理化性质：</w:t>
            </w:r>
          </w:p>
          <w:p w14:paraId="27916BC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2" w:firstLineChars="200"/>
              <w:jc w:val="both"/>
              <w:textAlignment w:val="baseline"/>
              <w:rPr>
                <w:rFonts w:hint="default"/>
              </w:rPr>
            </w:pPr>
            <w:r>
              <w:rPr>
                <w:rFonts w:hint="default"/>
                <w:b/>
                <w:bCs/>
              </w:rPr>
              <w:t>锰酸锂：</w:t>
            </w:r>
            <w:r>
              <w:rPr>
                <w:rFonts w:hint="default"/>
              </w:rPr>
              <w:t>化学式LiMn</w:t>
            </w:r>
            <w:r>
              <w:rPr>
                <w:rFonts w:hint="default"/>
                <w:vertAlign w:val="subscript"/>
              </w:rPr>
              <w:t>2</w:t>
            </w:r>
            <w:r>
              <w:rPr>
                <w:rFonts w:hint="default"/>
              </w:rPr>
              <w:t>O</w:t>
            </w:r>
            <w:r>
              <w:rPr>
                <w:rFonts w:hint="default"/>
                <w:vertAlign w:val="subscript"/>
              </w:rPr>
              <w:t>4</w:t>
            </w:r>
            <w:r>
              <w:rPr>
                <w:rFonts w:hint="default"/>
              </w:rPr>
              <w:t>，一种典型的离子晶体，并有正、反两种构型。合成方法有很多种，主要有高温固相法、熔融浸渍法、微波合成法、溶胶凝胶法、乳化干燥法、共沉淀法等，主要用于制造手机和笔记本电脑及其它便携式电子设备的锂离子电池作正极材料。</w:t>
            </w:r>
          </w:p>
          <w:p w14:paraId="0E82D27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2" w:firstLineChars="200"/>
              <w:jc w:val="both"/>
              <w:textAlignment w:val="baseline"/>
              <w:rPr>
                <w:rFonts w:hint="default"/>
              </w:rPr>
            </w:pPr>
            <w:r>
              <w:rPr>
                <w:rFonts w:hint="default"/>
                <w:b/>
                <w:bCs/>
              </w:rPr>
              <w:t>镍钴锰酸锂：</w:t>
            </w:r>
            <w:r>
              <w:rPr>
                <w:rFonts w:hint="default"/>
              </w:rPr>
              <w:t>化学式LiNixCoyMn</w:t>
            </w:r>
            <w:r>
              <w:rPr>
                <w:rFonts w:hint="default"/>
                <w:vertAlign w:val="subscript"/>
              </w:rPr>
              <w:t>1</w:t>
            </w:r>
            <w:r>
              <w:rPr>
                <w:rFonts w:hint="default"/>
              </w:rPr>
              <w:t>-x-yO</w:t>
            </w:r>
            <w:r>
              <w:rPr>
                <w:rFonts w:hint="default"/>
                <w:vertAlign w:val="subscript"/>
              </w:rPr>
              <w:t>2</w:t>
            </w:r>
            <w:r>
              <w:rPr>
                <w:rFonts w:hint="default"/>
              </w:rPr>
              <w:t>，是锂离子电池的关键三元正极材料，拥有比单元正极材料更高的比容量和更低的成本。由于镍钴锰酸锂是在钴酸锂基础上经过改进而成具有较高安全性的正极材料，自提出以来，其凭借容量高、热稳定性能好、充放电压宽等优良的电化学性能而受到广泛关注，被视为下一代锂离子电池正极材料的理想之选。镍钴锰酸锂在层状结构中以Ni和Mn取代部分Co，减少了钴的用量，降低了成本，而且提高了能量密度，已在动力型圆柱锂离子电池中得到广泛应用。</w:t>
            </w:r>
          </w:p>
          <w:p w14:paraId="70B4627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2" w:firstLineChars="200"/>
              <w:jc w:val="both"/>
              <w:textAlignment w:val="baseline"/>
              <w:rPr>
                <w:rFonts w:hint="default"/>
              </w:rPr>
            </w:pPr>
            <w:r>
              <w:rPr>
                <w:rFonts w:hint="default"/>
                <w:b/>
                <w:bCs/>
              </w:rPr>
              <w:t>导电浆（CNTs）：</w:t>
            </w:r>
            <w:r>
              <w:rPr>
                <w:rFonts w:hint="default"/>
              </w:rPr>
              <w:t>导电浆料又称导电胶，是金属粉、</w:t>
            </w:r>
            <w:r>
              <w:rPr>
                <w:rFonts w:hint="default"/>
              </w:rPr>
              <w:fldChar w:fldCharType="begin"/>
            </w:r>
            <w:r>
              <w:rPr>
                <w:rFonts w:hint="default"/>
              </w:rPr>
              <w:instrText xml:space="preserve"> HYPERLINK "https://baike.baidu.com/item/%E7%8E%BB%E7%92%83%E7%B2%89/9561303" \t "_blank" </w:instrText>
            </w:r>
            <w:r>
              <w:rPr>
                <w:rFonts w:hint="default"/>
              </w:rPr>
              <w:fldChar w:fldCharType="separate"/>
            </w:r>
            <w:r>
              <w:rPr>
                <w:rFonts w:hint="default"/>
              </w:rPr>
              <w:t>玻璃粉</w:t>
            </w:r>
            <w:r>
              <w:rPr>
                <w:rFonts w:hint="default"/>
              </w:rPr>
              <w:fldChar w:fldCharType="end"/>
            </w:r>
            <w:r>
              <w:rPr>
                <w:rFonts w:hint="default"/>
              </w:rPr>
              <w:t>和合成树脂的混合物。其中添加溶剂后可制成涂料或石墨状物。金属粉的粒径约为1~2um，正在开发的有粒径为几十纳米的超微粉的浆料。实用的有Ag、Au、Au-Pd、Cu、Ni等浆料。这些浆料用丝网印刷或其他方法将其涂到基片所需要的部位上，然后在温度为400~1000℃下烧成导电体。主要用于厚膜集成电路的配线、</w:t>
            </w:r>
            <w:r>
              <w:rPr>
                <w:rFonts w:hint="default"/>
              </w:rPr>
              <w:fldChar w:fldCharType="begin"/>
            </w:r>
            <w:r>
              <w:rPr>
                <w:rFonts w:hint="default"/>
              </w:rPr>
              <w:instrText xml:space="preserve"> HYPERLINK "https://baike.baidu.com/item/%E9%99%B6%E7%93%B7%E7%94%B5%E5%AE%B9%E5%99%A8/2598526" \t "_blank" </w:instrText>
            </w:r>
            <w:r>
              <w:rPr>
                <w:rFonts w:hint="default"/>
              </w:rPr>
              <w:fldChar w:fldCharType="separate"/>
            </w:r>
            <w:r>
              <w:rPr>
                <w:rFonts w:hint="default"/>
              </w:rPr>
              <w:t>陶瓷电容器</w:t>
            </w:r>
            <w:r>
              <w:rPr>
                <w:rFonts w:hint="default"/>
              </w:rPr>
              <w:fldChar w:fldCharType="end"/>
            </w:r>
            <w:r>
              <w:rPr>
                <w:rFonts w:hint="default"/>
              </w:rPr>
              <w:t>等电极以及混合集成电路的引线。</w:t>
            </w:r>
          </w:p>
          <w:p w14:paraId="5E4DF55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2" w:firstLineChars="200"/>
              <w:jc w:val="both"/>
              <w:textAlignment w:val="baseline"/>
              <w:rPr>
                <w:rFonts w:hint="default"/>
              </w:rPr>
            </w:pPr>
            <w:r>
              <w:rPr>
                <w:rFonts w:hint="default"/>
                <w:b/>
                <w:bCs/>
              </w:rPr>
              <w:t>聚偏氟乙烯（[-CH</w:t>
            </w:r>
            <w:r>
              <w:rPr>
                <w:rFonts w:hint="default"/>
                <w:b/>
                <w:bCs/>
                <w:vertAlign w:val="subscript"/>
              </w:rPr>
              <w:t>2</w:t>
            </w:r>
            <w:r>
              <w:rPr>
                <w:rFonts w:hint="default"/>
                <w:b/>
                <w:bCs/>
              </w:rPr>
              <w:t>-CF</w:t>
            </w:r>
            <w:r>
              <w:rPr>
                <w:rFonts w:hint="default"/>
                <w:b/>
                <w:bCs/>
                <w:vertAlign w:val="subscript"/>
              </w:rPr>
              <w:t>2</w:t>
            </w:r>
            <w:r>
              <w:rPr>
                <w:rFonts w:hint="default"/>
                <w:b/>
                <w:bCs/>
              </w:rPr>
              <w:t>-]-）：</w:t>
            </w:r>
            <w:r>
              <w:rPr>
                <w:rFonts w:hint="default"/>
              </w:rPr>
              <w:t>简称PVDF，白色粉末状结晶性聚合物。密度1.75-1.78g/cm</w:t>
            </w:r>
            <w:r>
              <w:rPr>
                <w:rFonts w:hint="default"/>
                <w:vertAlign w:val="superscript"/>
              </w:rPr>
              <w:t>3</w:t>
            </w:r>
            <w:r>
              <w:rPr>
                <w:rFonts w:hint="default"/>
              </w:rPr>
              <w:t>。熔点170℃，热分解温度350℃左右。具有良好的化学稳定性，发烟硫酸、强碱、酮、醚绵少数化学药品能使其溶胀或部分溶解，二甲基乙酰胺和二甲基亚砜等强极性有机溶剂能使其溶解成胶状溶液。</w:t>
            </w:r>
          </w:p>
          <w:p w14:paraId="752E43B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2" w:firstLineChars="200"/>
              <w:jc w:val="both"/>
              <w:textAlignment w:val="baseline"/>
              <w:rPr>
                <w:rFonts w:hint="default"/>
              </w:rPr>
            </w:pPr>
            <w:r>
              <w:rPr>
                <w:rFonts w:hint="default"/>
                <w:b/>
                <w:bCs/>
              </w:rPr>
              <w:t>N-甲基吡咯烷酮（C</w:t>
            </w:r>
            <w:r>
              <w:rPr>
                <w:rFonts w:hint="default"/>
                <w:b/>
                <w:bCs/>
                <w:vertAlign w:val="subscript"/>
              </w:rPr>
              <w:t>5</w:t>
            </w:r>
            <w:r>
              <w:rPr>
                <w:rFonts w:hint="default"/>
                <w:b/>
                <w:bCs/>
              </w:rPr>
              <w:t>H</w:t>
            </w:r>
            <w:r>
              <w:rPr>
                <w:rFonts w:hint="default"/>
                <w:b/>
                <w:bCs/>
                <w:vertAlign w:val="subscript"/>
              </w:rPr>
              <w:t>9</w:t>
            </w:r>
            <w:r>
              <w:rPr>
                <w:rFonts w:hint="default"/>
                <w:b/>
                <w:bCs/>
              </w:rPr>
              <w:t>NO）：</w:t>
            </w:r>
            <w:r>
              <w:rPr>
                <w:rFonts w:hint="default"/>
              </w:rPr>
              <w:t>简称NMP，无色透明油状液体，微有氨的气味。熔点-24.4℃，沸点203℃，闪点95℃。相对密度1.0260(25/25℃)。能与水、醇、醚、酯、酮、卤代烃、芳烃互溶。挥发度低，热稳定性、化学稳定性均佳，能随水蒸气挥发，有吸湿性。毒性：对皮肤有轻度刺激作用，但未见吸收作用。由于蒸气压低，一次吸入的危险性很小。但慢性作用可致中枢神经系统机能障碍，引起呼吸器官、肾脏、血管系统的病变。小鼠吸入本品蒸气2小时，浓度为0.18~0.20mg/L，可对上呼吸道及眼睛产生轻度的刺激。小鼠灌胃LD50为5200mg/kg，大鼠灌胃LD50为7900mg/kg，半数致死量（大鼠，经口）3.8ml/kg。工作场所最高容许浓度100mg/m</w:t>
            </w:r>
            <w:r>
              <w:rPr>
                <w:rFonts w:hint="default"/>
                <w:vertAlign w:val="superscript"/>
              </w:rPr>
              <w:t>3</w:t>
            </w:r>
            <w:r>
              <w:rPr>
                <w:rFonts w:hint="default"/>
              </w:rPr>
              <w:t>。现场操作人员应戴口罩、防护眼镜及手套。用途：在锂电、医药、农药、颜料、清洗剂、绝缘材料等行业中广泛应用。</w:t>
            </w:r>
          </w:p>
          <w:p w14:paraId="5B144F0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2" w:firstLineChars="200"/>
              <w:jc w:val="both"/>
              <w:textAlignment w:val="baseline"/>
              <w:rPr>
                <w:rFonts w:hint="default"/>
              </w:rPr>
            </w:pPr>
            <w:r>
              <w:rPr>
                <w:rFonts w:hint="default"/>
                <w:b/>
                <w:bCs/>
              </w:rPr>
              <w:t>羧甲基纤维素钠（CMC）：</w:t>
            </w:r>
            <w:r>
              <w:rPr>
                <w:rFonts w:hint="default"/>
              </w:rPr>
              <w:t>一种重要的纤维素醚，是天然纤维经过化学改性后所获得的一种水溶性好的聚阴离子纤维素化合物，易溶于冷热水。CMC为白色或微黄色粉末、粒状或纤维状固体，无臭、无味、无毒；能够吸水膨胀，在水中溶胀时，可以形成透明的粘稠胶液，在酸碱度方面表现为中性；它具有增稠、分散、悬浮、粘合、成膜、保护胶体和保护水分等优良性能，可作为絮凝剂、螯合剂、乳化剂、增稠剂、保水剂、上浆剂、成膜材料等，还广泛应用于电子、农药、皮革、塑料、印刷、陶瓷、日用化工等领域；固体CMC对光及室温均较稳定，在干燥的环境中，可以长期保存。</w:t>
            </w:r>
          </w:p>
          <w:p w14:paraId="14D5D79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2" w:firstLineChars="200"/>
              <w:jc w:val="both"/>
              <w:textAlignment w:val="baseline"/>
              <w:rPr>
                <w:rFonts w:hint="default"/>
              </w:rPr>
            </w:pPr>
            <w:r>
              <w:rPr>
                <w:rFonts w:hint="default"/>
                <w:b/>
                <w:bCs/>
              </w:rPr>
              <w:t>丁苯橡胶（SBR）：</w:t>
            </w:r>
            <w:r>
              <w:rPr>
                <w:rFonts w:hint="default"/>
              </w:rPr>
              <w:t>是1,3-丁二烯和</w:t>
            </w:r>
            <w:r>
              <w:rPr>
                <w:rFonts w:hint="default"/>
              </w:rPr>
              <w:fldChar w:fldCharType="begin"/>
            </w:r>
            <w:r>
              <w:rPr>
                <w:rFonts w:hint="default"/>
              </w:rPr>
              <w:instrText xml:space="preserve"> HYPERLINK "http://baike.baidu.com/view/127689.htm" </w:instrText>
            </w:r>
            <w:r>
              <w:rPr>
                <w:rFonts w:hint="default"/>
              </w:rPr>
              <w:fldChar w:fldCharType="separate"/>
            </w:r>
            <w:r>
              <w:rPr>
                <w:rFonts w:hint="default"/>
              </w:rPr>
              <w:t>苯乙烯</w:t>
            </w:r>
            <w:r>
              <w:rPr>
                <w:rFonts w:hint="default"/>
              </w:rPr>
              <w:fldChar w:fldCharType="end"/>
            </w:r>
            <w:r>
              <w:rPr>
                <w:rFonts w:hint="default"/>
              </w:rPr>
              <w:t>经</w:t>
            </w:r>
            <w:r>
              <w:rPr>
                <w:rFonts w:hint="default"/>
              </w:rPr>
              <w:fldChar w:fldCharType="begin"/>
            </w:r>
            <w:r>
              <w:rPr>
                <w:rFonts w:hint="default"/>
              </w:rPr>
              <w:instrText xml:space="preserve"> HYPERLINK "http://baike.baidu.com/view/2197687.htm" </w:instrText>
            </w:r>
            <w:r>
              <w:rPr>
                <w:rFonts w:hint="default"/>
              </w:rPr>
              <w:fldChar w:fldCharType="separate"/>
            </w:r>
            <w:r>
              <w:rPr>
                <w:rFonts w:hint="default"/>
              </w:rPr>
              <w:t>共聚</w:t>
            </w:r>
            <w:r>
              <w:rPr>
                <w:rFonts w:hint="default"/>
              </w:rPr>
              <w:fldChar w:fldCharType="end"/>
            </w:r>
            <w:r>
              <w:rPr>
                <w:rFonts w:hint="default"/>
              </w:rPr>
              <w:t>制得的弹性体，丁苯橡胶是</w:t>
            </w:r>
            <w:r>
              <w:rPr>
                <w:rFonts w:hint="default"/>
              </w:rPr>
              <w:fldChar w:fldCharType="begin"/>
            </w:r>
            <w:r>
              <w:rPr>
                <w:rFonts w:hint="default"/>
              </w:rPr>
              <w:instrText xml:space="preserve"> HYPERLINK "http://baike.baidu.com/view/45327.htm" </w:instrText>
            </w:r>
            <w:r>
              <w:rPr>
                <w:rFonts w:hint="default"/>
              </w:rPr>
              <w:fldChar w:fldCharType="separate"/>
            </w:r>
            <w:r>
              <w:rPr>
                <w:rFonts w:hint="default"/>
              </w:rPr>
              <w:t>合成橡胶</w:t>
            </w:r>
            <w:r>
              <w:rPr>
                <w:rFonts w:hint="default"/>
              </w:rPr>
              <w:fldChar w:fldCharType="end"/>
            </w:r>
            <w:r>
              <w:rPr>
                <w:rFonts w:hint="default"/>
              </w:rPr>
              <w:t>的一种，常温下为白色固体或透明无悬浮物液体，有微芳香味。</w:t>
            </w:r>
          </w:p>
          <w:p w14:paraId="40F57D1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2" w:firstLineChars="200"/>
              <w:jc w:val="both"/>
              <w:textAlignment w:val="baseline"/>
              <w:rPr>
                <w:rFonts w:hint="default"/>
              </w:rPr>
            </w:pPr>
            <w:r>
              <w:rPr>
                <w:rFonts w:hint="default"/>
                <w:b/>
                <w:bCs/>
              </w:rPr>
              <w:t>碳纳米管：</w:t>
            </w:r>
            <w:r>
              <w:rPr>
                <w:rFonts w:hint="default"/>
              </w:rPr>
              <w:t>碳纳米管，又名巴基管，是一种具有特殊结构(径向尺寸为纳米量级，轴向尺寸为微米量级，管子两端基本上都封口)的一维量子材料。碳纳米管主要由呈六边形排列的碳原子构成数层到数十层的同轴圆管。层与层之间保持固定的距离，约0.34nm，直径一般为2~20nm。并且根据碳六边形沿轴向的不同取向可以将其分成锯齿形、扶手椅型和螺旋型三种。碳纳米管具有良好的力学性能，CNTs抗拉强度达到50~200GPa，是钢的100倍，密度却只有钢的1/6，至少比常规石墨纤维高一个数量级:它的弹性模量可达1TPa，与金刚石的弹性模量相当，约为钢的5倍。对于具有理想结构的单层壁的碳纳米管，其抗拉强度约800GPa。碳纳米管的结构虽然与高分子材料的结构相似，但其结构却比高分子材料稳定得多。碳纳米管是目前可制备出的具有最高比强度的材料。若将以其他工程材料为基体与碳纳米管制成复合材料，可使复合材料表现出良好的强度、弹性、抗疲劳性及各向同性，给复合材料的性能带来极大的改善。</w:t>
            </w:r>
          </w:p>
          <w:p w14:paraId="7A60739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2" w:firstLineChars="200"/>
              <w:jc w:val="both"/>
              <w:textAlignment w:val="baseline"/>
              <w:rPr>
                <w:rFonts w:hint="default"/>
              </w:rPr>
            </w:pPr>
            <w:r>
              <w:rPr>
                <w:rFonts w:hint="default"/>
                <w:b/>
                <w:bCs/>
              </w:rPr>
              <w:t>聚乙烯吡咯烷酮（C</w:t>
            </w:r>
            <w:r>
              <w:rPr>
                <w:rFonts w:hint="default"/>
                <w:b/>
                <w:bCs/>
                <w:vertAlign w:val="subscript"/>
              </w:rPr>
              <w:t>6</w:t>
            </w:r>
            <w:r>
              <w:rPr>
                <w:rFonts w:hint="default"/>
                <w:b/>
                <w:bCs/>
              </w:rPr>
              <w:t>H</w:t>
            </w:r>
            <w:r>
              <w:rPr>
                <w:rFonts w:hint="default"/>
                <w:b/>
                <w:bCs/>
                <w:vertAlign w:val="subscript"/>
              </w:rPr>
              <w:t>9</w:t>
            </w:r>
            <w:r>
              <w:rPr>
                <w:rFonts w:hint="default"/>
                <w:b/>
                <w:bCs/>
              </w:rPr>
              <w:t>NO）：</w:t>
            </w:r>
            <w:r>
              <w:rPr>
                <w:rFonts w:hint="default"/>
              </w:rPr>
              <w:t>简称PVP，白色的粉末，有微臭。平均分子量8000-700000</w:t>
            </w:r>
            <w:r>
              <w:rPr>
                <w:rFonts w:hint="eastAsia"/>
              </w:rPr>
              <w:t>；</w:t>
            </w:r>
            <w:r>
              <w:rPr>
                <w:rFonts w:hint="default"/>
              </w:rPr>
              <w:t>密度1.144g/cm</w:t>
            </w:r>
            <w:r>
              <w:rPr>
                <w:rFonts w:hint="eastAsia"/>
                <w:vertAlign w:val="superscript"/>
              </w:rPr>
              <w:t>3</w:t>
            </w:r>
            <w:r>
              <w:rPr>
                <w:rFonts w:hint="eastAsia"/>
              </w:rPr>
              <w:t>，</w:t>
            </w:r>
            <w:r>
              <w:rPr>
                <w:rFonts w:hint="default"/>
              </w:rPr>
              <w:t>沸点217.6℃，熔点130℃，闪点93.9℃，常温常压下稳定。PVP极易溶于水及含卤代烃类溶剂、醇类、胺类、硝基烷烃及低分子脂肪酸等，不溶于丙酮、乙醚、松节油、脂肪烃和脂环烃等少数溶剂。能与多数无机酸盐、多种树脂相容</w:t>
            </w:r>
            <w:r>
              <w:rPr>
                <w:rFonts w:hint="eastAsia"/>
              </w:rPr>
              <w:t>；</w:t>
            </w:r>
            <w:r>
              <w:rPr>
                <w:rFonts w:hint="default"/>
              </w:rPr>
              <w:t>PVP具有较好的热稳定性，在空气中加热100℃以下，不发生明显的变化。若空气中加热至150℃时，则发生交联反应</w:t>
            </w:r>
            <w:r>
              <w:rPr>
                <w:rFonts w:hint="eastAsia"/>
              </w:rPr>
              <w:t>；</w:t>
            </w:r>
            <w:r>
              <w:rPr>
                <w:rFonts w:hint="default"/>
              </w:rPr>
              <w:t>PVP有良好的分散作用，防止颗粒相互聚集而沉淀。由于PVP既溶于水，又溶于大部分有机溶剂、毒性很低、生理相溶性好，通常用于医药、食品、化妆品这些与人们健康密切相关的领域中。</w:t>
            </w:r>
          </w:p>
          <w:p w14:paraId="4B8E0E1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2" w:firstLineChars="200"/>
              <w:jc w:val="both"/>
              <w:textAlignment w:val="auto"/>
              <w:rPr>
                <w:rFonts w:hint="default" w:ascii="Times New Roman" w:hAnsi="Times New Roman" w:eastAsia="宋体" w:cs="Times New Roman"/>
                <w:sz w:val="24"/>
                <w:szCs w:val="24"/>
              </w:rPr>
            </w:pPr>
            <w:r>
              <w:rPr>
                <w:rFonts w:hint="default"/>
                <w:b/>
                <w:bCs/>
              </w:rPr>
              <w:t>电解液：</w:t>
            </w:r>
            <w:r>
              <w:rPr>
                <w:rFonts w:hint="default"/>
              </w:rPr>
              <w:t>由溶剂（碳酸二甲酯）及六氟磷酸锂组成。碳酸二甲酯简称DMC，常温时是一种无色透明、略有气味、微甜的液体，熔点4℃，沸点90.1℃，密度1.069 g/cm</w:t>
            </w:r>
            <w:r>
              <w:rPr>
                <w:rFonts w:hint="default"/>
                <w:vertAlign w:val="superscript"/>
              </w:rPr>
              <w:t>3</w:t>
            </w:r>
            <w:r>
              <w:rPr>
                <w:rFonts w:hint="default"/>
              </w:rPr>
              <w:t>,难溶于水，但可以与醇、醚、酮等几乎所有的</w:t>
            </w:r>
            <w:r>
              <w:rPr>
                <w:rFonts w:hint="default"/>
              </w:rPr>
              <w:fldChar w:fldCharType="begin"/>
            </w:r>
            <w:r>
              <w:rPr>
                <w:rFonts w:hint="default"/>
              </w:rPr>
              <w:instrText xml:space="preserve"> HYPERLINK "https://baike.so.com/doc/4792021-5008084.html" \t "_blank" </w:instrText>
            </w:r>
            <w:r>
              <w:rPr>
                <w:rFonts w:hint="default"/>
              </w:rPr>
              <w:fldChar w:fldCharType="separate"/>
            </w:r>
            <w:r>
              <w:rPr>
                <w:rFonts w:hint="default"/>
              </w:rPr>
              <w:t>有机溶剂</w:t>
            </w:r>
            <w:r>
              <w:rPr>
                <w:rFonts w:hint="default"/>
              </w:rPr>
              <w:fldChar w:fldCharType="end"/>
            </w:r>
            <w:r>
              <w:rPr>
                <w:rFonts w:hint="default"/>
              </w:rPr>
              <w:t>混溶。DMC在</w:t>
            </w:r>
            <w:r>
              <w:rPr>
                <w:rFonts w:hint="default"/>
              </w:rPr>
              <w:fldChar w:fldCharType="begin"/>
            </w:r>
            <w:r>
              <w:rPr>
                <w:rFonts w:hint="default"/>
              </w:rPr>
              <w:instrText xml:space="preserve"> HYPERLINK "https://baike.so.com/doc/221095-233877.html" \t "_blank" </w:instrText>
            </w:r>
            <w:r>
              <w:rPr>
                <w:rFonts w:hint="default"/>
              </w:rPr>
              <w:fldChar w:fldCharType="separate"/>
            </w:r>
            <w:r>
              <w:rPr>
                <w:rFonts w:hint="default"/>
              </w:rPr>
              <w:t>常压</w:t>
            </w:r>
            <w:r>
              <w:rPr>
                <w:rFonts w:hint="default"/>
              </w:rPr>
              <w:fldChar w:fldCharType="end"/>
            </w:r>
            <w:r>
              <w:rPr>
                <w:rFonts w:hint="default"/>
              </w:rPr>
              <w:t>下和甲醇</w:t>
            </w:r>
            <w:r>
              <w:rPr>
                <w:rFonts w:hint="default"/>
              </w:rPr>
              <w:fldChar w:fldCharType="begin"/>
            </w:r>
            <w:r>
              <w:rPr>
                <w:rFonts w:hint="default"/>
              </w:rPr>
              <w:instrText xml:space="preserve"> HYPERLINK "https://baike.so.com/doc/1319098-1394585.html" \t "_blank" </w:instrText>
            </w:r>
            <w:r>
              <w:rPr>
                <w:rFonts w:hint="default"/>
              </w:rPr>
              <w:fldChar w:fldCharType="separate"/>
            </w:r>
            <w:r>
              <w:rPr>
                <w:rFonts w:hint="default"/>
              </w:rPr>
              <w:t>共沸</w:t>
            </w:r>
            <w:r>
              <w:rPr>
                <w:rFonts w:hint="default"/>
              </w:rPr>
              <w:fldChar w:fldCharType="end"/>
            </w:r>
            <w:r>
              <w:rPr>
                <w:rFonts w:hint="default"/>
              </w:rPr>
              <w:t>，共沸温度63.8℃。DMC</w:t>
            </w:r>
            <w:r>
              <w:rPr>
                <w:rFonts w:hint="default"/>
              </w:rPr>
              <w:fldChar w:fldCharType="begin"/>
            </w:r>
            <w:r>
              <w:rPr>
                <w:rFonts w:hint="default"/>
              </w:rPr>
              <w:instrText xml:space="preserve"> HYPERLINK "https://baike.so.com/doc/5993718-6206689.html" \t "_blank" </w:instrText>
            </w:r>
            <w:r>
              <w:rPr>
                <w:rFonts w:hint="default"/>
              </w:rPr>
              <w:fldChar w:fldCharType="separate"/>
            </w:r>
            <w:r>
              <w:rPr>
                <w:rFonts w:hint="default"/>
              </w:rPr>
              <w:t>毒性</w:t>
            </w:r>
            <w:r>
              <w:rPr>
                <w:rFonts w:hint="default"/>
              </w:rPr>
              <w:fldChar w:fldCharType="end"/>
            </w:r>
            <w:r>
              <w:rPr>
                <w:rFonts w:hint="default"/>
              </w:rPr>
              <w:t>很低，在1992年就被欧洲列为无毒产品，是一种符合现代"清洁工艺"要求的环保型化工原料。六氟磷酸锂是电解液成分最重要的组成部分。</w:t>
            </w:r>
          </w:p>
          <w:p w14:paraId="316FEAED">
            <w:pPr>
              <w:keepNext w:val="0"/>
              <w:keepLines w:val="0"/>
              <w:suppressLineNumbers w:val="0"/>
              <w:spacing w:before="0" w:beforeAutospacing="0" w:after="0" w:afterAutospacing="0" w:line="440" w:lineRule="exact"/>
              <w:ind w:left="0" w:right="0" w:firstLine="482" w:firstLineChars="200"/>
              <w:rPr>
                <w:rFonts w:hint="default"/>
                <w:vertAlign w:val="baseline"/>
                <w:lang w:val="en-US" w:eastAsia="zh-CN"/>
              </w:rPr>
            </w:pPr>
            <w:r>
              <w:rPr>
                <w:rFonts w:hint="eastAsia"/>
                <w:b/>
                <w:color w:val="000000" w:themeColor="text1"/>
                <w:sz w:val="24"/>
                <w:lang w:val="en-US" w:eastAsia="zh-CN"/>
                <w14:textFill>
                  <w14:solidFill>
                    <w14:schemeClr w14:val="tx1"/>
                  </w14:solidFill>
                </w14:textFill>
              </w:rPr>
              <w:t>防锈油：</w:t>
            </w:r>
            <w:r>
              <w:rPr>
                <w:rFonts w:hint="eastAsia"/>
                <w:b w:val="0"/>
                <w:bCs/>
                <w:color w:val="000000" w:themeColor="text1"/>
                <w:sz w:val="24"/>
                <w:lang w:val="en-US" w:eastAsia="zh-CN"/>
                <w14:textFill>
                  <w14:solidFill>
                    <w14:schemeClr w14:val="tx1"/>
                  </w14:solidFill>
                </w14:textFill>
              </w:rPr>
              <w:t>主要成分为60%防锈剂、20%碳氢化合物、7%石油磺酸钡、8%成膜剂、5%高分子电镀液。是一种浅棕色液体，沸点180-200</w:t>
            </w:r>
            <w:r>
              <w:rPr>
                <w:rFonts w:hint="default"/>
              </w:rPr>
              <w:t>℃</w:t>
            </w:r>
            <w:r>
              <w:rPr>
                <w:rFonts w:hint="eastAsia"/>
                <w:lang w:eastAsia="zh-CN"/>
              </w:rPr>
              <w:t>，</w:t>
            </w:r>
            <w:r>
              <w:rPr>
                <w:rFonts w:hint="eastAsia"/>
                <w:lang w:val="en-US" w:eastAsia="zh-CN"/>
              </w:rPr>
              <w:t>相对密度0.75</w:t>
            </w:r>
            <w:r>
              <w:rPr>
                <w:rFonts w:hint="default"/>
              </w:rPr>
              <w:t>g/cm</w:t>
            </w:r>
            <w:r>
              <w:rPr>
                <w:rFonts w:hint="default"/>
                <w:vertAlign w:val="superscript"/>
              </w:rPr>
              <w:t>3</w:t>
            </w:r>
            <w:r>
              <w:rPr>
                <w:rFonts w:hint="eastAsia"/>
                <w:vertAlign w:val="baseline"/>
                <w:lang w:eastAsia="zh-CN"/>
              </w:rPr>
              <w:t>。</w:t>
            </w:r>
            <w:r>
              <w:rPr>
                <w:rFonts w:hint="eastAsia"/>
                <w:vertAlign w:val="baseline"/>
                <w:lang w:val="en-US" w:eastAsia="zh-CN"/>
              </w:rPr>
              <w:t>对圆柱电池及钢材表面起到较好的防锈作用。</w:t>
            </w:r>
          </w:p>
          <w:p w14:paraId="5B964368">
            <w:pPr>
              <w:keepNext w:val="0"/>
              <w:keepLines w:val="0"/>
              <w:suppressLineNumbers w:val="0"/>
              <w:spacing w:before="0" w:beforeAutospacing="0" w:after="0" w:afterAutospacing="0" w:line="440" w:lineRule="exact"/>
              <w:ind w:left="0" w:right="0" w:firstLine="482" w:firstLineChars="200"/>
              <w:rPr>
                <w:rFonts w:hint="eastAsia" w:eastAsia="宋体"/>
                <w:b/>
                <w:color w:val="000000" w:themeColor="text1"/>
                <w:sz w:val="24"/>
                <w:lang w:eastAsia="zh-CN"/>
                <w14:textFill>
                  <w14:solidFill>
                    <w14:schemeClr w14:val="tx1"/>
                  </w14:solidFill>
                </w14:textFill>
              </w:rPr>
            </w:pPr>
            <w:r>
              <w:rPr>
                <w:rFonts w:hint="eastAsia"/>
                <w:b/>
                <w:color w:val="000000" w:themeColor="text1"/>
                <w:sz w:val="24"/>
                <w:lang w:val="en-US" w:eastAsia="zh-CN"/>
                <w14:textFill>
                  <w14:solidFill>
                    <w14:schemeClr w14:val="tx1"/>
                  </w14:solidFill>
                </w14:textFill>
              </w:rPr>
              <w:t>6</w:t>
            </w:r>
            <w:r>
              <w:rPr>
                <w:rFonts w:hint="default"/>
                <w:b/>
                <w:color w:val="000000" w:themeColor="text1"/>
                <w:sz w:val="24"/>
                <w14:textFill>
                  <w14:solidFill>
                    <w14:schemeClr w14:val="tx1"/>
                  </w14:solidFill>
                </w14:textFill>
              </w:rPr>
              <w:t>、</w:t>
            </w:r>
            <w:r>
              <w:rPr>
                <w:rFonts w:hint="eastAsia"/>
                <w:b/>
                <w:color w:val="000000" w:themeColor="text1"/>
                <w:sz w:val="24"/>
                <w:lang w:val="pt-BR" w:eastAsia="zh-CN"/>
                <w14:textFill>
                  <w14:solidFill>
                    <w14:schemeClr w14:val="tx1"/>
                  </w14:solidFill>
                </w14:textFill>
              </w:rPr>
              <w:t>公用工程情况</w:t>
            </w:r>
          </w:p>
          <w:p w14:paraId="0743F78F">
            <w:pPr>
              <w:keepNext w:val="0"/>
              <w:keepLines w:val="0"/>
              <w:suppressLineNumbers w:val="0"/>
              <w:adjustRightInd w:val="0"/>
              <w:snapToGrid w:val="0"/>
              <w:spacing w:before="0" w:beforeAutospacing="0" w:after="0" w:afterAutospacing="0" w:line="440" w:lineRule="exact"/>
              <w:ind w:left="0" w:right="0" w:firstLine="482" w:firstLineChars="200"/>
              <w:rPr>
                <w:rFonts w:hint="eastAsia"/>
                <w:b/>
                <w:bCs w:val="0"/>
                <w:color w:val="000000" w:themeColor="text1"/>
                <w:lang w:eastAsia="zh-CN"/>
                <w14:textFill>
                  <w14:solidFill>
                    <w14:schemeClr w14:val="tx1"/>
                  </w14:solidFill>
                </w14:textFill>
              </w:rPr>
            </w:pPr>
            <w:r>
              <w:rPr>
                <w:rFonts w:hint="default" w:ascii="Times New Roman" w:hAnsi="Times New Roman" w:cs="Times New Roman"/>
                <w:b/>
                <w:bCs w:val="0"/>
                <w:color w:val="000000" w:themeColor="text1"/>
                <w:sz w:val="24"/>
                <w:highlight w:val="none"/>
                <w14:textFill>
                  <w14:solidFill>
                    <w14:schemeClr w14:val="tx1"/>
                  </w14:solidFill>
                </w14:textFill>
              </w:rPr>
              <w:t>①</w:t>
            </w:r>
            <w:r>
              <w:rPr>
                <w:rFonts w:hint="default" w:ascii="Times New Roman" w:hAnsi="Times New Roman" w:cs="Times New Roman"/>
                <w:b/>
                <w:bCs w:val="0"/>
                <w:color w:val="000000" w:themeColor="text1"/>
                <w:sz w:val="24"/>
                <w:highlight w:val="none"/>
                <w:lang w:eastAsia="zh-CN"/>
                <w14:textFill>
                  <w14:solidFill>
                    <w14:schemeClr w14:val="tx1"/>
                  </w14:solidFill>
                </w14:textFill>
              </w:rPr>
              <w:t>给排水</w:t>
            </w:r>
          </w:p>
          <w:p w14:paraId="3CA07380">
            <w:pPr>
              <w:keepNext w:val="0"/>
              <w:keepLines w:val="0"/>
              <w:suppressLineNumbers w:val="0"/>
              <w:adjustRightInd w:val="0"/>
              <w:snapToGrid w:val="0"/>
              <w:spacing w:before="0" w:beforeAutospacing="0" w:after="0" w:afterAutospacing="0" w:line="440" w:lineRule="exact"/>
              <w:ind w:left="0" w:right="0" w:firstLine="480" w:firstLineChars="200"/>
              <w:rPr>
                <w:rFonts w:hint="default" w:ascii="Times New Roman" w:hAnsi="Times New Roman" w:eastAsia="宋体" w:cs="Times New Roman"/>
                <w:b/>
                <w:bCs w:val="0"/>
                <w:color w:val="auto"/>
                <w:sz w:val="24"/>
                <w:highlight w:val="yellow"/>
                <w:lang w:val="en-US" w:eastAsia="zh-CN"/>
              </w:rPr>
            </w:pPr>
            <w:r>
              <w:rPr>
                <w:rFonts w:hint="eastAsia" w:cs="Times New Roman"/>
                <w:b w:val="0"/>
                <w:bCs/>
                <w:color w:val="auto"/>
                <w:sz w:val="24"/>
                <w:highlight w:val="none"/>
                <w:lang w:val="en-US" w:eastAsia="zh-CN"/>
              </w:rPr>
              <w:t>本项目仅对生产设备进行升级改造，生产工艺不变，员工拟减少50人，生活污水预计减少</w:t>
            </w:r>
            <w:r>
              <w:rPr>
                <w:rFonts w:hint="eastAsia"/>
                <w:b w:val="0"/>
                <w:bCs/>
                <w:highlight w:val="none"/>
                <w:lang w:val="en-US" w:eastAsia="zh-CN"/>
              </w:rPr>
              <w:t>1</w:t>
            </w:r>
            <w:r>
              <w:rPr>
                <w:rFonts w:hint="eastAsia"/>
                <w:highlight w:val="none"/>
                <w:lang w:val="en-US" w:eastAsia="zh-CN"/>
              </w:rPr>
              <w:t>.2m</w:t>
            </w:r>
            <w:r>
              <w:rPr>
                <w:rFonts w:hint="eastAsia"/>
                <w:highlight w:val="none"/>
                <w:vertAlign w:val="superscript"/>
                <w:lang w:val="en-US" w:eastAsia="zh-CN"/>
              </w:rPr>
              <w:t>3</w:t>
            </w:r>
            <w:r>
              <w:rPr>
                <w:rFonts w:hint="eastAsia"/>
                <w:highlight w:val="none"/>
                <w:lang w:val="en-US" w:eastAsia="zh-CN"/>
              </w:rPr>
              <w:t>/d（396m</w:t>
            </w:r>
            <w:r>
              <w:rPr>
                <w:rFonts w:hint="eastAsia"/>
                <w:highlight w:val="none"/>
                <w:vertAlign w:val="superscript"/>
                <w:lang w:val="en-US" w:eastAsia="zh-CN"/>
              </w:rPr>
              <w:t>3</w:t>
            </w:r>
            <w:r>
              <w:rPr>
                <w:rFonts w:hint="eastAsia"/>
                <w:highlight w:val="none"/>
                <w:lang w:val="en-US" w:eastAsia="zh-CN"/>
              </w:rPr>
              <w:t>/a）。生产废水经沉淀池沉淀后与生活污水一并排至厂区污水站处理，处理后经污水管网排至新乡县综合污水处理厂进一步处理。</w:t>
            </w:r>
          </w:p>
          <w:p w14:paraId="07EF6E41">
            <w:pPr>
              <w:keepNext w:val="0"/>
              <w:keepLines w:val="0"/>
              <w:suppressLineNumbers w:val="0"/>
              <w:adjustRightInd w:val="0"/>
              <w:snapToGrid w:val="0"/>
              <w:spacing w:before="0" w:beforeAutospacing="0" w:after="0" w:afterAutospacing="0" w:line="440" w:lineRule="exact"/>
              <w:ind w:left="0" w:right="0" w:firstLine="482" w:firstLineChars="200"/>
              <w:rPr>
                <w:rFonts w:hint="eastAsia" w:ascii="Calibri" w:hAnsi="Calibri" w:cs="Calibri"/>
                <w:b/>
                <w:bCs w:val="0"/>
                <w:color w:val="auto"/>
                <w:sz w:val="24"/>
                <w:highlight w:val="none"/>
                <w:lang w:eastAsia="zh-CN"/>
              </w:rPr>
            </w:pPr>
            <w:r>
              <w:rPr>
                <w:rFonts w:hint="default" w:ascii="Times New Roman" w:hAnsi="Times New Roman" w:cs="Times New Roman"/>
                <w:b/>
                <w:bCs w:val="0"/>
                <w:color w:val="auto"/>
                <w:sz w:val="24"/>
                <w:highlight w:val="none"/>
              </w:rPr>
              <w:t>②</w:t>
            </w:r>
            <w:r>
              <w:rPr>
                <w:rFonts w:hint="default" w:ascii="Times New Roman" w:hAnsi="Times New Roman" w:cs="Times New Roman"/>
                <w:b/>
                <w:bCs w:val="0"/>
                <w:color w:val="auto"/>
                <w:sz w:val="24"/>
                <w:highlight w:val="none"/>
                <w:lang w:eastAsia="zh-CN"/>
              </w:rPr>
              <w:t>供</w:t>
            </w:r>
            <w:r>
              <w:rPr>
                <w:rFonts w:hint="eastAsia" w:ascii="Calibri" w:hAnsi="Calibri" w:cs="Calibri"/>
                <w:b/>
                <w:bCs w:val="0"/>
                <w:color w:val="auto"/>
                <w:sz w:val="24"/>
                <w:highlight w:val="none"/>
                <w:lang w:eastAsia="zh-CN"/>
              </w:rPr>
              <w:t>电</w:t>
            </w:r>
          </w:p>
          <w:p w14:paraId="7D40011C">
            <w:pPr>
              <w:keepNext w:val="0"/>
              <w:keepLines w:val="0"/>
              <w:suppressLineNumbers w:val="0"/>
              <w:adjustRightInd w:val="0"/>
              <w:snapToGrid w:val="0"/>
              <w:spacing w:before="0" w:beforeAutospacing="0" w:after="0" w:afterAutospacing="0" w:line="440" w:lineRule="exact"/>
              <w:ind w:left="0" w:right="0" w:firstLine="480" w:firstLineChars="200"/>
              <w:rPr>
                <w:rFonts w:hint="eastAsia" w:ascii="Calibri" w:hAnsi="Calibri" w:cs="Calibri"/>
                <w:b w:val="0"/>
                <w:bCs/>
                <w:color w:val="auto"/>
                <w:sz w:val="24"/>
                <w:highlight w:val="none"/>
                <w:lang w:val="en-US" w:eastAsia="zh-CN"/>
              </w:rPr>
            </w:pPr>
            <w:r>
              <w:rPr>
                <w:rFonts w:hint="eastAsia" w:ascii="Calibri" w:hAnsi="Calibri" w:cs="Calibri"/>
                <w:b w:val="0"/>
                <w:bCs/>
                <w:color w:val="auto"/>
                <w:sz w:val="24"/>
                <w:highlight w:val="none"/>
                <w:lang w:eastAsia="zh-CN"/>
              </w:rPr>
              <w:t>本项目厂区用电量约</w:t>
            </w:r>
            <w:r>
              <w:rPr>
                <w:rFonts w:hint="default" w:ascii="Times New Roman" w:hAnsi="Times New Roman" w:cs="Times New Roman"/>
                <w:b w:val="0"/>
                <w:bCs/>
                <w:color w:val="auto"/>
                <w:sz w:val="24"/>
                <w:highlight w:val="none"/>
                <w:lang w:eastAsia="zh-CN"/>
              </w:rPr>
              <w:t>为</w:t>
            </w:r>
            <w:r>
              <w:rPr>
                <w:rFonts w:hint="eastAsia" w:cs="Times New Roman"/>
                <w:b w:val="0"/>
                <w:bCs/>
                <w:color w:val="auto"/>
                <w:sz w:val="24"/>
                <w:highlight w:val="none"/>
                <w:lang w:val="en-US" w:eastAsia="zh-CN"/>
              </w:rPr>
              <w:t>40</w:t>
            </w:r>
            <w:r>
              <w:rPr>
                <w:rFonts w:hint="default" w:ascii="Times New Roman" w:hAnsi="Times New Roman" w:cs="Times New Roman"/>
                <w:b w:val="0"/>
                <w:bCs/>
                <w:szCs w:val="21"/>
              </w:rPr>
              <w:t>万kW·h/a</w:t>
            </w:r>
            <w:r>
              <w:rPr>
                <w:rFonts w:hint="eastAsia" w:ascii="Calibri" w:hAnsi="Calibri" w:cs="Calibri"/>
                <w:b w:val="0"/>
                <w:bCs/>
                <w:color w:val="auto"/>
                <w:sz w:val="24"/>
                <w:highlight w:val="none"/>
                <w:lang w:eastAsia="zh-CN"/>
              </w:rPr>
              <w:t>，由市政供电系统提供，可以满足项目用电需求。</w:t>
            </w:r>
          </w:p>
          <w:p w14:paraId="2131849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firstLine="511" w:firstLineChars="212"/>
              <w:textAlignment w:val="baseline"/>
              <w:rPr>
                <w:rFonts w:hint="default" w:ascii="宋体" w:hAnsi="宋体" w:eastAsia="宋体"/>
                <w:b/>
                <w:color w:val="auto"/>
                <w:sz w:val="24"/>
                <w:highlight w:val="none"/>
                <w:lang w:val="en-US" w:eastAsia="zh-CN"/>
              </w:rPr>
            </w:pPr>
            <w:r>
              <w:rPr>
                <w:rFonts w:hint="eastAsia" w:cs="Times New Roman"/>
                <w:b/>
                <w:color w:val="auto"/>
                <w:sz w:val="24"/>
                <w:highlight w:val="none"/>
                <w:lang w:val="en-US" w:eastAsia="zh-CN"/>
              </w:rPr>
              <w:t>7</w:t>
            </w:r>
            <w:r>
              <w:rPr>
                <w:rFonts w:hint="eastAsia" w:ascii="宋体" w:hAnsi="宋体"/>
                <w:b/>
                <w:color w:val="auto"/>
                <w:sz w:val="24"/>
                <w:highlight w:val="none"/>
              </w:rPr>
              <w:t>、</w:t>
            </w:r>
            <w:r>
              <w:rPr>
                <w:rFonts w:hint="eastAsia" w:ascii="宋体" w:hAnsi="宋体"/>
                <w:b/>
                <w:color w:val="auto"/>
                <w:sz w:val="24"/>
                <w:highlight w:val="none"/>
                <w:lang w:val="en-US" w:eastAsia="zh-CN"/>
              </w:rPr>
              <w:t>项目选址与厂区平面布置</w:t>
            </w:r>
          </w:p>
          <w:p w14:paraId="7AA01AEC">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440" w:lineRule="exact"/>
              <w:ind w:left="0" w:right="0"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szCs w:val="24"/>
                <w:highlight w:val="none"/>
                <w:lang w:val="en-US" w:eastAsia="zh-CN"/>
              </w:rPr>
              <w:t>本项目选址位于</w:t>
            </w:r>
            <w:r>
              <w:rPr>
                <w:rFonts w:hint="eastAsia" w:cs="Times New Roman"/>
                <w:color w:val="auto"/>
                <w:sz w:val="24"/>
                <w:szCs w:val="24"/>
                <w:highlight w:val="none"/>
                <w:lang w:val="en-US" w:eastAsia="zh-CN"/>
              </w:rPr>
              <w:t>河南省新乡市新乡县经济开发区兴隆路西段</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依托现有场地</w:t>
            </w:r>
            <w:r>
              <w:rPr>
                <w:rFonts w:hint="default" w:ascii="Times New Roman" w:hAnsi="Times New Roman" w:cs="Times New Roman"/>
                <w:color w:val="auto"/>
                <w:sz w:val="24"/>
                <w:szCs w:val="24"/>
                <w:highlight w:val="none"/>
                <w:lang w:val="en-US" w:eastAsia="zh-CN"/>
              </w:rPr>
              <w:t>进行建设。根据《新乡县智能制造产业园区总体发展规划（2021-2035）》，</w:t>
            </w:r>
            <w:r>
              <w:rPr>
                <w:rFonts w:hint="eastAsia" w:ascii="Times New Roman" w:hAnsi="Times New Roman" w:cs="Times New Roman"/>
                <w:color w:val="auto"/>
                <w:sz w:val="24"/>
                <w:szCs w:val="24"/>
                <w:highlight w:val="none"/>
                <w:lang w:val="en-US" w:eastAsia="zh-CN"/>
              </w:rPr>
              <w:t>项目所在地为</w:t>
            </w:r>
            <w:r>
              <w:rPr>
                <w:rFonts w:hint="eastAsia" w:cs="Times New Roman"/>
                <w:color w:val="auto"/>
                <w:sz w:val="24"/>
                <w:szCs w:val="24"/>
                <w:highlight w:val="none"/>
                <w:lang w:val="en-US" w:eastAsia="zh-CN"/>
              </w:rPr>
              <w:t>二类工业</w:t>
            </w:r>
            <w:r>
              <w:rPr>
                <w:rFonts w:hint="eastAsia" w:ascii="Times New Roman" w:hAnsi="Times New Roman" w:cs="Times New Roman"/>
                <w:color w:val="auto"/>
                <w:sz w:val="24"/>
                <w:szCs w:val="24"/>
                <w:highlight w:val="none"/>
                <w:lang w:val="en-US" w:eastAsia="zh-CN"/>
              </w:rPr>
              <w:t>用地</w:t>
            </w:r>
            <w:r>
              <w:rPr>
                <w:rFonts w:hint="eastAsia" w:cs="Times New Roman"/>
                <w:color w:val="0000FF"/>
                <w:sz w:val="24"/>
                <w:highlight w:val="none"/>
                <w:lang w:val="en-US" w:eastAsia="zh-CN"/>
              </w:rPr>
              <w:t>。</w:t>
            </w:r>
            <w:r>
              <w:rPr>
                <w:rFonts w:hint="eastAsia" w:cs="Times New Roman"/>
                <w:color w:val="auto"/>
                <w:sz w:val="24"/>
                <w:highlight w:val="none"/>
                <w:lang w:val="en-US" w:eastAsia="zh-CN"/>
              </w:rPr>
              <w:t>项目建设单位</w:t>
            </w:r>
            <w:r>
              <w:rPr>
                <w:rFonts w:hint="default" w:ascii="Times New Roman" w:hAnsi="Times New Roman" w:eastAsia="宋体" w:cs="Times New Roman"/>
                <w:color w:val="auto"/>
                <w:sz w:val="24"/>
                <w:highlight w:val="none"/>
              </w:rPr>
              <w:t>所在地四周环境为：</w:t>
            </w:r>
            <w:r>
              <w:rPr>
                <w:rFonts w:hint="eastAsia" w:cs="Times New Roman"/>
                <w:color w:val="auto"/>
                <w:sz w:val="24"/>
                <w:highlight w:val="none"/>
                <w:lang w:val="en-US" w:eastAsia="zh-CN"/>
              </w:rPr>
              <w:t>北侧为空地；</w:t>
            </w:r>
            <w:r>
              <w:rPr>
                <w:rFonts w:hint="eastAsia" w:cs="Times New Roman"/>
                <w:color w:val="auto"/>
                <w:sz w:val="24"/>
                <w:highlight w:val="none"/>
                <w:lang w:eastAsia="zh-CN"/>
              </w:rPr>
              <w:t>西侧</w:t>
            </w:r>
            <w:r>
              <w:rPr>
                <w:rFonts w:hint="eastAsia" w:cs="Times New Roman"/>
                <w:color w:val="auto"/>
                <w:sz w:val="24"/>
                <w:highlight w:val="none"/>
                <w:lang w:val="en-US" w:eastAsia="zh-CN"/>
              </w:rPr>
              <w:t>为农田</w:t>
            </w:r>
            <w:r>
              <w:rPr>
                <w:rFonts w:hint="eastAsia" w:cs="Times New Roman"/>
                <w:color w:val="auto"/>
                <w:sz w:val="24"/>
                <w:highlight w:val="none"/>
                <w:lang w:eastAsia="zh-CN"/>
              </w:rPr>
              <w:t>；</w:t>
            </w:r>
            <w:r>
              <w:rPr>
                <w:rFonts w:hint="eastAsia" w:cs="Times New Roman"/>
                <w:color w:val="auto"/>
                <w:sz w:val="24"/>
                <w:highlight w:val="none"/>
                <w:lang w:val="en-US" w:eastAsia="zh-CN"/>
              </w:rPr>
              <w:t>南侧为农田；东侧为河南省金特科技机械有限公司，南侧为新乡吉恩新能源材料有限公司。</w:t>
            </w:r>
            <w:r>
              <w:rPr>
                <w:rFonts w:hint="eastAsia" w:ascii="宋体" w:hAnsi="宋体" w:cs="宋体"/>
                <w:color w:val="auto"/>
                <w:sz w:val="24"/>
                <w:szCs w:val="24"/>
                <w:highlight w:val="none"/>
                <w:lang w:val="en-US" w:eastAsia="zh-CN"/>
              </w:rPr>
              <w:t>本项目最近的敏感点为西北侧距</w:t>
            </w:r>
            <w:r>
              <w:rPr>
                <w:rFonts w:hint="default" w:ascii="Times New Roman" w:hAnsi="Times New Roman" w:cs="Times New Roman"/>
                <w:color w:val="auto"/>
                <w:sz w:val="24"/>
                <w:szCs w:val="24"/>
                <w:highlight w:val="none"/>
                <w:lang w:val="en-US" w:eastAsia="zh-CN"/>
              </w:rPr>
              <w:t>离</w:t>
            </w:r>
            <w:r>
              <w:rPr>
                <w:rFonts w:hint="eastAsia" w:cs="Times New Roman"/>
                <w:color w:val="auto"/>
                <w:sz w:val="24"/>
                <w:szCs w:val="24"/>
                <w:highlight w:val="none"/>
                <w:lang w:val="en-US" w:eastAsia="zh-CN"/>
              </w:rPr>
              <w:t>319</w:t>
            </w:r>
            <w:r>
              <w:rPr>
                <w:rFonts w:hint="default" w:ascii="Times New Roman" w:hAnsi="Times New Roman" w:cs="Times New Roman"/>
                <w:color w:val="auto"/>
                <w:sz w:val="24"/>
                <w:szCs w:val="24"/>
                <w:highlight w:val="none"/>
                <w:lang w:val="en-US" w:eastAsia="zh-CN"/>
              </w:rPr>
              <w:t>米处的</w:t>
            </w:r>
            <w:r>
              <w:rPr>
                <w:rFonts w:hint="eastAsia" w:cs="Times New Roman"/>
                <w:color w:val="auto"/>
                <w:sz w:val="24"/>
                <w:szCs w:val="24"/>
                <w:highlight w:val="none"/>
                <w:lang w:val="en-US" w:eastAsia="zh-CN"/>
              </w:rPr>
              <w:t>西大阳村</w:t>
            </w:r>
            <w:r>
              <w:rPr>
                <w:rFonts w:hint="eastAsia" w:cs="Times New Roman"/>
                <w:color w:val="auto"/>
                <w:sz w:val="24"/>
                <w:highlight w:val="none"/>
                <w:lang w:val="en-US" w:eastAsia="zh-CN"/>
              </w:rPr>
              <w:t>。本项目选址较为合理，不会对周边环境造成不利影响。</w:t>
            </w:r>
          </w:p>
          <w:p w14:paraId="40C32D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宋体" w:hAnsi="宋体" w:eastAsia="宋体" w:cs="宋体"/>
                <w:color w:val="000000"/>
                <w:kern w:val="0"/>
                <w:sz w:val="24"/>
                <w:szCs w:val="24"/>
                <w:highlight w:val="none"/>
                <w:lang w:val="en-US" w:eastAsia="zh-CN" w:bidi="ar"/>
              </w:rPr>
            </w:pPr>
            <w:r>
              <w:rPr>
                <w:rFonts w:hint="eastAsia" w:ascii="宋体" w:hAnsi="宋体" w:cs="宋体"/>
                <w:color w:val="000000"/>
                <w:kern w:val="0"/>
                <w:sz w:val="24"/>
                <w:szCs w:val="24"/>
                <w:highlight w:val="none"/>
                <w:lang w:val="en-US" w:eastAsia="zh-CN" w:bidi="ar"/>
              </w:rPr>
              <w:t>本项目依托现有厂房生产，将旧设备淘汰，厂区平面布置图不发生变化</w:t>
            </w:r>
            <w:r>
              <w:rPr>
                <w:rFonts w:hint="eastAsia" w:ascii="宋体" w:hAnsi="宋体" w:eastAsia="宋体" w:cs="宋体"/>
                <w:color w:val="000000"/>
                <w:kern w:val="0"/>
                <w:sz w:val="24"/>
                <w:szCs w:val="24"/>
                <w:highlight w:val="none"/>
                <w:lang w:val="en-US" w:eastAsia="zh-CN" w:bidi="ar"/>
              </w:rPr>
              <w:t>。厂区平面布置图见</w:t>
            </w:r>
            <w:r>
              <w:rPr>
                <w:rFonts w:hint="eastAsia" w:ascii="宋体" w:hAnsi="宋体" w:cs="宋体"/>
                <w:color w:val="000000"/>
                <w:kern w:val="0"/>
                <w:sz w:val="24"/>
                <w:szCs w:val="24"/>
                <w:highlight w:val="none"/>
                <w:lang w:val="en-US" w:eastAsia="zh-CN" w:bidi="ar"/>
              </w:rPr>
              <w:t>附</w:t>
            </w:r>
            <w:r>
              <w:rPr>
                <w:rFonts w:hint="eastAsia" w:ascii="宋体" w:hAnsi="宋体" w:eastAsia="宋体" w:cs="宋体"/>
                <w:color w:val="000000"/>
                <w:kern w:val="0"/>
                <w:sz w:val="24"/>
                <w:szCs w:val="24"/>
                <w:highlight w:val="none"/>
                <w:lang w:val="en-US" w:eastAsia="zh-CN" w:bidi="ar"/>
              </w:rPr>
              <w:t>图。</w:t>
            </w:r>
          </w:p>
          <w:p w14:paraId="39EC31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lang w:val="en-US" w:eastAsia="zh-CN"/>
              </w:rPr>
            </w:pPr>
            <w:r>
              <w:rPr>
                <w:rFonts w:hint="eastAsia"/>
                <w:b w:val="0"/>
                <w:bCs/>
                <w:color w:val="auto"/>
                <w:sz w:val="24"/>
                <w:highlight w:val="none"/>
                <w:lang w:val="en-US" w:eastAsia="zh-CN"/>
              </w:rPr>
              <w:t>本项目厂房布置符合设计规范，污染源、治污设施与排污口等布局合理，对环境敏感点距离较远，不会对敏感点产生影响。厂房布局等能够满足项目生产要求和相关环保要求。</w:t>
            </w:r>
          </w:p>
        </w:tc>
      </w:tr>
      <w:tr w14:paraId="4F8DC9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1" w:type="dxa"/>
            <w:noWrap w:val="0"/>
            <w:vAlign w:val="center"/>
          </w:tcPr>
          <w:p w14:paraId="62B0A38B">
            <w:pPr>
              <w:pStyle w:val="1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ascii="Times New Roman" w:hAnsi="Times New Roman"/>
                <w:sz w:val="21"/>
                <w:szCs w:val="21"/>
                <w:lang w:val="en-US" w:eastAsia="zh-CN"/>
              </w:rPr>
            </w:pPr>
            <w:r>
              <w:rPr>
                <w:rFonts w:hint="default" w:ascii="Times New Roman"/>
                <w:sz w:val="24"/>
                <w:szCs w:val="24"/>
                <w:lang w:val="en-US" w:eastAsia="zh-CN"/>
              </w:rPr>
              <w:t>工艺流程和产排污环节</w:t>
            </w:r>
          </w:p>
        </w:tc>
        <w:tc>
          <w:tcPr>
            <w:tcW w:w="9021" w:type="dxa"/>
            <w:noWrap w:val="0"/>
            <w:vAlign w:val="top"/>
          </w:tcPr>
          <w:p w14:paraId="5F72CC93">
            <w:pPr>
              <w:keepNext w:val="0"/>
              <w:keepLines w:val="0"/>
              <w:suppressLineNumbers w:val="0"/>
              <w:spacing w:before="0" w:beforeAutospacing="0" w:after="0" w:afterAutospacing="0" w:line="440" w:lineRule="exact"/>
              <w:ind w:left="0" w:right="0"/>
              <w:jc w:val="left"/>
              <w:rPr>
                <w:rFonts w:hint="eastAsia" w:ascii="宋体" w:hAnsi="宋体"/>
                <w:b/>
                <w:bCs/>
                <w:color w:val="000000" w:themeColor="text1"/>
                <w:sz w:val="24"/>
                <w14:textFill>
                  <w14:solidFill>
                    <w14:schemeClr w14:val="tx1"/>
                  </w14:solidFill>
                </w14:textFill>
              </w:rPr>
            </w:pPr>
            <w:r>
              <w:rPr>
                <w:rFonts w:hint="eastAsia" w:ascii="宋体" w:hAnsi="宋体"/>
                <w:b/>
                <w:bCs/>
                <w:color w:val="000000" w:themeColor="text1"/>
                <w:sz w:val="24"/>
                <w14:textFill>
                  <w14:solidFill>
                    <w14:schemeClr w14:val="tx1"/>
                  </w14:solidFill>
                </w14:textFill>
              </w:rPr>
              <w:t>工艺流程简述（图示）：</w:t>
            </w:r>
          </w:p>
          <w:p w14:paraId="075C5A9D">
            <w:pPr>
              <w:keepNext w:val="0"/>
              <w:keepLines w:val="0"/>
              <w:widowControl/>
              <w:numPr>
                <w:ilvl w:val="0"/>
                <w:numId w:val="5"/>
              </w:numPr>
              <w:suppressLineNumbers w:val="0"/>
              <w:spacing w:before="0" w:beforeAutospacing="0" w:after="0" w:afterAutospacing="0"/>
              <w:ind w:left="0" w:right="0" w:firstLine="482"/>
              <w:rPr>
                <w:rFonts w:hint="eastAsia"/>
                <w:b/>
                <w:bCs/>
              </w:rPr>
            </w:pPr>
            <w:r>
              <w:rPr>
                <w:rFonts w:hint="eastAsia"/>
                <w:b/>
                <w:bCs/>
              </w:rPr>
              <w:t>锂离子电池生产工艺流程及产污环节图</w:t>
            </w:r>
          </w:p>
          <w:p w14:paraId="22D3B6A5">
            <w:pPr>
              <w:keepNext w:val="0"/>
              <w:keepLines w:val="0"/>
              <w:widowControl/>
              <w:numPr>
                <w:ilvl w:val="0"/>
                <w:numId w:val="0"/>
              </w:numPr>
              <w:suppressLineNumbers w:val="0"/>
              <w:spacing w:before="0" w:beforeAutospacing="0" w:after="0" w:afterAutospacing="0"/>
              <w:ind w:left="0" w:right="0" w:rightChars="0"/>
              <w:jc w:val="left"/>
              <w:rPr>
                <w:rFonts w:hint="eastAsia"/>
                <w:b/>
                <w:bCs/>
              </w:rPr>
            </w:pPr>
          </w:p>
          <w:p w14:paraId="460295CB">
            <w:pPr>
              <w:keepNext w:val="0"/>
              <w:keepLines w:val="0"/>
              <w:widowControl/>
              <w:numPr>
                <w:ilvl w:val="0"/>
                <w:numId w:val="0"/>
              </w:numPr>
              <w:suppressLineNumbers w:val="0"/>
              <w:spacing w:before="0" w:beforeAutospacing="0" w:after="0" w:afterAutospacing="0"/>
              <w:ind w:left="0" w:right="0" w:rightChars="0"/>
              <w:jc w:val="left"/>
              <w:rPr>
                <w:rFonts w:hint="eastAsia"/>
                <w:b/>
                <w:bCs/>
              </w:rPr>
            </w:pPr>
          </w:p>
          <w:p w14:paraId="3B0DFB6B">
            <w:pPr>
              <w:keepNext w:val="0"/>
              <w:keepLines w:val="0"/>
              <w:widowControl/>
              <w:numPr>
                <w:ilvl w:val="0"/>
                <w:numId w:val="0"/>
              </w:numPr>
              <w:suppressLineNumbers w:val="0"/>
              <w:spacing w:before="0" w:beforeAutospacing="0" w:after="0" w:afterAutospacing="0"/>
              <w:ind w:left="0" w:right="0" w:rightChars="0"/>
              <w:jc w:val="left"/>
              <w:rPr>
                <w:rFonts w:hint="eastAsia"/>
                <w:b/>
                <w:bCs/>
              </w:rPr>
            </w:pPr>
          </w:p>
          <w:p w14:paraId="70B3E841">
            <w:pPr>
              <w:keepNext w:val="0"/>
              <w:keepLines w:val="0"/>
              <w:widowControl/>
              <w:numPr>
                <w:ilvl w:val="0"/>
                <w:numId w:val="0"/>
              </w:numPr>
              <w:suppressLineNumbers w:val="0"/>
              <w:spacing w:before="0" w:beforeAutospacing="0" w:after="0" w:afterAutospacing="0"/>
              <w:ind w:left="0" w:right="0" w:rightChars="0"/>
              <w:jc w:val="left"/>
              <w:rPr>
                <w:rFonts w:hint="eastAsia"/>
                <w:b/>
                <w:bCs/>
              </w:rPr>
            </w:pPr>
          </w:p>
          <w:p w14:paraId="1DDADD47">
            <w:pPr>
              <w:keepNext w:val="0"/>
              <w:keepLines w:val="0"/>
              <w:widowControl/>
              <w:numPr>
                <w:ilvl w:val="0"/>
                <w:numId w:val="0"/>
              </w:numPr>
              <w:suppressLineNumbers w:val="0"/>
              <w:spacing w:before="0" w:beforeAutospacing="0" w:after="0" w:afterAutospacing="0"/>
              <w:ind w:left="0" w:right="0" w:rightChars="0"/>
              <w:jc w:val="left"/>
              <w:rPr>
                <w:rFonts w:hint="eastAsia"/>
                <w:b/>
                <w:bCs/>
              </w:rPr>
            </w:pPr>
          </w:p>
          <w:p w14:paraId="09D1CC83">
            <w:pPr>
              <w:keepNext w:val="0"/>
              <w:keepLines w:val="0"/>
              <w:widowControl/>
              <w:numPr>
                <w:ilvl w:val="0"/>
                <w:numId w:val="0"/>
              </w:numPr>
              <w:suppressLineNumbers w:val="0"/>
              <w:spacing w:before="0" w:beforeAutospacing="0" w:after="0" w:afterAutospacing="0"/>
              <w:ind w:left="0" w:right="0" w:rightChars="0"/>
              <w:jc w:val="left"/>
              <w:rPr>
                <w:rFonts w:hint="eastAsia"/>
                <w:b/>
                <w:bCs/>
              </w:rPr>
            </w:pPr>
          </w:p>
          <w:p w14:paraId="175079E9">
            <w:pPr>
              <w:keepNext w:val="0"/>
              <w:keepLines w:val="0"/>
              <w:widowControl/>
              <w:numPr>
                <w:ilvl w:val="0"/>
                <w:numId w:val="0"/>
              </w:numPr>
              <w:suppressLineNumbers w:val="0"/>
              <w:spacing w:before="0" w:beforeAutospacing="0" w:after="0" w:afterAutospacing="0"/>
              <w:ind w:left="0" w:right="0" w:rightChars="0"/>
              <w:jc w:val="left"/>
              <w:rPr>
                <w:rFonts w:hint="eastAsia"/>
                <w:b/>
                <w:bCs/>
              </w:rPr>
            </w:pPr>
          </w:p>
          <w:p w14:paraId="2A275252">
            <w:pPr>
              <w:keepNext w:val="0"/>
              <w:keepLines w:val="0"/>
              <w:widowControl/>
              <w:numPr>
                <w:ilvl w:val="0"/>
                <w:numId w:val="0"/>
              </w:numPr>
              <w:suppressLineNumbers w:val="0"/>
              <w:spacing w:before="0" w:beforeAutospacing="0" w:after="0" w:afterAutospacing="0"/>
              <w:ind w:left="0" w:right="0" w:rightChars="0"/>
              <w:jc w:val="left"/>
              <w:rPr>
                <w:rFonts w:hint="eastAsia"/>
                <w:b/>
                <w:bCs/>
              </w:rPr>
            </w:pPr>
          </w:p>
          <w:p w14:paraId="5B283693">
            <w:pPr>
              <w:keepNext w:val="0"/>
              <w:keepLines w:val="0"/>
              <w:widowControl/>
              <w:numPr>
                <w:ilvl w:val="0"/>
                <w:numId w:val="0"/>
              </w:numPr>
              <w:suppressLineNumbers w:val="0"/>
              <w:spacing w:before="0" w:beforeAutospacing="0" w:after="0" w:afterAutospacing="0"/>
              <w:ind w:left="0" w:right="0" w:rightChars="0"/>
              <w:jc w:val="left"/>
              <w:rPr>
                <w:rFonts w:hint="eastAsia"/>
                <w:b/>
                <w:bCs/>
              </w:rPr>
            </w:pPr>
          </w:p>
          <w:p w14:paraId="073EF4CE">
            <w:pPr>
              <w:keepNext w:val="0"/>
              <w:keepLines w:val="0"/>
              <w:widowControl/>
              <w:numPr>
                <w:ilvl w:val="0"/>
                <w:numId w:val="0"/>
              </w:numPr>
              <w:suppressLineNumbers w:val="0"/>
              <w:spacing w:before="0" w:beforeAutospacing="0" w:after="0" w:afterAutospacing="0"/>
              <w:ind w:left="0" w:right="0" w:rightChars="0"/>
              <w:jc w:val="left"/>
              <w:rPr>
                <w:rFonts w:hint="eastAsia"/>
                <w:b/>
                <w:bCs/>
              </w:rPr>
            </w:pPr>
          </w:p>
          <w:p w14:paraId="1264E2C8">
            <w:pPr>
              <w:keepNext w:val="0"/>
              <w:keepLines w:val="0"/>
              <w:widowControl/>
              <w:numPr>
                <w:ilvl w:val="0"/>
                <w:numId w:val="0"/>
              </w:numPr>
              <w:suppressLineNumbers w:val="0"/>
              <w:spacing w:before="0" w:beforeAutospacing="0" w:after="0" w:afterAutospacing="0"/>
              <w:ind w:left="0" w:right="0" w:rightChars="0"/>
              <w:jc w:val="left"/>
              <w:rPr>
                <w:rFonts w:hint="eastAsia"/>
                <w:b/>
                <w:bCs/>
              </w:rPr>
            </w:pPr>
          </w:p>
          <w:p w14:paraId="3EA3EE16">
            <w:pPr>
              <w:keepNext w:val="0"/>
              <w:keepLines w:val="0"/>
              <w:widowControl/>
              <w:numPr>
                <w:ilvl w:val="0"/>
                <w:numId w:val="0"/>
              </w:numPr>
              <w:suppressLineNumbers w:val="0"/>
              <w:spacing w:before="0" w:beforeAutospacing="0" w:after="0" w:afterAutospacing="0"/>
              <w:ind w:left="0" w:right="0" w:rightChars="0"/>
              <w:jc w:val="left"/>
              <w:rPr>
                <w:rFonts w:hint="eastAsia"/>
                <w:b/>
                <w:bCs/>
              </w:rPr>
            </w:pPr>
          </w:p>
          <w:p w14:paraId="7BB90395">
            <w:pPr>
              <w:keepNext w:val="0"/>
              <w:keepLines w:val="0"/>
              <w:widowControl/>
              <w:numPr>
                <w:ilvl w:val="0"/>
                <w:numId w:val="0"/>
              </w:numPr>
              <w:suppressLineNumbers w:val="0"/>
              <w:spacing w:before="0" w:beforeAutospacing="0" w:after="0" w:afterAutospacing="0"/>
              <w:ind w:left="0" w:right="0" w:rightChars="0"/>
              <w:jc w:val="left"/>
              <w:rPr>
                <w:rFonts w:hint="eastAsia"/>
                <w:b/>
                <w:bCs/>
              </w:rPr>
            </w:pPr>
          </w:p>
          <w:p w14:paraId="4F48849B">
            <w:pPr>
              <w:keepNext w:val="0"/>
              <w:keepLines w:val="0"/>
              <w:widowControl/>
              <w:numPr>
                <w:ilvl w:val="0"/>
                <w:numId w:val="0"/>
              </w:numPr>
              <w:suppressLineNumbers w:val="0"/>
              <w:spacing w:before="0" w:beforeAutospacing="0" w:after="0" w:afterAutospacing="0"/>
              <w:ind w:left="0" w:right="0" w:rightChars="0"/>
              <w:jc w:val="left"/>
              <w:rPr>
                <w:rFonts w:hint="eastAsia"/>
                <w:b/>
                <w:bCs/>
              </w:rPr>
            </w:pPr>
          </w:p>
          <w:p w14:paraId="14C62657">
            <w:pPr>
              <w:keepNext w:val="0"/>
              <w:keepLines w:val="0"/>
              <w:widowControl/>
              <w:numPr>
                <w:ilvl w:val="0"/>
                <w:numId w:val="0"/>
              </w:numPr>
              <w:suppressLineNumbers w:val="0"/>
              <w:spacing w:before="0" w:beforeAutospacing="0" w:after="0" w:afterAutospacing="0"/>
              <w:ind w:left="0" w:right="0" w:rightChars="0"/>
              <w:jc w:val="left"/>
              <w:rPr>
                <w:rFonts w:hint="eastAsia"/>
                <w:b/>
                <w:bCs/>
              </w:rPr>
            </w:pPr>
          </w:p>
          <w:p w14:paraId="309D1BA7">
            <w:pPr>
              <w:keepNext w:val="0"/>
              <w:keepLines w:val="0"/>
              <w:widowControl/>
              <w:numPr>
                <w:ilvl w:val="0"/>
                <w:numId w:val="0"/>
              </w:numPr>
              <w:suppressLineNumbers w:val="0"/>
              <w:spacing w:before="0" w:beforeAutospacing="0" w:after="0" w:afterAutospacing="0"/>
              <w:ind w:left="0" w:right="0" w:rightChars="0"/>
              <w:jc w:val="left"/>
              <w:rPr>
                <w:rFonts w:hint="eastAsia"/>
                <w:b/>
                <w:bCs/>
              </w:rPr>
            </w:pPr>
          </w:p>
          <w:p w14:paraId="37C60F7B">
            <w:pPr>
              <w:keepNext w:val="0"/>
              <w:keepLines w:val="0"/>
              <w:widowControl/>
              <w:numPr>
                <w:ilvl w:val="0"/>
                <w:numId w:val="0"/>
              </w:numPr>
              <w:suppressLineNumbers w:val="0"/>
              <w:spacing w:before="0" w:beforeAutospacing="0" w:after="0" w:afterAutospacing="0"/>
              <w:ind w:left="0" w:right="0" w:rightChars="0"/>
              <w:jc w:val="left"/>
              <w:rPr>
                <w:rFonts w:hint="eastAsia"/>
                <w:b/>
                <w:bCs/>
              </w:rPr>
            </w:pPr>
          </w:p>
          <w:p w14:paraId="233C2778">
            <w:pPr>
              <w:keepNext w:val="0"/>
              <w:keepLines w:val="0"/>
              <w:widowControl/>
              <w:numPr>
                <w:ilvl w:val="0"/>
                <w:numId w:val="0"/>
              </w:numPr>
              <w:suppressLineNumbers w:val="0"/>
              <w:spacing w:before="0" w:beforeAutospacing="0" w:after="0" w:afterAutospacing="0"/>
              <w:ind w:left="0" w:right="0" w:rightChars="0"/>
              <w:jc w:val="left"/>
              <w:rPr>
                <w:rFonts w:hint="eastAsia"/>
                <w:b/>
                <w:bCs/>
              </w:rPr>
            </w:pPr>
          </w:p>
          <w:p w14:paraId="77297E99">
            <w:pPr>
              <w:keepNext w:val="0"/>
              <w:keepLines w:val="0"/>
              <w:widowControl/>
              <w:numPr>
                <w:ilvl w:val="0"/>
                <w:numId w:val="0"/>
              </w:numPr>
              <w:suppressLineNumbers w:val="0"/>
              <w:spacing w:before="0" w:beforeAutospacing="0" w:after="0" w:afterAutospacing="0"/>
              <w:ind w:left="0" w:right="0" w:rightChars="0"/>
              <w:jc w:val="left"/>
              <w:rPr>
                <w:rFonts w:hint="eastAsia"/>
                <w:b/>
                <w:bCs/>
              </w:rPr>
            </w:pPr>
          </w:p>
          <w:p w14:paraId="36A01BF3">
            <w:pPr>
              <w:keepNext w:val="0"/>
              <w:keepLines w:val="0"/>
              <w:widowControl/>
              <w:numPr>
                <w:ilvl w:val="0"/>
                <w:numId w:val="0"/>
              </w:numPr>
              <w:suppressLineNumbers w:val="0"/>
              <w:spacing w:before="0" w:beforeAutospacing="0" w:after="0" w:afterAutospacing="0"/>
              <w:ind w:left="0" w:right="0" w:rightChars="0"/>
              <w:jc w:val="left"/>
              <w:rPr>
                <w:rFonts w:hint="eastAsia"/>
                <w:b/>
                <w:bCs/>
              </w:rPr>
            </w:pPr>
          </w:p>
          <w:p w14:paraId="3A19EC59">
            <w:pPr>
              <w:keepNext w:val="0"/>
              <w:keepLines w:val="0"/>
              <w:widowControl/>
              <w:numPr>
                <w:ilvl w:val="0"/>
                <w:numId w:val="0"/>
              </w:numPr>
              <w:suppressLineNumbers w:val="0"/>
              <w:spacing w:before="0" w:beforeAutospacing="0" w:after="0" w:afterAutospacing="0"/>
              <w:ind w:left="0" w:right="0" w:rightChars="0"/>
              <w:jc w:val="left"/>
              <w:rPr>
                <w:rFonts w:hint="eastAsia"/>
                <w:b/>
                <w:bCs/>
              </w:rPr>
            </w:pPr>
          </w:p>
          <w:p w14:paraId="76380447">
            <w:pPr>
              <w:keepNext w:val="0"/>
              <w:keepLines w:val="0"/>
              <w:widowControl/>
              <w:numPr>
                <w:ilvl w:val="0"/>
                <w:numId w:val="0"/>
              </w:numPr>
              <w:suppressLineNumbers w:val="0"/>
              <w:spacing w:before="0" w:beforeAutospacing="0" w:after="0" w:afterAutospacing="0"/>
              <w:ind w:left="0" w:right="0" w:rightChars="0"/>
              <w:jc w:val="left"/>
              <w:rPr>
                <w:rFonts w:hint="eastAsia"/>
                <w:b/>
                <w:bCs/>
              </w:rPr>
            </w:pPr>
          </w:p>
          <w:p w14:paraId="46DC0265">
            <w:pPr>
              <w:keepNext w:val="0"/>
              <w:keepLines w:val="0"/>
              <w:widowControl/>
              <w:numPr>
                <w:ilvl w:val="0"/>
                <w:numId w:val="0"/>
              </w:numPr>
              <w:suppressLineNumbers w:val="0"/>
              <w:spacing w:before="0" w:beforeAutospacing="0" w:after="0" w:afterAutospacing="0"/>
              <w:ind w:left="0" w:right="0" w:rightChars="0"/>
              <w:jc w:val="left"/>
              <w:rPr>
                <w:rFonts w:hint="eastAsia"/>
                <w:b/>
                <w:bCs/>
              </w:rPr>
            </w:pPr>
          </w:p>
          <w:p w14:paraId="1C49B70B">
            <w:pPr>
              <w:keepNext w:val="0"/>
              <w:keepLines w:val="0"/>
              <w:widowControl/>
              <w:numPr>
                <w:ilvl w:val="0"/>
                <w:numId w:val="0"/>
              </w:numPr>
              <w:suppressLineNumbers w:val="0"/>
              <w:spacing w:before="0" w:beforeAutospacing="0" w:after="0" w:afterAutospacing="0"/>
              <w:ind w:left="0" w:right="0" w:rightChars="0"/>
              <w:jc w:val="left"/>
              <w:rPr>
                <w:rFonts w:hint="eastAsia"/>
                <w:b/>
                <w:bCs/>
              </w:rPr>
            </w:pPr>
          </w:p>
          <w:p w14:paraId="48083500">
            <w:pPr>
              <w:keepNext w:val="0"/>
              <w:keepLines w:val="0"/>
              <w:widowControl/>
              <w:numPr>
                <w:ilvl w:val="0"/>
                <w:numId w:val="0"/>
              </w:numPr>
              <w:suppressLineNumbers w:val="0"/>
              <w:spacing w:before="0" w:beforeAutospacing="0" w:after="0" w:afterAutospacing="0"/>
              <w:ind w:left="0" w:right="0" w:rightChars="0"/>
              <w:jc w:val="left"/>
              <w:rPr>
                <w:rFonts w:hint="eastAsia"/>
                <w:b/>
                <w:bCs/>
              </w:rPr>
            </w:pPr>
          </w:p>
          <w:p w14:paraId="7326DA78">
            <w:pPr>
              <w:pStyle w:val="2"/>
              <w:keepLines w:val="0"/>
              <w:suppressLineNumbers w:val="0"/>
              <w:spacing w:beforeAutospacing="0" w:afterAutospacing="0"/>
              <w:ind w:right="0"/>
              <w:jc w:val="center"/>
              <w:outlineLvl w:val="0"/>
              <w:rPr>
                <w:rFonts w:hint="default"/>
              </w:rPr>
            </w:pPr>
            <w:r>
              <w:rPr>
                <w:rFonts w:hint="default"/>
              </w:rPr>
              <w:drawing>
                <wp:inline distT="0" distB="0" distL="114300" distR="114300">
                  <wp:extent cx="4717415" cy="7119620"/>
                  <wp:effectExtent l="0" t="0" r="6985" b="5080"/>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15"/>
                          <a:stretch>
                            <a:fillRect/>
                          </a:stretch>
                        </pic:blipFill>
                        <pic:spPr>
                          <a:xfrm>
                            <a:off x="0" y="0"/>
                            <a:ext cx="4717415" cy="7119620"/>
                          </a:xfrm>
                          <a:prstGeom prst="rect">
                            <a:avLst/>
                          </a:prstGeom>
                          <a:noFill/>
                          <a:ln>
                            <a:noFill/>
                          </a:ln>
                        </pic:spPr>
                      </pic:pic>
                    </a:graphicData>
                  </a:graphic>
                </wp:inline>
              </w:drawing>
            </w:r>
          </w:p>
          <w:p w14:paraId="2AA45631">
            <w:pPr>
              <w:keepNext w:val="0"/>
              <w:keepLines w:val="0"/>
              <w:suppressLineNumbers w:val="0"/>
              <w:autoSpaceDE w:val="0"/>
              <w:autoSpaceDN w:val="0"/>
              <w:adjustRightInd w:val="0"/>
              <w:spacing w:before="0" w:beforeAutospacing="0" w:after="0" w:afterAutospacing="0" w:line="440" w:lineRule="exact"/>
              <w:ind w:left="0" w:right="0" w:firstLine="720" w:firstLineChars="300"/>
              <w:jc w:val="center"/>
              <w:rPr>
                <w:rFonts w:hint="default" w:eastAsia="黑体"/>
                <w:bCs/>
                <w:color w:val="000000"/>
              </w:rPr>
            </w:pPr>
            <w:r>
              <w:rPr>
                <w:rFonts w:hint="default" w:eastAsia="黑体"/>
                <w:bCs/>
                <w:color w:val="000000"/>
              </w:rPr>
              <w:t>图</w:t>
            </w:r>
            <w:r>
              <w:rPr>
                <w:rFonts w:hint="eastAsia" w:eastAsia="黑体"/>
                <w:bCs/>
                <w:color w:val="000000"/>
                <w:lang w:val="en-US" w:eastAsia="zh-CN"/>
              </w:rPr>
              <w:t>2</w:t>
            </w:r>
            <w:r>
              <w:rPr>
                <w:rFonts w:hint="eastAsia" w:eastAsia="黑体"/>
                <w:bCs/>
                <w:color w:val="000000"/>
              </w:rPr>
              <w:t xml:space="preserve">  锂离子电池生产工艺流程及产污环节图</w:t>
            </w:r>
          </w:p>
          <w:p w14:paraId="7DBD155C">
            <w:pPr>
              <w:keepNext w:val="0"/>
              <w:keepLines w:val="0"/>
              <w:pageBreakBefore w:val="0"/>
              <w:widowControl w:val="0"/>
              <w:suppressLineNumbers w:val="0"/>
              <w:kinsoku/>
              <w:wordWrap/>
              <w:topLinePunct w:val="0"/>
              <w:bidi w:val="0"/>
              <w:spacing w:before="0" w:beforeAutospacing="0" w:after="0" w:afterAutospacing="0" w:line="440" w:lineRule="exact"/>
              <w:ind w:left="482" w:right="0" w:hanging="482" w:hangingChars="200"/>
              <w:jc w:val="both"/>
              <w:textAlignment w:val="auto"/>
              <w:rPr>
                <w:rFonts w:hint="default"/>
                <w:b/>
                <w:bCs/>
              </w:rPr>
            </w:pPr>
            <w:r>
              <w:rPr>
                <w:rFonts w:hint="default"/>
                <w:b/>
                <w:bCs/>
              </w:rPr>
              <w:t>工艺流程简述：</w:t>
            </w:r>
          </w:p>
          <w:p w14:paraId="2845E6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jc w:val="both"/>
              <w:textAlignment w:val="auto"/>
              <w:rPr>
                <w:rFonts w:hint="default"/>
              </w:rPr>
            </w:pPr>
            <w:r>
              <w:rPr>
                <w:rFonts w:hint="eastAsia"/>
                <w:b/>
                <w:bCs/>
              </w:rPr>
              <w:t>配料制浆</w:t>
            </w:r>
            <w:r>
              <w:rPr>
                <w:rFonts w:hint="default"/>
              </w:rPr>
              <w:t>：</w:t>
            </w:r>
          </w:p>
          <w:p w14:paraId="3BC48D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rPr>
            </w:pPr>
            <w:r>
              <w:rPr>
                <w:rFonts w:hint="default"/>
              </w:rPr>
              <w:t>a、正极</w:t>
            </w:r>
            <w:r>
              <w:rPr>
                <w:rFonts w:hint="eastAsia"/>
              </w:rPr>
              <w:t>配料</w:t>
            </w:r>
            <w:r>
              <w:rPr>
                <w:rFonts w:hint="default"/>
              </w:rPr>
              <w:t>：将正极材料</w:t>
            </w:r>
            <w:r>
              <w:rPr>
                <w:rFonts w:hint="eastAsia"/>
              </w:rPr>
              <w:t>粉状</w:t>
            </w:r>
            <w:r>
              <w:rPr>
                <w:rFonts w:hint="default"/>
              </w:rPr>
              <w:t>锰酸锂和正极粘结剂</w:t>
            </w:r>
            <w:r>
              <w:rPr>
                <w:rFonts w:hint="eastAsia"/>
              </w:rPr>
              <w:t>颗粒状</w:t>
            </w:r>
            <w:r>
              <w:rPr>
                <w:rFonts w:hint="default"/>
              </w:rPr>
              <w:t>聚偏氯乙烯(PVDF)</w:t>
            </w:r>
            <w:r>
              <w:rPr>
                <w:rFonts w:hint="eastAsia"/>
              </w:rPr>
              <w:t>使</w:t>
            </w:r>
            <w:r>
              <w:rPr>
                <w:rFonts w:hint="default"/>
              </w:rPr>
              <w:t>用</w:t>
            </w:r>
            <w:r>
              <w:rPr>
                <w:rFonts w:hint="eastAsia"/>
              </w:rPr>
              <w:t>箱式自动投料站</w:t>
            </w:r>
            <w:r>
              <w:rPr>
                <w:rFonts w:hint="default"/>
              </w:rPr>
              <w:t>投入到搅拌机中，随后，</w:t>
            </w:r>
            <w:r>
              <w:rPr>
                <w:rFonts w:hint="eastAsia"/>
              </w:rPr>
              <w:t>通过双螺杆浆料输送泵</w:t>
            </w:r>
            <w:r>
              <w:rPr>
                <w:rFonts w:hint="default"/>
              </w:rPr>
              <w:t>将溶剂N-甲基吡咯烷酮（NMP）、导电浆（CNTs）按配方比例加入到搅拌机内。常温密闭状态下进行搅拌混料（混料时原料会释放热量，因此混合机需用循环冷却水冷却）。搅拌罐设置有专用出料口，搅拌完成后通过专用输料管与出料口连接，经泵送至涂布车间</w:t>
            </w:r>
            <w:r>
              <w:rPr>
                <w:rFonts w:hint="eastAsia"/>
              </w:rPr>
              <w:t>精密挤压涂布机</w:t>
            </w:r>
            <w:r>
              <w:rPr>
                <w:rFonts w:hint="default"/>
              </w:rPr>
              <w:t>内。</w:t>
            </w:r>
          </w:p>
          <w:p w14:paraId="129868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ascii="宋体" w:hAnsi="宋体"/>
                <w:color w:val="000000"/>
              </w:rPr>
            </w:pPr>
            <w:r>
              <w:rPr>
                <w:rFonts w:hint="default" w:ascii="宋体" w:hAnsi="宋体"/>
                <w:color w:val="000000"/>
              </w:rPr>
              <w:t>箱式自动投料站的投料过程为：箱式自动投料站单独置于密闭</w:t>
            </w:r>
            <w:r>
              <w:rPr>
                <w:rFonts w:hint="default" w:ascii="TimesNewRomanPSMT" w:hAnsi="TimesNewRomanPSMT"/>
                <w:color w:val="000000"/>
              </w:rPr>
              <w:t>2</w:t>
            </w:r>
            <w:r>
              <w:rPr>
                <w:rFonts w:hint="default" w:ascii="宋体" w:hAnsi="宋体"/>
                <w:color w:val="000000"/>
              </w:rPr>
              <w:t>层车间内，下方直接与</w:t>
            </w:r>
            <w:r>
              <w:rPr>
                <w:rFonts w:hint="default" w:ascii="TimesNewRomanPSMT" w:hAnsi="TimesNewRomanPSMT"/>
                <w:color w:val="000000"/>
              </w:rPr>
              <w:t>1</w:t>
            </w:r>
            <w:r>
              <w:rPr>
                <w:rFonts w:hint="default" w:ascii="宋体" w:hAnsi="宋体"/>
                <w:color w:val="000000"/>
              </w:rPr>
              <w:t>层搅拌机连通，投料时将</w:t>
            </w:r>
            <w:r>
              <w:rPr>
                <w:rFonts w:hint="eastAsia" w:ascii="宋体" w:hAnsi="宋体"/>
                <w:color w:val="000000"/>
              </w:rPr>
              <w:t>吨包</w:t>
            </w:r>
            <w:r>
              <w:rPr>
                <w:rFonts w:hint="default" w:ascii="宋体" w:hAnsi="宋体"/>
                <w:color w:val="000000"/>
              </w:rPr>
              <w:t>整体由吊机置入</w:t>
            </w:r>
            <w:r>
              <w:rPr>
                <w:rFonts w:hint="eastAsia" w:ascii="宋体" w:hAnsi="宋体"/>
                <w:color w:val="000000"/>
              </w:rPr>
              <w:t>箱式自动投料站</w:t>
            </w:r>
            <w:r>
              <w:rPr>
                <w:rFonts w:hint="default" w:ascii="宋体" w:hAnsi="宋体"/>
                <w:color w:val="000000"/>
              </w:rPr>
              <w:t>箱体内，利用重力，物料由高处自动落入进料口内；根据配比放料阀开启，物料通过下层出料口流出，并直接落入搅拌机内，投料结束下方出料舱自动关闭，待下次投料整个输送流程再次启动，整个过程全程密闭。投料站顶部设置有滤芯过滤器，用于收集部分逸散粉尘，回用于投料工序，</w:t>
            </w:r>
            <w:r>
              <w:rPr>
                <w:rFonts w:hint="eastAsia" w:ascii="宋体" w:hAnsi="宋体"/>
                <w:color w:val="000000"/>
              </w:rPr>
              <w:t>整个过程在</w:t>
            </w:r>
            <w:r>
              <w:rPr>
                <w:rFonts w:hint="default" w:ascii="宋体" w:hAnsi="宋体"/>
                <w:color w:val="000000"/>
              </w:rPr>
              <w:t>箱式自动投料站</w:t>
            </w:r>
            <w:r>
              <w:rPr>
                <w:rFonts w:hint="eastAsia" w:ascii="宋体" w:hAnsi="宋体"/>
                <w:color w:val="000000"/>
              </w:rPr>
              <w:t>内密闭进行，溢出投料间的粉尘量较小</w:t>
            </w:r>
            <w:r>
              <w:rPr>
                <w:rFonts w:hint="default" w:ascii="宋体" w:hAnsi="宋体"/>
                <w:color w:val="000000"/>
              </w:rPr>
              <w:t>。</w:t>
            </w:r>
          </w:p>
          <w:p w14:paraId="41A1B1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rPr>
            </w:pPr>
            <w:r>
              <w:rPr>
                <w:rFonts w:hint="default"/>
              </w:rPr>
              <w:t>正极溶剂在贮存、</w:t>
            </w:r>
            <w:r>
              <w:rPr>
                <w:rFonts w:hint="eastAsia"/>
              </w:rPr>
              <w:t>配料</w:t>
            </w:r>
            <w:r>
              <w:rPr>
                <w:rFonts w:hint="default"/>
              </w:rPr>
              <w:t>过程中产生的有机废气：正极溶剂N-甲基吡咯烷酮（NMP）由罐车运输入厂，由泵抽入储罐内贮存。在抽料时储罐会产生一些呼吸废气，识别为非甲烷总烃，评价提出，储罐呼吸口安装呼吸阀，呼吸废气通过管道送入废气治理装置</w:t>
            </w:r>
            <w:r>
              <w:rPr>
                <w:rFonts w:hint="default"/>
                <w:color w:val="000000"/>
              </w:rPr>
              <w:t>NMP</w:t>
            </w:r>
            <w:r>
              <w:rPr>
                <w:rFonts w:hint="eastAsia"/>
                <w:color w:val="000000"/>
              </w:rPr>
              <w:t>高塔</w:t>
            </w:r>
            <w:r>
              <w:rPr>
                <w:rFonts w:hint="default"/>
                <w:color w:val="000000"/>
              </w:rPr>
              <w:t>回收系统</w:t>
            </w:r>
            <w:r>
              <w:rPr>
                <w:rFonts w:hint="default"/>
              </w:rPr>
              <w:t>治理，尾气汇入有机废气排气筒有组织排放。</w:t>
            </w:r>
          </w:p>
          <w:p w14:paraId="635181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rPr>
            </w:pPr>
            <w:r>
              <w:rPr>
                <w:rFonts w:hint="default"/>
              </w:rPr>
              <w:t>在向搅拌机注入溶剂时，采用往复式真空泵抽料，会产生一些真空尾气，投料完成后，关闭搅拌机上的真空阀门，搅拌机处于密闭状态，搅拌过程中不会有粉尘和有机废气产生。但搅拌结束后，需进行抽真空处理，以消除搅拌过程中浆料内产生的气泡。也会产生一些真空尾气。治理措施为：将真空泵尾气排放口通入废气治理装置</w:t>
            </w:r>
            <w:r>
              <w:rPr>
                <w:rFonts w:hint="default"/>
                <w:color w:val="000000"/>
              </w:rPr>
              <w:t>NMP高塔回收系统</w:t>
            </w:r>
            <w:r>
              <w:rPr>
                <w:rFonts w:hint="default"/>
              </w:rPr>
              <w:t>治理</w:t>
            </w:r>
            <w:r>
              <w:rPr>
                <w:rFonts w:hint="eastAsia"/>
              </w:rPr>
              <w:t>，</w:t>
            </w:r>
            <w:r>
              <w:rPr>
                <w:rFonts w:hint="default"/>
              </w:rPr>
              <w:t>尾气</w:t>
            </w:r>
            <w:r>
              <w:rPr>
                <w:rFonts w:hint="eastAsia"/>
                <w:lang w:val="en-US" w:eastAsia="zh-CN"/>
              </w:rPr>
              <w:t>经15米高排气筒</w:t>
            </w:r>
            <w:r>
              <w:rPr>
                <w:rFonts w:hint="default"/>
              </w:rPr>
              <w:t>有组织排放。</w:t>
            </w:r>
          </w:p>
          <w:p w14:paraId="763999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rPr>
            </w:pPr>
            <w:r>
              <w:rPr>
                <w:rFonts w:hint="default"/>
              </w:rPr>
              <w:t>b、负极混料：与正极混料过程类似。将石墨粉与负极粘结剂（丁苯橡胶和羧甲基纤维素钠）依次</w:t>
            </w:r>
            <w:r>
              <w:rPr>
                <w:rFonts w:hint="eastAsia"/>
              </w:rPr>
              <w:t>放入箱式自动投料站</w:t>
            </w:r>
            <w:r>
              <w:rPr>
                <w:rFonts w:hint="default"/>
              </w:rPr>
              <w:t>（负极</w:t>
            </w:r>
            <w:r>
              <w:rPr>
                <w:rFonts w:hint="eastAsia"/>
              </w:rPr>
              <w:t>配</w:t>
            </w:r>
            <w:r>
              <w:rPr>
                <w:rFonts w:hint="default"/>
              </w:rPr>
              <w:t>料专用），投料</w:t>
            </w:r>
            <w:r>
              <w:rPr>
                <w:rFonts w:hint="eastAsia"/>
              </w:rPr>
              <w:t>过程与正极投料相同</w:t>
            </w:r>
            <w:r>
              <w:rPr>
                <w:rFonts w:hint="default"/>
              </w:rPr>
              <w:t>。用</w:t>
            </w:r>
            <w:r>
              <w:rPr>
                <w:rFonts w:hint="eastAsia"/>
              </w:rPr>
              <w:t>输送泵</w:t>
            </w:r>
            <w:r>
              <w:rPr>
                <w:rFonts w:hint="default"/>
              </w:rPr>
              <w:t>将导电浆（CNTs）按配方比例加入到搅拌机内。</w:t>
            </w:r>
            <w:r>
              <w:rPr>
                <w:rFonts w:hint="default"/>
                <w:bCs/>
              </w:rPr>
              <w:t>负极浆料采用纯水作为溶剂，在后面的涂布烘干过程中水全部挥发。</w:t>
            </w:r>
          </w:p>
          <w:p w14:paraId="1A6B26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jc w:val="both"/>
              <w:textAlignment w:val="auto"/>
              <w:rPr>
                <w:rFonts w:hint="default"/>
              </w:rPr>
            </w:pPr>
            <w:r>
              <w:rPr>
                <w:rFonts w:hint="eastAsia"/>
                <w:b/>
                <w:bCs/>
              </w:rPr>
              <w:t>涂布烘干工序</w:t>
            </w:r>
            <w:r>
              <w:rPr>
                <w:rFonts w:hint="default"/>
              </w:rPr>
              <w:t>：</w:t>
            </w:r>
          </w:p>
          <w:p w14:paraId="257470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rPr>
            </w:pPr>
            <w:r>
              <w:rPr>
                <w:rFonts w:hint="default"/>
              </w:rPr>
              <w:t>搅拌罐设置有专用出料口，搅拌完成后通过专用输料管与出料口连接，经泵送至涂布车间涂布模具内。</w:t>
            </w:r>
            <w:r>
              <w:rPr>
                <w:rFonts w:hint="eastAsia"/>
              </w:rPr>
              <w:t>采用精密挤压涂布机涂布</w:t>
            </w:r>
            <w:r>
              <w:rPr>
                <w:rFonts w:hint="default"/>
              </w:rPr>
              <w:t>，工作时浆料在一定压力、一定流量下经过过滤装置、传送装置后沿着涂布模具的缝隙挤压喷出而转移到基材上。混合膏料均匀涂布于连续集流体的正反两面。其中，正极集流体材料为铝箔，负极集流体材料为铜箔。涂布后的湿极片进入烘箱进行烘干（所用热量由电加热提供），温度根据涂布速度和涂布厚度设定，一般正极片在120℃左右，负极片在90℃左右。干燥后的极片经张力调整和自动纠偏后进行收卷，供下一步工序进行加工。</w:t>
            </w:r>
          </w:p>
          <w:p w14:paraId="36FCAF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rPr>
            </w:pPr>
            <w:r>
              <w:rPr>
                <w:rFonts w:hint="default"/>
              </w:rPr>
              <w:t>正极涂布材料在烘干过程中，溶剂NMP全部挥发形成有机废气，通过烘箱内的密闭管道经风机引出。同时，在涂布机槽处挥发出的溶剂，经密闭管道进入废气治理装置</w:t>
            </w:r>
            <w:r>
              <w:rPr>
                <w:rFonts w:hint="default"/>
                <w:color w:val="000000"/>
              </w:rPr>
              <w:t>NMP</w:t>
            </w:r>
            <w:r>
              <w:rPr>
                <w:rFonts w:hint="eastAsia" w:ascii="宋体" w:hAnsi="宋体" w:cs="宋体"/>
                <w:color w:val="000000"/>
              </w:rPr>
              <w:t>高塔回收系统</w:t>
            </w:r>
            <w:r>
              <w:rPr>
                <w:rFonts w:hint="default"/>
              </w:rPr>
              <w:t>进行处理</w:t>
            </w:r>
            <w:r>
              <w:rPr>
                <w:rFonts w:hint="eastAsia"/>
              </w:rPr>
              <w:t>。</w:t>
            </w:r>
          </w:p>
          <w:p w14:paraId="2EA74CC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jc w:val="both"/>
              <w:textAlignment w:val="auto"/>
              <w:rPr>
                <w:rFonts w:hint="default"/>
              </w:rPr>
            </w:pPr>
            <w:r>
              <w:rPr>
                <w:rFonts w:hint="eastAsia"/>
                <w:b/>
                <w:bCs/>
              </w:rPr>
              <w:t>制片工序（对辊、分条）</w:t>
            </w:r>
            <w:r>
              <w:rPr>
                <w:rFonts w:hint="default"/>
              </w:rPr>
              <w:t>：</w:t>
            </w:r>
          </w:p>
          <w:p w14:paraId="29ED6E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rPr>
            </w:pPr>
            <w:r>
              <w:rPr>
                <w:rFonts w:hint="eastAsia"/>
                <w:bCs/>
              </w:rPr>
              <w:t>涂布</w:t>
            </w:r>
            <w:r>
              <w:rPr>
                <w:rFonts w:hint="default"/>
                <w:bCs/>
              </w:rPr>
              <w:t>后的正、负极母卷上涂满了正、负极材料混合物，需要通过连续</w:t>
            </w:r>
            <w:r>
              <w:rPr>
                <w:rFonts w:hint="default"/>
              </w:rPr>
              <w:t>辊压机</w:t>
            </w:r>
            <w:r>
              <w:rPr>
                <w:rFonts w:hint="default"/>
                <w:bCs/>
              </w:rPr>
              <w:t>压延成片状，厚度控制在0.125～0.165mm左右</w:t>
            </w:r>
            <w:r>
              <w:rPr>
                <w:rFonts w:hint="default"/>
                <w:color w:val="000000"/>
              </w:rPr>
              <w:t>，</w:t>
            </w:r>
            <w:r>
              <w:rPr>
                <w:rFonts w:hint="default"/>
                <w:bCs/>
              </w:rPr>
              <w:t>根据不同规格的电池要求由分条机切断成相应的极片尺寸。</w:t>
            </w:r>
            <w:r>
              <w:rPr>
                <w:rFonts w:hint="default"/>
              </w:rPr>
              <w:t>该过程中会产生极片边角料以及设备噪声，产生的正、负极片边角料收集后出售。</w:t>
            </w:r>
          </w:p>
          <w:p w14:paraId="471DA1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jc w:val="both"/>
              <w:textAlignment w:val="auto"/>
              <w:rPr>
                <w:rFonts w:hint="default"/>
              </w:rPr>
            </w:pPr>
            <w:r>
              <w:rPr>
                <w:rFonts w:hint="eastAsia"/>
                <w:b/>
                <w:bCs/>
              </w:rPr>
              <w:t>卷绕工序</w:t>
            </w:r>
            <w:r>
              <w:rPr>
                <w:rFonts w:hint="default"/>
              </w:rPr>
              <w:t>：</w:t>
            </w:r>
          </w:p>
          <w:p w14:paraId="520173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bCs/>
              </w:rPr>
            </w:pPr>
            <w:r>
              <w:rPr>
                <w:rFonts w:hint="default"/>
                <w:bCs/>
              </w:rPr>
              <w:t>将正负极片和隔膜按照正极片—隔膜—负极片自上而下顺序放好经卷绕</w:t>
            </w:r>
            <w:r>
              <w:rPr>
                <w:rFonts w:hint="eastAsia"/>
                <w:bCs/>
              </w:rPr>
              <w:t>制片一体</w:t>
            </w:r>
            <w:r>
              <w:rPr>
                <w:rFonts w:hint="default"/>
                <w:bCs/>
              </w:rPr>
              <w:t>机卷绕制成电池电芯，隔膜采用聚丙烯+聚乙烯材料。制作完成的电芯经过短路测试，合格电芯进入下一步工序。</w:t>
            </w:r>
          </w:p>
          <w:p w14:paraId="02E2D8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jc w:val="both"/>
              <w:textAlignment w:val="auto"/>
              <w:rPr>
                <w:rFonts w:hint="default"/>
              </w:rPr>
            </w:pPr>
            <w:r>
              <w:rPr>
                <w:rFonts w:hint="eastAsia"/>
                <w:b/>
                <w:bCs/>
              </w:rPr>
              <w:t>极耳焊接</w:t>
            </w:r>
            <w:r>
              <w:rPr>
                <w:rFonts w:hint="default"/>
              </w:rPr>
              <w:t>：</w:t>
            </w:r>
          </w:p>
          <w:p w14:paraId="5AFC58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rPr>
            </w:pPr>
            <w:r>
              <w:rPr>
                <w:rFonts w:hint="default"/>
              </w:rPr>
              <w:t>采用</w:t>
            </w:r>
            <w:r>
              <w:rPr>
                <w:rFonts w:hint="eastAsia"/>
              </w:rPr>
              <w:t>双焊双贴制片机</w:t>
            </w:r>
            <w:r>
              <w:rPr>
                <w:rFonts w:hint="default"/>
              </w:rPr>
              <w:t>在电芯正负极各自焊接极耳并对焊接区域加贴绝缘胶带，其中正极极耳采用铝带，负极极耳采用钢带。</w:t>
            </w:r>
          </w:p>
          <w:p w14:paraId="2A5B79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jc w:val="both"/>
              <w:textAlignment w:val="auto"/>
              <w:rPr>
                <w:rFonts w:hint="default"/>
              </w:rPr>
            </w:pPr>
            <w:r>
              <w:rPr>
                <w:rFonts w:hint="eastAsia"/>
                <w:b/>
                <w:bCs/>
              </w:rPr>
              <w:t>入壳组装</w:t>
            </w:r>
            <w:r>
              <w:rPr>
                <w:rFonts w:hint="default"/>
              </w:rPr>
              <w:t>：</w:t>
            </w:r>
          </w:p>
          <w:p w14:paraId="7D010A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bCs/>
              </w:rPr>
            </w:pPr>
            <w:r>
              <w:rPr>
                <w:rFonts w:hint="default"/>
                <w:bCs/>
              </w:rPr>
              <w:t>本项目装配采用全自动转配线作业，全自动转配线上完成：极耳定位整形、壳体滚槽、焊盖帽、注液、压盖帽工序。具体操作为：将电芯、绝缘垫块、正极引片、负极引片等通过机械装置放入外壳内，利用凸轮立式滚槽装置在外壳上压槽，找正极耳位置后，经定位器定位，然后压合盖帽，采用</w:t>
            </w:r>
            <w:r>
              <w:rPr>
                <w:rFonts w:hint="eastAsia"/>
                <w:bCs/>
              </w:rPr>
              <w:t>双焊双贴制片机</w:t>
            </w:r>
            <w:r>
              <w:rPr>
                <w:rFonts w:hint="default"/>
                <w:bCs/>
              </w:rPr>
              <w:t>将盖板点焊在外壳上。</w:t>
            </w:r>
          </w:p>
          <w:p w14:paraId="26D1BE6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jc w:val="both"/>
              <w:textAlignment w:val="auto"/>
              <w:rPr>
                <w:rFonts w:hint="default"/>
                <w:highlight w:val="none"/>
              </w:rPr>
            </w:pPr>
            <w:r>
              <w:rPr>
                <w:rFonts w:hint="eastAsia"/>
                <w:b/>
                <w:bCs/>
                <w:highlight w:val="none"/>
              </w:rPr>
              <w:t>烘烤工序</w:t>
            </w:r>
            <w:r>
              <w:rPr>
                <w:rFonts w:hint="default"/>
                <w:highlight w:val="none"/>
              </w:rPr>
              <w:t>：</w:t>
            </w:r>
          </w:p>
          <w:p w14:paraId="710972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highlight w:val="none"/>
              </w:rPr>
            </w:pPr>
            <w:r>
              <w:rPr>
                <w:rFonts w:hint="eastAsia"/>
                <w:highlight w:val="none"/>
              </w:rPr>
              <w:t>将入壳组装好的电芯放入电真空烤箱中进行烘烤，去除电芯在制作过程中吸入的微量水分，这一过程主要是将水蒸气挥发出来。</w:t>
            </w:r>
          </w:p>
          <w:p w14:paraId="5FC447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jc w:val="both"/>
              <w:textAlignment w:val="auto"/>
              <w:rPr>
                <w:rFonts w:hint="default"/>
              </w:rPr>
            </w:pPr>
            <w:r>
              <w:rPr>
                <w:rFonts w:hint="eastAsia"/>
                <w:b/>
                <w:bCs/>
              </w:rPr>
              <w:t>注液工序</w:t>
            </w:r>
            <w:r>
              <w:rPr>
                <w:rFonts w:hint="default"/>
              </w:rPr>
              <w:t>：</w:t>
            </w:r>
          </w:p>
          <w:p w14:paraId="7D0E62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bCs/>
              </w:rPr>
            </w:pPr>
            <w:r>
              <w:rPr>
                <w:rFonts w:hint="default"/>
                <w:bCs/>
              </w:rPr>
              <w:t>将组装后的</w:t>
            </w:r>
            <w:r>
              <w:rPr>
                <w:rFonts w:hint="default"/>
                <w:color w:val="000000"/>
              </w:rPr>
              <w:t>电池通过全自动装配注液线上的</w:t>
            </w:r>
            <w:r>
              <w:rPr>
                <w:rFonts w:hint="eastAsia"/>
                <w:color w:val="000000"/>
              </w:rPr>
              <w:t>手套箱直线注液机</w:t>
            </w:r>
            <w:r>
              <w:rPr>
                <w:rFonts w:hint="default"/>
                <w:bCs/>
              </w:rPr>
              <w:t>进行注液，注液材料为外购的成品电解液(本项目电解液外购)，注液过程完成后，利用封口机对钢壳进行封口。本项目使用的电解液由：溶剂（</w:t>
            </w:r>
            <w:r>
              <w:rPr>
                <w:rFonts w:hint="default"/>
                <w:color w:val="000000"/>
              </w:rPr>
              <w:t>碳酸二甲酯</w:t>
            </w:r>
            <w:r>
              <w:rPr>
                <w:rFonts w:hint="default"/>
                <w:bCs/>
              </w:rPr>
              <w:t>）</w:t>
            </w:r>
            <w:r>
              <w:rPr>
                <w:rFonts w:hint="default"/>
                <w:color w:val="000000"/>
              </w:rPr>
              <w:t>和六氟磷酸锂组成。</w:t>
            </w:r>
            <w:r>
              <w:rPr>
                <w:rFonts w:hint="default"/>
                <w:bCs/>
              </w:rPr>
              <w:t>此过程溶剂会有少量的挥发，识别为非甲烷总烃。废气通过真空注液机的真空尾气管道排入废气治理设施</w:t>
            </w:r>
            <w:r>
              <w:rPr>
                <w:rFonts w:hint="default"/>
              </w:rPr>
              <w:t>活性炭吸附-脱附+催化燃烧装置</w:t>
            </w:r>
            <w:r>
              <w:rPr>
                <w:rFonts w:hint="default"/>
                <w:bCs/>
              </w:rPr>
              <w:t>治理。</w:t>
            </w:r>
          </w:p>
          <w:p w14:paraId="6696A5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jc w:val="both"/>
              <w:textAlignment w:val="auto"/>
              <w:rPr>
                <w:rFonts w:hint="default"/>
              </w:rPr>
            </w:pPr>
            <w:r>
              <w:rPr>
                <w:rFonts w:hint="eastAsia"/>
                <w:b/>
                <w:bCs/>
              </w:rPr>
              <w:t>清洗工序</w:t>
            </w:r>
            <w:r>
              <w:rPr>
                <w:rFonts w:hint="eastAsia"/>
              </w:rPr>
              <w:t>：</w:t>
            </w:r>
          </w:p>
          <w:p w14:paraId="2485EF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rPr>
            </w:pPr>
            <w:r>
              <w:rPr>
                <w:rFonts w:hint="eastAsia"/>
              </w:rPr>
              <w:t>此工序根据客户对电池品质的需求，选择是否进行该工序。</w:t>
            </w:r>
          </w:p>
          <w:p w14:paraId="3257FF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rPr>
            </w:pPr>
            <w:r>
              <w:rPr>
                <w:rFonts w:hint="default"/>
              </w:rPr>
              <w:t>清洗：为提高产品质量，对封口后的电池表面使用</w:t>
            </w:r>
            <w:r>
              <w:rPr>
                <w:rFonts w:hint="eastAsia"/>
              </w:rPr>
              <w:t>清</w:t>
            </w:r>
            <w:r>
              <w:rPr>
                <w:rFonts w:hint="default"/>
              </w:rPr>
              <w:t>水清洗，以去除表面残留的电解液等杂质。</w:t>
            </w:r>
          </w:p>
          <w:p w14:paraId="6FAB55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rPr>
            </w:pPr>
            <w:r>
              <w:rPr>
                <w:rFonts w:hint="default"/>
              </w:rPr>
              <w:t>烘干：清洗后的电池进入烘干工序，采用</w:t>
            </w:r>
            <w:r>
              <w:rPr>
                <w:rFonts w:hint="eastAsia"/>
              </w:rPr>
              <w:t>电烘箱（清洗线设备）烘干</w:t>
            </w:r>
            <w:r>
              <w:rPr>
                <w:rFonts w:hint="default"/>
              </w:rPr>
              <w:t>，烘干温度控制在70-80℃，以去除电池表面的水分。该工序不产生污染物。</w:t>
            </w:r>
          </w:p>
          <w:p w14:paraId="2E9FBD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jc w:val="both"/>
              <w:textAlignment w:val="auto"/>
              <w:rPr>
                <w:rFonts w:hint="default" w:eastAsia="宋体"/>
                <w:b/>
                <w:bCs w:val="0"/>
                <w:lang w:val="en-US" w:eastAsia="zh-CN"/>
              </w:rPr>
            </w:pPr>
            <w:r>
              <w:rPr>
                <w:rFonts w:hint="eastAsia"/>
                <w:b/>
                <w:bCs w:val="0"/>
                <w:lang w:val="en-US" w:eastAsia="zh-CN"/>
              </w:rPr>
              <w:t>上油工序：</w:t>
            </w:r>
          </w:p>
          <w:p w14:paraId="5E9004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lang w:val="en-US" w:eastAsia="zh-CN"/>
              </w:rPr>
            </w:pPr>
            <w:r>
              <w:rPr>
                <w:rFonts w:hint="eastAsia"/>
                <w:lang w:val="en-US" w:eastAsia="zh-CN"/>
              </w:rPr>
              <w:t>清洗后的电池外壳涂上防锈油。防止外壳生锈降低产品质量。</w:t>
            </w:r>
          </w:p>
          <w:p w14:paraId="183CAD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b/>
                <w:bCs/>
              </w:rPr>
            </w:pPr>
            <w:r>
              <w:rPr>
                <w:rFonts w:hint="eastAsia"/>
              </w:rPr>
              <w:t>套膜：使用套膜机将PVC热缩膜贴附在电芯壳子表面，进行外观防护。该过程不产生污染物。</w:t>
            </w:r>
          </w:p>
          <w:p w14:paraId="094430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jc w:val="both"/>
              <w:textAlignment w:val="auto"/>
              <w:rPr>
                <w:rFonts w:hint="default"/>
              </w:rPr>
            </w:pPr>
            <w:r>
              <w:rPr>
                <w:rFonts w:hint="eastAsia"/>
                <w:b/>
                <w:bCs/>
              </w:rPr>
              <w:t>化成</w:t>
            </w:r>
            <w:r>
              <w:rPr>
                <w:rFonts w:hint="default"/>
              </w:rPr>
              <w:t>：</w:t>
            </w:r>
          </w:p>
          <w:p w14:paraId="175191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bCs/>
              </w:rPr>
            </w:pPr>
            <w:r>
              <w:rPr>
                <w:rFonts w:hint="default"/>
                <w:bCs/>
              </w:rPr>
              <w:t>化成是注液后电池的首次充放电，通过化成可对电池正负极活性物质进行激活。本项目</w:t>
            </w:r>
            <w:r>
              <w:rPr>
                <w:rFonts w:hint="eastAsia"/>
                <w:bCs/>
                <w:lang w:val="en-US" w:eastAsia="zh-CN"/>
              </w:rPr>
              <w:t>将现有</w:t>
            </w:r>
            <w:r>
              <w:rPr>
                <w:rFonts w:hint="default"/>
                <w:bCs/>
              </w:rPr>
              <w:t>化成</w:t>
            </w:r>
            <w:r>
              <w:rPr>
                <w:rFonts w:hint="eastAsia"/>
                <w:bCs/>
              </w:rPr>
              <w:t>柜</w:t>
            </w:r>
            <w:r>
              <w:rPr>
                <w:rFonts w:hint="eastAsia"/>
                <w:bCs/>
                <w:lang w:val="en-US" w:eastAsia="zh-CN"/>
              </w:rPr>
              <w:t>淘汰，采用回馈式针床化成检测设备</w:t>
            </w:r>
            <w:r>
              <w:rPr>
                <w:rFonts w:hint="default"/>
                <w:bCs/>
              </w:rPr>
              <w:t>对电池进行化成，</w:t>
            </w:r>
            <w:r>
              <w:rPr>
                <w:rFonts w:hint="eastAsia"/>
                <w:bCs/>
                <w:lang w:val="en-US" w:eastAsia="zh-CN"/>
              </w:rPr>
              <w:t>提升</w:t>
            </w:r>
            <w:r>
              <w:rPr>
                <w:rFonts w:hint="default"/>
                <w:bCs/>
              </w:rPr>
              <w:t>化成</w:t>
            </w:r>
            <w:r>
              <w:rPr>
                <w:rFonts w:hint="eastAsia"/>
                <w:bCs/>
                <w:lang w:val="en-US" w:eastAsia="zh-CN"/>
              </w:rPr>
              <w:t>效率</w:t>
            </w:r>
            <w:r>
              <w:rPr>
                <w:rFonts w:hint="default"/>
                <w:bCs/>
              </w:rPr>
              <w:t>。</w:t>
            </w:r>
          </w:p>
          <w:p w14:paraId="0D26E7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jc w:val="both"/>
              <w:textAlignment w:val="auto"/>
              <w:rPr>
                <w:rFonts w:hint="default"/>
              </w:rPr>
            </w:pPr>
            <w:r>
              <w:rPr>
                <w:rFonts w:hint="eastAsia"/>
                <w:b/>
                <w:bCs/>
              </w:rPr>
              <w:t>分容</w:t>
            </w:r>
            <w:r>
              <w:rPr>
                <w:rFonts w:hint="default"/>
              </w:rPr>
              <w:t>：</w:t>
            </w:r>
          </w:p>
          <w:p w14:paraId="6313A7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bCs/>
              </w:rPr>
            </w:pPr>
            <w:r>
              <w:rPr>
                <w:rFonts w:hint="default"/>
                <w:bCs/>
              </w:rPr>
              <w:t>用</w:t>
            </w:r>
            <w:r>
              <w:rPr>
                <w:rFonts w:hint="eastAsia"/>
                <w:bCs/>
              </w:rPr>
              <w:t>分容柜</w:t>
            </w:r>
            <w:r>
              <w:rPr>
                <w:rFonts w:hint="default"/>
                <w:bCs/>
              </w:rPr>
              <w:t>对电池进行分容，即对电池的容量进行分选。</w:t>
            </w:r>
          </w:p>
          <w:p w14:paraId="490FA9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jc w:val="both"/>
              <w:textAlignment w:val="auto"/>
              <w:rPr>
                <w:rFonts w:hint="default"/>
              </w:rPr>
            </w:pPr>
            <w:r>
              <w:rPr>
                <w:rFonts w:hint="eastAsia"/>
                <w:b/>
                <w:bCs/>
              </w:rPr>
              <w:t>检验</w:t>
            </w:r>
            <w:r>
              <w:rPr>
                <w:rFonts w:hint="default"/>
              </w:rPr>
              <w:t>：</w:t>
            </w:r>
          </w:p>
          <w:p w14:paraId="529E97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rPr>
            </w:pPr>
            <w:r>
              <w:rPr>
                <w:rFonts w:hint="default"/>
              </w:rPr>
              <w:t>分容好的单体电池进入检验工序，经检验合格后即得成品单体电池，次品降级销售。</w:t>
            </w:r>
          </w:p>
          <w:p w14:paraId="5A0B12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textAlignment w:val="auto"/>
              <w:rPr>
                <w:rFonts w:hint="default"/>
                <w:b/>
                <w:bCs/>
                <w:color w:val="000000" w:themeColor="text1"/>
                <w:highlight w:val="none"/>
                <w14:textFill>
                  <w14:solidFill>
                    <w14:schemeClr w14:val="tx1"/>
                  </w14:solidFill>
                </w14:textFill>
              </w:rPr>
            </w:pPr>
            <w:r>
              <w:rPr>
                <w:rFonts w:hint="default"/>
                <w:b/>
                <w:bCs/>
                <w:color w:val="000000" w:themeColor="text1"/>
                <w:highlight w:val="none"/>
                <w14:textFill>
                  <w14:solidFill>
                    <w14:schemeClr w14:val="tx1"/>
                  </w14:solidFill>
                </w14:textFill>
              </w:rPr>
              <w:t>2.</w:t>
            </w:r>
            <w:r>
              <w:rPr>
                <w:rFonts w:hint="eastAsia"/>
                <w:b/>
                <w:bCs/>
                <w:color w:val="000000" w:themeColor="text1"/>
                <w:highlight w:val="none"/>
                <w14:textFill>
                  <w14:solidFill>
                    <w14:schemeClr w14:val="tx1"/>
                  </w14:solidFill>
                </w14:textFill>
              </w:rPr>
              <w:t>本项目</w:t>
            </w:r>
            <w:r>
              <w:rPr>
                <w:rFonts w:hint="default"/>
                <w:b/>
                <w:bCs/>
                <w:color w:val="000000" w:themeColor="text1"/>
                <w:highlight w:val="none"/>
                <w14:textFill>
                  <w14:solidFill>
                    <w14:schemeClr w14:val="tx1"/>
                  </w14:solidFill>
                </w14:textFill>
              </w:rPr>
              <w:t>主要污染工序</w:t>
            </w:r>
          </w:p>
          <w:p w14:paraId="0FBAC1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default"/>
                <w:bCs/>
                <w:szCs w:val="21"/>
              </w:rPr>
            </w:pPr>
            <w:r>
              <w:rPr>
                <w:rFonts w:hint="default"/>
                <w:color w:val="000000" w:themeColor="text1"/>
                <w:highlight w:val="none"/>
                <w14:textFill>
                  <w14:solidFill>
                    <w14:schemeClr w14:val="tx1"/>
                  </w14:solidFill>
                </w14:textFill>
              </w:rPr>
              <w:t>通过以上工艺流程分析，</w:t>
            </w:r>
            <w:r>
              <w:rPr>
                <w:rFonts w:hint="eastAsia"/>
                <w:color w:val="000000" w:themeColor="text1"/>
                <w:highlight w:val="none"/>
                <w:lang w:val="en-US" w:eastAsia="zh-CN"/>
                <w14:textFill>
                  <w14:solidFill>
                    <w14:schemeClr w14:val="tx1"/>
                  </w14:solidFill>
                </w14:textFill>
              </w:rPr>
              <w:t>本项目对制片、化成等设备进行升级改造，</w:t>
            </w:r>
            <w:r>
              <w:rPr>
                <w:rFonts w:hint="eastAsia"/>
                <w:color w:val="000000" w:themeColor="text1"/>
                <w:highlight w:val="none"/>
                <w14:textFill>
                  <w14:solidFill>
                    <w14:schemeClr w14:val="tx1"/>
                  </w14:solidFill>
                </w14:textFill>
              </w:rPr>
              <w:t>本</w:t>
            </w:r>
            <w:r>
              <w:rPr>
                <w:rFonts w:hint="default"/>
                <w:color w:val="000000" w:themeColor="text1"/>
                <w:highlight w:val="none"/>
                <w14:textFill>
                  <w14:solidFill>
                    <w14:schemeClr w14:val="tx1"/>
                  </w14:solidFill>
                </w14:textFill>
              </w:rPr>
              <w:t>项目</w:t>
            </w:r>
            <w:r>
              <w:rPr>
                <w:rFonts w:hint="eastAsia"/>
                <w:color w:val="000000" w:themeColor="text1"/>
                <w:highlight w:val="none"/>
                <w:lang w:val="en-US" w:eastAsia="zh-CN"/>
                <w14:textFill>
                  <w14:solidFill>
                    <w14:schemeClr w14:val="tx1"/>
                  </w14:solidFill>
                </w14:textFill>
              </w:rPr>
              <w:t>不新增废气、废水产污环节。废气废水均依托现有治理措施治理。</w:t>
            </w:r>
          </w:p>
        </w:tc>
      </w:tr>
      <w:tr w14:paraId="0393D5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88" w:hRule="atLeast"/>
          <w:jc w:val="center"/>
        </w:trPr>
        <w:tc>
          <w:tcPr>
            <w:tcW w:w="731" w:type="dxa"/>
            <w:noWrap w:val="0"/>
            <w:vAlign w:val="center"/>
          </w:tcPr>
          <w:p w14:paraId="465E9F3B">
            <w:pPr>
              <w:pStyle w:val="1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ascii="Times New Roman" w:hAnsi="Times New Roman"/>
                <w:color w:val="000000" w:themeColor="text1"/>
                <w:sz w:val="21"/>
                <w:szCs w:val="21"/>
                <w:lang w:val="en-US" w:eastAsia="zh-CN"/>
                <w14:textFill>
                  <w14:solidFill>
                    <w14:schemeClr w14:val="tx1"/>
                  </w14:solidFill>
                </w14:textFill>
              </w:rPr>
            </w:pPr>
            <w:r>
              <w:rPr>
                <w:rFonts w:hint="default" w:ascii="Times New Roman"/>
                <w:bCs/>
                <w:color w:val="auto"/>
                <w:kern w:val="2"/>
                <w:sz w:val="24"/>
                <w:szCs w:val="24"/>
                <w:lang w:val="en-US" w:eastAsia="zh-CN"/>
              </w:rPr>
              <w:t>与项目有关的原有环境污染问题</w:t>
            </w:r>
          </w:p>
        </w:tc>
        <w:tc>
          <w:tcPr>
            <w:tcW w:w="9021" w:type="dxa"/>
            <w:noWrap w:val="0"/>
            <w:vAlign w:val="center"/>
          </w:tcPr>
          <w:p w14:paraId="59108A37">
            <w:pPr>
              <w:keepNext w:val="0"/>
              <w:keepLines w:val="0"/>
              <w:numPr>
                <w:ilvl w:val="0"/>
                <w:numId w:val="6"/>
              </w:numPr>
              <w:suppressLineNumbers w:val="0"/>
              <w:spacing w:before="0" w:beforeAutospacing="0" w:after="0" w:afterAutospacing="0" w:line="440" w:lineRule="exact"/>
              <w:ind w:left="0" w:right="0" w:firstLine="482" w:firstLineChars="200"/>
              <w:jc w:val="both"/>
              <w:rPr>
                <w:rFonts w:hint="eastAsia"/>
                <w:b/>
                <w:bCs/>
                <w:sz w:val="24"/>
                <w:highlight w:val="none"/>
                <w:lang w:val="en-US" w:eastAsia="zh-CN"/>
              </w:rPr>
            </w:pPr>
            <w:r>
              <w:rPr>
                <w:rFonts w:hint="eastAsia"/>
                <w:b/>
                <w:bCs/>
                <w:sz w:val="24"/>
                <w:highlight w:val="none"/>
                <w:lang w:val="en-US" w:eastAsia="zh-CN"/>
              </w:rPr>
              <w:t>基本情况</w:t>
            </w:r>
          </w:p>
          <w:p w14:paraId="7390088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firstLine="482" w:firstLineChars="200"/>
              <w:jc w:val="both"/>
              <w:textAlignment w:val="auto"/>
              <w:rPr>
                <w:rFonts w:hint="default"/>
                <w:b/>
                <w:bCs/>
                <w:sz w:val="24"/>
                <w:highlight w:val="none"/>
                <w:lang w:val="en-US" w:eastAsia="zh-CN"/>
              </w:rPr>
            </w:pPr>
            <w:r>
              <w:rPr>
                <w:rFonts w:hint="eastAsia"/>
                <w:b/>
                <w:bCs/>
                <w:sz w:val="24"/>
                <w:highlight w:val="none"/>
                <w:lang w:val="en-US" w:eastAsia="zh-CN"/>
              </w:rPr>
              <w:t>1、环评审批、验收情况</w:t>
            </w:r>
          </w:p>
          <w:p w14:paraId="03A9B25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firstLine="480" w:firstLineChars="200"/>
              <w:jc w:val="both"/>
              <w:textAlignment w:val="auto"/>
              <w:rPr>
                <w:rFonts w:hint="default"/>
                <w:b w:val="0"/>
                <w:bCs w:val="0"/>
                <w:sz w:val="24"/>
                <w:highlight w:val="yellow"/>
                <w:lang w:val="en-US" w:eastAsia="zh-CN"/>
              </w:rPr>
            </w:pPr>
            <w:r>
              <w:rPr>
                <w:rFonts w:hint="eastAsia"/>
                <w:b w:val="0"/>
                <w:bCs w:val="0"/>
                <w:sz w:val="24"/>
                <w:highlight w:val="none"/>
                <w:lang w:val="en-US" w:eastAsia="zh-CN"/>
              </w:rPr>
              <w:t>新乡市弘力电源科技有限公司位于河南省新乡市新乡县兴隆路西段，厂区内现有项目审批运营情况见下表。</w:t>
            </w:r>
          </w:p>
          <w:p w14:paraId="2BF0A2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bCs/>
                <w:color w:val="0C0C0C"/>
                <w:sz w:val="24"/>
                <w:szCs w:val="20"/>
              </w:rPr>
            </w:pPr>
          </w:p>
          <w:p w14:paraId="476642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bCs/>
                <w:color w:val="0C0C0C"/>
                <w:sz w:val="24"/>
                <w:szCs w:val="20"/>
              </w:rPr>
            </w:pPr>
          </w:p>
          <w:p w14:paraId="528D93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bCs/>
                <w:color w:val="0C0C0C"/>
                <w:sz w:val="24"/>
                <w:szCs w:val="20"/>
              </w:rPr>
            </w:pPr>
          </w:p>
          <w:p w14:paraId="4F070E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C0C0C"/>
                <w:sz w:val="24"/>
                <w:szCs w:val="20"/>
                <w:lang w:val="en-US" w:eastAsia="zh-CN"/>
              </w:rPr>
            </w:pPr>
            <w:r>
              <w:rPr>
                <w:rFonts w:hint="default" w:ascii="Times New Roman" w:hAnsi="Times New Roman" w:eastAsia="宋体" w:cs="Times New Roman"/>
                <w:b/>
                <w:bCs/>
                <w:color w:val="0C0C0C"/>
                <w:sz w:val="24"/>
                <w:szCs w:val="20"/>
              </w:rPr>
              <w:t>表</w:t>
            </w:r>
            <w:r>
              <w:rPr>
                <w:rFonts w:hint="eastAsia" w:cs="Times New Roman"/>
                <w:b/>
                <w:bCs/>
                <w:color w:val="0C0C0C"/>
                <w:sz w:val="24"/>
                <w:szCs w:val="20"/>
                <w:lang w:val="en-US" w:eastAsia="zh-CN"/>
              </w:rPr>
              <w:t>16</w:t>
            </w:r>
            <w:r>
              <w:rPr>
                <w:rFonts w:hint="default" w:ascii="Times New Roman" w:hAnsi="Times New Roman" w:eastAsia="宋体" w:cs="Times New Roman"/>
                <w:b/>
                <w:bCs/>
                <w:color w:val="0C0C0C"/>
                <w:sz w:val="24"/>
                <w:szCs w:val="20"/>
              </w:rPr>
              <w:t xml:space="preserve">  现有项目审批情况</w:t>
            </w:r>
            <w:r>
              <w:rPr>
                <w:rFonts w:hint="default" w:ascii="Times New Roman" w:hAnsi="Times New Roman" w:eastAsia="宋体" w:cs="Times New Roman"/>
                <w:b/>
                <w:bCs/>
                <w:color w:val="0C0C0C"/>
                <w:sz w:val="24"/>
                <w:szCs w:val="20"/>
                <w:lang w:val="en-US" w:eastAsia="zh-CN"/>
              </w:rPr>
              <w:t>一览表</w:t>
            </w:r>
          </w:p>
          <w:tbl>
            <w:tblPr>
              <w:tblStyle w:val="23"/>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11"/>
              <w:gridCol w:w="2521"/>
              <w:gridCol w:w="2354"/>
              <w:gridCol w:w="1707"/>
              <w:gridCol w:w="2"/>
              <w:gridCol w:w="1705"/>
              <w:gridCol w:w="5"/>
            </w:tblGrid>
            <w:tr w14:paraId="101A6F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97" w:hRule="atLeast"/>
                <w:jc w:val="center"/>
              </w:trPr>
              <w:tc>
                <w:tcPr>
                  <w:tcW w:w="290" w:type="pct"/>
                  <w:tcBorders>
                    <w:top w:val="single" w:color="auto" w:sz="8" w:space="0"/>
                    <w:bottom w:val="single" w:color="auto" w:sz="8" w:space="0"/>
                  </w:tcBorders>
                  <w:noWrap w:val="0"/>
                  <w:vAlign w:val="center"/>
                </w:tcPr>
                <w:p w14:paraId="066200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outlineLvl w:val="9"/>
                    <w:rPr>
                      <w:rFonts w:hint="default" w:ascii="Times New Roman" w:hAnsi="Times New Roman" w:cs="Times New Roman"/>
                      <w:b/>
                      <w:color w:val="0C0C0C"/>
                      <w:sz w:val="21"/>
                      <w:szCs w:val="21"/>
                    </w:rPr>
                  </w:pPr>
                  <w:r>
                    <w:rPr>
                      <w:rFonts w:hint="default" w:ascii="Times New Roman" w:hAnsi="Times New Roman" w:cs="Times New Roman"/>
                      <w:b/>
                      <w:color w:val="0C0C0C"/>
                      <w:sz w:val="21"/>
                      <w:szCs w:val="21"/>
                    </w:rPr>
                    <w:t>序号</w:t>
                  </w:r>
                </w:p>
              </w:tc>
              <w:tc>
                <w:tcPr>
                  <w:tcW w:w="1431" w:type="pct"/>
                  <w:tcBorders>
                    <w:top w:val="single" w:color="auto" w:sz="8" w:space="0"/>
                    <w:bottom w:val="single" w:color="auto" w:sz="8" w:space="0"/>
                  </w:tcBorders>
                  <w:noWrap w:val="0"/>
                  <w:vAlign w:val="center"/>
                </w:tcPr>
                <w:p w14:paraId="2C5735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outlineLvl w:val="9"/>
                    <w:rPr>
                      <w:rFonts w:hint="default" w:ascii="Times New Roman" w:hAnsi="Times New Roman" w:cs="Times New Roman"/>
                      <w:b/>
                      <w:color w:val="0C0C0C"/>
                      <w:sz w:val="21"/>
                      <w:szCs w:val="21"/>
                    </w:rPr>
                  </w:pPr>
                  <w:r>
                    <w:rPr>
                      <w:rFonts w:hint="default" w:ascii="Times New Roman" w:hAnsi="Times New Roman" w:cs="Times New Roman"/>
                      <w:b/>
                      <w:color w:val="0C0C0C"/>
                      <w:sz w:val="21"/>
                      <w:szCs w:val="21"/>
                    </w:rPr>
                    <w:t>建设项目名称</w:t>
                  </w:r>
                </w:p>
              </w:tc>
              <w:tc>
                <w:tcPr>
                  <w:tcW w:w="1336" w:type="pct"/>
                  <w:tcBorders>
                    <w:top w:val="single" w:color="auto" w:sz="8" w:space="0"/>
                    <w:bottom w:val="single" w:color="auto" w:sz="8" w:space="0"/>
                  </w:tcBorders>
                  <w:noWrap w:val="0"/>
                  <w:vAlign w:val="center"/>
                </w:tcPr>
                <w:p w14:paraId="6EC1CD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outlineLvl w:val="9"/>
                    <w:rPr>
                      <w:rFonts w:hint="default" w:ascii="Times New Roman" w:hAnsi="Times New Roman" w:cs="Times New Roman"/>
                      <w:b/>
                      <w:color w:val="0C0C0C"/>
                      <w:sz w:val="21"/>
                      <w:szCs w:val="21"/>
                    </w:rPr>
                  </w:pPr>
                  <w:r>
                    <w:rPr>
                      <w:rFonts w:hint="default" w:ascii="Times New Roman" w:hAnsi="Times New Roman" w:cs="Times New Roman"/>
                      <w:b/>
                      <w:color w:val="0C0C0C"/>
                      <w:sz w:val="21"/>
                      <w:szCs w:val="21"/>
                    </w:rPr>
                    <w:t>环评审批时间、单位、文号</w:t>
                  </w:r>
                </w:p>
              </w:tc>
              <w:tc>
                <w:tcPr>
                  <w:tcW w:w="969" w:type="pct"/>
                  <w:tcBorders>
                    <w:top w:val="single" w:color="auto" w:sz="8" w:space="0"/>
                    <w:bottom w:val="single" w:color="auto" w:sz="8" w:space="0"/>
                  </w:tcBorders>
                  <w:noWrap w:val="0"/>
                  <w:vAlign w:val="center"/>
                </w:tcPr>
                <w:p w14:paraId="74CFCA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outlineLvl w:val="9"/>
                    <w:rPr>
                      <w:rFonts w:hint="eastAsia" w:ascii="Times New Roman" w:hAnsi="Times New Roman" w:eastAsia="宋体" w:cs="Times New Roman"/>
                      <w:b/>
                      <w:color w:val="0C0C0C"/>
                      <w:sz w:val="21"/>
                      <w:szCs w:val="21"/>
                      <w:lang w:eastAsia="zh-CN"/>
                    </w:rPr>
                  </w:pPr>
                  <w:r>
                    <w:rPr>
                      <w:rFonts w:hint="default" w:ascii="Times New Roman" w:hAnsi="Times New Roman" w:cs="Times New Roman"/>
                      <w:b/>
                      <w:color w:val="0C0C0C"/>
                      <w:sz w:val="21"/>
                      <w:szCs w:val="21"/>
                    </w:rPr>
                    <w:t>验收审批时间、单位、文号</w:t>
                  </w:r>
                </w:p>
              </w:tc>
              <w:tc>
                <w:tcPr>
                  <w:tcW w:w="969" w:type="pct"/>
                  <w:gridSpan w:val="2"/>
                  <w:tcBorders>
                    <w:top w:val="single" w:color="auto" w:sz="8" w:space="0"/>
                    <w:bottom w:val="single" w:color="auto" w:sz="8" w:space="0"/>
                  </w:tcBorders>
                  <w:noWrap w:val="0"/>
                  <w:vAlign w:val="center"/>
                </w:tcPr>
                <w:p w14:paraId="3707DA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outlineLvl w:val="9"/>
                    <w:rPr>
                      <w:rFonts w:hint="eastAsia" w:ascii="Times New Roman" w:hAnsi="Times New Roman" w:eastAsia="宋体" w:cs="Times New Roman"/>
                      <w:b/>
                      <w:color w:val="0C0C0C"/>
                      <w:sz w:val="21"/>
                      <w:szCs w:val="21"/>
                      <w:lang w:val="en-US" w:eastAsia="zh-CN"/>
                    </w:rPr>
                  </w:pPr>
                  <w:r>
                    <w:rPr>
                      <w:rFonts w:hint="eastAsia" w:cs="Times New Roman"/>
                      <w:b/>
                      <w:color w:val="0C0C0C"/>
                      <w:sz w:val="21"/>
                      <w:szCs w:val="21"/>
                      <w:lang w:val="en-US" w:eastAsia="zh-CN"/>
                    </w:rPr>
                    <w:t>备注</w:t>
                  </w:r>
                </w:p>
              </w:tc>
            </w:tr>
            <w:tr w14:paraId="10B736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97" w:hRule="atLeast"/>
                <w:jc w:val="center"/>
              </w:trPr>
              <w:tc>
                <w:tcPr>
                  <w:tcW w:w="290" w:type="pct"/>
                  <w:tcBorders>
                    <w:top w:val="single" w:color="auto" w:sz="8" w:space="0"/>
                    <w:tl2br w:val="nil"/>
                    <w:tr2bl w:val="nil"/>
                  </w:tcBorders>
                  <w:noWrap w:val="0"/>
                  <w:vAlign w:val="center"/>
                </w:tcPr>
                <w:p w14:paraId="60CFC2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outlineLvl w:val="9"/>
                    <w:rPr>
                      <w:rFonts w:hint="default" w:ascii="Times New Roman" w:hAnsi="Times New Roman" w:cs="Times New Roman"/>
                      <w:color w:val="0C0C0C"/>
                      <w:sz w:val="21"/>
                      <w:szCs w:val="21"/>
                    </w:rPr>
                  </w:pPr>
                  <w:r>
                    <w:rPr>
                      <w:rFonts w:hint="default" w:ascii="Times New Roman" w:hAnsi="Times New Roman" w:cs="Times New Roman"/>
                      <w:color w:val="0C0C0C"/>
                      <w:sz w:val="21"/>
                      <w:szCs w:val="21"/>
                    </w:rPr>
                    <w:t>1</w:t>
                  </w:r>
                </w:p>
              </w:tc>
              <w:tc>
                <w:tcPr>
                  <w:tcW w:w="2521" w:type="dxa"/>
                  <w:tcBorders>
                    <w:top w:val="single" w:color="auto" w:sz="8" w:space="0"/>
                    <w:tl2br w:val="nil"/>
                    <w:tr2bl w:val="nil"/>
                  </w:tcBorders>
                  <w:noWrap w:val="0"/>
                  <w:vAlign w:val="center"/>
                </w:tcPr>
                <w:p w14:paraId="45846D6A">
                  <w:pPr>
                    <w:keepNext w:val="0"/>
                    <w:keepLines w:val="0"/>
                    <w:suppressLineNumbers w:val="0"/>
                    <w:snapToGrid w:val="0"/>
                    <w:spacing w:before="0" w:beforeAutospacing="0" w:after="0" w:afterAutospacing="0" w:line="240" w:lineRule="auto"/>
                    <w:ind w:left="0" w:right="0" w:firstLine="0" w:firstLineChars="0"/>
                    <w:rPr>
                      <w:rFonts w:hint="default" w:ascii="Times New Roman" w:hAnsi="Times New Roman" w:eastAsia="宋体" w:cs="Times New Roman"/>
                      <w:color w:val="0C0C0C"/>
                      <w:sz w:val="21"/>
                      <w:szCs w:val="21"/>
                      <w:highlight w:val="none"/>
                      <w:lang w:val="en-US" w:eastAsia="zh-CN"/>
                    </w:rPr>
                  </w:pPr>
                  <w:r>
                    <w:rPr>
                      <w:rFonts w:hint="default"/>
                      <w:color w:val="000000"/>
                      <w:sz w:val="21"/>
                      <w:szCs w:val="21"/>
                    </w:rPr>
                    <w:t>新乡市弘力电源科技有限公司</w:t>
                  </w:r>
                  <w:r>
                    <w:rPr>
                      <w:rFonts w:hint="default"/>
                      <w:color w:val="000000" w:themeColor="text1"/>
                      <w:sz w:val="21"/>
                      <w:szCs w:val="21"/>
                      <w14:textFill>
                        <w14:solidFill>
                          <w14:schemeClr w14:val="tx1"/>
                        </w14:solidFill>
                      </w14:textFill>
                    </w:rPr>
                    <w:t>年产2100吨锰酸锂</w:t>
                  </w:r>
                  <w:r>
                    <w:rPr>
                      <w:rFonts w:hint="default"/>
                      <w:sz w:val="21"/>
                      <w:szCs w:val="21"/>
                    </w:rPr>
                    <w:t>和1.08亿安时锂离子电池项目</w:t>
                  </w:r>
                </w:p>
              </w:tc>
              <w:tc>
                <w:tcPr>
                  <w:tcW w:w="2354" w:type="dxa"/>
                  <w:tcBorders>
                    <w:top w:val="single" w:color="auto" w:sz="8" w:space="0"/>
                    <w:tl2br w:val="nil"/>
                    <w:tr2bl w:val="nil"/>
                  </w:tcBorders>
                  <w:noWrap w:val="0"/>
                  <w:vAlign w:val="center"/>
                </w:tcPr>
                <w:p w14:paraId="2C4C8724">
                  <w:pPr>
                    <w:keepNext w:val="0"/>
                    <w:keepLines w:val="0"/>
                    <w:suppressLineNumbers w:val="0"/>
                    <w:snapToGrid w:val="0"/>
                    <w:spacing w:before="0" w:beforeAutospacing="0" w:after="0" w:afterAutospacing="0" w:line="240" w:lineRule="auto"/>
                    <w:ind w:left="0" w:right="0" w:firstLine="0" w:firstLineChars="0"/>
                    <w:jc w:val="both"/>
                    <w:rPr>
                      <w:rFonts w:hint="default" w:ascii="Times New Roman" w:hAnsi="Times New Roman" w:cs="Times New Roman"/>
                      <w:color w:val="0C0C0C"/>
                      <w:sz w:val="21"/>
                      <w:szCs w:val="21"/>
                      <w:highlight w:val="none"/>
                    </w:rPr>
                  </w:pPr>
                  <w:r>
                    <w:rPr>
                      <w:rFonts w:hint="default"/>
                      <w:sz w:val="21"/>
                      <w:szCs w:val="21"/>
                    </w:rPr>
                    <w:t>2016年11月21日由新乡县环保局以新环清备第07号予以环保备案</w:t>
                  </w:r>
                </w:p>
              </w:tc>
              <w:tc>
                <w:tcPr>
                  <w:tcW w:w="969" w:type="pct"/>
                  <w:tcBorders>
                    <w:top w:val="single" w:color="auto" w:sz="8" w:space="0"/>
                    <w:tl2br w:val="nil"/>
                    <w:tr2bl w:val="nil"/>
                  </w:tcBorders>
                  <w:noWrap w:val="0"/>
                  <w:vAlign w:val="center"/>
                </w:tcPr>
                <w:p w14:paraId="428525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outlineLvl w:val="9"/>
                    <w:rPr>
                      <w:rFonts w:hint="default" w:ascii="Times New Roman" w:hAnsi="Times New Roman" w:eastAsia="宋体" w:cs="Times New Roman"/>
                      <w:color w:val="0C0C0C"/>
                      <w:sz w:val="21"/>
                      <w:szCs w:val="21"/>
                      <w:highlight w:val="none"/>
                      <w:lang w:val="en-US" w:eastAsia="zh-CN"/>
                    </w:rPr>
                  </w:pPr>
                  <w:r>
                    <w:rPr>
                      <w:rFonts w:hint="default"/>
                      <w:sz w:val="21"/>
                      <w:szCs w:val="21"/>
                    </w:rPr>
                    <w:t>已建成，运营正常。</w:t>
                  </w:r>
                </w:p>
              </w:tc>
              <w:tc>
                <w:tcPr>
                  <w:tcW w:w="969" w:type="pct"/>
                  <w:gridSpan w:val="2"/>
                  <w:tcBorders>
                    <w:top w:val="single" w:color="auto" w:sz="8" w:space="0"/>
                    <w:tl2br w:val="nil"/>
                    <w:tr2bl w:val="nil"/>
                  </w:tcBorders>
                  <w:noWrap w:val="0"/>
                  <w:vAlign w:val="center"/>
                </w:tcPr>
                <w:p w14:paraId="643395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outlineLvl w:val="9"/>
                    <w:rPr>
                      <w:rFonts w:hint="default" w:eastAsia="宋体"/>
                      <w:bCs/>
                      <w:color w:val="000000"/>
                      <w:sz w:val="21"/>
                      <w:szCs w:val="21"/>
                      <w:highlight w:val="none"/>
                      <w:lang w:val="en-US" w:eastAsia="zh-CN"/>
                    </w:rPr>
                  </w:pPr>
                  <w:r>
                    <w:rPr>
                      <w:rFonts w:hint="eastAsia"/>
                      <w:bCs/>
                      <w:color w:val="000000"/>
                      <w:sz w:val="21"/>
                      <w:szCs w:val="21"/>
                      <w:highlight w:val="none"/>
                      <w:lang w:val="en-US" w:eastAsia="zh-CN"/>
                    </w:rPr>
                    <w:t>北厂区生产</w:t>
                  </w:r>
                </w:p>
              </w:tc>
            </w:tr>
            <w:tr w14:paraId="1FB21E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0" w:type="pct"/>
                  <w:tcBorders>
                    <w:tl2br w:val="nil"/>
                    <w:tr2bl w:val="nil"/>
                  </w:tcBorders>
                  <w:noWrap w:val="0"/>
                  <w:vAlign w:val="center"/>
                </w:tcPr>
                <w:p w14:paraId="552DE9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outlineLvl w:val="9"/>
                    <w:rPr>
                      <w:rFonts w:hint="default" w:ascii="Times New Roman" w:hAnsi="Times New Roman" w:cs="Times New Roman"/>
                      <w:color w:val="0C0C0C"/>
                      <w:sz w:val="21"/>
                      <w:szCs w:val="21"/>
                    </w:rPr>
                  </w:pPr>
                  <w:r>
                    <w:rPr>
                      <w:rFonts w:hint="default" w:ascii="Times New Roman" w:hAnsi="Times New Roman" w:cs="Times New Roman"/>
                      <w:color w:val="0C0C0C"/>
                      <w:sz w:val="21"/>
                      <w:szCs w:val="21"/>
                    </w:rPr>
                    <w:t>2</w:t>
                  </w:r>
                </w:p>
              </w:tc>
              <w:tc>
                <w:tcPr>
                  <w:tcW w:w="2521" w:type="dxa"/>
                  <w:tcBorders>
                    <w:tl2br w:val="nil"/>
                    <w:tr2bl w:val="nil"/>
                  </w:tcBorders>
                  <w:noWrap w:val="0"/>
                  <w:vAlign w:val="center"/>
                </w:tcPr>
                <w:p w14:paraId="05E2AC9C">
                  <w:pPr>
                    <w:keepNext w:val="0"/>
                    <w:keepLines w:val="0"/>
                    <w:suppressLineNumbers w:val="0"/>
                    <w:snapToGrid w:val="0"/>
                    <w:spacing w:before="0" w:beforeAutospacing="0" w:after="0" w:afterAutospacing="0" w:line="240" w:lineRule="auto"/>
                    <w:ind w:left="0" w:right="0" w:firstLine="0" w:firstLineChars="0"/>
                    <w:rPr>
                      <w:rFonts w:hint="default" w:ascii="Times New Roman" w:hAnsi="Times New Roman" w:eastAsia="宋体" w:cs="Times New Roman"/>
                      <w:color w:val="0C0C0C"/>
                      <w:sz w:val="21"/>
                      <w:szCs w:val="21"/>
                      <w:highlight w:val="none"/>
                      <w:lang w:val="en-US" w:eastAsia="zh-CN"/>
                    </w:rPr>
                  </w:pPr>
                  <w:r>
                    <w:rPr>
                      <w:rFonts w:hint="default"/>
                      <w:color w:val="000000"/>
                      <w:sz w:val="21"/>
                      <w:szCs w:val="21"/>
                    </w:rPr>
                    <w:t>新乡市弘力电源科技有限公司年产10亿瓦时锂离子电池项目</w:t>
                  </w:r>
                </w:p>
              </w:tc>
              <w:tc>
                <w:tcPr>
                  <w:tcW w:w="2354" w:type="dxa"/>
                  <w:tcBorders>
                    <w:tl2br w:val="nil"/>
                    <w:tr2bl w:val="nil"/>
                  </w:tcBorders>
                  <w:noWrap w:val="0"/>
                  <w:vAlign w:val="center"/>
                </w:tcPr>
                <w:p w14:paraId="1A39412C">
                  <w:pPr>
                    <w:keepNext w:val="0"/>
                    <w:keepLines w:val="0"/>
                    <w:suppressLineNumbers w:val="0"/>
                    <w:snapToGrid w:val="0"/>
                    <w:spacing w:before="0" w:beforeAutospacing="0" w:after="0" w:afterAutospacing="0" w:line="240" w:lineRule="auto"/>
                    <w:ind w:left="0" w:right="0" w:firstLine="0" w:firstLineChars="0"/>
                    <w:jc w:val="both"/>
                    <w:rPr>
                      <w:rFonts w:hint="default" w:ascii="Times New Roman" w:hAnsi="Times New Roman" w:cs="Times New Roman"/>
                      <w:color w:val="0C0C0C"/>
                      <w:sz w:val="21"/>
                      <w:szCs w:val="21"/>
                      <w:highlight w:val="none"/>
                    </w:rPr>
                  </w:pPr>
                  <w:r>
                    <w:rPr>
                      <w:rFonts w:hint="default"/>
                      <w:sz w:val="21"/>
                      <w:szCs w:val="21"/>
                    </w:rPr>
                    <w:t>2019年1月23日由新乡市环保局以新环表审[2019]4号予以批复</w:t>
                  </w:r>
                </w:p>
              </w:tc>
              <w:tc>
                <w:tcPr>
                  <w:tcW w:w="970" w:type="pct"/>
                  <w:gridSpan w:val="2"/>
                  <w:tcBorders>
                    <w:tl2br w:val="nil"/>
                    <w:tr2bl w:val="nil"/>
                  </w:tcBorders>
                  <w:noWrap w:val="0"/>
                  <w:vAlign w:val="center"/>
                </w:tcPr>
                <w:p w14:paraId="23D9508C">
                  <w:pPr>
                    <w:keepNext w:val="0"/>
                    <w:keepLines w:val="0"/>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0C0C0C"/>
                      <w:sz w:val="21"/>
                      <w:szCs w:val="21"/>
                      <w:highlight w:val="none"/>
                      <w:lang w:val="en-US" w:eastAsia="zh-CN"/>
                    </w:rPr>
                  </w:pPr>
                  <w:r>
                    <w:rPr>
                      <w:rFonts w:hint="default"/>
                      <w:sz w:val="21"/>
                      <w:szCs w:val="21"/>
                    </w:rPr>
                    <w:t>已建成，于2019年10月通过自主验收</w:t>
                  </w:r>
                  <w:r>
                    <w:rPr>
                      <w:rFonts w:hint="eastAsia"/>
                      <w:sz w:val="21"/>
                      <w:szCs w:val="21"/>
                    </w:rPr>
                    <w:t>。</w:t>
                  </w:r>
                </w:p>
              </w:tc>
              <w:tc>
                <w:tcPr>
                  <w:tcW w:w="971" w:type="pct"/>
                  <w:gridSpan w:val="2"/>
                  <w:tcBorders>
                    <w:tl2br w:val="nil"/>
                    <w:tr2bl w:val="nil"/>
                  </w:tcBorders>
                  <w:noWrap w:val="0"/>
                  <w:vAlign w:val="center"/>
                </w:tcPr>
                <w:p w14:paraId="03DAD636">
                  <w:pPr>
                    <w:keepNext w:val="0"/>
                    <w:keepLines w:val="0"/>
                    <w:suppressLineNumbers w:val="0"/>
                    <w:adjustRightInd w:val="0"/>
                    <w:snapToGrid w:val="0"/>
                    <w:spacing w:before="0" w:beforeAutospacing="0" w:after="0" w:afterAutospacing="0"/>
                    <w:ind w:left="0" w:right="0"/>
                    <w:jc w:val="center"/>
                    <w:textAlignment w:val="baseline"/>
                    <w:rPr>
                      <w:rFonts w:hint="default" w:eastAsia="宋体"/>
                      <w:bCs/>
                      <w:color w:val="000000"/>
                      <w:sz w:val="21"/>
                      <w:szCs w:val="21"/>
                      <w:highlight w:val="none"/>
                      <w:lang w:val="en-US" w:eastAsia="zh-CN"/>
                    </w:rPr>
                  </w:pPr>
                  <w:r>
                    <w:rPr>
                      <w:rFonts w:hint="eastAsia"/>
                      <w:bCs/>
                      <w:color w:val="000000"/>
                      <w:sz w:val="21"/>
                      <w:szCs w:val="21"/>
                      <w:highlight w:val="none"/>
                      <w:lang w:val="en-US" w:eastAsia="zh-CN"/>
                    </w:rPr>
                    <w:t>北厂区生产</w:t>
                  </w:r>
                </w:p>
              </w:tc>
            </w:tr>
            <w:tr w14:paraId="03B13C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0" w:type="pct"/>
                  <w:tcBorders>
                    <w:tl2br w:val="nil"/>
                    <w:tr2bl w:val="nil"/>
                  </w:tcBorders>
                  <w:noWrap w:val="0"/>
                  <w:vAlign w:val="center"/>
                </w:tcPr>
                <w:p w14:paraId="460F9A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outlineLvl w:val="9"/>
                    <w:rPr>
                      <w:rFonts w:hint="default" w:ascii="Times New Roman" w:hAnsi="Times New Roman" w:cs="Times New Roman"/>
                      <w:color w:val="0C0C0C"/>
                      <w:sz w:val="21"/>
                      <w:szCs w:val="21"/>
                      <w:highlight w:val="none"/>
                    </w:rPr>
                  </w:pPr>
                  <w:r>
                    <w:rPr>
                      <w:rFonts w:hint="default" w:ascii="Times New Roman" w:hAnsi="Times New Roman" w:cs="Times New Roman"/>
                      <w:color w:val="0C0C0C"/>
                      <w:sz w:val="21"/>
                      <w:szCs w:val="21"/>
                      <w:highlight w:val="none"/>
                    </w:rPr>
                    <w:t>3</w:t>
                  </w:r>
                </w:p>
              </w:tc>
              <w:tc>
                <w:tcPr>
                  <w:tcW w:w="2521" w:type="dxa"/>
                  <w:tcBorders>
                    <w:tl2br w:val="nil"/>
                    <w:tr2bl w:val="nil"/>
                  </w:tcBorders>
                  <w:noWrap w:val="0"/>
                  <w:vAlign w:val="center"/>
                </w:tcPr>
                <w:p w14:paraId="10792C4E">
                  <w:pPr>
                    <w:keepNext w:val="0"/>
                    <w:keepLines w:val="0"/>
                    <w:suppressLineNumbers w:val="0"/>
                    <w:snapToGrid w:val="0"/>
                    <w:spacing w:before="0" w:beforeAutospacing="0" w:after="0"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sz w:val="21"/>
                      <w:szCs w:val="21"/>
                    </w:rPr>
                    <w:t>新乡市弘力电源科技有限公司年产30亿瓦时锂离子电池项目</w:t>
                  </w:r>
                </w:p>
              </w:tc>
              <w:tc>
                <w:tcPr>
                  <w:tcW w:w="2354" w:type="dxa"/>
                  <w:tcBorders>
                    <w:tl2br w:val="nil"/>
                    <w:tr2bl w:val="nil"/>
                  </w:tcBorders>
                  <w:noWrap w:val="0"/>
                  <w:vAlign w:val="center"/>
                </w:tcPr>
                <w:p w14:paraId="77B9D10B">
                  <w:pPr>
                    <w:keepNext w:val="0"/>
                    <w:keepLines w:val="0"/>
                    <w:suppressLineNumbers w:val="0"/>
                    <w:snapToGrid w:val="0"/>
                    <w:spacing w:before="0" w:beforeAutospacing="0" w:after="0" w:afterAutospacing="0" w:line="240" w:lineRule="auto"/>
                    <w:ind w:left="0" w:right="0" w:firstLine="0" w:firstLineChars="0"/>
                    <w:jc w:val="both"/>
                    <w:rPr>
                      <w:rFonts w:hint="default" w:ascii="Times New Roman" w:hAnsi="Times New Roman" w:cs="Times New Roman"/>
                      <w:color w:val="auto"/>
                      <w:sz w:val="21"/>
                      <w:szCs w:val="21"/>
                      <w:highlight w:val="none"/>
                    </w:rPr>
                  </w:pPr>
                  <w:r>
                    <w:rPr>
                      <w:rFonts w:hint="default"/>
                      <w:sz w:val="21"/>
                      <w:szCs w:val="21"/>
                    </w:rPr>
                    <w:t>2019年5月14日新乡市环保局以新环表审[2019]13号予以批复</w:t>
                  </w:r>
                </w:p>
              </w:tc>
              <w:tc>
                <w:tcPr>
                  <w:tcW w:w="970" w:type="pct"/>
                  <w:gridSpan w:val="2"/>
                  <w:tcBorders>
                    <w:tl2br w:val="nil"/>
                    <w:tr2bl w:val="nil"/>
                  </w:tcBorders>
                  <w:noWrap w:val="0"/>
                  <w:vAlign w:val="center"/>
                </w:tcPr>
                <w:p w14:paraId="23B635C5">
                  <w:pPr>
                    <w:keepNext w:val="0"/>
                    <w:keepLines w:val="0"/>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highlight w:val="none"/>
                      <w:lang w:val="en-US" w:eastAsia="zh-CN"/>
                    </w:rPr>
                  </w:pPr>
                  <w:r>
                    <w:rPr>
                      <w:rFonts w:hint="default"/>
                      <w:sz w:val="21"/>
                      <w:szCs w:val="21"/>
                    </w:rPr>
                    <w:t>一期工程于2019年12月通过自主验收，运营正常。二期于20</w:t>
                  </w:r>
                  <w:r>
                    <w:rPr>
                      <w:rFonts w:hint="eastAsia"/>
                      <w:sz w:val="21"/>
                      <w:szCs w:val="21"/>
                    </w:rPr>
                    <w:t>21</w:t>
                  </w:r>
                  <w:r>
                    <w:rPr>
                      <w:rFonts w:hint="default"/>
                      <w:sz w:val="21"/>
                      <w:szCs w:val="21"/>
                    </w:rPr>
                    <w:t>年</w:t>
                  </w:r>
                  <w:r>
                    <w:rPr>
                      <w:rFonts w:hint="eastAsia"/>
                      <w:sz w:val="21"/>
                      <w:szCs w:val="21"/>
                    </w:rPr>
                    <w:t>4</w:t>
                  </w:r>
                  <w:r>
                    <w:rPr>
                      <w:rFonts w:hint="default"/>
                      <w:sz w:val="21"/>
                      <w:szCs w:val="21"/>
                    </w:rPr>
                    <w:t>月通过自主验收，</w:t>
                  </w:r>
                  <w:r>
                    <w:rPr>
                      <w:rFonts w:hint="eastAsia"/>
                      <w:sz w:val="21"/>
                      <w:szCs w:val="21"/>
                    </w:rPr>
                    <w:t>目前</w:t>
                  </w:r>
                  <w:r>
                    <w:rPr>
                      <w:rFonts w:hint="default"/>
                      <w:sz w:val="21"/>
                      <w:szCs w:val="21"/>
                    </w:rPr>
                    <w:t>运营正常。</w:t>
                  </w:r>
                </w:p>
              </w:tc>
              <w:tc>
                <w:tcPr>
                  <w:tcW w:w="971" w:type="pct"/>
                  <w:gridSpan w:val="2"/>
                  <w:tcBorders>
                    <w:tl2br w:val="nil"/>
                    <w:tr2bl w:val="nil"/>
                  </w:tcBorders>
                  <w:noWrap w:val="0"/>
                  <w:vAlign w:val="center"/>
                </w:tcPr>
                <w:p w14:paraId="4353ED5E">
                  <w:pPr>
                    <w:keepNext w:val="0"/>
                    <w:keepLines w:val="0"/>
                    <w:suppressLineNumbers w:val="0"/>
                    <w:adjustRightInd w:val="0"/>
                    <w:snapToGrid w:val="0"/>
                    <w:spacing w:before="0" w:beforeAutospacing="0" w:after="0" w:afterAutospacing="0"/>
                    <w:ind w:left="0" w:right="0"/>
                    <w:jc w:val="center"/>
                    <w:textAlignment w:val="baseline"/>
                    <w:rPr>
                      <w:rFonts w:hint="default" w:cs="Times New Roman"/>
                      <w:color w:val="0C0C0C"/>
                      <w:sz w:val="21"/>
                      <w:szCs w:val="21"/>
                      <w:highlight w:val="none"/>
                      <w:lang w:val="en-US" w:eastAsia="zh-CN"/>
                    </w:rPr>
                  </w:pPr>
                  <w:r>
                    <w:rPr>
                      <w:rFonts w:hint="eastAsia"/>
                      <w:sz w:val="21"/>
                      <w:szCs w:val="21"/>
                    </w:rPr>
                    <w:t>一期工程位于北厂区、二期位于南厂区</w:t>
                  </w:r>
                </w:p>
              </w:tc>
            </w:tr>
            <w:tr w14:paraId="38CD3B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0" w:type="pct"/>
                  <w:tcBorders>
                    <w:tl2br w:val="nil"/>
                    <w:tr2bl w:val="nil"/>
                  </w:tcBorders>
                  <w:noWrap w:val="0"/>
                  <w:vAlign w:val="center"/>
                </w:tcPr>
                <w:p w14:paraId="218148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outlineLvl w:val="9"/>
                    <w:rPr>
                      <w:rFonts w:hint="default" w:ascii="Times New Roman" w:hAnsi="Times New Roman" w:cs="Times New Roman"/>
                      <w:color w:val="0C0C0C"/>
                      <w:sz w:val="21"/>
                      <w:szCs w:val="21"/>
                      <w:highlight w:val="none"/>
                    </w:rPr>
                  </w:pPr>
                  <w:r>
                    <w:rPr>
                      <w:rFonts w:hint="default" w:ascii="Times New Roman" w:hAnsi="Times New Roman" w:cs="Times New Roman"/>
                      <w:color w:val="0C0C0C"/>
                      <w:sz w:val="21"/>
                      <w:szCs w:val="21"/>
                      <w:highlight w:val="none"/>
                    </w:rPr>
                    <w:t>4</w:t>
                  </w:r>
                </w:p>
              </w:tc>
              <w:tc>
                <w:tcPr>
                  <w:tcW w:w="2521" w:type="dxa"/>
                  <w:tcBorders>
                    <w:tl2br w:val="nil"/>
                    <w:tr2bl w:val="nil"/>
                  </w:tcBorders>
                  <w:noWrap w:val="0"/>
                  <w:vAlign w:val="center"/>
                </w:tcPr>
                <w:p w14:paraId="32EF902A">
                  <w:pPr>
                    <w:keepNext w:val="0"/>
                    <w:keepLines w:val="0"/>
                    <w:suppressLineNumbers w:val="0"/>
                    <w:snapToGrid w:val="0"/>
                    <w:spacing w:before="0" w:beforeAutospacing="0" w:after="0" w:afterAutospacing="0" w:line="240" w:lineRule="auto"/>
                    <w:ind w:left="0" w:right="0" w:firstLine="0" w:firstLineChars="0"/>
                    <w:rPr>
                      <w:rFonts w:hint="default" w:ascii="Times New Roman" w:hAnsi="Times New Roman" w:cs="Times New Roman"/>
                      <w:color w:val="0C0C0C"/>
                      <w:sz w:val="21"/>
                      <w:szCs w:val="21"/>
                      <w:highlight w:val="none"/>
                    </w:rPr>
                  </w:pPr>
                  <w:r>
                    <w:rPr>
                      <w:rFonts w:hint="eastAsia"/>
                      <w:sz w:val="21"/>
                      <w:szCs w:val="21"/>
                    </w:rPr>
                    <w:t>新乡市弘力电源科技有限公司锂离子电池生产线绿色化改造项目</w:t>
                  </w:r>
                </w:p>
              </w:tc>
              <w:tc>
                <w:tcPr>
                  <w:tcW w:w="2354" w:type="dxa"/>
                  <w:tcBorders>
                    <w:tl2br w:val="nil"/>
                    <w:tr2bl w:val="nil"/>
                  </w:tcBorders>
                  <w:noWrap w:val="0"/>
                  <w:vAlign w:val="center"/>
                </w:tcPr>
                <w:p w14:paraId="4A4B9232">
                  <w:pPr>
                    <w:keepNext w:val="0"/>
                    <w:keepLines w:val="0"/>
                    <w:suppressLineNumbers w:val="0"/>
                    <w:snapToGrid w:val="0"/>
                    <w:spacing w:before="0" w:beforeAutospacing="0" w:after="0" w:afterAutospacing="0" w:line="240" w:lineRule="auto"/>
                    <w:ind w:left="0" w:right="0" w:firstLine="0" w:firstLineChars="0"/>
                    <w:jc w:val="both"/>
                    <w:rPr>
                      <w:rFonts w:hint="default" w:ascii="Times New Roman" w:hAnsi="Times New Roman" w:cs="Times New Roman"/>
                      <w:color w:val="0C0C0C"/>
                      <w:sz w:val="21"/>
                      <w:szCs w:val="21"/>
                      <w:highlight w:val="none"/>
                    </w:rPr>
                  </w:pPr>
                  <w:r>
                    <w:rPr>
                      <w:rFonts w:hint="eastAsia"/>
                      <w:sz w:val="21"/>
                      <w:szCs w:val="21"/>
                    </w:rPr>
                    <w:t>2022年2月9日新乡县环保</w:t>
                  </w:r>
                  <w:r>
                    <w:rPr>
                      <w:rFonts w:hint="default"/>
                      <w:sz w:val="21"/>
                      <w:szCs w:val="21"/>
                    </w:rPr>
                    <w:t>局以</w:t>
                  </w:r>
                  <w:r>
                    <w:rPr>
                      <w:rFonts w:hint="eastAsia"/>
                      <w:sz w:val="21"/>
                      <w:szCs w:val="21"/>
                    </w:rPr>
                    <w:t>新</w:t>
                  </w:r>
                  <w:r>
                    <w:rPr>
                      <w:rFonts w:hint="default"/>
                      <w:sz w:val="21"/>
                      <w:szCs w:val="21"/>
                    </w:rPr>
                    <w:t>环表审</w:t>
                  </w:r>
                  <w:r>
                    <w:rPr>
                      <w:rFonts w:hint="eastAsia"/>
                      <w:sz w:val="21"/>
                      <w:szCs w:val="21"/>
                    </w:rPr>
                    <w:t>[</w:t>
                  </w:r>
                  <w:r>
                    <w:rPr>
                      <w:rFonts w:hint="default"/>
                      <w:sz w:val="21"/>
                      <w:szCs w:val="21"/>
                    </w:rPr>
                    <w:t>202</w:t>
                  </w:r>
                  <w:r>
                    <w:rPr>
                      <w:rFonts w:hint="eastAsia"/>
                      <w:sz w:val="21"/>
                      <w:szCs w:val="21"/>
                    </w:rPr>
                    <w:t>2]08号</w:t>
                  </w:r>
                  <w:r>
                    <w:rPr>
                      <w:rFonts w:hint="default"/>
                      <w:sz w:val="21"/>
                      <w:szCs w:val="21"/>
                    </w:rPr>
                    <w:t>予以批复</w:t>
                  </w:r>
                </w:p>
              </w:tc>
              <w:tc>
                <w:tcPr>
                  <w:tcW w:w="1709" w:type="dxa"/>
                  <w:gridSpan w:val="2"/>
                  <w:tcBorders>
                    <w:tl2br w:val="nil"/>
                    <w:tr2bl w:val="nil"/>
                  </w:tcBorders>
                  <w:noWrap w:val="0"/>
                  <w:vAlign w:val="center"/>
                </w:tcPr>
                <w:p w14:paraId="1ACE0E6B">
                  <w:pPr>
                    <w:keepNext w:val="0"/>
                    <w:keepLines w:val="0"/>
                    <w:suppressLineNumbers w:val="0"/>
                    <w:snapToGrid w:val="0"/>
                    <w:spacing w:before="0" w:beforeAutospacing="0" w:after="0" w:afterAutospacing="0" w:line="240" w:lineRule="auto"/>
                    <w:ind w:left="0" w:right="0" w:firstLine="0" w:firstLineChars="0"/>
                    <w:rPr>
                      <w:rFonts w:hint="default" w:ascii="Times New Roman" w:hAnsi="Times New Roman" w:eastAsia="宋体" w:cs="Times New Roman"/>
                      <w:color w:val="0C0C0C"/>
                      <w:sz w:val="21"/>
                      <w:szCs w:val="21"/>
                      <w:highlight w:val="none"/>
                      <w:lang w:val="en-US" w:eastAsia="zh-CN"/>
                    </w:rPr>
                  </w:pPr>
                  <w:r>
                    <w:rPr>
                      <w:rFonts w:hint="eastAsia"/>
                      <w:sz w:val="21"/>
                      <w:szCs w:val="21"/>
                    </w:rPr>
                    <w:t>已建成，于</w:t>
                  </w:r>
                  <w:r>
                    <w:rPr>
                      <w:rFonts w:hint="default"/>
                      <w:sz w:val="21"/>
                      <w:szCs w:val="21"/>
                    </w:rPr>
                    <w:t>20</w:t>
                  </w:r>
                  <w:r>
                    <w:rPr>
                      <w:rFonts w:hint="eastAsia"/>
                      <w:sz w:val="21"/>
                      <w:szCs w:val="21"/>
                    </w:rPr>
                    <w:t>22</w:t>
                  </w:r>
                  <w:r>
                    <w:rPr>
                      <w:rFonts w:hint="default"/>
                      <w:sz w:val="21"/>
                      <w:szCs w:val="21"/>
                    </w:rPr>
                    <w:t>年</w:t>
                  </w:r>
                  <w:r>
                    <w:rPr>
                      <w:rFonts w:hint="eastAsia"/>
                      <w:sz w:val="21"/>
                      <w:szCs w:val="21"/>
                    </w:rPr>
                    <w:t>8</w:t>
                  </w:r>
                  <w:r>
                    <w:rPr>
                      <w:rFonts w:hint="default"/>
                      <w:sz w:val="21"/>
                      <w:szCs w:val="21"/>
                    </w:rPr>
                    <w:t>月通过自主验收</w:t>
                  </w:r>
                </w:p>
              </w:tc>
              <w:tc>
                <w:tcPr>
                  <w:tcW w:w="971" w:type="pct"/>
                  <w:gridSpan w:val="2"/>
                  <w:tcBorders>
                    <w:tl2br w:val="nil"/>
                    <w:tr2bl w:val="nil"/>
                  </w:tcBorders>
                  <w:noWrap w:val="0"/>
                  <w:vAlign w:val="center"/>
                </w:tcPr>
                <w:p w14:paraId="21DEF8B2">
                  <w:pPr>
                    <w:keepNext w:val="0"/>
                    <w:keepLines w:val="0"/>
                    <w:suppressLineNumbers w:val="0"/>
                    <w:adjustRightInd w:val="0"/>
                    <w:snapToGrid w:val="0"/>
                    <w:spacing w:before="0" w:beforeAutospacing="0" w:after="0" w:afterAutospacing="0"/>
                    <w:ind w:left="0" w:right="0"/>
                    <w:jc w:val="center"/>
                    <w:textAlignment w:val="baseline"/>
                    <w:rPr>
                      <w:rFonts w:hint="default" w:eastAsia="宋体"/>
                      <w:bCs/>
                      <w:color w:val="000000"/>
                      <w:sz w:val="21"/>
                      <w:szCs w:val="21"/>
                      <w:highlight w:val="none"/>
                      <w:lang w:val="en-US" w:eastAsia="zh-CN"/>
                    </w:rPr>
                  </w:pPr>
                  <w:r>
                    <w:rPr>
                      <w:rFonts w:hint="eastAsia"/>
                      <w:bCs/>
                      <w:color w:val="000000"/>
                      <w:sz w:val="21"/>
                      <w:szCs w:val="21"/>
                      <w:highlight w:val="none"/>
                      <w:lang w:val="en-US" w:eastAsia="zh-CN"/>
                    </w:rPr>
                    <w:t>北厂区生产</w:t>
                  </w:r>
                </w:p>
              </w:tc>
            </w:tr>
            <w:tr w14:paraId="667F03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0" w:type="pct"/>
                  <w:noWrap w:val="0"/>
                  <w:vAlign w:val="center"/>
                </w:tcPr>
                <w:p w14:paraId="131418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outlineLvl w:val="9"/>
                    <w:rPr>
                      <w:rFonts w:hint="default" w:ascii="Times New Roman" w:hAnsi="Times New Roman" w:eastAsia="宋体" w:cs="Times New Roman"/>
                      <w:color w:val="0C0C0C"/>
                      <w:sz w:val="21"/>
                      <w:szCs w:val="21"/>
                      <w:highlight w:val="none"/>
                      <w:lang w:val="en-US" w:eastAsia="zh-CN"/>
                    </w:rPr>
                  </w:pPr>
                  <w:r>
                    <w:rPr>
                      <w:rFonts w:hint="default" w:ascii="Times New Roman" w:hAnsi="Times New Roman" w:cs="Times New Roman"/>
                      <w:color w:val="0C0C0C"/>
                      <w:sz w:val="21"/>
                      <w:szCs w:val="21"/>
                      <w:highlight w:val="none"/>
                      <w:lang w:val="en-US" w:eastAsia="zh-CN"/>
                    </w:rPr>
                    <w:t>5</w:t>
                  </w:r>
                </w:p>
              </w:tc>
              <w:tc>
                <w:tcPr>
                  <w:tcW w:w="2521" w:type="dxa"/>
                  <w:noWrap w:val="0"/>
                  <w:vAlign w:val="center"/>
                </w:tcPr>
                <w:p w14:paraId="3EA2B447">
                  <w:pPr>
                    <w:keepNext w:val="0"/>
                    <w:keepLines w:val="0"/>
                    <w:suppressLineNumbers w:val="0"/>
                    <w:snapToGrid w:val="0"/>
                    <w:spacing w:before="0" w:beforeAutospacing="0" w:after="0" w:afterAutospacing="0" w:line="240" w:lineRule="auto"/>
                    <w:ind w:left="0" w:right="0" w:firstLine="0" w:firstLineChars="0"/>
                    <w:rPr>
                      <w:rFonts w:hint="default" w:ascii="Times New Roman" w:hAnsi="Times New Roman" w:eastAsia="宋体" w:cs="Times New Roman"/>
                      <w:color w:val="0C0C0C"/>
                      <w:sz w:val="21"/>
                      <w:szCs w:val="21"/>
                      <w:highlight w:val="none"/>
                      <w:lang w:val="en-US" w:eastAsia="zh-CN"/>
                    </w:rPr>
                  </w:pPr>
                  <w:r>
                    <w:rPr>
                      <w:rFonts w:hint="eastAsia"/>
                      <w:sz w:val="21"/>
                      <w:szCs w:val="21"/>
                    </w:rPr>
                    <w:t>新乡市弘力电源科技有限公司年</w:t>
                  </w:r>
                  <w:r>
                    <w:rPr>
                      <w:rFonts w:hint="eastAsia"/>
                      <w:color w:val="000000" w:themeColor="text1"/>
                      <w:sz w:val="21"/>
                      <w:szCs w:val="21"/>
                      <w14:textFill>
                        <w14:solidFill>
                          <w14:schemeClr w14:val="tx1"/>
                        </w14:solidFill>
                      </w14:textFill>
                    </w:rPr>
                    <w:t>产1.8万吨锂离子电池正极材料项目</w:t>
                  </w:r>
                </w:p>
              </w:tc>
              <w:tc>
                <w:tcPr>
                  <w:tcW w:w="2354" w:type="dxa"/>
                  <w:noWrap w:val="0"/>
                  <w:vAlign w:val="center"/>
                </w:tcPr>
                <w:p w14:paraId="68749798">
                  <w:pPr>
                    <w:keepNext w:val="0"/>
                    <w:keepLines w:val="0"/>
                    <w:suppressLineNumbers w:val="0"/>
                    <w:snapToGrid w:val="0"/>
                    <w:spacing w:before="0" w:beforeAutospacing="0" w:after="0" w:afterAutospacing="0" w:line="240" w:lineRule="auto"/>
                    <w:ind w:left="0" w:right="0" w:firstLine="0" w:firstLineChars="0"/>
                    <w:jc w:val="both"/>
                    <w:rPr>
                      <w:rFonts w:hint="default" w:ascii="Times New Roman" w:hAnsi="Times New Roman" w:cs="Times New Roman"/>
                      <w:color w:val="0C0C0C"/>
                      <w:sz w:val="21"/>
                      <w:szCs w:val="21"/>
                      <w:highlight w:val="none"/>
                    </w:rPr>
                  </w:pPr>
                  <w:r>
                    <w:rPr>
                      <w:rFonts w:hint="eastAsia"/>
                      <w:sz w:val="21"/>
                      <w:szCs w:val="21"/>
                    </w:rPr>
                    <w:t>2019年5月8日新乡县环保</w:t>
                  </w:r>
                  <w:r>
                    <w:rPr>
                      <w:rFonts w:hint="default"/>
                      <w:sz w:val="21"/>
                      <w:szCs w:val="21"/>
                    </w:rPr>
                    <w:t>局以</w:t>
                  </w:r>
                  <w:r>
                    <w:rPr>
                      <w:rFonts w:hint="eastAsia"/>
                      <w:sz w:val="21"/>
                      <w:szCs w:val="21"/>
                    </w:rPr>
                    <w:t>新</w:t>
                  </w:r>
                  <w:r>
                    <w:rPr>
                      <w:rFonts w:hint="default"/>
                      <w:sz w:val="21"/>
                      <w:szCs w:val="21"/>
                    </w:rPr>
                    <w:t>环表审</w:t>
                  </w:r>
                  <w:r>
                    <w:rPr>
                      <w:rFonts w:hint="eastAsia"/>
                      <w:sz w:val="21"/>
                      <w:szCs w:val="21"/>
                    </w:rPr>
                    <w:t>[</w:t>
                  </w:r>
                  <w:r>
                    <w:rPr>
                      <w:rFonts w:hint="default"/>
                      <w:sz w:val="21"/>
                      <w:szCs w:val="21"/>
                    </w:rPr>
                    <w:t>20</w:t>
                  </w:r>
                  <w:r>
                    <w:rPr>
                      <w:rFonts w:hint="eastAsia"/>
                      <w:sz w:val="21"/>
                      <w:szCs w:val="21"/>
                    </w:rPr>
                    <w:t>19]032号</w:t>
                  </w:r>
                  <w:r>
                    <w:rPr>
                      <w:rFonts w:hint="default"/>
                      <w:sz w:val="21"/>
                      <w:szCs w:val="21"/>
                    </w:rPr>
                    <w:t>予以批复</w:t>
                  </w:r>
                </w:p>
              </w:tc>
              <w:tc>
                <w:tcPr>
                  <w:tcW w:w="1709" w:type="dxa"/>
                  <w:gridSpan w:val="2"/>
                  <w:noWrap w:val="0"/>
                  <w:vAlign w:val="center"/>
                </w:tcPr>
                <w:p w14:paraId="0B7A5FEC">
                  <w:pPr>
                    <w:keepNext w:val="0"/>
                    <w:keepLines w:val="0"/>
                    <w:suppressLineNumbers w:val="0"/>
                    <w:snapToGrid w:val="0"/>
                    <w:spacing w:before="0" w:beforeAutospacing="0" w:after="0" w:afterAutospacing="0" w:line="240" w:lineRule="auto"/>
                    <w:ind w:left="0" w:right="0" w:firstLine="0" w:firstLineChars="0"/>
                    <w:rPr>
                      <w:rFonts w:hint="default" w:ascii="Times New Roman" w:hAnsi="Times New Roman" w:eastAsia="宋体" w:cs="Times New Roman"/>
                      <w:color w:val="0C0C0C"/>
                      <w:sz w:val="21"/>
                      <w:szCs w:val="21"/>
                      <w:highlight w:val="none"/>
                      <w:lang w:val="en-US" w:eastAsia="zh-CN"/>
                    </w:rPr>
                  </w:pPr>
                  <w:r>
                    <w:rPr>
                      <w:rFonts w:hint="eastAsia"/>
                      <w:sz w:val="21"/>
                      <w:szCs w:val="21"/>
                    </w:rPr>
                    <w:t>已建成，于</w:t>
                  </w:r>
                  <w:r>
                    <w:rPr>
                      <w:rFonts w:hint="default"/>
                      <w:sz w:val="21"/>
                      <w:szCs w:val="21"/>
                    </w:rPr>
                    <w:t>20</w:t>
                  </w:r>
                  <w:r>
                    <w:rPr>
                      <w:rFonts w:hint="eastAsia"/>
                      <w:sz w:val="21"/>
                      <w:szCs w:val="21"/>
                    </w:rPr>
                    <w:t>20</w:t>
                  </w:r>
                  <w:r>
                    <w:rPr>
                      <w:rFonts w:hint="default"/>
                      <w:sz w:val="21"/>
                      <w:szCs w:val="21"/>
                    </w:rPr>
                    <w:t>年</w:t>
                  </w:r>
                  <w:r>
                    <w:rPr>
                      <w:rFonts w:hint="eastAsia"/>
                      <w:sz w:val="21"/>
                      <w:szCs w:val="21"/>
                    </w:rPr>
                    <w:t>7</w:t>
                  </w:r>
                  <w:r>
                    <w:rPr>
                      <w:rFonts w:hint="default"/>
                      <w:sz w:val="21"/>
                      <w:szCs w:val="21"/>
                    </w:rPr>
                    <w:t>月通过自主验收</w:t>
                  </w:r>
                </w:p>
              </w:tc>
              <w:tc>
                <w:tcPr>
                  <w:tcW w:w="971" w:type="pct"/>
                  <w:gridSpan w:val="2"/>
                  <w:noWrap w:val="0"/>
                  <w:vAlign w:val="center"/>
                </w:tcPr>
                <w:p w14:paraId="05F1B464">
                  <w:pPr>
                    <w:keepNext w:val="0"/>
                    <w:keepLines w:val="0"/>
                    <w:suppressLineNumbers w:val="0"/>
                    <w:adjustRightInd w:val="0"/>
                    <w:snapToGrid w:val="0"/>
                    <w:spacing w:before="0" w:beforeAutospacing="0" w:after="0" w:afterAutospacing="0"/>
                    <w:ind w:left="0" w:right="0"/>
                    <w:jc w:val="center"/>
                    <w:textAlignment w:val="baseline"/>
                    <w:rPr>
                      <w:rFonts w:hint="default" w:cs="Times New Roman"/>
                      <w:color w:val="0C0C0C"/>
                      <w:sz w:val="21"/>
                      <w:szCs w:val="21"/>
                      <w:highlight w:val="none"/>
                      <w:lang w:val="en-US" w:eastAsia="zh-CN"/>
                    </w:rPr>
                  </w:pPr>
                  <w:r>
                    <w:rPr>
                      <w:rFonts w:hint="eastAsia" w:cs="Times New Roman"/>
                      <w:color w:val="0C0C0C"/>
                      <w:sz w:val="21"/>
                      <w:szCs w:val="21"/>
                      <w:highlight w:val="none"/>
                      <w:lang w:val="en-US" w:eastAsia="zh-CN"/>
                    </w:rPr>
                    <w:t>南厂区正极材料车间</w:t>
                  </w:r>
                </w:p>
              </w:tc>
            </w:tr>
            <w:tr w14:paraId="23F58A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0" w:type="pct"/>
                  <w:tcBorders>
                    <w:bottom w:val="single" w:color="auto" w:sz="8" w:space="0"/>
                  </w:tcBorders>
                  <w:noWrap w:val="0"/>
                  <w:vAlign w:val="center"/>
                </w:tcPr>
                <w:p w14:paraId="229E9D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outlineLvl w:val="9"/>
                    <w:rPr>
                      <w:rFonts w:hint="default" w:ascii="Times New Roman" w:hAnsi="Times New Roman" w:cs="Times New Roman"/>
                      <w:color w:val="0C0C0C"/>
                      <w:sz w:val="21"/>
                      <w:szCs w:val="21"/>
                      <w:highlight w:val="none"/>
                      <w:lang w:val="en-US" w:eastAsia="zh-CN"/>
                    </w:rPr>
                  </w:pPr>
                  <w:r>
                    <w:rPr>
                      <w:rFonts w:hint="eastAsia" w:ascii="Times New Roman" w:hAnsi="Times New Roman" w:cs="Times New Roman"/>
                      <w:color w:val="0C0C0C"/>
                      <w:sz w:val="21"/>
                      <w:szCs w:val="21"/>
                      <w:highlight w:val="none"/>
                      <w:lang w:val="en-US" w:eastAsia="zh-CN"/>
                    </w:rPr>
                    <w:t>6</w:t>
                  </w:r>
                </w:p>
              </w:tc>
              <w:tc>
                <w:tcPr>
                  <w:tcW w:w="2521" w:type="dxa"/>
                  <w:tcBorders>
                    <w:bottom w:val="single" w:color="auto" w:sz="8" w:space="0"/>
                  </w:tcBorders>
                  <w:noWrap w:val="0"/>
                  <w:vAlign w:val="center"/>
                </w:tcPr>
                <w:p w14:paraId="29C149B9">
                  <w:pPr>
                    <w:keepNext w:val="0"/>
                    <w:keepLines w:val="0"/>
                    <w:suppressLineNumbers w:val="0"/>
                    <w:snapToGrid w:val="0"/>
                    <w:spacing w:before="0" w:beforeAutospacing="0" w:after="0" w:afterAutospacing="0" w:line="240" w:lineRule="auto"/>
                    <w:ind w:left="0" w:right="0" w:firstLine="0" w:firstLineChars="0"/>
                    <w:rPr>
                      <w:rFonts w:hint="eastAsia"/>
                      <w:sz w:val="21"/>
                      <w:szCs w:val="21"/>
                    </w:rPr>
                  </w:pPr>
                  <w:r>
                    <w:rPr>
                      <w:rFonts w:hint="eastAsia"/>
                      <w:sz w:val="21"/>
                      <w:szCs w:val="21"/>
                    </w:rPr>
                    <w:t>新乡市弘力电源科技有限公司年产9000万支高倍率高容量锂离子电池技改项目</w:t>
                  </w:r>
                </w:p>
              </w:tc>
              <w:tc>
                <w:tcPr>
                  <w:tcW w:w="2354" w:type="dxa"/>
                  <w:tcBorders>
                    <w:bottom w:val="single" w:color="auto" w:sz="8" w:space="0"/>
                  </w:tcBorders>
                  <w:noWrap w:val="0"/>
                  <w:vAlign w:val="center"/>
                </w:tcPr>
                <w:p w14:paraId="50636812">
                  <w:pPr>
                    <w:keepNext w:val="0"/>
                    <w:keepLines w:val="0"/>
                    <w:suppressLineNumbers w:val="0"/>
                    <w:snapToGrid w:val="0"/>
                    <w:spacing w:before="0" w:beforeAutospacing="0" w:after="0" w:afterAutospacing="0" w:line="240" w:lineRule="auto"/>
                    <w:ind w:left="0" w:right="0" w:firstLine="0" w:firstLineChars="0"/>
                    <w:jc w:val="both"/>
                    <w:rPr>
                      <w:rFonts w:hint="default" w:eastAsia="宋体"/>
                      <w:sz w:val="21"/>
                      <w:szCs w:val="21"/>
                      <w:lang w:val="en-US" w:eastAsia="zh-CN"/>
                    </w:rPr>
                  </w:pPr>
                  <w:r>
                    <w:rPr>
                      <w:rFonts w:hint="eastAsia"/>
                      <w:sz w:val="21"/>
                      <w:szCs w:val="21"/>
                      <w:lang w:val="en-US" w:eastAsia="zh-CN"/>
                    </w:rPr>
                    <w:t>2024年1月15日新乡市生态环境局新乡县分局以新环表告</w:t>
                  </w:r>
                  <w:r>
                    <w:rPr>
                      <w:rFonts w:hint="eastAsia"/>
                      <w:sz w:val="21"/>
                      <w:szCs w:val="21"/>
                    </w:rPr>
                    <w:t>[</w:t>
                  </w:r>
                  <w:r>
                    <w:rPr>
                      <w:rFonts w:hint="default"/>
                      <w:sz w:val="21"/>
                      <w:szCs w:val="21"/>
                    </w:rPr>
                    <w:t>20</w:t>
                  </w:r>
                  <w:r>
                    <w:rPr>
                      <w:rFonts w:hint="eastAsia"/>
                      <w:sz w:val="21"/>
                      <w:szCs w:val="21"/>
                      <w:lang w:val="en-US" w:eastAsia="zh-CN"/>
                    </w:rPr>
                    <w:t>24</w:t>
                  </w:r>
                  <w:r>
                    <w:rPr>
                      <w:rFonts w:hint="eastAsia"/>
                      <w:sz w:val="21"/>
                      <w:szCs w:val="21"/>
                    </w:rPr>
                    <w:t>]0</w:t>
                  </w:r>
                  <w:r>
                    <w:rPr>
                      <w:rFonts w:hint="eastAsia"/>
                      <w:sz w:val="21"/>
                      <w:szCs w:val="21"/>
                      <w:lang w:val="en-US" w:eastAsia="zh-CN"/>
                    </w:rPr>
                    <w:t>1</w:t>
                  </w:r>
                  <w:r>
                    <w:rPr>
                      <w:rFonts w:hint="eastAsia"/>
                      <w:sz w:val="21"/>
                      <w:szCs w:val="21"/>
                    </w:rPr>
                    <w:t>号</w:t>
                  </w:r>
                  <w:r>
                    <w:rPr>
                      <w:rFonts w:hint="default"/>
                      <w:sz w:val="21"/>
                      <w:szCs w:val="21"/>
                    </w:rPr>
                    <w:t>予以批复</w:t>
                  </w:r>
                </w:p>
              </w:tc>
              <w:tc>
                <w:tcPr>
                  <w:tcW w:w="1709" w:type="dxa"/>
                  <w:gridSpan w:val="2"/>
                  <w:tcBorders>
                    <w:bottom w:val="single" w:color="auto" w:sz="8" w:space="0"/>
                  </w:tcBorders>
                  <w:noWrap w:val="0"/>
                  <w:vAlign w:val="center"/>
                </w:tcPr>
                <w:p w14:paraId="60258E18">
                  <w:pPr>
                    <w:keepNext w:val="0"/>
                    <w:keepLines w:val="0"/>
                    <w:suppressLineNumbers w:val="0"/>
                    <w:snapToGrid w:val="0"/>
                    <w:spacing w:before="0" w:beforeAutospacing="0" w:after="0" w:afterAutospacing="0" w:line="240" w:lineRule="auto"/>
                    <w:ind w:left="0" w:right="0" w:firstLine="0" w:firstLineChars="0"/>
                    <w:rPr>
                      <w:rFonts w:hint="default" w:eastAsia="宋体"/>
                      <w:sz w:val="21"/>
                      <w:szCs w:val="21"/>
                      <w:lang w:val="en-US" w:eastAsia="zh-CN"/>
                    </w:rPr>
                  </w:pPr>
                  <w:r>
                    <w:rPr>
                      <w:rFonts w:hint="eastAsia"/>
                      <w:sz w:val="21"/>
                      <w:szCs w:val="21"/>
                      <w:lang w:val="en-US" w:eastAsia="zh-CN"/>
                    </w:rPr>
                    <w:t>已建成，于2024年9月通过自主验收</w:t>
                  </w:r>
                </w:p>
              </w:tc>
              <w:tc>
                <w:tcPr>
                  <w:tcW w:w="971" w:type="pct"/>
                  <w:gridSpan w:val="2"/>
                  <w:tcBorders>
                    <w:bottom w:val="single" w:color="auto" w:sz="8" w:space="0"/>
                  </w:tcBorders>
                  <w:noWrap w:val="0"/>
                  <w:vAlign w:val="center"/>
                </w:tcPr>
                <w:p w14:paraId="085D60AC">
                  <w:pPr>
                    <w:keepNext w:val="0"/>
                    <w:keepLines w:val="0"/>
                    <w:suppressLineNumbers w:val="0"/>
                    <w:adjustRightInd w:val="0"/>
                    <w:snapToGrid w:val="0"/>
                    <w:spacing w:before="0" w:beforeAutospacing="0" w:after="0" w:afterAutospacing="0"/>
                    <w:ind w:left="0" w:right="0"/>
                    <w:jc w:val="center"/>
                    <w:textAlignment w:val="baseline"/>
                    <w:rPr>
                      <w:rFonts w:hint="default" w:cs="Times New Roman"/>
                      <w:color w:val="0C0C0C"/>
                      <w:sz w:val="21"/>
                      <w:szCs w:val="21"/>
                      <w:highlight w:val="none"/>
                      <w:lang w:val="en-US" w:eastAsia="zh-CN"/>
                    </w:rPr>
                  </w:pPr>
                  <w:r>
                    <w:rPr>
                      <w:rFonts w:hint="eastAsia" w:cs="Times New Roman"/>
                      <w:color w:val="0C0C0C"/>
                      <w:sz w:val="21"/>
                      <w:szCs w:val="21"/>
                      <w:highlight w:val="none"/>
                      <w:lang w:val="en-US" w:eastAsia="zh-CN"/>
                    </w:rPr>
                    <w:t>北厂区</w:t>
                  </w:r>
                </w:p>
              </w:tc>
            </w:tr>
          </w:tbl>
          <w:p w14:paraId="4791E82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2" w:firstLineChars="200"/>
              <w:textAlignment w:val="auto"/>
              <w:rPr>
                <w:rFonts w:hint="default"/>
                <w:b/>
                <w:bCs/>
                <w:lang w:val="en-US" w:eastAsia="zh-CN"/>
              </w:rPr>
            </w:pPr>
            <w:r>
              <w:rPr>
                <w:rFonts w:hint="eastAsia"/>
                <w:b/>
                <w:bCs/>
                <w:lang w:val="en-US" w:eastAsia="zh-CN"/>
              </w:rPr>
              <w:t>2、排污许可证办理情况</w:t>
            </w:r>
          </w:p>
          <w:p w14:paraId="018910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ascii="宋体" w:hAnsi="宋体"/>
                <w:color w:val="000000"/>
                <w:sz w:val="24"/>
                <w:highlight w:val="none"/>
                <w:lang w:val="en-US" w:eastAsia="zh-CN"/>
              </w:rPr>
            </w:pPr>
            <w:r>
              <w:rPr>
                <w:rFonts w:hint="eastAsia"/>
                <w:color w:val="000000"/>
                <w:sz w:val="24"/>
                <w:highlight w:val="none"/>
                <w:lang w:eastAsia="zh-CN"/>
              </w:rPr>
              <w:t>企业已按照要求办理了排污许可证，</w:t>
            </w:r>
            <w:r>
              <w:rPr>
                <w:rFonts w:hint="eastAsia"/>
                <w:color w:val="000000"/>
                <w:sz w:val="24"/>
                <w:highlight w:val="none"/>
                <w:lang w:val="en-US" w:eastAsia="zh-CN"/>
              </w:rPr>
              <w:t>行业</w:t>
            </w:r>
            <w:r>
              <w:rPr>
                <w:rFonts w:hint="eastAsia"/>
                <w:color w:val="000000"/>
                <w:sz w:val="24"/>
                <w:highlight w:val="none"/>
                <w:lang w:eastAsia="zh-CN"/>
              </w:rPr>
              <w:t>类</w:t>
            </w:r>
            <w:r>
              <w:rPr>
                <w:rFonts w:hint="default" w:ascii="Times New Roman" w:hAnsi="Times New Roman" w:eastAsia="宋体" w:cs="Times New Roman"/>
                <w:color w:val="000000"/>
                <w:sz w:val="24"/>
                <w:highlight w:val="none"/>
                <w:lang w:eastAsia="zh-CN"/>
              </w:rPr>
              <w:t>别为</w:t>
            </w:r>
            <w:r>
              <w:rPr>
                <w:rFonts w:hint="default" w:ascii="Times New Roman" w:hAnsi="Times New Roman" w:eastAsia="宋体" w:cs="Times New Roman"/>
                <w:color w:val="000000"/>
                <w:kern w:val="0"/>
                <w:sz w:val="24"/>
                <w:szCs w:val="24"/>
                <w:highlight w:val="none"/>
                <w:lang w:val="en-US" w:eastAsia="zh-CN" w:bidi="ar"/>
              </w:rPr>
              <w:t>锂离子电池制造和电子专用材料制造，管理类别为简化</w:t>
            </w:r>
            <w:r>
              <w:rPr>
                <w:rFonts w:hint="default" w:ascii="Times New Roman" w:hAnsi="Times New Roman" w:eastAsia="宋体" w:cs="Times New Roman"/>
                <w:color w:val="000000"/>
                <w:sz w:val="24"/>
                <w:highlight w:val="none"/>
                <w:lang w:eastAsia="zh-CN"/>
              </w:rPr>
              <w:t>管理。</w:t>
            </w:r>
            <w:r>
              <w:rPr>
                <w:rFonts w:hint="default" w:ascii="Times New Roman" w:hAnsi="Times New Roman" w:eastAsia="宋体" w:cs="Times New Roman"/>
                <w:color w:val="000000"/>
                <w:sz w:val="24"/>
                <w:highlight w:val="none"/>
                <w:lang w:val="en-US" w:eastAsia="zh-CN"/>
              </w:rPr>
              <w:t>原排污许可证编号为排污许可证编号为</w:t>
            </w:r>
            <w:r>
              <w:rPr>
                <w:rFonts w:hint="default" w:ascii="Times New Roman" w:hAnsi="Times New Roman" w:eastAsia="宋体" w:cs="Times New Roman"/>
              </w:rPr>
              <w:t>91410721MA3X5AMG84001V</w:t>
            </w:r>
            <w:r>
              <w:rPr>
                <w:rFonts w:hint="default" w:ascii="Times New Roman" w:hAnsi="Times New Roman" w:eastAsia="宋体" w:cs="Times New Roman"/>
                <w:color w:val="000000"/>
                <w:sz w:val="24"/>
                <w:highlight w:val="none"/>
                <w:lang w:val="en-US" w:eastAsia="zh-CN"/>
              </w:rPr>
              <w:t>，本企业于2024年5月对排污许可进行重新申请，将公司名称变更为新乡市泓力能源有限公司，排污许可证编号变更为</w:t>
            </w:r>
            <w:r>
              <w:rPr>
                <w:rFonts w:hint="default" w:ascii="Times New Roman" w:hAnsi="Times New Roman" w:eastAsia="宋体" w:cs="Times New Roman"/>
                <w:color w:val="000000"/>
                <w:kern w:val="0"/>
                <w:sz w:val="24"/>
                <w:szCs w:val="24"/>
                <w:lang w:val="en-US" w:eastAsia="zh-CN" w:bidi="ar"/>
              </w:rPr>
              <w:t>91410721MADG27NH0H001U，延用至今。</w:t>
            </w:r>
            <w:r>
              <w:rPr>
                <w:rFonts w:hint="default" w:ascii="Times New Roman" w:hAnsi="Times New Roman" w:eastAsia="宋体" w:cs="Times New Roman"/>
                <w:color w:val="000000"/>
                <w:sz w:val="24"/>
                <w:highlight w:val="none"/>
                <w:lang w:val="en-US" w:eastAsia="zh-CN"/>
              </w:rPr>
              <w:t>因公司业务</w:t>
            </w:r>
            <w:r>
              <w:rPr>
                <w:rFonts w:hint="eastAsia"/>
                <w:color w:val="000000"/>
                <w:sz w:val="24"/>
                <w:highlight w:val="none"/>
                <w:lang w:val="en-US" w:eastAsia="zh-CN"/>
              </w:rPr>
              <w:t>发展需要，现用公司名称“新乡市弘力电源科技有限公司”办理本次环评，本企业承诺本项目建成后按照规范重新申请排污许可证。</w:t>
            </w:r>
          </w:p>
          <w:p w14:paraId="2E47EDA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2" w:firstLineChars="200"/>
              <w:textAlignment w:val="auto"/>
              <w:rPr>
                <w:rFonts w:hint="eastAsia"/>
                <w:b/>
                <w:bCs/>
                <w:lang w:val="en-US" w:eastAsia="zh-CN"/>
              </w:rPr>
            </w:pPr>
            <w:r>
              <w:rPr>
                <w:rFonts w:hint="eastAsia"/>
                <w:b/>
                <w:bCs/>
                <w:lang w:val="en-US" w:eastAsia="zh-CN"/>
              </w:rPr>
              <w:t>3、产品方案</w:t>
            </w:r>
          </w:p>
          <w:p w14:paraId="39C759F3">
            <w:pPr>
              <w:pStyle w:val="2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firstLine="480" w:firstLineChars="200"/>
              <w:jc w:val="both"/>
              <w:textAlignment w:val="auto"/>
              <w:rPr>
                <w:rFonts w:hint="eastAsia"/>
                <w:sz w:val="24"/>
                <w:szCs w:val="24"/>
                <w:lang w:val="en-US" w:eastAsia="zh-CN"/>
              </w:rPr>
            </w:pPr>
            <w:r>
              <w:rPr>
                <w:rFonts w:hint="eastAsia"/>
                <w:sz w:val="24"/>
                <w:szCs w:val="24"/>
                <w:lang w:val="en-US" w:eastAsia="zh-CN"/>
              </w:rPr>
              <w:t>产品方案见下表。</w:t>
            </w:r>
          </w:p>
          <w:p w14:paraId="30DE738F">
            <w:pPr>
              <w:pStyle w:val="56"/>
              <w:keepNext w:val="0"/>
              <w:keepLines w:val="0"/>
              <w:suppressLineNumbers w:val="0"/>
              <w:spacing w:before="0" w:beforeAutospacing="0" w:after="0" w:afterAutospacing="0" w:line="440" w:lineRule="exact"/>
              <w:ind w:left="0" w:right="0" w:firstLine="0"/>
              <w:jc w:val="center"/>
              <w:rPr>
                <w:rFonts w:hint="default" w:ascii="Times New Roman" w:hAnsi="Times New Roman"/>
                <w:b/>
                <w:bCs/>
                <w:color w:val="000000"/>
                <w:sz w:val="24"/>
                <w:u w:val="none"/>
              </w:rPr>
            </w:pPr>
          </w:p>
          <w:p w14:paraId="4AA12178">
            <w:pPr>
              <w:pStyle w:val="56"/>
              <w:keepNext w:val="0"/>
              <w:keepLines w:val="0"/>
              <w:suppressLineNumbers w:val="0"/>
              <w:spacing w:before="0" w:beforeAutospacing="0" w:after="0" w:afterAutospacing="0" w:line="440" w:lineRule="exact"/>
              <w:ind w:left="0" w:right="0" w:firstLine="0"/>
              <w:jc w:val="center"/>
              <w:rPr>
                <w:rFonts w:hint="default" w:ascii="Times New Roman" w:hAnsi="Times New Roman"/>
                <w:b/>
                <w:bCs/>
                <w:color w:val="000000"/>
                <w:sz w:val="24"/>
                <w:u w:val="none"/>
              </w:rPr>
            </w:pPr>
          </w:p>
          <w:p w14:paraId="3CBEB114">
            <w:pPr>
              <w:pStyle w:val="56"/>
              <w:keepNext w:val="0"/>
              <w:keepLines w:val="0"/>
              <w:suppressLineNumbers w:val="0"/>
              <w:spacing w:before="0" w:beforeAutospacing="0" w:after="0" w:afterAutospacing="0" w:line="440" w:lineRule="exact"/>
              <w:ind w:left="0" w:right="0" w:firstLine="0"/>
              <w:jc w:val="center"/>
              <w:rPr>
                <w:rFonts w:hint="default" w:ascii="Times New Roman" w:hAnsi="Times New Roman"/>
                <w:b/>
                <w:bCs/>
                <w:color w:val="000000"/>
                <w:sz w:val="24"/>
                <w:u w:val="none"/>
              </w:rPr>
            </w:pPr>
          </w:p>
          <w:p w14:paraId="0C4557C5">
            <w:pPr>
              <w:pStyle w:val="56"/>
              <w:keepNext w:val="0"/>
              <w:keepLines w:val="0"/>
              <w:suppressLineNumbers w:val="0"/>
              <w:spacing w:before="0" w:beforeAutospacing="0" w:after="0" w:afterAutospacing="0" w:line="440" w:lineRule="exact"/>
              <w:ind w:left="0" w:right="0" w:firstLine="0"/>
              <w:jc w:val="center"/>
              <w:rPr>
                <w:rFonts w:hint="default" w:ascii="Times New Roman" w:hAnsi="Times New Roman"/>
                <w:b w:val="0"/>
                <w:bCs w:val="0"/>
                <w:color w:val="000000"/>
                <w:sz w:val="24"/>
                <w:u w:val="none"/>
              </w:rPr>
            </w:pPr>
            <w:r>
              <w:rPr>
                <w:rFonts w:hint="default" w:ascii="Times New Roman" w:hAnsi="Times New Roman"/>
                <w:b/>
                <w:bCs/>
                <w:color w:val="000000"/>
                <w:sz w:val="24"/>
                <w:u w:val="none"/>
              </w:rPr>
              <w:t>表</w:t>
            </w:r>
            <w:r>
              <w:rPr>
                <w:rFonts w:hint="eastAsia" w:ascii="Times New Roman" w:hAnsi="Times New Roman"/>
                <w:b/>
                <w:bCs/>
                <w:color w:val="000000"/>
                <w:sz w:val="24"/>
                <w:u w:val="none"/>
                <w:lang w:val="en-US" w:eastAsia="zh-CN"/>
              </w:rPr>
              <w:t>17</w:t>
            </w:r>
            <w:r>
              <w:rPr>
                <w:rFonts w:hint="eastAsia" w:ascii="Times New Roman" w:hAnsi="Times New Roman"/>
                <w:b/>
                <w:bCs/>
                <w:color w:val="000000"/>
                <w:sz w:val="24"/>
                <w:u w:val="none"/>
              </w:rPr>
              <w:t xml:space="preserve">   </w:t>
            </w:r>
            <w:r>
              <w:rPr>
                <w:rFonts w:hint="eastAsia" w:ascii="Times New Roman" w:hAnsi="Times New Roman"/>
                <w:b/>
                <w:bCs/>
                <w:color w:val="000000"/>
                <w:sz w:val="24"/>
                <w:u w:val="none"/>
                <w:lang w:eastAsia="zh-CN"/>
              </w:rPr>
              <w:t>现有</w:t>
            </w:r>
            <w:r>
              <w:rPr>
                <w:rFonts w:hint="eastAsia" w:ascii="Times New Roman" w:hAnsi="Times New Roman"/>
                <w:b/>
                <w:bCs/>
                <w:color w:val="000000"/>
                <w:sz w:val="24"/>
                <w:u w:val="none"/>
              </w:rPr>
              <w:t>工程产品情况</w:t>
            </w:r>
            <w:r>
              <w:rPr>
                <w:rFonts w:hint="default" w:ascii="Times New Roman" w:hAnsi="Times New Roman"/>
                <w:b/>
                <w:bCs/>
                <w:color w:val="000000"/>
                <w:sz w:val="24"/>
                <w:u w:val="none"/>
              </w:rPr>
              <w:t>一览表</w:t>
            </w:r>
          </w:p>
          <w:tbl>
            <w:tblPr>
              <w:tblStyle w:val="23"/>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0"/>
              <w:gridCol w:w="2884"/>
              <w:gridCol w:w="2604"/>
              <w:gridCol w:w="2607"/>
            </w:tblGrid>
            <w:tr w14:paraId="359503E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Borders>
                    <w:top w:val="single" w:color="auto" w:sz="8" w:space="0"/>
                    <w:bottom w:val="single" w:color="auto" w:sz="8" w:space="0"/>
                  </w:tcBorders>
                  <w:noWrap w:val="0"/>
                  <w:vAlign w:val="center"/>
                </w:tcPr>
                <w:p w14:paraId="32C98B07">
                  <w:pPr>
                    <w:keepNext w:val="0"/>
                    <w:keepLines w:val="0"/>
                    <w:suppressLineNumbers w:val="0"/>
                    <w:adjustRightInd w:val="0"/>
                    <w:snapToGrid w:val="0"/>
                    <w:spacing w:before="0" w:beforeAutospacing="0" w:after="0" w:afterAutospacing="0"/>
                    <w:ind w:left="0" w:right="0"/>
                    <w:jc w:val="center"/>
                    <w:textAlignment w:val="baseline"/>
                    <w:rPr>
                      <w:rFonts w:hint="default"/>
                      <w:b/>
                      <w:bCs/>
                      <w:color w:val="000000"/>
                      <w:sz w:val="21"/>
                      <w:szCs w:val="21"/>
                      <w:u w:val="none"/>
                    </w:rPr>
                  </w:pPr>
                  <w:r>
                    <w:rPr>
                      <w:rFonts w:hint="default"/>
                      <w:b/>
                      <w:bCs/>
                      <w:color w:val="000000"/>
                      <w:sz w:val="21"/>
                      <w:szCs w:val="21"/>
                      <w:u w:val="none"/>
                    </w:rPr>
                    <w:t>序号</w:t>
                  </w:r>
                </w:p>
              </w:tc>
              <w:tc>
                <w:tcPr>
                  <w:tcW w:w="1637" w:type="pct"/>
                  <w:tcBorders>
                    <w:top w:val="single" w:color="auto" w:sz="8" w:space="0"/>
                    <w:bottom w:val="single" w:color="auto" w:sz="8" w:space="0"/>
                  </w:tcBorders>
                  <w:noWrap w:val="0"/>
                  <w:vAlign w:val="center"/>
                </w:tcPr>
                <w:p w14:paraId="382358A6">
                  <w:pPr>
                    <w:keepNext w:val="0"/>
                    <w:keepLines w:val="0"/>
                    <w:suppressLineNumbers w:val="0"/>
                    <w:adjustRightInd w:val="0"/>
                    <w:snapToGrid w:val="0"/>
                    <w:spacing w:before="0" w:beforeAutospacing="0" w:after="0" w:afterAutospacing="0"/>
                    <w:ind w:left="0" w:right="0"/>
                    <w:jc w:val="center"/>
                    <w:textAlignment w:val="baseline"/>
                    <w:rPr>
                      <w:rFonts w:hint="default"/>
                      <w:b/>
                      <w:bCs/>
                      <w:color w:val="000000"/>
                      <w:sz w:val="21"/>
                      <w:szCs w:val="21"/>
                      <w:u w:val="none"/>
                    </w:rPr>
                  </w:pPr>
                  <w:r>
                    <w:rPr>
                      <w:rFonts w:hint="eastAsia"/>
                      <w:b/>
                      <w:bCs/>
                      <w:color w:val="000000"/>
                      <w:sz w:val="21"/>
                      <w:szCs w:val="21"/>
                      <w:u w:val="none"/>
                    </w:rPr>
                    <w:t>产品</w:t>
                  </w:r>
                  <w:r>
                    <w:rPr>
                      <w:rFonts w:hint="default"/>
                      <w:b/>
                      <w:bCs/>
                      <w:color w:val="000000"/>
                      <w:sz w:val="21"/>
                      <w:szCs w:val="21"/>
                      <w:u w:val="none"/>
                    </w:rPr>
                    <w:t>名称</w:t>
                  </w:r>
                </w:p>
              </w:tc>
              <w:tc>
                <w:tcPr>
                  <w:tcW w:w="1478" w:type="pct"/>
                  <w:tcBorders>
                    <w:top w:val="single" w:color="auto" w:sz="8" w:space="0"/>
                    <w:bottom w:val="single" w:color="auto" w:sz="8" w:space="0"/>
                  </w:tcBorders>
                  <w:noWrap w:val="0"/>
                  <w:vAlign w:val="center"/>
                </w:tcPr>
                <w:p w14:paraId="3BA94739">
                  <w:pPr>
                    <w:keepNext w:val="0"/>
                    <w:keepLines w:val="0"/>
                    <w:suppressLineNumbers w:val="0"/>
                    <w:adjustRightInd w:val="0"/>
                    <w:snapToGrid w:val="0"/>
                    <w:spacing w:before="0" w:beforeAutospacing="0" w:after="0" w:afterAutospacing="0"/>
                    <w:ind w:left="0" w:right="0"/>
                    <w:jc w:val="center"/>
                    <w:textAlignment w:val="baseline"/>
                    <w:rPr>
                      <w:rFonts w:hint="default" w:eastAsia="宋体"/>
                      <w:b/>
                      <w:bCs/>
                      <w:color w:val="000000"/>
                      <w:sz w:val="21"/>
                      <w:szCs w:val="21"/>
                      <w:u w:val="none"/>
                      <w:lang w:val="en-US" w:eastAsia="zh-CN"/>
                    </w:rPr>
                  </w:pPr>
                  <w:r>
                    <w:rPr>
                      <w:rFonts w:hint="eastAsia"/>
                      <w:b/>
                      <w:bCs/>
                      <w:color w:val="000000"/>
                      <w:sz w:val="21"/>
                      <w:szCs w:val="21"/>
                      <w:u w:val="none"/>
                      <w:lang w:val="en-US" w:eastAsia="zh-CN"/>
                    </w:rPr>
                    <w:t>环评批复生产能力</w:t>
                  </w:r>
                </w:p>
              </w:tc>
              <w:tc>
                <w:tcPr>
                  <w:tcW w:w="1479" w:type="pct"/>
                  <w:tcBorders>
                    <w:top w:val="single" w:color="auto" w:sz="8" w:space="0"/>
                    <w:bottom w:val="single" w:color="auto" w:sz="8" w:space="0"/>
                  </w:tcBorders>
                  <w:noWrap w:val="0"/>
                  <w:vAlign w:val="center"/>
                </w:tcPr>
                <w:p w14:paraId="07DF0030">
                  <w:pPr>
                    <w:keepNext w:val="0"/>
                    <w:keepLines w:val="0"/>
                    <w:suppressLineNumbers w:val="0"/>
                    <w:adjustRightInd w:val="0"/>
                    <w:snapToGrid w:val="0"/>
                    <w:spacing w:before="0" w:beforeAutospacing="0" w:after="0" w:afterAutospacing="0"/>
                    <w:ind w:left="0" w:right="0"/>
                    <w:jc w:val="center"/>
                    <w:textAlignment w:val="baseline"/>
                    <w:rPr>
                      <w:rFonts w:hint="default"/>
                      <w:b/>
                      <w:bCs/>
                      <w:color w:val="000000"/>
                      <w:sz w:val="21"/>
                      <w:szCs w:val="21"/>
                      <w:u w:val="none"/>
                    </w:rPr>
                  </w:pPr>
                  <w:r>
                    <w:rPr>
                      <w:rFonts w:hint="eastAsia"/>
                      <w:b/>
                      <w:bCs/>
                      <w:color w:val="000000"/>
                      <w:sz w:val="21"/>
                      <w:szCs w:val="21"/>
                      <w:u w:val="none"/>
                      <w:lang w:val="en-US" w:eastAsia="zh-CN"/>
                    </w:rPr>
                    <w:t>实际</w:t>
                  </w:r>
                  <w:r>
                    <w:rPr>
                      <w:rFonts w:hint="default"/>
                      <w:b/>
                      <w:bCs/>
                      <w:color w:val="000000"/>
                      <w:sz w:val="21"/>
                      <w:szCs w:val="21"/>
                      <w:u w:val="none"/>
                    </w:rPr>
                    <w:t>生产能力</w:t>
                  </w:r>
                </w:p>
              </w:tc>
            </w:tr>
            <w:tr w14:paraId="5B6B96F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Borders>
                    <w:top w:val="single" w:color="auto" w:sz="8" w:space="0"/>
                    <w:bottom w:val="single" w:color="auto" w:sz="4" w:space="0"/>
                  </w:tcBorders>
                  <w:noWrap w:val="0"/>
                  <w:vAlign w:val="center"/>
                </w:tcPr>
                <w:p w14:paraId="0746FA98">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b w:val="0"/>
                      <w:bCs w:val="0"/>
                      <w:color w:val="000000"/>
                      <w:sz w:val="21"/>
                      <w:szCs w:val="21"/>
                      <w:u w:val="none"/>
                      <w:lang w:val="en-US" w:eastAsia="zh-CN"/>
                    </w:rPr>
                  </w:pPr>
                  <w:r>
                    <w:rPr>
                      <w:rFonts w:hint="eastAsia"/>
                      <w:b w:val="0"/>
                      <w:bCs w:val="0"/>
                      <w:color w:val="000000"/>
                      <w:sz w:val="21"/>
                      <w:szCs w:val="21"/>
                      <w:u w:val="none"/>
                      <w:lang w:val="en-US" w:eastAsia="zh-CN"/>
                    </w:rPr>
                    <w:t>1</w:t>
                  </w:r>
                </w:p>
              </w:tc>
              <w:tc>
                <w:tcPr>
                  <w:tcW w:w="1637" w:type="pct"/>
                  <w:tcBorders>
                    <w:top w:val="single" w:color="auto" w:sz="8" w:space="0"/>
                    <w:bottom w:val="single" w:color="auto" w:sz="4" w:space="0"/>
                  </w:tcBorders>
                  <w:noWrap w:val="0"/>
                  <w:vAlign w:val="center"/>
                </w:tcPr>
                <w:p w14:paraId="2BBEF433">
                  <w:pPr>
                    <w:pStyle w:val="51"/>
                    <w:keepNext w:val="0"/>
                    <w:keepLines w:val="0"/>
                    <w:suppressLineNumbers w:val="0"/>
                    <w:spacing w:before="0" w:beforeAutospacing="0" w:after="0" w:afterAutospacing="0"/>
                    <w:ind w:left="0" w:right="0"/>
                    <w:rPr>
                      <w:rFonts w:hint="default" w:eastAsia="宋体"/>
                      <w:b w:val="0"/>
                      <w:bCs w:val="0"/>
                      <w:color w:val="000000"/>
                      <w:sz w:val="21"/>
                      <w:szCs w:val="21"/>
                      <w:u w:val="none"/>
                      <w:lang w:val="en-US" w:eastAsia="zh-CN"/>
                    </w:rPr>
                  </w:pPr>
                  <w:r>
                    <w:rPr>
                      <w:rFonts w:hint="eastAsia"/>
                      <w:sz w:val="21"/>
                      <w:szCs w:val="21"/>
                    </w:rPr>
                    <w:t>锰酸锂</w:t>
                  </w:r>
                </w:p>
              </w:tc>
              <w:tc>
                <w:tcPr>
                  <w:tcW w:w="1478" w:type="pct"/>
                  <w:tcBorders>
                    <w:top w:val="single" w:color="auto" w:sz="8" w:space="0"/>
                    <w:bottom w:val="single" w:color="auto" w:sz="4" w:space="0"/>
                  </w:tcBorders>
                  <w:noWrap w:val="0"/>
                  <w:vAlign w:val="center"/>
                </w:tcPr>
                <w:p w14:paraId="5A4F304A">
                  <w:pPr>
                    <w:keepNext w:val="0"/>
                    <w:keepLines w:val="0"/>
                    <w:widowControl/>
                    <w:suppressLineNumbers w:val="0"/>
                    <w:spacing w:before="0" w:beforeAutospacing="0" w:after="0" w:afterAutospacing="0"/>
                    <w:ind w:left="0" w:right="0"/>
                    <w:jc w:val="center"/>
                    <w:rPr>
                      <w:rFonts w:hint="default"/>
                      <w:b w:val="0"/>
                      <w:bCs w:val="0"/>
                      <w:color w:val="000000"/>
                      <w:sz w:val="21"/>
                      <w:szCs w:val="21"/>
                      <w:u w:val="none"/>
                      <w:lang w:val="en-US"/>
                    </w:rPr>
                  </w:pPr>
                  <w:r>
                    <w:rPr>
                      <w:rFonts w:hint="eastAsia"/>
                      <w:b w:val="0"/>
                      <w:bCs w:val="0"/>
                      <w:color w:val="000000"/>
                      <w:sz w:val="21"/>
                      <w:szCs w:val="21"/>
                      <w:u w:val="none"/>
                      <w:lang w:val="en-US" w:eastAsia="zh-CN"/>
                    </w:rPr>
                    <w:t>2.01万吨/年</w:t>
                  </w:r>
                </w:p>
              </w:tc>
              <w:tc>
                <w:tcPr>
                  <w:tcW w:w="2607" w:type="dxa"/>
                  <w:tcBorders>
                    <w:top w:val="single" w:color="auto" w:sz="8" w:space="0"/>
                    <w:bottom w:val="single" w:color="auto" w:sz="4" w:space="0"/>
                  </w:tcBorders>
                  <w:noWrap w:val="0"/>
                  <w:vAlign w:val="center"/>
                </w:tcPr>
                <w:p w14:paraId="1B9F256B">
                  <w:pPr>
                    <w:keepNext w:val="0"/>
                    <w:keepLines w:val="0"/>
                    <w:widowControl/>
                    <w:suppressLineNumbers w:val="0"/>
                    <w:spacing w:before="0" w:beforeAutospacing="0" w:after="0" w:afterAutospacing="0"/>
                    <w:ind w:left="0" w:leftChars="0" w:right="0" w:rightChars="0"/>
                    <w:jc w:val="center"/>
                    <w:rPr>
                      <w:rFonts w:hint="default" w:eastAsia="宋体"/>
                      <w:b w:val="0"/>
                      <w:bCs w:val="0"/>
                      <w:color w:val="000000"/>
                      <w:sz w:val="21"/>
                      <w:szCs w:val="21"/>
                      <w:u w:val="none"/>
                      <w:lang w:val="en-US" w:eastAsia="zh-CN"/>
                    </w:rPr>
                  </w:pPr>
                  <w:r>
                    <w:rPr>
                      <w:rFonts w:hint="eastAsia"/>
                      <w:b w:val="0"/>
                      <w:bCs w:val="0"/>
                      <w:color w:val="000000"/>
                      <w:sz w:val="21"/>
                      <w:szCs w:val="21"/>
                      <w:u w:val="none"/>
                      <w:lang w:val="en-US" w:eastAsia="zh-CN"/>
                    </w:rPr>
                    <w:t>2.01万吨/年</w:t>
                  </w:r>
                </w:p>
              </w:tc>
            </w:tr>
            <w:tr w14:paraId="3FC2518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Borders>
                    <w:top w:val="single" w:color="auto" w:sz="4" w:space="0"/>
                    <w:bottom w:val="single" w:color="auto" w:sz="4" w:space="0"/>
                  </w:tcBorders>
                  <w:noWrap w:val="0"/>
                  <w:vAlign w:val="center"/>
                </w:tcPr>
                <w:p w14:paraId="70A25F02">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eastAsia="宋体"/>
                      <w:b w:val="0"/>
                      <w:bCs w:val="0"/>
                      <w:color w:val="000000"/>
                      <w:sz w:val="21"/>
                      <w:szCs w:val="21"/>
                      <w:u w:val="none"/>
                      <w:lang w:eastAsia="zh-CN"/>
                    </w:rPr>
                  </w:pPr>
                  <w:r>
                    <w:rPr>
                      <w:rFonts w:hint="eastAsia"/>
                      <w:b w:val="0"/>
                      <w:bCs w:val="0"/>
                      <w:color w:val="000000"/>
                      <w:sz w:val="21"/>
                      <w:szCs w:val="21"/>
                      <w:u w:val="none"/>
                      <w:lang w:val="en-US" w:eastAsia="zh-CN"/>
                    </w:rPr>
                    <w:t>2</w:t>
                  </w:r>
                </w:p>
              </w:tc>
              <w:tc>
                <w:tcPr>
                  <w:tcW w:w="1637" w:type="pct"/>
                  <w:tcBorders>
                    <w:top w:val="single" w:color="auto" w:sz="4" w:space="0"/>
                    <w:bottom w:val="single" w:color="auto" w:sz="4" w:space="0"/>
                  </w:tcBorders>
                  <w:noWrap w:val="0"/>
                  <w:vAlign w:val="center"/>
                </w:tcPr>
                <w:p w14:paraId="4A537367">
                  <w:pPr>
                    <w:pStyle w:val="51"/>
                    <w:keepNext w:val="0"/>
                    <w:keepLines w:val="0"/>
                    <w:suppressLineNumbers w:val="0"/>
                    <w:spacing w:before="0" w:beforeAutospacing="0" w:after="0" w:afterAutospacing="0"/>
                    <w:ind w:left="0" w:right="0"/>
                    <w:rPr>
                      <w:rFonts w:hint="default"/>
                      <w:b w:val="0"/>
                      <w:bCs w:val="0"/>
                      <w:color w:val="000000"/>
                      <w:sz w:val="21"/>
                      <w:szCs w:val="21"/>
                      <w:u w:val="none"/>
                    </w:rPr>
                  </w:pPr>
                  <w:r>
                    <w:rPr>
                      <w:rFonts w:hint="eastAsia"/>
                      <w:sz w:val="21"/>
                      <w:szCs w:val="21"/>
                    </w:rPr>
                    <w:t>锂离子电池</w:t>
                  </w:r>
                </w:p>
              </w:tc>
              <w:tc>
                <w:tcPr>
                  <w:tcW w:w="1478" w:type="pct"/>
                  <w:tcBorders>
                    <w:top w:val="single" w:color="auto" w:sz="4" w:space="0"/>
                    <w:bottom w:val="single" w:color="auto" w:sz="4" w:space="0"/>
                  </w:tcBorders>
                  <w:noWrap w:val="0"/>
                  <w:vAlign w:val="center"/>
                </w:tcPr>
                <w:p w14:paraId="48D82D98">
                  <w:pPr>
                    <w:keepNext w:val="0"/>
                    <w:keepLines w:val="0"/>
                    <w:widowControl/>
                    <w:suppressLineNumbers w:val="0"/>
                    <w:spacing w:before="0" w:beforeAutospacing="0" w:after="0" w:afterAutospacing="0"/>
                    <w:ind w:left="0" w:right="0"/>
                    <w:jc w:val="center"/>
                    <w:rPr>
                      <w:rFonts w:hint="default"/>
                      <w:b w:val="0"/>
                      <w:bCs w:val="0"/>
                      <w:color w:val="000000"/>
                      <w:sz w:val="21"/>
                      <w:szCs w:val="21"/>
                      <w:u w:val="none"/>
                    </w:rPr>
                  </w:pPr>
                  <w:r>
                    <w:rPr>
                      <w:rFonts w:hint="eastAsia"/>
                      <w:b w:val="0"/>
                      <w:bCs w:val="0"/>
                      <w:color w:val="000000"/>
                      <w:sz w:val="21"/>
                      <w:szCs w:val="21"/>
                      <w:u w:val="none"/>
                      <w:lang w:val="en-US" w:eastAsia="zh-CN"/>
                    </w:rPr>
                    <w:t>1.08亿安时</w:t>
                  </w:r>
                  <w:r>
                    <w:rPr>
                      <w:rFonts w:hint="eastAsia"/>
                      <w:b w:val="0"/>
                      <w:bCs w:val="0"/>
                      <w:color w:val="000000"/>
                      <w:sz w:val="21"/>
                      <w:szCs w:val="21"/>
                      <w:u w:val="none"/>
                    </w:rPr>
                    <w:t>/a</w:t>
                  </w:r>
                </w:p>
              </w:tc>
              <w:tc>
                <w:tcPr>
                  <w:tcW w:w="2607" w:type="dxa"/>
                  <w:tcBorders>
                    <w:top w:val="single" w:color="auto" w:sz="4" w:space="0"/>
                    <w:bottom w:val="single" w:color="auto" w:sz="4" w:space="0"/>
                  </w:tcBorders>
                  <w:noWrap w:val="0"/>
                  <w:vAlign w:val="center"/>
                </w:tcPr>
                <w:p w14:paraId="179A5A77">
                  <w:pPr>
                    <w:keepNext w:val="0"/>
                    <w:keepLines w:val="0"/>
                    <w:widowControl/>
                    <w:suppressLineNumbers w:val="0"/>
                    <w:spacing w:before="0" w:beforeAutospacing="0" w:after="0" w:afterAutospacing="0"/>
                    <w:ind w:left="0" w:leftChars="0" w:right="0" w:rightChars="0"/>
                    <w:jc w:val="center"/>
                    <w:rPr>
                      <w:rFonts w:hint="eastAsia"/>
                      <w:b w:val="0"/>
                      <w:bCs w:val="0"/>
                      <w:color w:val="000000"/>
                      <w:sz w:val="21"/>
                      <w:szCs w:val="21"/>
                      <w:u w:val="none"/>
                    </w:rPr>
                  </w:pPr>
                  <w:r>
                    <w:rPr>
                      <w:rFonts w:hint="eastAsia"/>
                      <w:b w:val="0"/>
                      <w:bCs w:val="0"/>
                      <w:color w:val="000000"/>
                      <w:sz w:val="21"/>
                      <w:szCs w:val="21"/>
                      <w:u w:val="none"/>
                      <w:lang w:val="en-US" w:eastAsia="zh-CN"/>
                    </w:rPr>
                    <w:t>1.08亿安时</w:t>
                  </w:r>
                  <w:r>
                    <w:rPr>
                      <w:rFonts w:hint="eastAsia"/>
                      <w:b w:val="0"/>
                      <w:bCs w:val="0"/>
                      <w:color w:val="000000"/>
                      <w:sz w:val="21"/>
                      <w:szCs w:val="21"/>
                      <w:u w:val="none"/>
                    </w:rPr>
                    <w:t>/a</w:t>
                  </w:r>
                </w:p>
              </w:tc>
            </w:tr>
            <w:tr w14:paraId="38209C0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Borders>
                    <w:top w:val="single" w:color="auto" w:sz="4" w:space="0"/>
                    <w:bottom w:val="single" w:color="auto" w:sz="4" w:space="0"/>
                  </w:tcBorders>
                  <w:noWrap w:val="0"/>
                  <w:vAlign w:val="center"/>
                </w:tcPr>
                <w:p w14:paraId="4762396C">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eastAsia="宋体"/>
                      <w:b w:val="0"/>
                      <w:bCs w:val="0"/>
                      <w:color w:val="000000"/>
                      <w:sz w:val="21"/>
                      <w:szCs w:val="21"/>
                      <w:u w:val="none"/>
                      <w:lang w:eastAsia="zh-CN"/>
                    </w:rPr>
                  </w:pPr>
                  <w:r>
                    <w:rPr>
                      <w:rFonts w:hint="eastAsia"/>
                      <w:b w:val="0"/>
                      <w:bCs w:val="0"/>
                      <w:color w:val="000000"/>
                      <w:sz w:val="21"/>
                      <w:szCs w:val="21"/>
                      <w:u w:val="none"/>
                      <w:lang w:val="en-US" w:eastAsia="zh-CN"/>
                    </w:rPr>
                    <w:t>3</w:t>
                  </w:r>
                </w:p>
              </w:tc>
              <w:tc>
                <w:tcPr>
                  <w:tcW w:w="1637" w:type="pct"/>
                  <w:tcBorders>
                    <w:top w:val="single" w:color="auto" w:sz="4" w:space="0"/>
                    <w:bottom w:val="single" w:color="auto" w:sz="4" w:space="0"/>
                  </w:tcBorders>
                  <w:noWrap w:val="0"/>
                  <w:vAlign w:val="center"/>
                </w:tcPr>
                <w:p w14:paraId="6A2499B3">
                  <w:pPr>
                    <w:pStyle w:val="51"/>
                    <w:keepNext w:val="0"/>
                    <w:keepLines w:val="0"/>
                    <w:suppressLineNumbers w:val="0"/>
                    <w:spacing w:before="0" w:beforeAutospacing="0" w:after="0" w:afterAutospacing="0"/>
                    <w:ind w:left="0" w:right="0"/>
                    <w:rPr>
                      <w:rFonts w:hint="eastAsia"/>
                      <w:b w:val="0"/>
                      <w:bCs w:val="0"/>
                      <w:color w:val="000000"/>
                      <w:sz w:val="21"/>
                      <w:szCs w:val="21"/>
                      <w:u w:val="none"/>
                    </w:rPr>
                  </w:pPr>
                  <w:r>
                    <w:rPr>
                      <w:rFonts w:hint="eastAsia"/>
                      <w:sz w:val="21"/>
                      <w:szCs w:val="21"/>
                    </w:rPr>
                    <w:t>锂离子电池</w:t>
                  </w:r>
                </w:p>
              </w:tc>
              <w:tc>
                <w:tcPr>
                  <w:tcW w:w="1478" w:type="pct"/>
                  <w:tcBorders>
                    <w:top w:val="single" w:color="auto" w:sz="4" w:space="0"/>
                    <w:bottom w:val="single" w:color="auto" w:sz="4" w:space="0"/>
                  </w:tcBorders>
                  <w:noWrap w:val="0"/>
                  <w:vAlign w:val="center"/>
                </w:tcPr>
                <w:p w14:paraId="4D51AF14">
                  <w:pPr>
                    <w:keepNext w:val="0"/>
                    <w:keepLines w:val="0"/>
                    <w:widowControl/>
                    <w:suppressLineNumbers w:val="0"/>
                    <w:spacing w:before="0" w:beforeAutospacing="0" w:after="0" w:afterAutospacing="0"/>
                    <w:ind w:left="0" w:right="0"/>
                    <w:jc w:val="center"/>
                    <w:rPr>
                      <w:rFonts w:hint="eastAsia"/>
                      <w:b w:val="0"/>
                      <w:bCs w:val="0"/>
                      <w:color w:val="000000"/>
                      <w:sz w:val="21"/>
                      <w:szCs w:val="21"/>
                      <w:u w:val="none"/>
                    </w:rPr>
                  </w:pPr>
                  <w:r>
                    <w:rPr>
                      <w:rFonts w:hint="eastAsia"/>
                      <w:b w:val="0"/>
                      <w:bCs w:val="0"/>
                      <w:color w:val="000000"/>
                      <w:sz w:val="21"/>
                      <w:szCs w:val="21"/>
                      <w:u w:val="none"/>
                      <w:lang w:val="en-US" w:eastAsia="zh-CN"/>
                    </w:rPr>
                    <w:t>40亿瓦时</w:t>
                  </w:r>
                  <w:r>
                    <w:rPr>
                      <w:rFonts w:hint="eastAsia"/>
                      <w:b w:val="0"/>
                      <w:bCs w:val="0"/>
                      <w:color w:val="000000"/>
                      <w:sz w:val="21"/>
                      <w:szCs w:val="21"/>
                      <w:u w:val="none"/>
                    </w:rPr>
                    <w:t>/a</w:t>
                  </w:r>
                </w:p>
              </w:tc>
              <w:tc>
                <w:tcPr>
                  <w:tcW w:w="2607" w:type="dxa"/>
                  <w:tcBorders>
                    <w:top w:val="single" w:color="auto" w:sz="4" w:space="0"/>
                    <w:bottom w:val="single" w:color="auto" w:sz="4" w:space="0"/>
                  </w:tcBorders>
                  <w:noWrap w:val="0"/>
                  <w:vAlign w:val="center"/>
                </w:tcPr>
                <w:p w14:paraId="6C664D2C">
                  <w:pPr>
                    <w:keepNext w:val="0"/>
                    <w:keepLines w:val="0"/>
                    <w:widowControl/>
                    <w:suppressLineNumbers w:val="0"/>
                    <w:spacing w:before="0" w:beforeAutospacing="0" w:after="0" w:afterAutospacing="0"/>
                    <w:ind w:left="0" w:leftChars="0" w:right="0" w:rightChars="0"/>
                    <w:jc w:val="center"/>
                    <w:rPr>
                      <w:rFonts w:hint="eastAsia"/>
                      <w:b w:val="0"/>
                      <w:bCs w:val="0"/>
                      <w:color w:val="000000"/>
                      <w:sz w:val="21"/>
                      <w:szCs w:val="21"/>
                      <w:u w:val="none"/>
                    </w:rPr>
                  </w:pPr>
                  <w:r>
                    <w:rPr>
                      <w:rFonts w:hint="eastAsia"/>
                      <w:b w:val="0"/>
                      <w:bCs w:val="0"/>
                      <w:color w:val="000000"/>
                      <w:sz w:val="21"/>
                      <w:szCs w:val="21"/>
                      <w:u w:val="none"/>
                      <w:lang w:val="en-US" w:eastAsia="zh-CN"/>
                    </w:rPr>
                    <w:t>40亿瓦时</w:t>
                  </w:r>
                  <w:r>
                    <w:rPr>
                      <w:rFonts w:hint="eastAsia"/>
                      <w:b w:val="0"/>
                      <w:bCs w:val="0"/>
                      <w:color w:val="000000"/>
                      <w:sz w:val="21"/>
                      <w:szCs w:val="21"/>
                      <w:u w:val="none"/>
                    </w:rPr>
                    <w:t>/a</w:t>
                  </w:r>
                </w:p>
              </w:tc>
            </w:tr>
            <w:tr w14:paraId="686A050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Borders>
                    <w:top w:val="single" w:color="auto" w:sz="4" w:space="0"/>
                    <w:bottom w:val="single" w:color="auto" w:sz="4" w:space="0"/>
                  </w:tcBorders>
                  <w:noWrap w:val="0"/>
                  <w:vAlign w:val="center"/>
                </w:tcPr>
                <w:p w14:paraId="6E870FE9">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eastAsia="宋体"/>
                      <w:b w:val="0"/>
                      <w:bCs w:val="0"/>
                      <w:color w:val="000000"/>
                      <w:sz w:val="21"/>
                      <w:szCs w:val="21"/>
                      <w:u w:val="none"/>
                      <w:lang w:eastAsia="zh-CN"/>
                    </w:rPr>
                  </w:pPr>
                  <w:r>
                    <w:rPr>
                      <w:rFonts w:hint="eastAsia"/>
                      <w:b w:val="0"/>
                      <w:bCs w:val="0"/>
                      <w:color w:val="000000"/>
                      <w:sz w:val="21"/>
                      <w:szCs w:val="21"/>
                      <w:u w:val="none"/>
                      <w:lang w:val="en-US" w:eastAsia="zh-CN"/>
                    </w:rPr>
                    <w:t>4</w:t>
                  </w:r>
                </w:p>
              </w:tc>
              <w:tc>
                <w:tcPr>
                  <w:tcW w:w="1637" w:type="pct"/>
                  <w:tcBorders>
                    <w:top w:val="single" w:color="auto" w:sz="4" w:space="0"/>
                    <w:bottom w:val="single" w:color="auto" w:sz="4" w:space="0"/>
                  </w:tcBorders>
                  <w:noWrap w:val="0"/>
                  <w:vAlign w:val="center"/>
                </w:tcPr>
                <w:p w14:paraId="234B0E5A">
                  <w:pPr>
                    <w:pStyle w:val="51"/>
                    <w:keepNext w:val="0"/>
                    <w:keepLines w:val="0"/>
                    <w:suppressLineNumbers w:val="0"/>
                    <w:spacing w:before="0" w:beforeAutospacing="0" w:after="0" w:afterAutospacing="0"/>
                    <w:ind w:left="0" w:right="0"/>
                    <w:rPr>
                      <w:rFonts w:hint="default" w:eastAsia="宋体"/>
                      <w:b w:val="0"/>
                      <w:bCs w:val="0"/>
                      <w:color w:val="000000"/>
                      <w:sz w:val="21"/>
                      <w:szCs w:val="21"/>
                      <w:u w:val="none"/>
                      <w:lang w:val="en-US" w:eastAsia="zh-CN"/>
                    </w:rPr>
                  </w:pPr>
                  <w:r>
                    <w:rPr>
                      <w:rFonts w:hint="eastAsia"/>
                      <w:sz w:val="21"/>
                      <w:szCs w:val="21"/>
                    </w:rPr>
                    <w:t>锂离子电池</w:t>
                  </w:r>
                </w:p>
              </w:tc>
              <w:tc>
                <w:tcPr>
                  <w:tcW w:w="1478" w:type="pct"/>
                  <w:tcBorders>
                    <w:top w:val="single" w:color="auto" w:sz="4" w:space="0"/>
                    <w:bottom w:val="single" w:color="auto" w:sz="4" w:space="0"/>
                  </w:tcBorders>
                  <w:noWrap w:val="0"/>
                  <w:vAlign w:val="center"/>
                </w:tcPr>
                <w:p w14:paraId="263B3B71">
                  <w:pPr>
                    <w:keepNext w:val="0"/>
                    <w:keepLines w:val="0"/>
                    <w:widowControl/>
                    <w:suppressLineNumbers w:val="0"/>
                    <w:spacing w:before="0" w:beforeAutospacing="0" w:after="0" w:afterAutospacing="0"/>
                    <w:ind w:left="0" w:right="0"/>
                    <w:jc w:val="center"/>
                    <w:rPr>
                      <w:rFonts w:hint="eastAsia" w:eastAsia="宋体"/>
                      <w:b w:val="0"/>
                      <w:bCs w:val="0"/>
                      <w:color w:val="000000"/>
                      <w:sz w:val="21"/>
                      <w:szCs w:val="21"/>
                      <w:u w:val="none"/>
                      <w:lang w:val="en-US" w:eastAsia="zh-CN"/>
                    </w:rPr>
                  </w:pPr>
                  <w:r>
                    <w:rPr>
                      <w:rFonts w:hint="eastAsia"/>
                      <w:b w:val="0"/>
                      <w:bCs w:val="0"/>
                      <w:color w:val="000000"/>
                      <w:sz w:val="21"/>
                      <w:szCs w:val="21"/>
                      <w:u w:val="none"/>
                      <w:lang w:val="en-US" w:eastAsia="zh-CN"/>
                    </w:rPr>
                    <w:t>1.8亿千瓦时</w:t>
                  </w:r>
                  <w:r>
                    <w:rPr>
                      <w:rFonts w:hint="eastAsia"/>
                      <w:b w:val="0"/>
                      <w:bCs w:val="0"/>
                      <w:color w:val="000000"/>
                      <w:sz w:val="21"/>
                      <w:szCs w:val="21"/>
                      <w:u w:val="none"/>
                    </w:rPr>
                    <w:t>/a</w:t>
                  </w:r>
                  <w:r>
                    <w:rPr>
                      <w:rFonts w:hint="eastAsia"/>
                      <w:b w:val="0"/>
                      <w:bCs w:val="0"/>
                      <w:color w:val="000000"/>
                      <w:sz w:val="21"/>
                      <w:szCs w:val="21"/>
                      <w:u w:val="none"/>
                      <w:lang w:eastAsia="zh-CN"/>
                    </w:rPr>
                    <w:t>（</w:t>
                  </w:r>
                  <w:r>
                    <w:rPr>
                      <w:rFonts w:hint="eastAsia"/>
                      <w:b w:val="0"/>
                      <w:bCs w:val="0"/>
                      <w:color w:val="000000"/>
                      <w:sz w:val="21"/>
                      <w:szCs w:val="21"/>
                      <w:u w:val="none"/>
                      <w:lang w:val="en-US" w:eastAsia="zh-CN"/>
                    </w:rPr>
                    <w:t>9000万只</w:t>
                  </w:r>
                  <w:r>
                    <w:rPr>
                      <w:rFonts w:hint="eastAsia"/>
                      <w:b w:val="0"/>
                      <w:bCs w:val="0"/>
                      <w:color w:val="000000"/>
                      <w:sz w:val="21"/>
                      <w:szCs w:val="21"/>
                      <w:u w:val="none"/>
                      <w:lang w:eastAsia="zh-CN"/>
                    </w:rPr>
                    <w:t>）</w:t>
                  </w:r>
                </w:p>
              </w:tc>
              <w:tc>
                <w:tcPr>
                  <w:tcW w:w="2607" w:type="dxa"/>
                  <w:tcBorders>
                    <w:top w:val="single" w:color="auto" w:sz="4" w:space="0"/>
                    <w:bottom w:val="single" w:color="auto" w:sz="4" w:space="0"/>
                  </w:tcBorders>
                  <w:noWrap w:val="0"/>
                  <w:vAlign w:val="center"/>
                </w:tcPr>
                <w:p w14:paraId="633EC843">
                  <w:pPr>
                    <w:keepNext w:val="0"/>
                    <w:keepLines w:val="0"/>
                    <w:widowControl/>
                    <w:suppressLineNumbers w:val="0"/>
                    <w:spacing w:before="0" w:beforeAutospacing="0" w:after="0" w:afterAutospacing="0"/>
                    <w:ind w:left="0" w:leftChars="0" w:right="0" w:rightChars="0"/>
                    <w:jc w:val="center"/>
                    <w:rPr>
                      <w:rFonts w:hint="eastAsia"/>
                      <w:b w:val="0"/>
                      <w:bCs w:val="0"/>
                      <w:color w:val="000000"/>
                      <w:sz w:val="21"/>
                      <w:szCs w:val="21"/>
                      <w:u w:val="none"/>
                      <w:lang w:val="en-US" w:eastAsia="zh-CN"/>
                    </w:rPr>
                  </w:pPr>
                  <w:r>
                    <w:rPr>
                      <w:rFonts w:hint="eastAsia"/>
                      <w:b w:val="0"/>
                      <w:bCs w:val="0"/>
                      <w:color w:val="000000"/>
                      <w:sz w:val="21"/>
                      <w:szCs w:val="21"/>
                      <w:u w:val="none"/>
                      <w:lang w:val="en-US" w:eastAsia="zh-CN"/>
                    </w:rPr>
                    <w:t>1.8亿千瓦时</w:t>
                  </w:r>
                  <w:r>
                    <w:rPr>
                      <w:rFonts w:hint="eastAsia"/>
                      <w:b w:val="0"/>
                      <w:bCs w:val="0"/>
                      <w:color w:val="000000"/>
                      <w:sz w:val="21"/>
                      <w:szCs w:val="21"/>
                      <w:u w:val="none"/>
                    </w:rPr>
                    <w:t>/a</w:t>
                  </w:r>
                  <w:r>
                    <w:rPr>
                      <w:rFonts w:hint="eastAsia"/>
                      <w:b w:val="0"/>
                      <w:bCs w:val="0"/>
                      <w:color w:val="000000"/>
                      <w:sz w:val="21"/>
                      <w:szCs w:val="21"/>
                      <w:u w:val="none"/>
                      <w:lang w:eastAsia="zh-CN"/>
                    </w:rPr>
                    <w:t>（</w:t>
                  </w:r>
                  <w:r>
                    <w:rPr>
                      <w:rFonts w:hint="eastAsia"/>
                      <w:b w:val="0"/>
                      <w:bCs w:val="0"/>
                      <w:color w:val="000000"/>
                      <w:sz w:val="21"/>
                      <w:szCs w:val="21"/>
                      <w:u w:val="none"/>
                      <w:lang w:val="en-US" w:eastAsia="zh-CN"/>
                    </w:rPr>
                    <w:t>9000万只</w:t>
                  </w:r>
                  <w:r>
                    <w:rPr>
                      <w:rFonts w:hint="eastAsia"/>
                      <w:b w:val="0"/>
                      <w:bCs w:val="0"/>
                      <w:color w:val="000000"/>
                      <w:sz w:val="21"/>
                      <w:szCs w:val="21"/>
                      <w:u w:val="none"/>
                      <w:lang w:eastAsia="zh-CN"/>
                    </w:rPr>
                    <w:t>）</w:t>
                  </w:r>
                </w:p>
              </w:tc>
            </w:tr>
            <w:tr w14:paraId="4FB748C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403" w:type="pct"/>
                  <w:tcBorders>
                    <w:top w:val="single" w:color="auto" w:sz="4" w:space="0"/>
                    <w:bottom w:val="single" w:color="auto" w:sz="8" w:space="0"/>
                  </w:tcBorders>
                  <w:noWrap w:val="0"/>
                  <w:vAlign w:val="center"/>
                </w:tcPr>
                <w:p w14:paraId="137E3DF1">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b w:val="0"/>
                      <w:bCs w:val="0"/>
                      <w:color w:val="000000"/>
                      <w:sz w:val="21"/>
                      <w:szCs w:val="21"/>
                      <w:u w:val="none"/>
                      <w:lang w:val="en-US" w:eastAsia="zh-CN"/>
                    </w:rPr>
                  </w:pPr>
                  <w:r>
                    <w:rPr>
                      <w:rFonts w:hint="eastAsia"/>
                      <w:b w:val="0"/>
                      <w:bCs w:val="0"/>
                      <w:color w:val="000000"/>
                      <w:sz w:val="21"/>
                      <w:szCs w:val="21"/>
                      <w:u w:val="none"/>
                      <w:lang w:val="en-US" w:eastAsia="zh-CN"/>
                    </w:rPr>
                    <w:t>5</w:t>
                  </w:r>
                </w:p>
              </w:tc>
              <w:tc>
                <w:tcPr>
                  <w:tcW w:w="1637" w:type="pct"/>
                  <w:tcBorders>
                    <w:top w:val="single" w:color="auto" w:sz="4" w:space="0"/>
                    <w:bottom w:val="single" w:color="auto" w:sz="8" w:space="0"/>
                  </w:tcBorders>
                  <w:noWrap w:val="0"/>
                  <w:vAlign w:val="center"/>
                </w:tcPr>
                <w:p w14:paraId="659E8952">
                  <w:pPr>
                    <w:pStyle w:val="51"/>
                    <w:keepNext w:val="0"/>
                    <w:keepLines w:val="0"/>
                    <w:suppressLineNumbers w:val="0"/>
                    <w:spacing w:before="0" w:beforeAutospacing="0" w:after="0" w:afterAutospacing="0"/>
                    <w:ind w:left="0" w:right="0"/>
                    <w:rPr>
                      <w:rFonts w:hint="default"/>
                      <w:b w:val="0"/>
                      <w:bCs w:val="0"/>
                      <w:color w:val="000000"/>
                      <w:sz w:val="21"/>
                      <w:szCs w:val="21"/>
                      <w:u w:val="none"/>
                      <w:lang w:val="en-US" w:eastAsia="zh-CN"/>
                    </w:rPr>
                  </w:pPr>
                  <w:r>
                    <w:rPr>
                      <w:rFonts w:hint="eastAsia"/>
                      <w:sz w:val="21"/>
                      <w:szCs w:val="21"/>
                    </w:rPr>
                    <w:t>导电浆</w:t>
                  </w:r>
                </w:p>
              </w:tc>
              <w:tc>
                <w:tcPr>
                  <w:tcW w:w="1478" w:type="pct"/>
                  <w:tcBorders>
                    <w:top w:val="single" w:color="auto" w:sz="4" w:space="0"/>
                    <w:bottom w:val="single" w:color="auto" w:sz="8" w:space="0"/>
                  </w:tcBorders>
                  <w:noWrap w:val="0"/>
                  <w:vAlign w:val="center"/>
                </w:tcPr>
                <w:p w14:paraId="6924D4D6">
                  <w:pPr>
                    <w:keepNext w:val="0"/>
                    <w:keepLines w:val="0"/>
                    <w:widowControl/>
                    <w:suppressLineNumbers w:val="0"/>
                    <w:spacing w:before="0" w:beforeAutospacing="0" w:after="0" w:afterAutospacing="0"/>
                    <w:ind w:left="0" w:right="0"/>
                    <w:jc w:val="center"/>
                    <w:rPr>
                      <w:rFonts w:hint="eastAsia" w:eastAsia="宋体"/>
                      <w:b w:val="0"/>
                      <w:bCs w:val="0"/>
                      <w:color w:val="000000"/>
                      <w:sz w:val="21"/>
                      <w:szCs w:val="21"/>
                      <w:u w:val="none"/>
                      <w:lang w:val="en-US" w:eastAsia="zh-CN"/>
                    </w:rPr>
                  </w:pPr>
                  <w:r>
                    <w:rPr>
                      <w:rFonts w:hint="eastAsia"/>
                      <w:b w:val="0"/>
                      <w:bCs w:val="0"/>
                      <w:color w:val="000000"/>
                      <w:sz w:val="21"/>
                      <w:szCs w:val="21"/>
                      <w:u w:val="none"/>
                      <w:lang w:val="en-US" w:eastAsia="zh-CN"/>
                    </w:rPr>
                    <w:t>2500t</w:t>
                  </w:r>
                  <w:r>
                    <w:rPr>
                      <w:rFonts w:hint="eastAsia"/>
                      <w:b w:val="0"/>
                      <w:bCs w:val="0"/>
                      <w:color w:val="000000"/>
                      <w:sz w:val="21"/>
                      <w:szCs w:val="21"/>
                      <w:u w:val="none"/>
                    </w:rPr>
                    <w:t>/a</w:t>
                  </w:r>
                  <w:r>
                    <w:rPr>
                      <w:rFonts w:hint="eastAsia"/>
                      <w:b w:val="0"/>
                      <w:bCs w:val="0"/>
                      <w:color w:val="000000"/>
                      <w:sz w:val="21"/>
                      <w:szCs w:val="21"/>
                      <w:u w:val="none"/>
                      <w:lang w:eastAsia="zh-CN"/>
                    </w:rPr>
                    <w:t>（</w:t>
                  </w:r>
                  <w:r>
                    <w:rPr>
                      <w:rFonts w:hint="eastAsia"/>
                      <w:b w:val="0"/>
                      <w:bCs w:val="0"/>
                      <w:color w:val="000000"/>
                      <w:sz w:val="21"/>
                      <w:szCs w:val="21"/>
                      <w:u w:val="none"/>
                      <w:lang w:val="en-US" w:eastAsia="zh-CN"/>
                    </w:rPr>
                    <w:t>自用</w:t>
                  </w:r>
                  <w:r>
                    <w:rPr>
                      <w:rFonts w:hint="eastAsia"/>
                      <w:b w:val="0"/>
                      <w:bCs w:val="0"/>
                      <w:color w:val="000000"/>
                      <w:sz w:val="21"/>
                      <w:szCs w:val="21"/>
                      <w:u w:val="none"/>
                      <w:lang w:eastAsia="zh-CN"/>
                    </w:rPr>
                    <w:t>）</w:t>
                  </w:r>
                </w:p>
              </w:tc>
              <w:tc>
                <w:tcPr>
                  <w:tcW w:w="2607" w:type="dxa"/>
                  <w:tcBorders>
                    <w:top w:val="single" w:color="auto" w:sz="4" w:space="0"/>
                    <w:bottom w:val="single" w:color="auto" w:sz="8" w:space="0"/>
                  </w:tcBorders>
                  <w:noWrap w:val="0"/>
                  <w:vAlign w:val="center"/>
                </w:tcPr>
                <w:p w14:paraId="79DE4BB4">
                  <w:pPr>
                    <w:keepNext w:val="0"/>
                    <w:keepLines w:val="0"/>
                    <w:widowControl/>
                    <w:suppressLineNumbers w:val="0"/>
                    <w:spacing w:before="0" w:beforeAutospacing="0" w:after="0" w:afterAutospacing="0"/>
                    <w:ind w:left="0" w:leftChars="0" w:right="0" w:rightChars="0"/>
                    <w:jc w:val="center"/>
                    <w:rPr>
                      <w:rFonts w:hint="eastAsia"/>
                      <w:b w:val="0"/>
                      <w:bCs w:val="0"/>
                      <w:color w:val="000000"/>
                      <w:sz w:val="21"/>
                      <w:szCs w:val="21"/>
                      <w:u w:val="none"/>
                      <w:lang w:val="en-US" w:eastAsia="zh-CN"/>
                    </w:rPr>
                  </w:pPr>
                  <w:r>
                    <w:rPr>
                      <w:rFonts w:hint="eastAsia"/>
                      <w:b w:val="0"/>
                      <w:bCs w:val="0"/>
                      <w:color w:val="000000"/>
                      <w:sz w:val="21"/>
                      <w:szCs w:val="21"/>
                      <w:u w:val="none"/>
                      <w:lang w:val="en-US" w:eastAsia="zh-CN"/>
                    </w:rPr>
                    <w:t>2500t</w:t>
                  </w:r>
                  <w:r>
                    <w:rPr>
                      <w:rFonts w:hint="eastAsia"/>
                      <w:b w:val="0"/>
                      <w:bCs w:val="0"/>
                      <w:color w:val="000000"/>
                      <w:sz w:val="21"/>
                      <w:szCs w:val="21"/>
                      <w:u w:val="none"/>
                    </w:rPr>
                    <w:t>/a</w:t>
                  </w:r>
                  <w:r>
                    <w:rPr>
                      <w:rFonts w:hint="eastAsia"/>
                      <w:b w:val="0"/>
                      <w:bCs w:val="0"/>
                      <w:color w:val="000000"/>
                      <w:sz w:val="21"/>
                      <w:szCs w:val="21"/>
                      <w:u w:val="none"/>
                      <w:lang w:eastAsia="zh-CN"/>
                    </w:rPr>
                    <w:t>（</w:t>
                  </w:r>
                  <w:r>
                    <w:rPr>
                      <w:rFonts w:hint="eastAsia"/>
                      <w:b w:val="0"/>
                      <w:bCs w:val="0"/>
                      <w:color w:val="000000"/>
                      <w:sz w:val="21"/>
                      <w:szCs w:val="21"/>
                      <w:u w:val="none"/>
                      <w:lang w:val="en-US" w:eastAsia="zh-CN"/>
                    </w:rPr>
                    <w:t>自用</w:t>
                  </w:r>
                  <w:r>
                    <w:rPr>
                      <w:rFonts w:hint="eastAsia"/>
                      <w:b w:val="0"/>
                      <w:bCs w:val="0"/>
                      <w:color w:val="000000"/>
                      <w:sz w:val="21"/>
                      <w:szCs w:val="21"/>
                      <w:u w:val="none"/>
                      <w:lang w:eastAsia="zh-CN"/>
                    </w:rPr>
                    <w:t>）</w:t>
                  </w:r>
                </w:p>
              </w:tc>
            </w:tr>
          </w:tbl>
          <w:p w14:paraId="6F123B91">
            <w:pPr>
              <w:pStyle w:val="31"/>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440" w:lineRule="exact"/>
              <w:ind w:left="0" w:right="0" w:firstLine="482" w:firstLineChars="200"/>
              <w:jc w:val="both"/>
              <w:textAlignment w:val="auto"/>
              <w:rPr>
                <w:rFonts w:hint="default"/>
                <w:lang w:val="en-US" w:eastAsia="zh-CN"/>
              </w:rPr>
            </w:pPr>
            <w:r>
              <w:rPr>
                <w:rFonts w:hint="eastAsia"/>
                <w:lang w:val="en-US" w:eastAsia="zh-CN"/>
              </w:rPr>
              <w:t>二、现有项目污染物达标情况分析</w:t>
            </w:r>
          </w:p>
          <w:p w14:paraId="0616616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auto"/>
              <w:rPr>
                <w:rFonts w:hint="default" w:ascii="Times New Roman" w:hAnsi="Times New Roman" w:cs="Times New Roman"/>
                <w:b w:val="0"/>
                <w:bCs w:val="0"/>
                <w:kern w:val="0"/>
                <w:sz w:val="24"/>
                <w:highlight w:val="none"/>
                <w:lang w:val="en-US" w:eastAsia="zh-CN"/>
              </w:rPr>
            </w:pPr>
            <w:r>
              <w:rPr>
                <w:rFonts w:hint="eastAsia"/>
                <w:lang w:val="en-US" w:eastAsia="zh-CN"/>
              </w:rPr>
              <w:t>污染物产排情况如下：</w:t>
            </w:r>
          </w:p>
          <w:p w14:paraId="0A32CE05">
            <w:pPr>
              <w:keepNext w:val="0"/>
              <w:keepLines w:val="0"/>
              <w:suppressLineNumbers w:val="0"/>
              <w:adjustRightInd w:val="0"/>
              <w:snapToGrid w:val="0"/>
              <w:spacing w:before="0" w:beforeAutospacing="0" w:after="0" w:afterAutospacing="0" w:line="440" w:lineRule="exact"/>
              <w:ind w:left="0" w:right="0" w:firstLine="482" w:firstLineChars="200"/>
              <w:rPr>
                <w:rFonts w:hint="eastAsia"/>
                <w:sz w:val="24"/>
                <w:lang w:val="en-US" w:eastAsia="zh-CN"/>
              </w:rPr>
            </w:pPr>
            <w:r>
              <w:rPr>
                <w:rFonts w:hint="eastAsia" w:cs="Times New Roman"/>
                <w:b/>
                <w:bCs/>
                <w:kern w:val="0"/>
                <w:sz w:val="24"/>
                <w:highlight w:val="none"/>
                <w:lang w:val="en-US" w:eastAsia="zh-CN"/>
              </w:rPr>
              <w:t>（一）</w:t>
            </w:r>
            <w:r>
              <w:rPr>
                <w:rFonts w:hint="default" w:ascii="Times New Roman" w:hAnsi="Times New Roman" w:cs="Times New Roman"/>
                <w:b/>
                <w:bCs/>
                <w:kern w:val="0"/>
                <w:sz w:val="24"/>
                <w:highlight w:val="none"/>
                <w:lang w:val="en-US" w:eastAsia="zh-CN"/>
              </w:rPr>
              <w:t>废气</w:t>
            </w:r>
          </w:p>
          <w:p w14:paraId="7E9551ED">
            <w:pPr>
              <w:keepNext w:val="0"/>
              <w:keepLines w:val="0"/>
              <w:suppressLineNumbers w:val="0"/>
              <w:spacing w:before="0" w:beforeAutospacing="0" w:after="0" w:afterAutospacing="0" w:line="440" w:lineRule="exact"/>
              <w:ind w:left="0" w:right="0" w:firstLine="480" w:firstLineChars="200"/>
              <w:rPr>
                <w:rFonts w:hint="default"/>
                <w:sz w:val="24"/>
                <w:lang w:val="en-US" w:eastAsia="zh-CN"/>
              </w:rPr>
            </w:pPr>
            <w:r>
              <w:rPr>
                <w:rFonts w:hint="eastAsia"/>
                <w:sz w:val="24"/>
                <w:lang w:val="en-US" w:eastAsia="zh-CN"/>
              </w:rPr>
              <w:t>1、有组织废气</w:t>
            </w:r>
          </w:p>
          <w:p w14:paraId="34ABCF3C">
            <w:pPr>
              <w:keepNext w:val="0"/>
              <w:keepLines w:val="0"/>
              <w:suppressLineNumbers w:val="0"/>
              <w:spacing w:before="0" w:beforeAutospacing="0" w:after="0" w:afterAutospacing="0" w:line="440" w:lineRule="exact"/>
              <w:ind w:left="0" w:right="0" w:firstLine="480" w:firstLineChars="200"/>
              <w:rPr>
                <w:rFonts w:hint="eastAsia"/>
                <w:sz w:val="24"/>
                <w:highlight w:val="none"/>
                <w:lang w:val="en-US" w:eastAsia="zh-CN"/>
              </w:rPr>
            </w:pPr>
            <w:r>
              <w:rPr>
                <w:rFonts w:hint="eastAsia"/>
                <w:sz w:val="24"/>
                <w:lang w:eastAsia="zh-CN"/>
              </w:rPr>
              <w:t>现有项目废气主要</w:t>
            </w:r>
            <w:r>
              <w:rPr>
                <w:rFonts w:hint="eastAsia"/>
                <w:sz w:val="24"/>
                <w:highlight w:val="none"/>
                <w:lang w:eastAsia="zh-CN"/>
              </w:rPr>
              <w:t>为</w:t>
            </w:r>
            <w:r>
              <w:rPr>
                <w:rFonts w:hint="eastAsia"/>
                <w:sz w:val="24"/>
                <w:highlight w:val="none"/>
                <w:lang w:val="en-US" w:eastAsia="zh-CN"/>
              </w:rPr>
              <w:t>正极材料配料废气、涂布烘干废气、储罐呼吸废气、注液废气等。</w:t>
            </w:r>
          </w:p>
          <w:p w14:paraId="79C5504C">
            <w:pPr>
              <w:keepNext w:val="0"/>
              <w:keepLines w:val="0"/>
              <w:suppressLineNumbers w:val="0"/>
              <w:spacing w:before="0" w:beforeAutospacing="0" w:after="0" w:afterAutospacing="0" w:line="440" w:lineRule="exact"/>
              <w:ind w:left="0" w:right="0" w:firstLine="480" w:firstLineChars="200"/>
              <w:rPr>
                <w:rFonts w:hint="default"/>
                <w:sz w:val="24"/>
                <w:lang w:val="en-US" w:eastAsia="zh-CN"/>
              </w:rPr>
            </w:pPr>
            <w:r>
              <w:rPr>
                <w:rFonts w:hint="eastAsia"/>
                <w:sz w:val="24"/>
                <w:lang w:val="en-US" w:eastAsia="zh-CN"/>
              </w:rPr>
              <w:t>（1）正极材料配料废气</w:t>
            </w:r>
          </w:p>
          <w:p w14:paraId="3E88E22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auto"/>
              <w:rPr>
                <w:rFonts w:hint="eastAsia"/>
                <w:color w:val="000000"/>
                <w:sz w:val="24"/>
                <w:szCs w:val="24"/>
                <w:highlight w:val="none"/>
                <w:lang w:eastAsia="zh-CN"/>
              </w:rPr>
            </w:pPr>
            <w:r>
              <w:rPr>
                <w:rFonts w:hint="eastAsia" w:cs="Times New Roman"/>
                <w:sz w:val="24"/>
                <w:lang w:val="en-US" w:eastAsia="zh-CN"/>
              </w:rPr>
              <w:t>北厂区锰锂车间配料工序产生颗粒物，废气经负压收集至袋式除尘器治理后通过15米高排气筒（DA001）排放。南厂区正极材料车间配料工序产生颗粒物，废气经负压收集至袋式除尘器治理侯通过15米高排气筒（DA002）排放。</w:t>
            </w:r>
            <w:r>
              <w:rPr>
                <w:rFonts w:hint="default" w:ascii="Times New Roman" w:hAnsi="Times New Roman" w:cs="Times New Roman"/>
                <w:sz w:val="24"/>
                <w:lang w:val="en-US" w:eastAsia="zh-CN"/>
              </w:rPr>
              <w:t>根据</w:t>
            </w:r>
            <w:r>
              <w:rPr>
                <w:rFonts w:hint="eastAsia" w:cs="Times New Roman"/>
                <w:bCs/>
                <w:color w:val="000000"/>
                <w:sz w:val="24"/>
                <w:lang w:val="en-US" w:eastAsia="zh-CN"/>
              </w:rPr>
              <w:t>企业2025年自行检测报告（报告编号：XCHC25040237）</w:t>
            </w:r>
            <w:r>
              <w:rPr>
                <w:rFonts w:hint="eastAsia" w:cs="Times New Roman"/>
                <w:bCs/>
                <w:color w:val="000000" w:themeColor="text1"/>
                <w:sz w:val="24"/>
                <w:lang w:val="en-US" w:eastAsia="zh-CN"/>
                <w14:textFill>
                  <w14:solidFill>
                    <w14:schemeClr w14:val="tx1"/>
                  </w14:solidFill>
                </w14:textFill>
              </w:rPr>
              <w:t>，</w:t>
            </w:r>
            <w:r>
              <w:rPr>
                <w:rFonts w:hint="default" w:ascii="Times New Roman" w:hAnsi="Times New Roman" w:eastAsia="宋体" w:cs="Times New Roman"/>
                <w:color w:val="000000" w:themeColor="text1"/>
                <w:sz w:val="24"/>
                <w:lang w:val="en-US" w:eastAsia="zh-CN"/>
                <w14:textFill>
                  <w14:solidFill>
                    <w14:schemeClr w14:val="tx1"/>
                  </w14:solidFill>
                </w14:textFill>
              </w:rPr>
              <w:t>DA001</w:t>
            </w:r>
            <w:r>
              <w:rPr>
                <w:rFonts w:hint="eastAsia" w:ascii="Times New Roman" w:hAnsi="Times New Roman" w:eastAsia="宋体" w:cs="Times New Roman"/>
                <w:color w:val="000000" w:themeColor="text1"/>
                <w:sz w:val="24"/>
                <w:lang w:val="en-US" w:eastAsia="zh-CN"/>
                <w14:textFill>
                  <w14:solidFill>
                    <w14:schemeClr w14:val="tx1"/>
                  </w14:solidFill>
                </w14:textFill>
              </w:rPr>
              <w:t>有组织颗粒物</w:t>
            </w:r>
            <w:r>
              <w:rPr>
                <w:rFonts w:hint="eastAsia" w:ascii="Times New Roman" w:hAnsi="Times New Roman" w:eastAsia="宋体"/>
                <w:color w:val="000000" w:themeColor="text1"/>
                <w:sz w:val="24"/>
                <w:szCs w:val="24"/>
                <w14:textFill>
                  <w14:solidFill>
                    <w14:schemeClr w14:val="tx1"/>
                  </w14:solidFill>
                </w14:textFill>
              </w:rPr>
              <w:t>的排放浓度、排放速率分别为</w:t>
            </w:r>
            <w:r>
              <w:rPr>
                <w:rFonts w:hint="eastAsia"/>
                <w:color w:val="000000" w:themeColor="text1"/>
                <w:sz w:val="24"/>
                <w:szCs w:val="24"/>
                <w:highlight w:val="none"/>
                <w:lang w:val="en-US" w:eastAsia="zh-CN"/>
                <w14:textFill>
                  <w14:solidFill>
                    <w14:schemeClr w14:val="tx1"/>
                  </w14:solidFill>
                </w14:textFill>
              </w:rPr>
              <w:t>3.6</w:t>
            </w:r>
            <w:r>
              <w:rPr>
                <w:rFonts w:hint="eastAsia" w:ascii="Times New Roman" w:hAnsi="Times New Roman" w:eastAsia="宋体"/>
                <w:color w:val="000000" w:themeColor="text1"/>
                <w:sz w:val="24"/>
                <w:szCs w:val="24"/>
                <w:highlight w:val="none"/>
                <w:lang w:val="en-US"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4.4</w:t>
            </w:r>
            <w:r>
              <w:rPr>
                <w:rFonts w:hint="default" w:ascii="Times New Roman" w:hAnsi="Times New Roman" w:eastAsia="宋体"/>
                <w:color w:val="000000" w:themeColor="text1"/>
                <w:sz w:val="24"/>
                <w:szCs w:val="24"/>
                <w:highlight w:val="none"/>
                <w14:textFill>
                  <w14:solidFill>
                    <w14:schemeClr w14:val="tx1"/>
                  </w14:solidFill>
                </w14:textFill>
              </w:rPr>
              <w:t>mg/m</w:t>
            </w:r>
            <w:r>
              <w:rPr>
                <w:rFonts w:hint="default" w:ascii="Times New Roman" w:hAnsi="Times New Roman" w:eastAsia="宋体"/>
                <w:color w:val="000000" w:themeColor="text1"/>
                <w:sz w:val="24"/>
                <w:szCs w:val="24"/>
                <w:highlight w:val="none"/>
                <w:vertAlign w:val="superscript"/>
                <w14:textFill>
                  <w14:solidFill>
                    <w14:schemeClr w14:val="tx1"/>
                  </w14:solidFill>
                </w14:textFill>
              </w:rPr>
              <w:t>3</w:t>
            </w:r>
            <w:r>
              <w:rPr>
                <w:rFonts w:hint="eastAsia" w:ascii="Times New Roman" w:hAnsi="Times New Roman" w:eastAsia="宋体"/>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0.010</w:t>
            </w:r>
            <w:r>
              <w:rPr>
                <w:rFonts w:hint="eastAsia" w:ascii="Times New Roman" w:hAnsi="Times New Roman" w:eastAsia="宋体"/>
                <w:color w:val="000000" w:themeColor="text1"/>
                <w:sz w:val="24"/>
                <w:szCs w:val="24"/>
                <w:highlight w:val="none"/>
                <w:lang w:val="en-US"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0.013</w:t>
            </w:r>
            <w:r>
              <w:rPr>
                <w:rFonts w:hint="default" w:ascii="Times New Roman" w:hAnsi="Times New Roman" w:eastAsia="宋体"/>
                <w:color w:val="000000" w:themeColor="text1"/>
                <w:sz w:val="24"/>
                <w:szCs w:val="24"/>
                <w:highlight w:val="none"/>
                <w14:textFill>
                  <w14:solidFill>
                    <w14:schemeClr w14:val="tx1"/>
                  </w14:solidFill>
                </w14:textFill>
              </w:rPr>
              <w:t>kg/h</w:t>
            </w:r>
            <w:r>
              <w:rPr>
                <w:rFonts w:hint="eastAsia"/>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lang w:val="en-US" w:eastAsia="zh-CN"/>
                <w14:textFill>
                  <w14:solidFill>
                    <w14:schemeClr w14:val="tx1"/>
                  </w14:solidFill>
                </w14:textFill>
              </w:rPr>
              <w:t>DA00</w:t>
            </w:r>
            <w:r>
              <w:rPr>
                <w:rFonts w:hint="eastAsia" w:cs="Times New Roman"/>
                <w:color w:val="000000" w:themeColor="text1"/>
                <w:sz w:val="24"/>
                <w:lang w:val="en-US" w:eastAsia="zh-CN"/>
                <w14:textFill>
                  <w14:solidFill>
                    <w14:schemeClr w14:val="tx1"/>
                  </w14:solidFill>
                </w14:textFill>
              </w:rPr>
              <w:t>2</w:t>
            </w:r>
            <w:r>
              <w:rPr>
                <w:rFonts w:hint="eastAsia" w:ascii="Times New Roman" w:hAnsi="Times New Roman" w:eastAsia="宋体" w:cs="Times New Roman"/>
                <w:color w:val="000000" w:themeColor="text1"/>
                <w:sz w:val="24"/>
                <w:lang w:val="en-US" w:eastAsia="zh-CN"/>
                <w14:textFill>
                  <w14:solidFill>
                    <w14:schemeClr w14:val="tx1"/>
                  </w14:solidFill>
                </w14:textFill>
              </w:rPr>
              <w:t>有组织</w:t>
            </w:r>
            <w:r>
              <w:rPr>
                <w:rFonts w:hint="eastAsia" w:ascii="Times New Roman" w:hAnsi="Times New Roman" w:eastAsia="宋体"/>
                <w:color w:val="000000" w:themeColor="text1"/>
                <w:sz w:val="24"/>
                <w:szCs w:val="24"/>
                <w:lang w:val="en-US" w:eastAsia="zh-CN"/>
                <w14:textFill>
                  <w14:solidFill>
                    <w14:schemeClr w14:val="tx1"/>
                  </w14:solidFill>
                </w14:textFill>
              </w:rPr>
              <w:t>颗粒物</w:t>
            </w:r>
            <w:r>
              <w:rPr>
                <w:rFonts w:hint="eastAsia" w:ascii="Times New Roman" w:hAnsi="Times New Roman" w:eastAsia="宋体"/>
                <w:color w:val="000000" w:themeColor="text1"/>
                <w:sz w:val="24"/>
                <w:szCs w:val="24"/>
                <w14:textFill>
                  <w14:solidFill>
                    <w14:schemeClr w14:val="tx1"/>
                  </w14:solidFill>
                </w14:textFill>
              </w:rPr>
              <w:t>的排放浓度、排放速率分别为</w:t>
            </w:r>
            <w:r>
              <w:rPr>
                <w:rFonts w:hint="eastAsia"/>
                <w:color w:val="000000" w:themeColor="text1"/>
                <w:sz w:val="24"/>
                <w:szCs w:val="24"/>
                <w:highlight w:val="none"/>
                <w:lang w:val="en-US" w:eastAsia="zh-CN"/>
                <w14:textFill>
                  <w14:solidFill>
                    <w14:schemeClr w14:val="tx1"/>
                  </w14:solidFill>
                </w14:textFill>
              </w:rPr>
              <w:t>3.9</w:t>
            </w:r>
            <w:r>
              <w:rPr>
                <w:rFonts w:hint="eastAsia" w:ascii="Times New Roman" w:hAnsi="Times New Roman" w:eastAsia="宋体"/>
                <w:color w:val="000000" w:themeColor="text1"/>
                <w:sz w:val="24"/>
                <w:szCs w:val="24"/>
                <w:highlight w:val="none"/>
                <w:lang w:val="en-US"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4.3</w:t>
            </w:r>
            <w:r>
              <w:rPr>
                <w:rFonts w:hint="default" w:ascii="Times New Roman" w:hAnsi="Times New Roman" w:eastAsia="宋体"/>
                <w:color w:val="000000" w:themeColor="text1"/>
                <w:sz w:val="24"/>
                <w:szCs w:val="24"/>
                <w:highlight w:val="none"/>
                <w14:textFill>
                  <w14:solidFill>
                    <w14:schemeClr w14:val="tx1"/>
                  </w14:solidFill>
                </w14:textFill>
              </w:rPr>
              <w:t>mg/m</w:t>
            </w:r>
            <w:r>
              <w:rPr>
                <w:rFonts w:hint="default" w:ascii="Times New Roman" w:hAnsi="Times New Roman" w:eastAsia="宋体"/>
                <w:color w:val="000000" w:themeColor="text1"/>
                <w:sz w:val="24"/>
                <w:szCs w:val="24"/>
                <w:highlight w:val="none"/>
                <w:vertAlign w:val="superscript"/>
                <w14:textFill>
                  <w14:solidFill>
                    <w14:schemeClr w14:val="tx1"/>
                  </w14:solidFill>
                </w14:textFill>
              </w:rPr>
              <w:t>3</w:t>
            </w:r>
            <w:r>
              <w:rPr>
                <w:rFonts w:hint="eastAsia" w:ascii="Times New Roman" w:hAnsi="Times New Roman" w:eastAsia="宋体"/>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0.033</w:t>
            </w:r>
            <w:r>
              <w:rPr>
                <w:rFonts w:hint="eastAsia" w:ascii="Times New Roman" w:hAnsi="Times New Roman" w:eastAsia="宋体"/>
                <w:color w:val="000000" w:themeColor="text1"/>
                <w:sz w:val="24"/>
                <w:szCs w:val="24"/>
                <w:highlight w:val="none"/>
                <w:lang w:val="en-US"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0.037</w:t>
            </w:r>
            <w:r>
              <w:rPr>
                <w:rFonts w:hint="default" w:ascii="Times New Roman" w:hAnsi="Times New Roman" w:eastAsia="宋体"/>
                <w:color w:val="000000" w:themeColor="text1"/>
                <w:sz w:val="24"/>
                <w:szCs w:val="24"/>
                <w:highlight w:val="none"/>
                <w14:textFill>
                  <w14:solidFill>
                    <w14:schemeClr w14:val="tx1"/>
                  </w14:solidFill>
                </w14:textFill>
              </w:rPr>
              <w:t>kg/h</w:t>
            </w:r>
            <w:r>
              <w:rPr>
                <w:rFonts w:hint="eastAsia"/>
                <w:color w:val="000000" w:themeColor="text1"/>
                <w:sz w:val="24"/>
                <w:szCs w:val="24"/>
                <w:highlight w:val="none"/>
                <w:lang w:eastAsia="zh-CN"/>
                <w14:textFill>
                  <w14:solidFill>
                    <w14:schemeClr w14:val="tx1"/>
                  </w14:solidFill>
                </w14:textFill>
              </w:rPr>
              <w:t>。</w:t>
            </w:r>
          </w:p>
          <w:p w14:paraId="3DD6B5BF">
            <w:pPr>
              <w:pStyle w:val="11"/>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440" w:lineRule="exact"/>
              <w:ind w:left="0" w:right="0" w:firstLine="480" w:firstLineChars="200"/>
              <w:jc w:val="both"/>
              <w:textAlignment w:val="auto"/>
              <w:outlineLvl w:val="9"/>
              <w:rPr>
                <w:rFonts w:hint="eastAsia" w:ascii="Times New Roman" w:hAnsi="Times New Roman" w:eastAsia="宋体"/>
                <w:color w:val="000000"/>
                <w:sz w:val="24"/>
                <w:szCs w:val="24"/>
              </w:rPr>
            </w:pPr>
            <w:r>
              <w:rPr>
                <w:rFonts w:hint="eastAsia" w:ascii="Times New Roman" w:hAnsi="Times New Roman" w:eastAsia="宋体" w:cs="Times New Roman"/>
                <w:color w:val="000000"/>
                <w:sz w:val="24"/>
                <w:szCs w:val="24"/>
                <w:lang w:val="en-US" w:eastAsia="zh-CN"/>
              </w:rPr>
              <w:t>有组织</w:t>
            </w:r>
            <w:r>
              <w:rPr>
                <w:rFonts w:hint="eastAsia" w:ascii="Times New Roman" w:hAnsi="Times New Roman" w:eastAsia="宋体"/>
                <w:color w:val="000000"/>
                <w:sz w:val="24"/>
                <w:szCs w:val="24"/>
              </w:rPr>
              <w:t>颗粒物排放满足</w:t>
            </w:r>
            <w:r>
              <w:rPr>
                <w:rFonts w:hint="default"/>
                <w:lang w:bidi="en-US"/>
              </w:rPr>
              <w:t>《电池工业污染物排放标准》表5颗粒物30mg/m</w:t>
            </w:r>
            <w:r>
              <w:rPr>
                <w:rFonts w:hint="default"/>
                <w:vertAlign w:val="superscript"/>
                <w:lang w:bidi="en-US"/>
              </w:rPr>
              <w:t>3</w:t>
            </w:r>
            <w:r>
              <w:rPr>
                <w:rFonts w:hint="default"/>
                <w:lang w:bidi="en-US"/>
              </w:rPr>
              <w:t>限值要求</w:t>
            </w:r>
            <w:r>
              <w:rPr>
                <w:rFonts w:hint="eastAsia"/>
                <w:lang w:eastAsia="zh-CN" w:bidi="en-US"/>
              </w:rPr>
              <w:t>，</w:t>
            </w:r>
            <w:r>
              <w:rPr>
                <w:rFonts w:hint="eastAsia"/>
                <w:lang w:val="en-US" w:eastAsia="zh-CN" w:bidi="en-US"/>
              </w:rPr>
              <w:t>满足</w:t>
            </w:r>
            <w:r>
              <w:rPr>
                <w:rFonts w:hint="eastAsia" w:ascii="Times New Roman" w:hAnsi="Times New Roman" w:eastAsia="宋体"/>
                <w:color w:val="000000"/>
                <w:sz w:val="24"/>
                <w:szCs w:val="24"/>
              </w:rPr>
              <w:t>《新乡市生态环境局关于进一步规范工业企业颗粒物排放限值的通知》</w:t>
            </w:r>
            <w:r>
              <w:rPr>
                <w:rFonts w:hint="eastAsia"/>
                <w:color w:val="000000"/>
                <w:sz w:val="24"/>
                <w:szCs w:val="24"/>
                <w:lang w:eastAsia="zh-CN"/>
              </w:rPr>
              <w:t>（</w:t>
            </w:r>
            <w:r>
              <w:rPr>
                <w:rFonts w:hint="eastAsia" w:ascii="Times New Roman" w:hAnsi="Times New Roman" w:eastAsia="宋体"/>
                <w:color w:val="000000"/>
                <w:sz w:val="24"/>
                <w:szCs w:val="24"/>
              </w:rPr>
              <w:t>其他所有涉气工业企业排放口颗粒物排放浓度不高于10mg/m</w:t>
            </w:r>
            <w:r>
              <w:rPr>
                <w:rFonts w:hint="eastAsia" w:ascii="Times New Roman" w:hAnsi="Times New Roman" w:eastAsia="宋体"/>
                <w:color w:val="000000"/>
                <w:sz w:val="24"/>
                <w:szCs w:val="24"/>
                <w:vertAlign w:val="superscript"/>
              </w:rPr>
              <w:t>3</w:t>
            </w:r>
            <w:r>
              <w:rPr>
                <w:rFonts w:hint="eastAsia"/>
                <w:color w:val="000000"/>
                <w:sz w:val="24"/>
                <w:szCs w:val="24"/>
                <w:lang w:eastAsia="zh-CN"/>
              </w:rPr>
              <w:t>）</w:t>
            </w:r>
            <w:r>
              <w:rPr>
                <w:rFonts w:hint="eastAsia" w:ascii="Times New Roman" w:hAnsi="Times New Roman" w:eastAsia="宋体"/>
                <w:color w:val="000000"/>
                <w:sz w:val="24"/>
                <w:szCs w:val="24"/>
              </w:rPr>
              <w:t>的要求</w:t>
            </w:r>
            <w:r>
              <w:rPr>
                <w:rFonts w:hint="eastAsia"/>
                <w:color w:val="000000"/>
                <w:sz w:val="24"/>
                <w:szCs w:val="24"/>
                <w:lang w:eastAsia="zh-CN"/>
              </w:rPr>
              <w:t>，</w:t>
            </w:r>
            <w:r>
              <w:rPr>
                <w:rFonts w:hint="eastAsia"/>
                <w:color w:val="000000"/>
                <w:sz w:val="24"/>
                <w:szCs w:val="24"/>
                <w:lang w:val="en-US" w:eastAsia="zh-CN"/>
              </w:rPr>
              <w:t>同时满足</w:t>
            </w:r>
            <w:r>
              <w:rPr>
                <w:rFonts w:hint="default"/>
                <w:color w:val="auto"/>
                <w:sz w:val="24"/>
                <w:szCs w:val="24"/>
              </w:rPr>
              <w:t>《大气污染物综合排放标准》（GB16297-1996）</w:t>
            </w:r>
            <w:r>
              <w:rPr>
                <w:rFonts w:hint="default"/>
                <w:sz w:val="24"/>
                <w:szCs w:val="24"/>
                <w:highlight w:val="none"/>
              </w:rPr>
              <w:t>排放</w:t>
            </w:r>
            <w:r>
              <w:rPr>
                <w:rFonts w:hint="default"/>
                <w:sz w:val="24"/>
                <w:szCs w:val="24"/>
              </w:rPr>
              <w:t>速率</w:t>
            </w:r>
            <w:r>
              <w:rPr>
                <w:rFonts w:hint="eastAsia"/>
                <w:sz w:val="24"/>
                <w:szCs w:val="24"/>
                <w:lang w:val="en-US" w:eastAsia="zh-CN"/>
              </w:rPr>
              <w:t>3.5</w:t>
            </w:r>
            <w:r>
              <w:rPr>
                <w:rFonts w:hint="default"/>
                <w:sz w:val="24"/>
                <w:szCs w:val="24"/>
              </w:rPr>
              <w:t>kg/h</w:t>
            </w:r>
            <w:r>
              <w:rPr>
                <w:rFonts w:hint="eastAsia"/>
                <w:sz w:val="24"/>
                <w:szCs w:val="24"/>
                <w:lang w:eastAsia="zh-CN"/>
              </w:rPr>
              <w:t>的</w:t>
            </w:r>
            <w:r>
              <w:rPr>
                <w:rFonts w:hint="eastAsia"/>
                <w:sz w:val="24"/>
                <w:szCs w:val="24"/>
                <w:lang w:val="en-US" w:eastAsia="zh-CN"/>
              </w:rPr>
              <w:t>要求</w:t>
            </w:r>
            <w:r>
              <w:rPr>
                <w:rFonts w:hint="eastAsia" w:ascii="Times New Roman" w:hAnsi="Times New Roman" w:eastAsia="宋体"/>
                <w:color w:val="000000"/>
                <w:sz w:val="24"/>
                <w:szCs w:val="24"/>
              </w:rPr>
              <w:t>。</w:t>
            </w:r>
          </w:p>
          <w:p w14:paraId="44F1B9C2">
            <w:pPr>
              <w:keepNext w:val="0"/>
              <w:keepLines w:val="0"/>
              <w:suppressLineNumbers w:val="0"/>
              <w:spacing w:before="0" w:beforeAutospacing="0" w:after="0" w:afterAutospacing="0" w:line="440" w:lineRule="exact"/>
              <w:ind w:left="0" w:right="0" w:firstLine="480" w:firstLineChars="200"/>
              <w:rPr>
                <w:rFonts w:hint="default"/>
                <w:sz w:val="24"/>
                <w:lang w:val="en-US" w:eastAsia="zh-CN"/>
              </w:rPr>
            </w:pPr>
            <w:r>
              <w:rPr>
                <w:rFonts w:hint="eastAsia"/>
                <w:sz w:val="24"/>
                <w:lang w:val="en-US" w:eastAsia="zh-CN"/>
              </w:rPr>
              <w:t>（2）正极材料配料废气</w:t>
            </w:r>
          </w:p>
          <w:p w14:paraId="7671CDE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auto"/>
              <w:rPr>
                <w:rFonts w:hint="eastAsia"/>
              </w:rPr>
            </w:pPr>
            <w:r>
              <w:rPr>
                <w:rFonts w:hint="eastAsia" w:cs="Times New Roman"/>
                <w:sz w:val="24"/>
                <w:lang w:val="en-US" w:eastAsia="zh-CN"/>
              </w:rPr>
              <w:t>北厂区</w:t>
            </w:r>
            <w:r>
              <w:rPr>
                <w:rFonts w:hint="eastAsia"/>
              </w:rPr>
              <w:t>正极配料、涂布烘干工序产生的非甲烷总烃及储罐废气经</w:t>
            </w:r>
            <w:r>
              <w:rPr>
                <w:rFonts w:hint="eastAsia"/>
                <w:lang w:val="en-US" w:eastAsia="zh-CN"/>
              </w:rPr>
              <w:t>负压收集至</w:t>
            </w:r>
            <w:r>
              <w:rPr>
                <w:rFonts w:hint="eastAsia"/>
              </w:rPr>
              <w:t>NMP高塔回收系统一并治理后通入3#生产车间顶层排气筒（DA003）排出</w:t>
            </w:r>
            <w:r>
              <w:rPr>
                <w:rFonts w:hint="eastAsia"/>
                <w:lang w:eastAsia="zh-CN"/>
              </w:rPr>
              <w:t>；</w:t>
            </w:r>
            <w:r>
              <w:rPr>
                <w:rFonts w:hint="eastAsia"/>
              </w:rPr>
              <w:t>1#、2#、3#车间注液工序废气经活性炭吸附装置-脱附+催化燃烧装置处理后通入3#车间排气筒（DA003）排出。</w:t>
            </w:r>
          </w:p>
          <w:p w14:paraId="6A1024E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auto"/>
              <w:rPr>
                <w:rFonts w:hint="eastAsia"/>
              </w:rPr>
            </w:pPr>
            <w:r>
              <w:rPr>
                <w:rFonts w:hint="eastAsia"/>
              </w:rPr>
              <w:t>南厂区内正极配料、涂布烘干工序产生的非甲烷总烃及储罐废气经NMP高塔回收系统一并治理后，经密闭管道通入</w:t>
            </w:r>
            <w:r>
              <w:rPr>
                <w:rFonts w:hint="eastAsia"/>
                <w:lang w:val="en-US" w:eastAsia="zh-CN"/>
              </w:rPr>
              <w:t>5</w:t>
            </w:r>
            <w:r>
              <w:rPr>
                <w:rFonts w:hint="eastAsia"/>
              </w:rPr>
              <w:t>#生产车间顶层排气筒（DA004）排出。</w:t>
            </w:r>
            <w:r>
              <w:rPr>
                <w:rFonts w:hint="eastAsia"/>
                <w:lang w:val="en-US" w:eastAsia="zh-CN"/>
              </w:rPr>
              <w:t>5</w:t>
            </w:r>
            <w:r>
              <w:rPr>
                <w:rFonts w:hint="eastAsia"/>
              </w:rPr>
              <w:t>#、</w:t>
            </w:r>
            <w:r>
              <w:rPr>
                <w:rFonts w:hint="eastAsia"/>
                <w:lang w:val="en-US" w:eastAsia="zh-CN"/>
              </w:rPr>
              <w:t>6</w:t>
            </w:r>
            <w:r>
              <w:rPr>
                <w:rFonts w:hint="eastAsia"/>
              </w:rPr>
              <w:t>#车间注液工序废气经活性炭吸附装置-脱附+催化燃烧装置处理后通入</w:t>
            </w:r>
            <w:r>
              <w:rPr>
                <w:rFonts w:hint="eastAsia"/>
                <w:lang w:val="en-US" w:eastAsia="zh-CN"/>
              </w:rPr>
              <w:t>5</w:t>
            </w:r>
            <w:r>
              <w:rPr>
                <w:rFonts w:hint="eastAsia"/>
              </w:rPr>
              <w:t>#车间排气筒（DA004）排出。</w:t>
            </w:r>
          </w:p>
          <w:p w14:paraId="5FD5BFE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auto"/>
              <w:rPr>
                <w:rFonts w:hint="eastAsia"/>
                <w:color w:val="000000"/>
                <w:sz w:val="24"/>
                <w:szCs w:val="24"/>
                <w:highlight w:val="none"/>
                <w:lang w:eastAsia="zh-CN"/>
              </w:rPr>
            </w:pPr>
            <w:r>
              <w:rPr>
                <w:rFonts w:hint="default" w:ascii="Times New Roman" w:hAnsi="Times New Roman" w:cs="Times New Roman"/>
                <w:sz w:val="24"/>
                <w:lang w:val="en-US" w:eastAsia="zh-CN"/>
              </w:rPr>
              <w:t>根据</w:t>
            </w:r>
            <w:r>
              <w:rPr>
                <w:rFonts w:hint="eastAsia" w:cs="Times New Roman"/>
                <w:bCs/>
                <w:color w:val="000000"/>
                <w:sz w:val="24"/>
                <w:lang w:val="en-US" w:eastAsia="zh-CN"/>
              </w:rPr>
              <w:t>企业2025年自行检测报告（报告编号：XCHC25040237）</w:t>
            </w:r>
            <w:r>
              <w:rPr>
                <w:rFonts w:hint="eastAsia" w:cs="Times New Roman"/>
                <w:bCs/>
                <w:color w:val="000000" w:themeColor="text1"/>
                <w:sz w:val="24"/>
                <w:lang w:val="en-US" w:eastAsia="zh-CN"/>
                <w14:textFill>
                  <w14:solidFill>
                    <w14:schemeClr w14:val="tx1"/>
                  </w14:solidFill>
                </w14:textFill>
              </w:rPr>
              <w:t>，</w:t>
            </w:r>
            <w:r>
              <w:rPr>
                <w:rFonts w:hint="default" w:ascii="Times New Roman" w:hAnsi="Times New Roman" w:eastAsia="宋体" w:cs="Times New Roman"/>
                <w:color w:val="000000" w:themeColor="text1"/>
                <w:sz w:val="24"/>
                <w:lang w:val="en-US" w:eastAsia="zh-CN"/>
                <w14:textFill>
                  <w14:solidFill>
                    <w14:schemeClr w14:val="tx1"/>
                  </w14:solidFill>
                </w14:textFill>
              </w:rPr>
              <w:t>DA00</w:t>
            </w:r>
            <w:r>
              <w:rPr>
                <w:rFonts w:hint="eastAsia" w:ascii="Times New Roman" w:hAnsi="Times New Roman" w:eastAsia="宋体" w:cs="Times New Roman"/>
                <w:color w:val="000000" w:themeColor="text1"/>
                <w:sz w:val="24"/>
                <w:lang w:val="en-US" w:eastAsia="zh-CN"/>
                <w14:textFill>
                  <w14:solidFill>
                    <w14:schemeClr w14:val="tx1"/>
                  </w14:solidFill>
                </w14:textFill>
              </w:rPr>
              <w:t>3有组织非甲烷总烃</w:t>
            </w:r>
            <w:r>
              <w:rPr>
                <w:rFonts w:hint="eastAsia" w:ascii="Times New Roman" w:hAnsi="Times New Roman" w:eastAsia="宋体"/>
                <w:color w:val="000000" w:themeColor="text1"/>
                <w:sz w:val="24"/>
                <w:szCs w:val="24"/>
                <w14:textFill>
                  <w14:solidFill>
                    <w14:schemeClr w14:val="tx1"/>
                  </w14:solidFill>
                </w14:textFill>
              </w:rPr>
              <w:t>的排放浓度、排放速率分别为</w:t>
            </w:r>
            <w:r>
              <w:rPr>
                <w:rFonts w:hint="eastAsia"/>
                <w:color w:val="000000" w:themeColor="text1"/>
                <w:sz w:val="24"/>
                <w:szCs w:val="24"/>
                <w:highlight w:val="none"/>
                <w:lang w:val="en-US" w:eastAsia="zh-CN"/>
                <w14:textFill>
                  <w14:solidFill>
                    <w14:schemeClr w14:val="tx1"/>
                  </w14:solidFill>
                </w14:textFill>
              </w:rPr>
              <w:t>8.37</w:t>
            </w:r>
            <w:r>
              <w:rPr>
                <w:rFonts w:hint="eastAsia" w:ascii="Times New Roman" w:hAnsi="Times New Roman" w:eastAsia="宋体"/>
                <w:color w:val="000000" w:themeColor="text1"/>
                <w:sz w:val="24"/>
                <w:szCs w:val="24"/>
                <w:highlight w:val="none"/>
                <w:lang w:val="en-US"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8.71</w:t>
            </w:r>
            <w:r>
              <w:rPr>
                <w:rFonts w:hint="default" w:ascii="Times New Roman" w:hAnsi="Times New Roman" w:eastAsia="宋体"/>
                <w:color w:val="000000" w:themeColor="text1"/>
                <w:sz w:val="24"/>
                <w:szCs w:val="24"/>
                <w:highlight w:val="none"/>
                <w14:textFill>
                  <w14:solidFill>
                    <w14:schemeClr w14:val="tx1"/>
                  </w14:solidFill>
                </w14:textFill>
              </w:rPr>
              <w:t>mg/m</w:t>
            </w:r>
            <w:r>
              <w:rPr>
                <w:rFonts w:hint="default" w:ascii="Times New Roman" w:hAnsi="Times New Roman" w:eastAsia="宋体"/>
                <w:color w:val="000000" w:themeColor="text1"/>
                <w:sz w:val="24"/>
                <w:szCs w:val="24"/>
                <w:highlight w:val="none"/>
                <w:vertAlign w:val="superscript"/>
                <w14:textFill>
                  <w14:solidFill>
                    <w14:schemeClr w14:val="tx1"/>
                  </w14:solidFill>
                </w14:textFill>
              </w:rPr>
              <w:t>3</w:t>
            </w:r>
            <w:r>
              <w:rPr>
                <w:rFonts w:hint="eastAsia" w:ascii="Times New Roman" w:hAnsi="Times New Roman" w:eastAsia="宋体"/>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0.349</w:t>
            </w:r>
            <w:r>
              <w:rPr>
                <w:rFonts w:hint="eastAsia" w:ascii="Times New Roman" w:hAnsi="Times New Roman" w:eastAsia="宋体"/>
                <w:color w:val="000000" w:themeColor="text1"/>
                <w:sz w:val="24"/>
                <w:szCs w:val="24"/>
                <w:highlight w:val="none"/>
                <w:lang w:val="en-US"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0.381</w:t>
            </w:r>
            <w:r>
              <w:rPr>
                <w:rFonts w:hint="default" w:ascii="Times New Roman" w:hAnsi="Times New Roman" w:eastAsia="宋体"/>
                <w:color w:val="000000" w:themeColor="text1"/>
                <w:sz w:val="24"/>
                <w:szCs w:val="24"/>
                <w:highlight w:val="none"/>
                <w14:textFill>
                  <w14:solidFill>
                    <w14:schemeClr w14:val="tx1"/>
                  </w14:solidFill>
                </w14:textFill>
              </w:rPr>
              <w:t>kg/h</w:t>
            </w:r>
            <w:r>
              <w:rPr>
                <w:rFonts w:hint="eastAsia" w:ascii="Times New Roman" w:hAnsi="Times New Roman" w:eastAsia="宋体"/>
                <w:color w:val="000000" w:themeColor="text1"/>
                <w:sz w:val="24"/>
                <w:szCs w:val="24"/>
                <w:highlight w:val="none"/>
                <w:lang w:eastAsia="zh-CN"/>
                <w14:textFill>
                  <w14:solidFill>
                    <w14:schemeClr w14:val="tx1"/>
                  </w14:solidFill>
                </w14:textFill>
              </w:rPr>
              <w:t>，</w:t>
            </w:r>
            <w:r>
              <w:rPr>
                <w:rFonts w:hint="eastAsia" w:ascii="Times New Roman" w:hAnsi="Times New Roman" w:eastAsia="宋体"/>
                <w:color w:val="000000" w:themeColor="text1"/>
                <w:sz w:val="24"/>
                <w:szCs w:val="24"/>
                <w:highlight w:val="none"/>
                <w:lang w:val="en-US" w:eastAsia="zh-CN"/>
                <w14:textFill>
                  <w14:solidFill>
                    <w14:schemeClr w14:val="tx1"/>
                  </w14:solidFill>
                </w14:textFill>
              </w:rPr>
              <w:t>废气去除效率约</w:t>
            </w:r>
            <w:r>
              <w:rPr>
                <w:rFonts w:hint="eastAsia"/>
                <w:color w:val="000000" w:themeColor="text1"/>
                <w:sz w:val="24"/>
                <w:szCs w:val="24"/>
                <w:highlight w:val="none"/>
                <w:lang w:val="en-US" w:eastAsia="zh-CN"/>
                <w14:textFill>
                  <w14:solidFill>
                    <w14:schemeClr w14:val="tx1"/>
                  </w14:solidFill>
                </w14:textFill>
              </w:rPr>
              <w:t>91.5</w:t>
            </w:r>
            <w:r>
              <w:rPr>
                <w:rFonts w:hint="eastAsia" w:ascii="Times New Roman" w:hAnsi="Times New Roman" w:eastAsia="宋体"/>
                <w:color w:val="000000" w:themeColor="text1"/>
                <w:sz w:val="24"/>
                <w:szCs w:val="24"/>
                <w:highlight w:val="none"/>
                <w:lang w:val="en-US"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lang w:val="en-US" w:eastAsia="zh-CN"/>
                <w14:textFill>
                  <w14:solidFill>
                    <w14:schemeClr w14:val="tx1"/>
                  </w14:solidFill>
                </w14:textFill>
              </w:rPr>
              <w:t>DA00</w:t>
            </w:r>
            <w:r>
              <w:rPr>
                <w:rFonts w:hint="eastAsia" w:cs="Times New Roman"/>
                <w:color w:val="000000" w:themeColor="text1"/>
                <w:sz w:val="24"/>
                <w:lang w:val="en-US" w:eastAsia="zh-CN"/>
                <w14:textFill>
                  <w14:solidFill>
                    <w14:schemeClr w14:val="tx1"/>
                  </w14:solidFill>
                </w14:textFill>
              </w:rPr>
              <w:t>4</w:t>
            </w:r>
            <w:r>
              <w:rPr>
                <w:rFonts w:hint="eastAsia" w:ascii="Times New Roman" w:hAnsi="Times New Roman" w:eastAsia="宋体" w:cs="Times New Roman"/>
                <w:color w:val="000000" w:themeColor="text1"/>
                <w:sz w:val="24"/>
                <w:lang w:val="en-US" w:eastAsia="zh-CN"/>
                <w14:textFill>
                  <w14:solidFill>
                    <w14:schemeClr w14:val="tx1"/>
                  </w14:solidFill>
                </w14:textFill>
              </w:rPr>
              <w:t>有组织非甲烷总烃</w:t>
            </w:r>
            <w:r>
              <w:rPr>
                <w:rFonts w:hint="eastAsia" w:ascii="Times New Roman" w:hAnsi="Times New Roman" w:eastAsia="宋体"/>
                <w:color w:val="000000" w:themeColor="text1"/>
                <w:sz w:val="24"/>
                <w:szCs w:val="24"/>
                <w14:textFill>
                  <w14:solidFill>
                    <w14:schemeClr w14:val="tx1"/>
                  </w14:solidFill>
                </w14:textFill>
              </w:rPr>
              <w:t>的排放浓度、排放速率分别为</w:t>
            </w:r>
            <w:r>
              <w:rPr>
                <w:rFonts w:hint="eastAsia"/>
                <w:color w:val="000000" w:themeColor="text1"/>
                <w:sz w:val="24"/>
                <w:szCs w:val="24"/>
                <w:highlight w:val="none"/>
                <w:lang w:val="en-US" w:eastAsia="zh-CN"/>
                <w14:textFill>
                  <w14:solidFill>
                    <w14:schemeClr w14:val="tx1"/>
                  </w14:solidFill>
                </w14:textFill>
              </w:rPr>
              <w:t>1.96</w:t>
            </w:r>
            <w:r>
              <w:rPr>
                <w:rFonts w:hint="eastAsia" w:ascii="Times New Roman" w:hAnsi="Times New Roman" w:eastAsia="宋体"/>
                <w:color w:val="000000" w:themeColor="text1"/>
                <w:sz w:val="24"/>
                <w:szCs w:val="24"/>
                <w:highlight w:val="none"/>
                <w:lang w:val="en-US"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2.33</w:t>
            </w:r>
            <w:r>
              <w:rPr>
                <w:rFonts w:hint="default" w:ascii="Times New Roman" w:hAnsi="Times New Roman" w:eastAsia="宋体"/>
                <w:color w:val="000000" w:themeColor="text1"/>
                <w:sz w:val="24"/>
                <w:szCs w:val="24"/>
                <w:highlight w:val="none"/>
                <w14:textFill>
                  <w14:solidFill>
                    <w14:schemeClr w14:val="tx1"/>
                  </w14:solidFill>
                </w14:textFill>
              </w:rPr>
              <w:t>mg/m</w:t>
            </w:r>
            <w:r>
              <w:rPr>
                <w:rFonts w:hint="default" w:ascii="Times New Roman" w:hAnsi="Times New Roman" w:eastAsia="宋体"/>
                <w:color w:val="000000" w:themeColor="text1"/>
                <w:sz w:val="24"/>
                <w:szCs w:val="24"/>
                <w:highlight w:val="none"/>
                <w:vertAlign w:val="superscript"/>
                <w14:textFill>
                  <w14:solidFill>
                    <w14:schemeClr w14:val="tx1"/>
                  </w14:solidFill>
                </w14:textFill>
              </w:rPr>
              <w:t>3</w:t>
            </w:r>
            <w:r>
              <w:rPr>
                <w:rFonts w:hint="eastAsia" w:ascii="Times New Roman" w:hAnsi="Times New Roman" w:eastAsia="宋体"/>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0.088</w:t>
            </w:r>
            <w:r>
              <w:rPr>
                <w:rFonts w:hint="eastAsia" w:ascii="Times New Roman" w:hAnsi="Times New Roman" w:eastAsia="宋体"/>
                <w:color w:val="000000" w:themeColor="text1"/>
                <w:sz w:val="24"/>
                <w:szCs w:val="24"/>
                <w:highlight w:val="none"/>
                <w:lang w:val="en-US"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0.103</w:t>
            </w:r>
            <w:r>
              <w:rPr>
                <w:rFonts w:hint="default" w:ascii="Times New Roman" w:hAnsi="Times New Roman" w:eastAsia="宋体"/>
                <w:color w:val="000000" w:themeColor="text1"/>
                <w:sz w:val="24"/>
                <w:szCs w:val="24"/>
                <w:highlight w:val="none"/>
                <w14:textFill>
                  <w14:solidFill>
                    <w14:schemeClr w14:val="tx1"/>
                  </w14:solidFill>
                </w14:textFill>
              </w:rPr>
              <w:t>kg/h</w:t>
            </w:r>
            <w:r>
              <w:rPr>
                <w:rFonts w:hint="eastAsia" w:ascii="Times New Roman" w:hAnsi="Times New Roman" w:eastAsia="宋体"/>
                <w:color w:val="000000" w:themeColor="text1"/>
                <w:sz w:val="24"/>
                <w:szCs w:val="24"/>
                <w:highlight w:val="none"/>
                <w:lang w:eastAsia="zh-CN"/>
                <w14:textFill>
                  <w14:solidFill>
                    <w14:schemeClr w14:val="tx1"/>
                  </w14:solidFill>
                </w14:textFill>
              </w:rPr>
              <w:t>，</w:t>
            </w:r>
            <w:r>
              <w:rPr>
                <w:rFonts w:hint="eastAsia" w:ascii="Times New Roman" w:hAnsi="Times New Roman" w:eastAsia="宋体"/>
                <w:color w:val="000000" w:themeColor="text1"/>
                <w:sz w:val="24"/>
                <w:szCs w:val="24"/>
                <w:highlight w:val="none"/>
                <w:lang w:val="en-US" w:eastAsia="zh-CN"/>
                <w14:textFill>
                  <w14:solidFill>
                    <w14:schemeClr w14:val="tx1"/>
                  </w14:solidFill>
                </w14:textFill>
              </w:rPr>
              <w:t>废气去除效率约9</w:t>
            </w:r>
            <w:r>
              <w:rPr>
                <w:rFonts w:hint="eastAsia"/>
                <w:color w:val="000000" w:themeColor="text1"/>
                <w:sz w:val="24"/>
                <w:szCs w:val="24"/>
                <w:highlight w:val="none"/>
                <w:lang w:val="en-US" w:eastAsia="zh-CN"/>
                <w14:textFill>
                  <w14:solidFill>
                    <w14:schemeClr w14:val="tx1"/>
                  </w14:solidFill>
                </w14:textFill>
              </w:rPr>
              <w:t>4.5</w:t>
            </w:r>
            <w:r>
              <w:rPr>
                <w:rFonts w:hint="eastAsia" w:ascii="Times New Roman" w:hAnsi="Times New Roman" w:eastAsia="宋体"/>
                <w:color w:val="000000" w:themeColor="text1"/>
                <w:sz w:val="24"/>
                <w:szCs w:val="24"/>
                <w:highlight w:val="none"/>
                <w:lang w:val="en-US" w:eastAsia="zh-CN"/>
                <w14:textFill>
                  <w14:solidFill>
                    <w14:schemeClr w14:val="tx1"/>
                  </w14:solidFill>
                </w14:textFill>
              </w:rPr>
              <w:t>%</w:t>
            </w:r>
            <w:r>
              <w:rPr>
                <w:rFonts w:hint="eastAsia"/>
                <w:color w:val="000000" w:themeColor="text1"/>
                <w:sz w:val="24"/>
                <w:szCs w:val="24"/>
                <w:highlight w:val="none"/>
                <w:lang w:eastAsia="zh-CN"/>
                <w14:textFill>
                  <w14:solidFill>
                    <w14:schemeClr w14:val="tx1"/>
                  </w14:solidFill>
                </w14:textFill>
              </w:rPr>
              <w:t>。</w:t>
            </w:r>
          </w:p>
          <w:p w14:paraId="46769EC0">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right="0" w:firstLine="480" w:firstLineChars="200"/>
              <w:jc w:val="both"/>
              <w:textAlignment w:val="auto"/>
              <w:rPr>
                <w:rFonts w:hint="eastAsia" w:ascii="Times New Roman" w:hAnsi="Times New Roman" w:eastAsia="宋体"/>
                <w:color w:val="000000"/>
                <w:sz w:val="24"/>
                <w:szCs w:val="24"/>
              </w:rPr>
            </w:pPr>
            <w:r>
              <w:rPr>
                <w:rFonts w:hint="eastAsia" w:ascii="Times New Roman" w:hAnsi="Times New Roman" w:eastAsia="宋体" w:cs="Times New Roman"/>
                <w:color w:val="000000"/>
                <w:sz w:val="24"/>
                <w:szCs w:val="24"/>
                <w:lang w:val="en-US" w:eastAsia="zh-CN"/>
              </w:rPr>
              <w:t>有组织非甲烷总烃</w:t>
            </w:r>
            <w:r>
              <w:rPr>
                <w:rFonts w:hint="eastAsia" w:ascii="Times New Roman" w:hAnsi="Times New Roman" w:eastAsia="宋体"/>
                <w:color w:val="000000"/>
                <w:sz w:val="24"/>
                <w:szCs w:val="24"/>
              </w:rPr>
              <w:t>排放满足</w:t>
            </w:r>
            <w:r>
              <w:rPr>
                <w:rFonts w:hint="eastAsia"/>
              </w:rPr>
              <w:t>《电池工业污染物排放标准》（GB30484-2013）中非甲烷总烃50mg/m</w:t>
            </w:r>
            <w:r>
              <w:rPr>
                <w:rFonts w:hint="eastAsia"/>
                <w:vertAlign w:val="superscript"/>
              </w:rPr>
              <w:t>3</w:t>
            </w:r>
            <w:r>
              <w:rPr>
                <w:rFonts w:hint="eastAsia"/>
              </w:rPr>
              <w:t>的要求</w:t>
            </w:r>
            <w:r>
              <w:rPr>
                <w:rFonts w:hint="eastAsia"/>
                <w:lang w:eastAsia="zh-CN"/>
              </w:rPr>
              <w:t>，</w:t>
            </w:r>
            <w:r>
              <w:rPr>
                <w:rFonts w:hint="eastAsia"/>
                <w:lang w:val="en-US" w:eastAsia="zh-CN"/>
              </w:rPr>
              <w:t>满足《河南省重污染天气重点行业应急减排措施制定技术指南》（2024年修订稿）电池制造企业绩效分级A级30</w:t>
            </w:r>
            <w:r>
              <w:rPr>
                <w:rFonts w:hint="eastAsia"/>
              </w:rPr>
              <w:t>mg/m</w:t>
            </w:r>
            <w:r>
              <w:rPr>
                <w:rFonts w:hint="eastAsia"/>
                <w:vertAlign w:val="superscript"/>
              </w:rPr>
              <w:t>3</w:t>
            </w:r>
            <w:r>
              <w:rPr>
                <w:rFonts w:hint="eastAsia"/>
              </w:rPr>
              <w:t>的要求</w:t>
            </w:r>
            <w:r>
              <w:rPr>
                <w:rFonts w:hint="eastAsia"/>
                <w:lang w:eastAsia="zh-CN"/>
              </w:rPr>
              <w:t>，</w:t>
            </w:r>
            <w:r>
              <w:rPr>
                <w:rFonts w:hint="eastAsia"/>
                <w:lang w:val="en-US" w:eastAsia="zh-CN"/>
              </w:rPr>
              <w:t>满足</w:t>
            </w:r>
            <w:r>
              <w:rPr>
                <w:rFonts w:hint="default"/>
                <w:color w:val="auto"/>
                <w:sz w:val="24"/>
                <w:szCs w:val="24"/>
              </w:rPr>
              <w:t>《大气污染物综合排放标准》（GB16297-1996）</w:t>
            </w:r>
            <w:r>
              <w:rPr>
                <w:rFonts w:hint="default"/>
                <w:sz w:val="24"/>
                <w:szCs w:val="24"/>
                <w:highlight w:val="none"/>
              </w:rPr>
              <w:t>排放</w:t>
            </w:r>
            <w:r>
              <w:rPr>
                <w:rFonts w:hint="default"/>
                <w:sz w:val="24"/>
                <w:szCs w:val="24"/>
              </w:rPr>
              <w:t>速率</w:t>
            </w:r>
            <w:r>
              <w:rPr>
                <w:rFonts w:hint="eastAsia"/>
                <w:sz w:val="24"/>
                <w:szCs w:val="24"/>
                <w:lang w:val="en-US" w:eastAsia="zh-CN"/>
              </w:rPr>
              <w:t>10</w:t>
            </w:r>
            <w:r>
              <w:rPr>
                <w:rFonts w:hint="default"/>
                <w:sz w:val="24"/>
                <w:szCs w:val="24"/>
              </w:rPr>
              <w:t>kg/h</w:t>
            </w:r>
            <w:r>
              <w:rPr>
                <w:rFonts w:hint="eastAsia"/>
                <w:sz w:val="24"/>
                <w:szCs w:val="24"/>
                <w:lang w:eastAsia="zh-CN"/>
              </w:rPr>
              <w:t>的</w:t>
            </w:r>
            <w:r>
              <w:rPr>
                <w:rFonts w:hint="eastAsia"/>
                <w:sz w:val="24"/>
                <w:szCs w:val="24"/>
                <w:lang w:val="en-US" w:eastAsia="zh-CN"/>
              </w:rPr>
              <w:t>要求，同时满足</w:t>
            </w:r>
            <w:r>
              <w:rPr>
                <w:rFonts w:hint="default" w:ascii="Times New Roman" w:hAnsi="Times New Roman" w:eastAsia="宋体" w:cs="Times New Roman"/>
                <w:b w:val="0"/>
                <w:bCs/>
                <w:kern w:val="2"/>
                <w:sz w:val="24"/>
                <w:szCs w:val="24"/>
                <w:lang w:val="en-US" w:eastAsia="zh-CN" w:bidi="ar-SA"/>
              </w:rPr>
              <w:t>《关于全省开展工业企业挥发性有机物专项治理工作中排放建议值的通知》（豫环攻坚办[2017]162号）</w:t>
            </w:r>
            <w:r>
              <w:rPr>
                <w:rFonts w:hint="eastAsia" w:ascii="Times New Roman" w:hAnsi="Times New Roman" w:eastAsia="宋体" w:cs="Times New Roman"/>
                <w:b w:val="0"/>
                <w:bCs/>
                <w:kern w:val="2"/>
                <w:sz w:val="24"/>
                <w:szCs w:val="24"/>
                <w:lang w:val="en-US" w:eastAsia="zh-CN" w:bidi="ar-SA"/>
              </w:rPr>
              <w:t>非甲烷总烃去除效率70%的限值要求</w:t>
            </w:r>
            <w:r>
              <w:rPr>
                <w:rFonts w:hint="eastAsia" w:ascii="Times New Roman" w:hAnsi="Times New Roman" w:eastAsia="宋体"/>
                <w:color w:val="000000"/>
                <w:sz w:val="24"/>
                <w:szCs w:val="24"/>
              </w:rPr>
              <w:t>。</w:t>
            </w:r>
          </w:p>
          <w:p w14:paraId="20EA1157">
            <w:pPr>
              <w:keepNext w:val="0"/>
              <w:keepLines w:val="0"/>
              <w:pageBreakBefore w:val="0"/>
              <w:numPr>
                <w:ilvl w:val="0"/>
                <w:numId w:val="0"/>
              </w:numPr>
              <w:suppressLineNumbers w:val="0"/>
              <w:kinsoku/>
              <w:wordWrap/>
              <w:overflowPunct/>
              <w:topLinePunct w:val="0"/>
              <w:autoSpaceDE/>
              <w:autoSpaceDN/>
              <w:bidi w:val="0"/>
              <w:spacing w:before="0" w:beforeAutospacing="0" w:after="0" w:afterAutospacing="0" w:line="440" w:lineRule="exact"/>
              <w:ind w:left="480" w:leftChars="200" w:right="0" w:rightChars="0"/>
              <w:jc w:val="both"/>
              <w:textAlignment w:val="auto"/>
              <w:rPr>
                <w:rFonts w:hint="eastAsia" w:ascii="Times New Roman" w:hAnsi="Times New Roman" w:eastAsia="宋体"/>
                <w:color w:val="000000"/>
                <w:sz w:val="24"/>
                <w:szCs w:val="24"/>
                <w:lang w:val="en-US" w:eastAsia="zh-CN"/>
              </w:rPr>
            </w:pPr>
            <w:r>
              <w:rPr>
                <w:rFonts w:hint="eastAsia"/>
                <w:color w:val="000000"/>
                <w:sz w:val="24"/>
                <w:szCs w:val="24"/>
                <w:lang w:val="en-US" w:eastAsia="zh-CN"/>
              </w:rPr>
              <w:t>2、</w:t>
            </w:r>
            <w:r>
              <w:rPr>
                <w:rFonts w:hint="eastAsia" w:ascii="Times New Roman" w:hAnsi="Times New Roman" w:eastAsia="宋体"/>
                <w:color w:val="000000"/>
                <w:sz w:val="24"/>
                <w:szCs w:val="24"/>
                <w:lang w:val="en-US" w:eastAsia="zh-CN"/>
              </w:rPr>
              <w:t>无组织废气</w:t>
            </w:r>
          </w:p>
          <w:p w14:paraId="48E2DBF5">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ascii="Times New Roman" w:hAnsi="Times New Roman" w:eastAsia="宋体" w:cs="Times New Roman"/>
                <w:b/>
                <w:bCs/>
                <w:color w:val="000000"/>
                <w:sz w:val="24"/>
                <w:u w:val="none"/>
                <w:lang w:val="en-US" w:eastAsia="zh-CN"/>
              </w:rPr>
            </w:pPr>
            <w:r>
              <w:rPr>
                <w:rFonts w:hint="default" w:ascii="Times New Roman" w:hAnsi="Times New Roman" w:cs="Times New Roman"/>
                <w:b w:val="0"/>
                <w:bCs w:val="0"/>
                <w:color w:val="000000"/>
                <w:sz w:val="24"/>
                <w:u w:val="none"/>
                <w:lang w:val="en-US" w:eastAsia="zh-CN"/>
              </w:rPr>
              <w:t>根据</w:t>
            </w:r>
            <w:r>
              <w:rPr>
                <w:rFonts w:hint="default" w:ascii="Times New Roman" w:hAnsi="Times New Roman" w:cs="Times New Roman"/>
                <w:bCs/>
                <w:color w:val="000000"/>
                <w:sz w:val="24"/>
                <w:lang w:val="en-US" w:eastAsia="zh-CN"/>
              </w:rPr>
              <w:t>2025年自行检测报告（报告编号：XCHC25</w:t>
            </w:r>
            <w:r>
              <w:rPr>
                <w:rFonts w:hint="eastAsia" w:ascii="Times New Roman" w:hAnsi="Times New Roman" w:cs="Times New Roman"/>
                <w:bCs/>
                <w:color w:val="000000"/>
                <w:sz w:val="24"/>
                <w:lang w:val="en-US" w:eastAsia="zh-CN"/>
              </w:rPr>
              <w:t>040237</w:t>
            </w:r>
            <w:r>
              <w:rPr>
                <w:rFonts w:hint="default" w:ascii="Times New Roman" w:hAnsi="Times New Roman" w:cs="Times New Roman"/>
                <w:bCs/>
                <w:color w:val="000000"/>
                <w:sz w:val="24"/>
                <w:lang w:val="en-US" w:eastAsia="zh-CN"/>
              </w:rPr>
              <w:t>），无组织废气检测结果见下表。</w:t>
            </w:r>
          </w:p>
          <w:p w14:paraId="6AD3E59B">
            <w:pPr>
              <w:pStyle w:val="56"/>
              <w:keepNext w:val="0"/>
              <w:keepLines w:val="0"/>
              <w:suppressLineNumbers w:val="0"/>
              <w:spacing w:before="0" w:beforeAutospacing="0" w:after="0" w:afterAutospacing="0" w:line="440" w:lineRule="exact"/>
              <w:ind w:left="0" w:right="0" w:firstLine="0"/>
              <w:jc w:val="center"/>
              <w:rPr>
                <w:rFonts w:hint="eastAsia" w:ascii="Times New Roman" w:hAnsi="Times New Roman" w:eastAsia="宋体"/>
                <w:color w:val="000000"/>
                <w:sz w:val="24"/>
                <w:szCs w:val="24"/>
                <w:lang w:val="en-US" w:eastAsia="zh-CN"/>
              </w:rPr>
            </w:pPr>
            <w:r>
              <w:rPr>
                <w:rFonts w:hint="default" w:ascii="Times New Roman" w:hAnsi="Times New Roman"/>
                <w:b/>
                <w:bCs/>
                <w:color w:val="000000"/>
                <w:sz w:val="24"/>
                <w:u w:val="none"/>
              </w:rPr>
              <w:t>表</w:t>
            </w:r>
            <w:r>
              <w:rPr>
                <w:rFonts w:hint="eastAsia" w:ascii="Times New Roman" w:hAnsi="Times New Roman"/>
                <w:b/>
                <w:bCs/>
                <w:color w:val="000000"/>
                <w:sz w:val="24"/>
                <w:u w:val="none"/>
                <w:lang w:val="en-US" w:eastAsia="zh-CN"/>
              </w:rPr>
              <w:t>18</w:t>
            </w:r>
            <w:r>
              <w:rPr>
                <w:rFonts w:hint="eastAsia" w:ascii="Times New Roman" w:hAnsi="Times New Roman"/>
                <w:b/>
                <w:bCs/>
                <w:color w:val="000000"/>
                <w:sz w:val="24"/>
                <w:u w:val="none"/>
              </w:rPr>
              <w:t xml:space="preserve">   </w:t>
            </w:r>
            <w:r>
              <w:rPr>
                <w:rFonts w:hint="eastAsia" w:ascii="Times New Roman" w:hAnsi="Times New Roman"/>
                <w:b/>
                <w:bCs/>
                <w:color w:val="000000"/>
                <w:sz w:val="24"/>
                <w:u w:val="none"/>
                <w:lang w:val="en-US" w:eastAsia="zh-CN"/>
              </w:rPr>
              <w:t>无组织废气排放</w:t>
            </w:r>
            <w:r>
              <w:rPr>
                <w:rFonts w:hint="eastAsia" w:ascii="Times New Roman" w:hAnsi="Times New Roman"/>
                <w:b/>
                <w:bCs/>
                <w:color w:val="000000"/>
                <w:sz w:val="24"/>
                <w:u w:val="none"/>
              </w:rPr>
              <w:t>情况</w:t>
            </w:r>
            <w:r>
              <w:rPr>
                <w:rFonts w:hint="default" w:ascii="Times New Roman" w:hAnsi="Times New Roman"/>
                <w:b/>
                <w:bCs/>
                <w:color w:val="000000"/>
                <w:sz w:val="24"/>
                <w:u w:val="none"/>
              </w:rPr>
              <w:t>一览表</w:t>
            </w:r>
          </w:p>
          <w:tbl>
            <w:tblPr>
              <w:tblStyle w:val="24"/>
              <w:tblW w:w="0" w:type="auto"/>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07"/>
              <w:gridCol w:w="1550"/>
              <w:gridCol w:w="1584"/>
              <w:gridCol w:w="2595"/>
              <w:gridCol w:w="1759"/>
            </w:tblGrid>
            <w:tr w14:paraId="49A96C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07" w:type="dxa"/>
                  <w:vMerge w:val="restart"/>
                  <w:tcBorders>
                    <w:top w:val="single" w:color="auto" w:sz="8" w:space="0"/>
                  </w:tcBorders>
                  <w:vAlign w:val="center"/>
                </w:tcPr>
                <w:p w14:paraId="30EFB166">
                  <w:pPr>
                    <w:keepNext w:val="0"/>
                    <w:keepLines w:val="0"/>
                    <w:pageBreakBefore w:val="0"/>
                    <w:numPr>
                      <w:ilvl w:val="0"/>
                      <w:numId w:val="0"/>
                    </w:numPr>
                    <w:suppressLineNumbers w:val="0"/>
                    <w:kinsoku/>
                    <w:wordWrap/>
                    <w:overflowPunct/>
                    <w:topLinePunct w:val="0"/>
                    <w:autoSpaceDE/>
                    <w:autoSpaceDN/>
                    <w:bidi w:val="0"/>
                    <w:spacing w:before="0" w:beforeAutospacing="0" w:after="0" w:afterAutospacing="0" w:line="440" w:lineRule="exact"/>
                    <w:ind w:left="0" w:right="0" w:rightChars="0"/>
                    <w:jc w:val="center"/>
                    <w:textAlignment w:val="auto"/>
                    <w:rPr>
                      <w:rFonts w:hint="default" w:ascii="Times New Roman" w:hAnsi="Times New Roman" w:eastAsia="宋体"/>
                      <w:b/>
                      <w:bCs/>
                      <w:color w:val="000000"/>
                      <w:sz w:val="21"/>
                      <w:szCs w:val="21"/>
                      <w:vertAlign w:val="baseline"/>
                      <w:lang w:val="en-US" w:eastAsia="zh-CN"/>
                    </w:rPr>
                  </w:pPr>
                  <w:r>
                    <w:rPr>
                      <w:rFonts w:hint="eastAsia" w:ascii="Times New Roman" w:hAnsi="Times New Roman" w:eastAsia="宋体"/>
                      <w:b/>
                      <w:bCs/>
                      <w:color w:val="000000"/>
                      <w:sz w:val="21"/>
                      <w:szCs w:val="21"/>
                      <w:vertAlign w:val="baseline"/>
                      <w:lang w:val="en-US" w:eastAsia="zh-CN"/>
                    </w:rPr>
                    <w:t>采样日期</w:t>
                  </w:r>
                </w:p>
              </w:tc>
              <w:tc>
                <w:tcPr>
                  <w:tcW w:w="1550" w:type="dxa"/>
                  <w:vMerge w:val="restart"/>
                  <w:tcBorders>
                    <w:top w:val="single" w:color="auto" w:sz="8" w:space="0"/>
                  </w:tcBorders>
                  <w:vAlign w:val="center"/>
                </w:tcPr>
                <w:p w14:paraId="073FF876">
                  <w:pPr>
                    <w:keepNext w:val="0"/>
                    <w:keepLines w:val="0"/>
                    <w:pageBreakBefore w:val="0"/>
                    <w:numPr>
                      <w:ilvl w:val="0"/>
                      <w:numId w:val="0"/>
                    </w:numPr>
                    <w:suppressLineNumbers w:val="0"/>
                    <w:kinsoku/>
                    <w:wordWrap/>
                    <w:overflowPunct/>
                    <w:topLinePunct w:val="0"/>
                    <w:autoSpaceDE/>
                    <w:autoSpaceDN/>
                    <w:bidi w:val="0"/>
                    <w:spacing w:before="0" w:beforeAutospacing="0" w:after="0" w:afterAutospacing="0" w:line="440" w:lineRule="exact"/>
                    <w:ind w:left="0" w:right="0" w:rightChars="0"/>
                    <w:jc w:val="center"/>
                    <w:textAlignment w:val="auto"/>
                    <w:rPr>
                      <w:rFonts w:hint="default" w:ascii="Times New Roman" w:hAnsi="Times New Roman" w:eastAsia="宋体"/>
                      <w:b/>
                      <w:bCs/>
                      <w:color w:val="000000"/>
                      <w:sz w:val="21"/>
                      <w:szCs w:val="21"/>
                      <w:vertAlign w:val="baseline"/>
                      <w:lang w:val="en-US" w:eastAsia="zh-CN"/>
                    </w:rPr>
                  </w:pPr>
                  <w:r>
                    <w:rPr>
                      <w:rFonts w:hint="eastAsia" w:ascii="Times New Roman" w:hAnsi="Times New Roman" w:eastAsia="宋体"/>
                      <w:b/>
                      <w:bCs/>
                      <w:color w:val="000000"/>
                      <w:sz w:val="21"/>
                      <w:szCs w:val="21"/>
                      <w:vertAlign w:val="baseline"/>
                      <w:lang w:val="en-US" w:eastAsia="zh-CN"/>
                    </w:rPr>
                    <w:t>检测点位</w:t>
                  </w:r>
                </w:p>
              </w:tc>
              <w:tc>
                <w:tcPr>
                  <w:tcW w:w="1584" w:type="dxa"/>
                  <w:vMerge w:val="restart"/>
                  <w:tcBorders>
                    <w:top w:val="single" w:color="auto" w:sz="8" w:space="0"/>
                  </w:tcBorders>
                  <w:vAlign w:val="center"/>
                </w:tcPr>
                <w:p w14:paraId="60D30E78">
                  <w:pPr>
                    <w:keepNext w:val="0"/>
                    <w:keepLines w:val="0"/>
                    <w:pageBreakBefore w:val="0"/>
                    <w:numPr>
                      <w:ilvl w:val="0"/>
                      <w:numId w:val="0"/>
                    </w:numPr>
                    <w:suppressLineNumbers w:val="0"/>
                    <w:kinsoku/>
                    <w:wordWrap/>
                    <w:overflowPunct/>
                    <w:topLinePunct w:val="0"/>
                    <w:autoSpaceDE/>
                    <w:autoSpaceDN/>
                    <w:bidi w:val="0"/>
                    <w:spacing w:before="0" w:beforeAutospacing="0" w:after="0" w:afterAutospacing="0" w:line="440" w:lineRule="exact"/>
                    <w:ind w:left="0" w:right="0" w:rightChars="0"/>
                    <w:jc w:val="center"/>
                    <w:textAlignment w:val="auto"/>
                    <w:rPr>
                      <w:rFonts w:hint="default" w:ascii="Times New Roman" w:hAnsi="Times New Roman" w:eastAsia="宋体"/>
                      <w:b/>
                      <w:bCs/>
                      <w:color w:val="000000"/>
                      <w:sz w:val="21"/>
                      <w:szCs w:val="21"/>
                      <w:vertAlign w:val="baseline"/>
                      <w:lang w:val="en-US" w:eastAsia="zh-CN"/>
                    </w:rPr>
                  </w:pPr>
                  <w:r>
                    <w:rPr>
                      <w:rFonts w:hint="eastAsia" w:ascii="Times New Roman" w:hAnsi="Times New Roman" w:eastAsia="宋体"/>
                      <w:b/>
                      <w:bCs/>
                      <w:color w:val="000000"/>
                      <w:sz w:val="21"/>
                      <w:szCs w:val="21"/>
                      <w:vertAlign w:val="baseline"/>
                      <w:lang w:val="en-US" w:eastAsia="zh-CN"/>
                    </w:rPr>
                    <w:t>检测频次</w:t>
                  </w:r>
                </w:p>
              </w:tc>
              <w:tc>
                <w:tcPr>
                  <w:tcW w:w="2595" w:type="dxa"/>
                  <w:tcBorders>
                    <w:top w:val="single" w:color="auto" w:sz="8" w:space="0"/>
                  </w:tcBorders>
                  <w:vAlign w:val="center"/>
                </w:tcPr>
                <w:p w14:paraId="59ECAF5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b/>
                      <w:bCs/>
                      <w:color w:val="000000"/>
                      <w:sz w:val="21"/>
                      <w:szCs w:val="21"/>
                      <w:vertAlign w:val="baseline"/>
                      <w:lang w:val="en-US" w:eastAsia="zh-CN"/>
                    </w:rPr>
                  </w:pPr>
                  <w:r>
                    <w:rPr>
                      <w:rFonts w:hint="eastAsia" w:ascii="Times New Roman" w:hAnsi="Times New Roman" w:eastAsia="宋体"/>
                      <w:b/>
                      <w:bCs/>
                      <w:color w:val="000000"/>
                      <w:sz w:val="21"/>
                      <w:szCs w:val="21"/>
                      <w:vertAlign w:val="baseline"/>
                      <w:lang w:val="en-US" w:eastAsia="zh-CN"/>
                    </w:rPr>
                    <w:t>颗粒物</w:t>
                  </w:r>
                </w:p>
              </w:tc>
              <w:tc>
                <w:tcPr>
                  <w:tcW w:w="1759" w:type="dxa"/>
                  <w:tcBorders>
                    <w:top w:val="single" w:color="auto" w:sz="8" w:space="0"/>
                  </w:tcBorders>
                  <w:vAlign w:val="center"/>
                </w:tcPr>
                <w:p w14:paraId="08C18BE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b/>
                      <w:bCs/>
                      <w:color w:val="000000"/>
                      <w:sz w:val="21"/>
                      <w:szCs w:val="21"/>
                      <w:vertAlign w:val="baseline"/>
                      <w:lang w:val="en-US" w:eastAsia="zh-CN"/>
                    </w:rPr>
                  </w:pPr>
                  <w:r>
                    <w:rPr>
                      <w:rFonts w:hint="eastAsia" w:ascii="Times New Roman" w:hAnsi="Times New Roman" w:eastAsia="宋体"/>
                      <w:b/>
                      <w:bCs/>
                      <w:color w:val="000000"/>
                      <w:sz w:val="21"/>
                      <w:szCs w:val="21"/>
                      <w:vertAlign w:val="baseline"/>
                      <w:lang w:val="en-US" w:eastAsia="zh-CN"/>
                    </w:rPr>
                    <w:t>非甲烷总烃</w:t>
                  </w:r>
                </w:p>
              </w:tc>
            </w:tr>
            <w:tr w14:paraId="4A1E09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07" w:type="dxa"/>
                  <w:vMerge w:val="continue"/>
                  <w:tcBorders>
                    <w:bottom w:val="single" w:color="auto" w:sz="8" w:space="0"/>
                  </w:tcBorders>
                  <w:vAlign w:val="center"/>
                </w:tcPr>
                <w:p w14:paraId="6B6F2AC3">
                  <w:pPr>
                    <w:keepNext w:val="0"/>
                    <w:keepLines w:val="0"/>
                    <w:pageBreakBefore w:val="0"/>
                    <w:numPr>
                      <w:ilvl w:val="0"/>
                      <w:numId w:val="0"/>
                    </w:numPr>
                    <w:suppressLineNumbers w:val="0"/>
                    <w:kinsoku/>
                    <w:wordWrap/>
                    <w:overflowPunct/>
                    <w:topLinePunct w:val="0"/>
                    <w:autoSpaceDE/>
                    <w:autoSpaceDN/>
                    <w:bidi w:val="0"/>
                    <w:spacing w:before="0" w:beforeAutospacing="0" w:after="0" w:afterAutospacing="0" w:line="440" w:lineRule="exact"/>
                    <w:ind w:left="0" w:right="0" w:rightChars="0"/>
                    <w:jc w:val="center"/>
                    <w:textAlignment w:val="auto"/>
                    <w:rPr>
                      <w:rFonts w:hint="default" w:ascii="Times New Roman" w:hAnsi="Times New Roman" w:eastAsia="宋体"/>
                      <w:b/>
                      <w:bCs/>
                      <w:color w:val="000000"/>
                      <w:sz w:val="21"/>
                      <w:szCs w:val="21"/>
                      <w:vertAlign w:val="baseline"/>
                      <w:lang w:val="en-US" w:eastAsia="zh-CN"/>
                    </w:rPr>
                  </w:pPr>
                </w:p>
              </w:tc>
              <w:tc>
                <w:tcPr>
                  <w:tcW w:w="1550" w:type="dxa"/>
                  <w:vMerge w:val="continue"/>
                  <w:tcBorders>
                    <w:bottom w:val="single" w:color="auto" w:sz="8" w:space="0"/>
                  </w:tcBorders>
                  <w:vAlign w:val="center"/>
                </w:tcPr>
                <w:p w14:paraId="72DA4FDD">
                  <w:pPr>
                    <w:keepNext w:val="0"/>
                    <w:keepLines w:val="0"/>
                    <w:pageBreakBefore w:val="0"/>
                    <w:numPr>
                      <w:ilvl w:val="0"/>
                      <w:numId w:val="0"/>
                    </w:numPr>
                    <w:suppressLineNumbers w:val="0"/>
                    <w:kinsoku/>
                    <w:wordWrap/>
                    <w:overflowPunct/>
                    <w:topLinePunct w:val="0"/>
                    <w:autoSpaceDE/>
                    <w:autoSpaceDN/>
                    <w:bidi w:val="0"/>
                    <w:spacing w:before="0" w:beforeAutospacing="0" w:after="0" w:afterAutospacing="0" w:line="440" w:lineRule="exact"/>
                    <w:ind w:left="0" w:right="0" w:rightChars="0"/>
                    <w:jc w:val="center"/>
                    <w:textAlignment w:val="auto"/>
                    <w:rPr>
                      <w:rFonts w:hint="default" w:ascii="Times New Roman" w:hAnsi="Times New Roman" w:eastAsia="宋体"/>
                      <w:b/>
                      <w:bCs/>
                      <w:color w:val="000000"/>
                      <w:sz w:val="21"/>
                      <w:szCs w:val="21"/>
                      <w:vertAlign w:val="baseline"/>
                      <w:lang w:val="en-US" w:eastAsia="zh-CN"/>
                    </w:rPr>
                  </w:pPr>
                </w:p>
              </w:tc>
              <w:tc>
                <w:tcPr>
                  <w:tcW w:w="1584" w:type="dxa"/>
                  <w:vMerge w:val="continue"/>
                  <w:tcBorders>
                    <w:bottom w:val="single" w:color="auto" w:sz="8" w:space="0"/>
                  </w:tcBorders>
                  <w:vAlign w:val="center"/>
                </w:tcPr>
                <w:p w14:paraId="2DCD6D45">
                  <w:pPr>
                    <w:keepNext w:val="0"/>
                    <w:keepLines w:val="0"/>
                    <w:pageBreakBefore w:val="0"/>
                    <w:numPr>
                      <w:ilvl w:val="0"/>
                      <w:numId w:val="0"/>
                    </w:numPr>
                    <w:suppressLineNumbers w:val="0"/>
                    <w:kinsoku/>
                    <w:wordWrap/>
                    <w:overflowPunct/>
                    <w:topLinePunct w:val="0"/>
                    <w:autoSpaceDE/>
                    <w:autoSpaceDN/>
                    <w:bidi w:val="0"/>
                    <w:spacing w:before="0" w:beforeAutospacing="0" w:after="0" w:afterAutospacing="0" w:line="440" w:lineRule="exact"/>
                    <w:ind w:left="0" w:right="0" w:rightChars="0"/>
                    <w:jc w:val="center"/>
                    <w:textAlignment w:val="auto"/>
                    <w:rPr>
                      <w:rFonts w:hint="default" w:ascii="Times New Roman" w:hAnsi="Times New Roman" w:eastAsia="宋体"/>
                      <w:b/>
                      <w:bCs/>
                      <w:color w:val="000000"/>
                      <w:sz w:val="21"/>
                      <w:szCs w:val="21"/>
                      <w:vertAlign w:val="baseline"/>
                      <w:lang w:val="en-US" w:eastAsia="zh-CN"/>
                    </w:rPr>
                  </w:pPr>
                </w:p>
              </w:tc>
              <w:tc>
                <w:tcPr>
                  <w:tcW w:w="2595" w:type="dxa"/>
                  <w:tcBorders>
                    <w:bottom w:val="single" w:color="auto" w:sz="8" w:space="0"/>
                  </w:tcBorders>
                  <w:vAlign w:val="center"/>
                </w:tcPr>
                <w:p w14:paraId="0DA3615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b/>
                      <w:bCs/>
                      <w:color w:val="000000"/>
                      <w:sz w:val="21"/>
                      <w:szCs w:val="21"/>
                      <w:vertAlign w:val="baseline"/>
                      <w:lang w:val="en-US" w:eastAsia="zh-CN"/>
                    </w:rPr>
                  </w:pPr>
                  <w:r>
                    <w:rPr>
                      <w:rFonts w:hint="eastAsia" w:ascii="Times New Roman" w:hAnsi="Times New Roman" w:eastAsia="宋体"/>
                      <w:b/>
                      <w:bCs/>
                      <w:color w:val="000000"/>
                      <w:sz w:val="21"/>
                      <w:szCs w:val="21"/>
                      <w:vertAlign w:val="baseline"/>
                      <w:lang w:val="en-US" w:eastAsia="zh-CN"/>
                    </w:rPr>
                    <w:t>浓度（mg/m</w:t>
                  </w:r>
                  <w:r>
                    <w:rPr>
                      <w:rFonts w:hint="eastAsia" w:ascii="Times New Roman" w:hAnsi="Times New Roman" w:eastAsia="宋体"/>
                      <w:b/>
                      <w:bCs/>
                      <w:color w:val="000000"/>
                      <w:sz w:val="21"/>
                      <w:szCs w:val="21"/>
                      <w:vertAlign w:val="superscript"/>
                      <w:lang w:val="en-US" w:eastAsia="zh-CN"/>
                    </w:rPr>
                    <w:t>3</w:t>
                  </w:r>
                  <w:r>
                    <w:rPr>
                      <w:rFonts w:hint="eastAsia" w:ascii="Times New Roman" w:hAnsi="Times New Roman" w:eastAsia="宋体"/>
                      <w:b/>
                      <w:bCs/>
                      <w:color w:val="000000"/>
                      <w:sz w:val="21"/>
                      <w:szCs w:val="21"/>
                      <w:vertAlign w:val="baseline"/>
                      <w:lang w:val="en-US" w:eastAsia="zh-CN"/>
                    </w:rPr>
                    <w:t>）</w:t>
                  </w:r>
                </w:p>
              </w:tc>
              <w:tc>
                <w:tcPr>
                  <w:tcW w:w="1759" w:type="dxa"/>
                  <w:tcBorders>
                    <w:bottom w:val="single" w:color="auto" w:sz="8" w:space="0"/>
                  </w:tcBorders>
                  <w:shd w:val="clear" w:color="auto" w:fill="auto"/>
                  <w:vAlign w:val="center"/>
                </w:tcPr>
                <w:p w14:paraId="0A3D9A2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000000"/>
                      <w:kern w:val="2"/>
                      <w:sz w:val="21"/>
                      <w:szCs w:val="21"/>
                      <w:vertAlign w:val="baseline"/>
                      <w:lang w:val="en-US" w:eastAsia="zh-CN" w:bidi="ar-SA"/>
                    </w:rPr>
                  </w:pPr>
                  <w:r>
                    <w:rPr>
                      <w:rFonts w:hint="eastAsia" w:ascii="Times New Roman" w:hAnsi="Times New Roman" w:eastAsia="宋体"/>
                      <w:b/>
                      <w:bCs/>
                      <w:color w:val="000000"/>
                      <w:sz w:val="21"/>
                      <w:szCs w:val="21"/>
                      <w:vertAlign w:val="baseline"/>
                      <w:lang w:val="en-US" w:eastAsia="zh-CN"/>
                    </w:rPr>
                    <w:t>浓度（mg/m</w:t>
                  </w:r>
                  <w:r>
                    <w:rPr>
                      <w:rFonts w:hint="eastAsia" w:ascii="Times New Roman" w:hAnsi="Times New Roman" w:eastAsia="宋体"/>
                      <w:b/>
                      <w:bCs/>
                      <w:color w:val="000000"/>
                      <w:sz w:val="21"/>
                      <w:szCs w:val="21"/>
                      <w:vertAlign w:val="superscript"/>
                      <w:lang w:val="en-US" w:eastAsia="zh-CN"/>
                    </w:rPr>
                    <w:t>3</w:t>
                  </w:r>
                  <w:r>
                    <w:rPr>
                      <w:rFonts w:hint="eastAsia" w:ascii="Times New Roman" w:hAnsi="Times New Roman" w:eastAsia="宋体"/>
                      <w:b/>
                      <w:bCs/>
                      <w:color w:val="000000"/>
                      <w:sz w:val="21"/>
                      <w:szCs w:val="21"/>
                      <w:vertAlign w:val="baseline"/>
                      <w:lang w:val="en-US" w:eastAsia="zh-CN"/>
                    </w:rPr>
                    <w:t>）</w:t>
                  </w:r>
                </w:p>
              </w:tc>
            </w:tr>
            <w:tr w14:paraId="53A40E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07" w:type="dxa"/>
                  <w:vMerge w:val="restart"/>
                  <w:tcBorders>
                    <w:top w:val="single" w:color="auto" w:sz="8" w:space="0"/>
                  </w:tcBorders>
                  <w:vAlign w:val="center"/>
                </w:tcPr>
                <w:p w14:paraId="72C0761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ascii="Times New Roman" w:hAnsi="Times New Roman" w:eastAsia="宋体"/>
                      <w:color w:val="000000"/>
                      <w:sz w:val="21"/>
                      <w:szCs w:val="21"/>
                      <w:vertAlign w:val="baseline"/>
                      <w:lang w:val="en-US" w:eastAsia="zh-CN"/>
                    </w:rPr>
                    <w:t>2025.10.14</w:t>
                  </w:r>
                </w:p>
              </w:tc>
              <w:tc>
                <w:tcPr>
                  <w:tcW w:w="1550" w:type="dxa"/>
                  <w:vMerge w:val="restart"/>
                  <w:tcBorders>
                    <w:top w:val="single" w:color="auto" w:sz="8" w:space="0"/>
                  </w:tcBorders>
                  <w:vAlign w:val="center"/>
                </w:tcPr>
                <w:p w14:paraId="48C59B4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ascii="Times New Roman" w:hAnsi="Times New Roman" w:eastAsia="宋体"/>
                      <w:color w:val="000000"/>
                      <w:sz w:val="21"/>
                      <w:szCs w:val="21"/>
                      <w:vertAlign w:val="baseline"/>
                      <w:lang w:val="en-US" w:eastAsia="zh-CN"/>
                    </w:rPr>
                    <w:t>上风向参照点1#</w:t>
                  </w:r>
                </w:p>
              </w:tc>
              <w:tc>
                <w:tcPr>
                  <w:tcW w:w="1584" w:type="dxa"/>
                  <w:tcBorders>
                    <w:top w:val="single" w:color="auto" w:sz="8" w:space="0"/>
                  </w:tcBorders>
                  <w:vAlign w:val="center"/>
                </w:tcPr>
                <w:p w14:paraId="108C413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ascii="Times New Roman" w:hAnsi="Times New Roman" w:eastAsia="宋体"/>
                      <w:color w:val="000000"/>
                      <w:sz w:val="21"/>
                      <w:szCs w:val="21"/>
                      <w:vertAlign w:val="baseline"/>
                      <w:lang w:val="en-US" w:eastAsia="zh-CN"/>
                    </w:rPr>
                    <w:t>第1次</w:t>
                  </w:r>
                </w:p>
              </w:tc>
              <w:tc>
                <w:tcPr>
                  <w:tcW w:w="2595" w:type="dxa"/>
                  <w:tcBorders>
                    <w:top w:val="single" w:color="auto" w:sz="8" w:space="0"/>
                  </w:tcBorders>
                  <w:vAlign w:val="center"/>
                </w:tcPr>
                <w:p w14:paraId="5AF341B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color w:val="000000"/>
                      <w:sz w:val="21"/>
                      <w:szCs w:val="21"/>
                      <w:vertAlign w:val="baseline"/>
                      <w:lang w:val="en-US" w:eastAsia="zh-CN"/>
                    </w:rPr>
                    <w:t>0.205</w:t>
                  </w:r>
                </w:p>
              </w:tc>
              <w:tc>
                <w:tcPr>
                  <w:tcW w:w="1759" w:type="dxa"/>
                  <w:tcBorders>
                    <w:top w:val="single" w:color="auto" w:sz="8" w:space="0"/>
                  </w:tcBorders>
                  <w:vAlign w:val="center"/>
                </w:tcPr>
                <w:p w14:paraId="7DAC54F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color w:val="000000"/>
                      <w:sz w:val="21"/>
                      <w:szCs w:val="21"/>
                      <w:vertAlign w:val="baseline"/>
                      <w:lang w:val="en-US" w:eastAsia="zh-CN"/>
                    </w:rPr>
                    <w:t>1.06</w:t>
                  </w:r>
                </w:p>
              </w:tc>
            </w:tr>
            <w:tr w14:paraId="2D3BD1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07" w:type="dxa"/>
                  <w:vMerge w:val="continue"/>
                  <w:vAlign w:val="center"/>
                </w:tcPr>
                <w:p w14:paraId="7CF9177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p>
              </w:tc>
              <w:tc>
                <w:tcPr>
                  <w:tcW w:w="1550" w:type="dxa"/>
                  <w:vMerge w:val="continue"/>
                  <w:vAlign w:val="center"/>
                </w:tcPr>
                <w:p w14:paraId="5238DEC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p>
              </w:tc>
              <w:tc>
                <w:tcPr>
                  <w:tcW w:w="1584" w:type="dxa"/>
                  <w:vAlign w:val="center"/>
                </w:tcPr>
                <w:p w14:paraId="538C096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ascii="Times New Roman" w:hAnsi="Times New Roman" w:eastAsia="宋体"/>
                      <w:color w:val="000000"/>
                      <w:sz w:val="21"/>
                      <w:szCs w:val="21"/>
                      <w:vertAlign w:val="baseline"/>
                      <w:lang w:val="en-US" w:eastAsia="zh-CN"/>
                    </w:rPr>
                    <w:t>第2次</w:t>
                  </w:r>
                </w:p>
              </w:tc>
              <w:tc>
                <w:tcPr>
                  <w:tcW w:w="2595" w:type="dxa"/>
                  <w:vAlign w:val="center"/>
                </w:tcPr>
                <w:p w14:paraId="0682270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color w:val="000000"/>
                      <w:sz w:val="21"/>
                      <w:szCs w:val="21"/>
                      <w:vertAlign w:val="baseline"/>
                      <w:lang w:val="en-US" w:eastAsia="zh-CN"/>
                    </w:rPr>
                    <w:t>0.213</w:t>
                  </w:r>
                </w:p>
              </w:tc>
              <w:tc>
                <w:tcPr>
                  <w:tcW w:w="1759" w:type="dxa"/>
                  <w:vAlign w:val="center"/>
                </w:tcPr>
                <w:p w14:paraId="0A32E06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color w:val="000000"/>
                      <w:sz w:val="21"/>
                      <w:szCs w:val="21"/>
                      <w:vertAlign w:val="baseline"/>
                      <w:lang w:val="en-US" w:eastAsia="zh-CN"/>
                    </w:rPr>
                    <w:t>1.00</w:t>
                  </w:r>
                </w:p>
              </w:tc>
            </w:tr>
            <w:tr w14:paraId="1B9E458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07" w:type="dxa"/>
                  <w:vMerge w:val="continue"/>
                  <w:vAlign w:val="center"/>
                </w:tcPr>
                <w:p w14:paraId="76311CB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p>
              </w:tc>
              <w:tc>
                <w:tcPr>
                  <w:tcW w:w="1550" w:type="dxa"/>
                  <w:vMerge w:val="continue"/>
                  <w:vAlign w:val="center"/>
                </w:tcPr>
                <w:p w14:paraId="39CB192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p>
              </w:tc>
              <w:tc>
                <w:tcPr>
                  <w:tcW w:w="1584" w:type="dxa"/>
                  <w:vAlign w:val="center"/>
                </w:tcPr>
                <w:p w14:paraId="695D81C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ascii="Times New Roman" w:hAnsi="Times New Roman" w:eastAsia="宋体"/>
                      <w:color w:val="000000"/>
                      <w:sz w:val="21"/>
                      <w:szCs w:val="21"/>
                      <w:vertAlign w:val="baseline"/>
                      <w:lang w:val="en-US" w:eastAsia="zh-CN"/>
                    </w:rPr>
                    <w:t>第3次</w:t>
                  </w:r>
                </w:p>
              </w:tc>
              <w:tc>
                <w:tcPr>
                  <w:tcW w:w="2595" w:type="dxa"/>
                  <w:vAlign w:val="center"/>
                </w:tcPr>
                <w:p w14:paraId="6F71B26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color w:val="000000"/>
                      <w:sz w:val="21"/>
                      <w:szCs w:val="21"/>
                      <w:vertAlign w:val="baseline"/>
                      <w:lang w:val="en-US" w:eastAsia="zh-CN"/>
                    </w:rPr>
                    <w:t>0.214</w:t>
                  </w:r>
                </w:p>
              </w:tc>
              <w:tc>
                <w:tcPr>
                  <w:tcW w:w="1759" w:type="dxa"/>
                  <w:vAlign w:val="center"/>
                </w:tcPr>
                <w:p w14:paraId="2F8B6A2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color w:val="000000"/>
                      <w:sz w:val="21"/>
                      <w:szCs w:val="21"/>
                      <w:vertAlign w:val="baseline"/>
                      <w:lang w:val="en-US" w:eastAsia="zh-CN"/>
                    </w:rPr>
                    <w:t>1.02</w:t>
                  </w:r>
                </w:p>
              </w:tc>
            </w:tr>
            <w:tr w14:paraId="50A722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07" w:type="dxa"/>
                  <w:vMerge w:val="continue"/>
                  <w:vAlign w:val="center"/>
                </w:tcPr>
                <w:p w14:paraId="50CDC1E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p>
              </w:tc>
              <w:tc>
                <w:tcPr>
                  <w:tcW w:w="1550" w:type="dxa"/>
                  <w:vMerge w:val="continue"/>
                  <w:vAlign w:val="center"/>
                </w:tcPr>
                <w:p w14:paraId="6A02179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p>
              </w:tc>
              <w:tc>
                <w:tcPr>
                  <w:tcW w:w="1584" w:type="dxa"/>
                  <w:vAlign w:val="center"/>
                </w:tcPr>
                <w:p w14:paraId="5510321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ascii="Times New Roman" w:hAnsi="Times New Roman" w:eastAsia="宋体"/>
                      <w:color w:val="000000"/>
                      <w:sz w:val="21"/>
                      <w:szCs w:val="21"/>
                      <w:vertAlign w:val="baseline"/>
                      <w:lang w:val="en-US" w:eastAsia="zh-CN"/>
                    </w:rPr>
                    <w:t>第4次</w:t>
                  </w:r>
                </w:p>
              </w:tc>
              <w:tc>
                <w:tcPr>
                  <w:tcW w:w="2595" w:type="dxa"/>
                  <w:vAlign w:val="center"/>
                </w:tcPr>
                <w:p w14:paraId="73E8345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color w:val="000000"/>
                      <w:sz w:val="21"/>
                      <w:szCs w:val="21"/>
                      <w:vertAlign w:val="baseline"/>
                      <w:lang w:val="en-US" w:eastAsia="zh-CN"/>
                    </w:rPr>
                    <w:t>0.207</w:t>
                  </w:r>
                </w:p>
              </w:tc>
              <w:tc>
                <w:tcPr>
                  <w:tcW w:w="1759" w:type="dxa"/>
                  <w:vAlign w:val="center"/>
                </w:tcPr>
                <w:p w14:paraId="6D9EDF8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color w:val="000000"/>
                      <w:sz w:val="21"/>
                      <w:szCs w:val="21"/>
                      <w:vertAlign w:val="baseline"/>
                      <w:lang w:val="en-US" w:eastAsia="zh-CN"/>
                    </w:rPr>
                    <w:t>0.99</w:t>
                  </w:r>
                </w:p>
              </w:tc>
            </w:tr>
            <w:tr w14:paraId="31AE7D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07" w:type="dxa"/>
                  <w:vMerge w:val="continue"/>
                  <w:vAlign w:val="center"/>
                </w:tcPr>
                <w:p w14:paraId="13CA1D4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p>
              </w:tc>
              <w:tc>
                <w:tcPr>
                  <w:tcW w:w="1550" w:type="dxa"/>
                  <w:vMerge w:val="restart"/>
                  <w:vAlign w:val="center"/>
                </w:tcPr>
                <w:p w14:paraId="2E650C4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ascii="Times New Roman" w:hAnsi="Times New Roman" w:eastAsia="宋体"/>
                      <w:color w:val="000000"/>
                      <w:sz w:val="21"/>
                      <w:szCs w:val="21"/>
                      <w:vertAlign w:val="baseline"/>
                      <w:lang w:val="en-US" w:eastAsia="zh-CN"/>
                    </w:rPr>
                    <w:t>下风向监控点2#</w:t>
                  </w:r>
                </w:p>
              </w:tc>
              <w:tc>
                <w:tcPr>
                  <w:tcW w:w="1584" w:type="dxa"/>
                  <w:vAlign w:val="center"/>
                </w:tcPr>
                <w:p w14:paraId="4004AF8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olor w:val="000000"/>
                      <w:sz w:val="21"/>
                      <w:szCs w:val="21"/>
                      <w:vertAlign w:val="baseline"/>
                      <w:lang w:val="en-US" w:eastAsia="zh-CN"/>
                    </w:rPr>
                  </w:pPr>
                  <w:r>
                    <w:rPr>
                      <w:rFonts w:hint="eastAsia" w:ascii="Times New Roman" w:hAnsi="Times New Roman" w:eastAsia="宋体"/>
                      <w:color w:val="000000"/>
                      <w:sz w:val="21"/>
                      <w:szCs w:val="21"/>
                      <w:vertAlign w:val="baseline"/>
                      <w:lang w:val="en-US" w:eastAsia="zh-CN"/>
                    </w:rPr>
                    <w:t>第1次</w:t>
                  </w:r>
                </w:p>
              </w:tc>
              <w:tc>
                <w:tcPr>
                  <w:tcW w:w="2595" w:type="dxa"/>
                  <w:vAlign w:val="center"/>
                </w:tcPr>
                <w:p w14:paraId="6BD8615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color w:val="000000"/>
                      <w:sz w:val="21"/>
                      <w:szCs w:val="21"/>
                      <w:vertAlign w:val="baseline"/>
                      <w:lang w:val="en-US" w:eastAsia="zh-CN"/>
                    </w:rPr>
                    <w:t>0.282</w:t>
                  </w:r>
                </w:p>
              </w:tc>
              <w:tc>
                <w:tcPr>
                  <w:tcW w:w="1759" w:type="dxa"/>
                  <w:vAlign w:val="center"/>
                </w:tcPr>
                <w:p w14:paraId="32E3982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color w:val="000000"/>
                      <w:sz w:val="21"/>
                      <w:szCs w:val="21"/>
                      <w:vertAlign w:val="baseline"/>
                      <w:lang w:val="en-US" w:eastAsia="zh-CN"/>
                    </w:rPr>
                    <w:t>1.66</w:t>
                  </w:r>
                </w:p>
              </w:tc>
            </w:tr>
            <w:tr w14:paraId="22A624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07" w:type="dxa"/>
                  <w:vMerge w:val="continue"/>
                  <w:vAlign w:val="center"/>
                </w:tcPr>
                <w:p w14:paraId="22FDA9B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p>
              </w:tc>
              <w:tc>
                <w:tcPr>
                  <w:tcW w:w="1550" w:type="dxa"/>
                  <w:vMerge w:val="continue"/>
                  <w:vAlign w:val="center"/>
                </w:tcPr>
                <w:p w14:paraId="4DB2186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p>
              </w:tc>
              <w:tc>
                <w:tcPr>
                  <w:tcW w:w="1584" w:type="dxa"/>
                  <w:vAlign w:val="center"/>
                </w:tcPr>
                <w:p w14:paraId="77F5304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olor w:val="000000"/>
                      <w:sz w:val="21"/>
                      <w:szCs w:val="21"/>
                      <w:vertAlign w:val="baseline"/>
                      <w:lang w:val="en-US" w:eastAsia="zh-CN"/>
                    </w:rPr>
                  </w:pPr>
                  <w:r>
                    <w:rPr>
                      <w:rFonts w:hint="eastAsia" w:ascii="Times New Roman" w:hAnsi="Times New Roman" w:eastAsia="宋体"/>
                      <w:color w:val="000000"/>
                      <w:sz w:val="21"/>
                      <w:szCs w:val="21"/>
                      <w:vertAlign w:val="baseline"/>
                      <w:lang w:val="en-US" w:eastAsia="zh-CN"/>
                    </w:rPr>
                    <w:t>第2次</w:t>
                  </w:r>
                </w:p>
              </w:tc>
              <w:tc>
                <w:tcPr>
                  <w:tcW w:w="2595" w:type="dxa"/>
                  <w:vAlign w:val="center"/>
                </w:tcPr>
                <w:p w14:paraId="7C39068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color w:val="000000"/>
                      <w:sz w:val="21"/>
                      <w:szCs w:val="21"/>
                      <w:vertAlign w:val="baseline"/>
                      <w:lang w:val="en-US" w:eastAsia="zh-CN"/>
                    </w:rPr>
                    <w:t>0.270</w:t>
                  </w:r>
                </w:p>
              </w:tc>
              <w:tc>
                <w:tcPr>
                  <w:tcW w:w="1759" w:type="dxa"/>
                  <w:vAlign w:val="center"/>
                </w:tcPr>
                <w:p w14:paraId="09A3009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color w:val="000000"/>
                      <w:sz w:val="21"/>
                      <w:szCs w:val="21"/>
                      <w:vertAlign w:val="baseline"/>
                      <w:lang w:val="en-US" w:eastAsia="zh-CN"/>
                    </w:rPr>
                    <w:t>1.62</w:t>
                  </w:r>
                </w:p>
              </w:tc>
            </w:tr>
            <w:tr w14:paraId="41219A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07" w:type="dxa"/>
                  <w:vMerge w:val="continue"/>
                  <w:vAlign w:val="center"/>
                </w:tcPr>
                <w:p w14:paraId="1C3A5B0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p>
              </w:tc>
              <w:tc>
                <w:tcPr>
                  <w:tcW w:w="1550" w:type="dxa"/>
                  <w:vMerge w:val="continue"/>
                  <w:vAlign w:val="center"/>
                </w:tcPr>
                <w:p w14:paraId="681EECC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p>
              </w:tc>
              <w:tc>
                <w:tcPr>
                  <w:tcW w:w="1584" w:type="dxa"/>
                  <w:vAlign w:val="center"/>
                </w:tcPr>
                <w:p w14:paraId="3938371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olor w:val="000000"/>
                      <w:sz w:val="21"/>
                      <w:szCs w:val="21"/>
                      <w:vertAlign w:val="baseline"/>
                      <w:lang w:val="en-US" w:eastAsia="zh-CN"/>
                    </w:rPr>
                  </w:pPr>
                  <w:r>
                    <w:rPr>
                      <w:rFonts w:hint="eastAsia" w:ascii="Times New Roman" w:hAnsi="Times New Roman" w:eastAsia="宋体"/>
                      <w:color w:val="000000"/>
                      <w:sz w:val="21"/>
                      <w:szCs w:val="21"/>
                      <w:vertAlign w:val="baseline"/>
                      <w:lang w:val="en-US" w:eastAsia="zh-CN"/>
                    </w:rPr>
                    <w:t>第3次</w:t>
                  </w:r>
                </w:p>
              </w:tc>
              <w:tc>
                <w:tcPr>
                  <w:tcW w:w="2595" w:type="dxa"/>
                  <w:vAlign w:val="center"/>
                </w:tcPr>
                <w:p w14:paraId="4FB8B68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color w:val="000000"/>
                      <w:sz w:val="21"/>
                      <w:szCs w:val="21"/>
                      <w:vertAlign w:val="baseline"/>
                      <w:lang w:val="en-US" w:eastAsia="zh-CN"/>
                    </w:rPr>
                    <w:t>0.273</w:t>
                  </w:r>
                </w:p>
              </w:tc>
              <w:tc>
                <w:tcPr>
                  <w:tcW w:w="1759" w:type="dxa"/>
                  <w:vAlign w:val="center"/>
                </w:tcPr>
                <w:p w14:paraId="4ABE3A5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color w:val="000000"/>
                      <w:sz w:val="21"/>
                      <w:szCs w:val="21"/>
                      <w:vertAlign w:val="baseline"/>
                      <w:lang w:val="en-US" w:eastAsia="zh-CN"/>
                    </w:rPr>
                    <w:t>1.64</w:t>
                  </w:r>
                </w:p>
              </w:tc>
            </w:tr>
            <w:tr w14:paraId="3A5669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07" w:type="dxa"/>
                  <w:vMerge w:val="continue"/>
                  <w:vAlign w:val="center"/>
                </w:tcPr>
                <w:p w14:paraId="16CD675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p>
              </w:tc>
              <w:tc>
                <w:tcPr>
                  <w:tcW w:w="1550" w:type="dxa"/>
                  <w:vMerge w:val="continue"/>
                  <w:vAlign w:val="center"/>
                </w:tcPr>
                <w:p w14:paraId="5BACDA3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p>
              </w:tc>
              <w:tc>
                <w:tcPr>
                  <w:tcW w:w="1584" w:type="dxa"/>
                  <w:vAlign w:val="center"/>
                </w:tcPr>
                <w:p w14:paraId="0DE4422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olor w:val="000000"/>
                      <w:sz w:val="21"/>
                      <w:szCs w:val="21"/>
                      <w:vertAlign w:val="baseline"/>
                      <w:lang w:val="en-US" w:eastAsia="zh-CN"/>
                    </w:rPr>
                  </w:pPr>
                  <w:r>
                    <w:rPr>
                      <w:rFonts w:hint="eastAsia" w:ascii="Times New Roman" w:hAnsi="Times New Roman" w:eastAsia="宋体"/>
                      <w:color w:val="000000"/>
                      <w:sz w:val="21"/>
                      <w:szCs w:val="21"/>
                      <w:vertAlign w:val="baseline"/>
                      <w:lang w:val="en-US" w:eastAsia="zh-CN"/>
                    </w:rPr>
                    <w:t>第4次</w:t>
                  </w:r>
                </w:p>
              </w:tc>
              <w:tc>
                <w:tcPr>
                  <w:tcW w:w="2595" w:type="dxa"/>
                  <w:vAlign w:val="center"/>
                </w:tcPr>
                <w:p w14:paraId="5A55394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color w:val="000000"/>
                      <w:sz w:val="21"/>
                      <w:szCs w:val="21"/>
                      <w:vertAlign w:val="baseline"/>
                      <w:lang w:val="en-US" w:eastAsia="zh-CN"/>
                    </w:rPr>
                    <w:t>0.265</w:t>
                  </w:r>
                </w:p>
              </w:tc>
              <w:tc>
                <w:tcPr>
                  <w:tcW w:w="1759" w:type="dxa"/>
                  <w:vAlign w:val="center"/>
                </w:tcPr>
                <w:p w14:paraId="73DFBB5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color w:val="000000"/>
                      <w:sz w:val="21"/>
                      <w:szCs w:val="21"/>
                      <w:vertAlign w:val="baseline"/>
                      <w:lang w:val="en-US" w:eastAsia="zh-CN"/>
                    </w:rPr>
                    <w:t>1.68</w:t>
                  </w:r>
                </w:p>
              </w:tc>
            </w:tr>
            <w:tr w14:paraId="1A225E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07" w:type="dxa"/>
                  <w:vMerge w:val="continue"/>
                  <w:vAlign w:val="center"/>
                </w:tcPr>
                <w:p w14:paraId="58B479C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p>
              </w:tc>
              <w:tc>
                <w:tcPr>
                  <w:tcW w:w="1550" w:type="dxa"/>
                  <w:vMerge w:val="restart"/>
                  <w:vAlign w:val="center"/>
                </w:tcPr>
                <w:p w14:paraId="34F0C8B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ascii="Times New Roman" w:hAnsi="Times New Roman" w:eastAsia="宋体"/>
                      <w:color w:val="000000"/>
                      <w:sz w:val="21"/>
                      <w:szCs w:val="21"/>
                      <w:vertAlign w:val="baseline"/>
                      <w:lang w:val="en-US" w:eastAsia="zh-CN"/>
                    </w:rPr>
                    <w:t>下风向监控点3#</w:t>
                  </w:r>
                </w:p>
              </w:tc>
              <w:tc>
                <w:tcPr>
                  <w:tcW w:w="1584" w:type="dxa"/>
                  <w:vAlign w:val="center"/>
                </w:tcPr>
                <w:p w14:paraId="6CA14BD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olor w:val="000000"/>
                      <w:sz w:val="21"/>
                      <w:szCs w:val="21"/>
                      <w:vertAlign w:val="baseline"/>
                      <w:lang w:val="en-US" w:eastAsia="zh-CN"/>
                    </w:rPr>
                  </w:pPr>
                  <w:r>
                    <w:rPr>
                      <w:rFonts w:hint="eastAsia" w:ascii="Times New Roman" w:hAnsi="Times New Roman" w:eastAsia="宋体"/>
                      <w:color w:val="000000"/>
                      <w:sz w:val="21"/>
                      <w:szCs w:val="21"/>
                      <w:vertAlign w:val="baseline"/>
                      <w:lang w:val="en-US" w:eastAsia="zh-CN"/>
                    </w:rPr>
                    <w:t>第1次</w:t>
                  </w:r>
                </w:p>
              </w:tc>
              <w:tc>
                <w:tcPr>
                  <w:tcW w:w="2595" w:type="dxa"/>
                  <w:vAlign w:val="center"/>
                </w:tcPr>
                <w:p w14:paraId="228233D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color w:val="000000"/>
                      <w:sz w:val="21"/>
                      <w:szCs w:val="21"/>
                      <w:vertAlign w:val="baseline"/>
                      <w:lang w:val="en-US" w:eastAsia="zh-CN"/>
                    </w:rPr>
                    <w:t>0.285</w:t>
                  </w:r>
                </w:p>
              </w:tc>
              <w:tc>
                <w:tcPr>
                  <w:tcW w:w="1759" w:type="dxa"/>
                  <w:vAlign w:val="center"/>
                </w:tcPr>
                <w:p w14:paraId="1BA8618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color w:val="000000"/>
                      <w:sz w:val="21"/>
                      <w:szCs w:val="21"/>
                      <w:vertAlign w:val="baseline"/>
                      <w:lang w:val="en-US" w:eastAsia="zh-CN"/>
                    </w:rPr>
                    <w:t>1.59</w:t>
                  </w:r>
                </w:p>
              </w:tc>
            </w:tr>
            <w:tr w14:paraId="74B53F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07" w:type="dxa"/>
                  <w:vMerge w:val="continue"/>
                  <w:vAlign w:val="center"/>
                </w:tcPr>
                <w:p w14:paraId="6B51373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p>
              </w:tc>
              <w:tc>
                <w:tcPr>
                  <w:tcW w:w="1550" w:type="dxa"/>
                  <w:vMerge w:val="continue"/>
                  <w:vAlign w:val="center"/>
                </w:tcPr>
                <w:p w14:paraId="4B8E33D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p>
              </w:tc>
              <w:tc>
                <w:tcPr>
                  <w:tcW w:w="1584" w:type="dxa"/>
                  <w:vAlign w:val="center"/>
                </w:tcPr>
                <w:p w14:paraId="7361D52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olor w:val="000000"/>
                      <w:sz w:val="21"/>
                      <w:szCs w:val="21"/>
                      <w:vertAlign w:val="baseline"/>
                      <w:lang w:val="en-US" w:eastAsia="zh-CN"/>
                    </w:rPr>
                  </w:pPr>
                  <w:r>
                    <w:rPr>
                      <w:rFonts w:hint="eastAsia" w:ascii="Times New Roman" w:hAnsi="Times New Roman" w:eastAsia="宋体"/>
                      <w:color w:val="000000"/>
                      <w:sz w:val="21"/>
                      <w:szCs w:val="21"/>
                      <w:vertAlign w:val="baseline"/>
                      <w:lang w:val="en-US" w:eastAsia="zh-CN"/>
                    </w:rPr>
                    <w:t>第2次</w:t>
                  </w:r>
                </w:p>
              </w:tc>
              <w:tc>
                <w:tcPr>
                  <w:tcW w:w="2595" w:type="dxa"/>
                  <w:vAlign w:val="center"/>
                </w:tcPr>
                <w:p w14:paraId="6380941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color w:val="000000"/>
                      <w:sz w:val="21"/>
                      <w:szCs w:val="21"/>
                      <w:vertAlign w:val="baseline"/>
                      <w:lang w:val="en-US" w:eastAsia="zh-CN"/>
                    </w:rPr>
                    <w:t>0.289</w:t>
                  </w:r>
                </w:p>
              </w:tc>
              <w:tc>
                <w:tcPr>
                  <w:tcW w:w="1759" w:type="dxa"/>
                  <w:vAlign w:val="center"/>
                </w:tcPr>
                <w:p w14:paraId="3B010F7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color w:val="000000"/>
                      <w:sz w:val="21"/>
                      <w:szCs w:val="21"/>
                      <w:vertAlign w:val="baseline"/>
                      <w:lang w:val="en-US" w:eastAsia="zh-CN"/>
                    </w:rPr>
                    <w:t>1.54</w:t>
                  </w:r>
                </w:p>
              </w:tc>
            </w:tr>
            <w:tr w14:paraId="587D22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07" w:type="dxa"/>
                  <w:vMerge w:val="continue"/>
                  <w:vAlign w:val="center"/>
                </w:tcPr>
                <w:p w14:paraId="0191AD4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p>
              </w:tc>
              <w:tc>
                <w:tcPr>
                  <w:tcW w:w="1550" w:type="dxa"/>
                  <w:vMerge w:val="continue"/>
                  <w:vAlign w:val="center"/>
                </w:tcPr>
                <w:p w14:paraId="14FB2F4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p>
              </w:tc>
              <w:tc>
                <w:tcPr>
                  <w:tcW w:w="1584" w:type="dxa"/>
                  <w:vAlign w:val="center"/>
                </w:tcPr>
                <w:p w14:paraId="01AE3F3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olor w:val="000000"/>
                      <w:sz w:val="21"/>
                      <w:szCs w:val="21"/>
                      <w:vertAlign w:val="baseline"/>
                      <w:lang w:val="en-US" w:eastAsia="zh-CN"/>
                    </w:rPr>
                  </w:pPr>
                  <w:r>
                    <w:rPr>
                      <w:rFonts w:hint="eastAsia" w:ascii="Times New Roman" w:hAnsi="Times New Roman" w:eastAsia="宋体"/>
                      <w:color w:val="000000"/>
                      <w:sz w:val="21"/>
                      <w:szCs w:val="21"/>
                      <w:vertAlign w:val="baseline"/>
                      <w:lang w:val="en-US" w:eastAsia="zh-CN"/>
                    </w:rPr>
                    <w:t>第3次</w:t>
                  </w:r>
                </w:p>
              </w:tc>
              <w:tc>
                <w:tcPr>
                  <w:tcW w:w="2595" w:type="dxa"/>
                  <w:vAlign w:val="center"/>
                </w:tcPr>
                <w:p w14:paraId="5E4AF0A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color w:val="000000"/>
                      <w:sz w:val="21"/>
                      <w:szCs w:val="21"/>
                      <w:vertAlign w:val="baseline"/>
                      <w:lang w:val="en-US" w:eastAsia="zh-CN"/>
                    </w:rPr>
                    <w:t>0.285</w:t>
                  </w:r>
                </w:p>
              </w:tc>
              <w:tc>
                <w:tcPr>
                  <w:tcW w:w="1759" w:type="dxa"/>
                  <w:vAlign w:val="center"/>
                </w:tcPr>
                <w:p w14:paraId="6D0B21A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color w:val="000000"/>
                      <w:sz w:val="21"/>
                      <w:szCs w:val="21"/>
                      <w:vertAlign w:val="baseline"/>
                      <w:lang w:val="en-US" w:eastAsia="zh-CN"/>
                    </w:rPr>
                    <w:t>1.55</w:t>
                  </w:r>
                </w:p>
              </w:tc>
            </w:tr>
            <w:tr w14:paraId="441DAC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07" w:type="dxa"/>
                  <w:vMerge w:val="continue"/>
                  <w:vAlign w:val="center"/>
                </w:tcPr>
                <w:p w14:paraId="155B5FE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p>
              </w:tc>
              <w:tc>
                <w:tcPr>
                  <w:tcW w:w="1550" w:type="dxa"/>
                  <w:vMerge w:val="continue"/>
                  <w:vAlign w:val="center"/>
                </w:tcPr>
                <w:p w14:paraId="4303589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p>
              </w:tc>
              <w:tc>
                <w:tcPr>
                  <w:tcW w:w="1584" w:type="dxa"/>
                  <w:vAlign w:val="center"/>
                </w:tcPr>
                <w:p w14:paraId="7C578BF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olor w:val="000000"/>
                      <w:sz w:val="21"/>
                      <w:szCs w:val="21"/>
                      <w:vertAlign w:val="baseline"/>
                      <w:lang w:val="en-US" w:eastAsia="zh-CN"/>
                    </w:rPr>
                  </w:pPr>
                  <w:r>
                    <w:rPr>
                      <w:rFonts w:hint="eastAsia" w:ascii="Times New Roman" w:hAnsi="Times New Roman" w:eastAsia="宋体"/>
                      <w:color w:val="000000"/>
                      <w:sz w:val="21"/>
                      <w:szCs w:val="21"/>
                      <w:vertAlign w:val="baseline"/>
                      <w:lang w:val="en-US" w:eastAsia="zh-CN"/>
                    </w:rPr>
                    <w:t>第4次</w:t>
                  </w:r>
                </w:p>
              </w:tc>
              <w:tc>
                <w:tcPr>
                  <w:tcW w:w="2595" w:type="dxa"/>
                  <w:vAlign w:val="center"/>
                </w:tcPr>
                <w:p w14:paraId="34977EC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color w:val="000000"/>
                      <w:sz w:val="21"/>
                      <w:szCs w:val="21"/>
                      <w:vertAlign w:val="baseline"/>
                      <w:lang w:val="en-US" w:eastAsia="zh-CN"/>
                    </w:rPr>
                    <w:t>0.288</w:t>
                  </w:r>
                </w:p>
              </w:tc>
              <w:tc>
                <w:tcPr>
                  <w:tcW w:w="1759" w:type="dxa"/>
                  <w:vAlign w:val="center"/>
                </w:tcPr>
                <w:p w14:paraId="34FA63E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color w:val="000000"/>
                      <w:sz w:val="21"/>
                      <w:szCs w:val="21"/>
                      <w:vertAlign w:val="baseline"/>
                      <w:lang w:val="en-US" w:eastAsia="zh-CN"/>
                    </w:rPr>
                    <w:t>1.56</w:t>
                  </w:r>
                </w:p>
              </w:tc>
            </w:tr>
            <w:tr w14:paraId="3CCAFF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07" w:type="dxa"/>
                  <w:vMerge w:val="continue"/>
                  <w:vAlign w:val="center"/>
                </w:tcPr>
                <w:p w14:paraId="047A034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p>
              </w:tc>
              <w:tc>
                <w:tcPr>
                  <w:tcW w:w="1550" w:type="dxa"/>
                  <w:vMerge w:val="restart"/>
                  <w:vAlign w:val="center"/>
                </w:tcPr>
                <w:p w14:paraId="5902D5E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ascii="Times New Roman" w:hAnsi="Times New Roman" w:eastAsia="宋体"/>
                      <w:color w:val="000000"/>
                      <w:sz w:val="21"/>
                      <w:szCs w:val="21"/>
                      <w:vertAlign w:val="baseline"/>
                      <w:lang w:val="en-US" w:eastAsia="zh-CN"/>
                    </w:rPr>
                    <w:t>下风向监控点4#</w:t>
                  </w:r>
                </w:p>
              </w:tc>
              <w:tc>
                <w:tcPr>
                  <w:tcW w:w="1584" w:type="dxa"/>
                  <w:vAlign w:val="center"/>
                </w:tcPr>
                <w:p w14:paraId="786C3AF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olor w:val="000000"/>
                      <w:sz w:val="21"/>
                      <w:szCs w:val="21"/>
                      <w:vertAlign w:val="baseline"/>
                      <w:lang w:val="en-US" w:eastAsia="zh-CN"/>
                    </w:rPr>
                  </w:pPr>
                  <w:r>
                    <w:rPr>
                      <w:rFonts w:hint="eastAsia" w:ascii="Times New Roman" w:hAnsi="Times New Roman" w:eastAsia="宋体"/>
                      <w:color w:val="000000"/>
                      <w:sz w:val="21"/>
                      <w:szCs w:val="21"/>
                      <w:vertAlign w:val="baseline"/>
                      <w:lang w:val="en-US" w:eastAsia="zh-CN"/>
                    </w:rPr>
                    <w:t>第1次</w:t>
                  </w:r>
                </w:p>
              </w:tc>
              <w:tc>
                <w:tcPr>
                  <w:tcW w:w="2595" w:type="dxa"/>
                  <w:vAlign w:val="center"/>
                </w:tcPr>
                <w:p w14:paraId="1039538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color w:val="000000"/>
                      <w:sz w:val="21"/>
                      <w:szCs w:val="21"/>
                      <w:vertAlign w:val="baseline"/>
                      <w:lang w:val="en-US" w:eastAsia="zh-CN"/>
                    </w:rPr>
                    <w:t>0.275</w:t>
                  </w:r>
                </w:p>
              </w:tc>
              <w:tc>
                <w:tcPr>
                  <w:tcW w:w="1759" w:type="dxa"/>
                  <w:vAlign w:val="center"/>
                </w:tcPr>
                <w:p w14:paraId="7EBAD01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color w:val="000000"/>
                      <w:sz w:val="21"/>
                      <w:szCs w:val="21"/>
                      <w:vertAlign w:val="baseline"/>
                      <w:lang w:val="en-US" w:eastAsia="zh-CN"/>
                    </w:rPr>
                    <w:t>1.59</w:t>
                  </w:r>
                </w:p>
              </w:tc>
            </w:tr>
            <w:tr w14:paraId="7160E8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07" w:type="dxa"/>
                  <w:vMerge w:val="continue"/>
                  <w:vAlign w:val="center"/>
                </w:tcPr>
                <w:p w14:paraId="0FE8B73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p>
              </w:tc>
              <w:tc>
                <w:tcPr>
                  <w:tcW w:w="1550" w:type="dxa"/>
                  <w:vMerge w:val="continue"/>
                  <w:vAlign w:val="center"/>
                </w:tcPr>
                <w:p w14:paraId="0195C78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p>
              </w:tc>
              <w:tc>
                <w:tcPr>
                  <w:tcW w:w="1584" w:type="dxa"/>
                  <w:vAlign w:val="center"/>
                </w:tcPr>
                <w:p w14:paraId="193719A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olor w:val="000000"/>
                      <w:sz w:val="21"/>
                      <w:szCs w:val="21"/>
                      <w:vertAlign w:val="baseline"/>
                      <w:lang w:val="en-US" w:eastAsia="zh-CN"/>
                    </w:rPr>
                  </w:pPr>
                  <w:r>
                    <w:rPr>
                      <w:rFonts w:hint="eastAsia" w:ascii="Times New Roman" w:hAnsi="Times New Roman" w:eastAsia="宋体"/>
                      <w:color w:val="000000"/>
                      <w:sz w:val="21"/>
                      <w:szCs w:val="21"/>
                      <w:vertAlign w:val="baseline"/>
                      <w:lang w:val="en-US" w:eastAsia="zh-CN"/>
                    </w:rPr>
                    <w:t>第2次</w:t>
                  </w:r>
                </w:p>
              </w:tc>
              <w:tc>
                <w:tcPr>
                  <w:tcW w:w="2595" w:type="dxa"/>
                  <w:vAlign w:val="center"/>
                </w:tcPr>
                <w:p w14:paraId="18C1CE7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color w:val="000000"/>
                      <w:sz w:val="21"/>
                      <w:szCs w:val="21"/>
                      <w:vertAlign w:val="baseline"/>
                      <w:lang w:val="en-US" w:eastAsia="zh-CN"/>
                    </w:rPr>
                    <w:t>0.277</w:t>
                  </w:r>
                </w:p>
              </w:tc>
              <w:tc>
                <w:tcPr>
                  <w:tcW w:w="1759" w:type="dxa"/>
                  <w:vAlign w:val="center"/>
                </w:tcPr>
                <w:p w14:paraId="72FF5E1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color w:val="000000"/>
                      <w:sz w:val="21"/>
                      <w:szCs w:val="21"/>
                      <w:vertAlign w:val="baseline"/>
                      <w:lang w:val="en-US" w:eastAsia="zh-CN"/>
                    </w:rPr>
                    <w:t>1.60</w:t>
                  </w:r>
                </w:p>
              </w:tc>
            </w:tr>
            <w:tr w14:paraId="3FAD64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07" w:type="dxa"/>
                  <w:vMerge w:val="continue"/>
                  <w:vAlign w:val="center"/>
                </w:tcPr>
                <w:p w14:paraId="3284B18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p>
              </w:tc>
              <w:tc>
                <w:tcPr>
                  <w:tcW w:w="1550" w:type="dxa"/>
                  <w:vMerge w:val="continue"/>
                  <w:vAlign w:val="center"/>
                </w:tcPr>
                <w:p w14:paraId="06F74A8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p>
              </w:tc>
              <w:tc>
                <w:tcPr>
                  <w:tcW w:w="1584" w:type="dxa"/>
                  <w:vAlign w:val="center"/>
                </w:tcPr>
                <w:p w14:paraId="7769442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olor w:val="000000"/>
                      <w:sz w:val="21"/>
                      <w:szCs w:val="21"/>
                      <w:vertAlign w:val="baseline"/>
                      <w:lang w:val="en-US" w:eastAsia="zh-CN"/>
                    </w:rPr>
                  </w:pPr>
                  <w:r>
                    <w:rPr>
                      <w:rFonts w:hint="eastAsia" w:ascii="Times New Roman" w:hAnsi="Times New Roman" w:eastAsia="宋体"/>
                      <w:color w:val="000000"/>
                      <w:sz w:val="21"/>
                      <w:szCs w:val="21"/>
                      <w:vertAlign w:val="baseline"/>
                      <w:lang w:val="en-US" w:eastAsia="zh-CN"/>
                    </w:rPr>
                    <w:t>第3次</w:t>
                  </w:r>
                </w:p>
              </w:tc>
              <w:tc>
                <w:tcPr>
                  <w:tcW w:w="2595" w:type="dxa"/>
                  <w:vAlign w:val="center"/>
                </w:tcPr>
                <w:p w14:paraId="5D502C1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color w:val="000000"/>
                      <w:sz w:val="21"/>
                      <w:szCs w:val="21"/>
                      <w:vertAlign w:val="baseline"/>
                      <w:lang w:val="en-US" w:eastAsia="zh-CN"/>
                    </w:rPr>
                    <w:t>0.280</w:t>
                  </w:r>
                </w:p>
              </w:tc>
              <w:tc>
                <w:tcPr>
                  <w:tcW w:w="1759" w:type="dxa"/>
                  <w:vAlign w:val="center"/>
                </w:tcPr>
                <w:p w14:paraId="26B2A07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color w:val="000000"/>
                      <w:sz w:val="21"/>
                      <w:szCs w:val="21"/>
                      <w:vertAlign w:val="baseline"/>
                      <w:lang w:val="en-US" w:eastAsia="zh-CN"/>
                    </w:rPr>
                    <w:t>1.62</w:t>
                  </w:r>
                </w:p>
              </w:tc>
            </w:tr>
            <w:tr w14:paraId="6AEF53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07" w:type="dxa"/>
                  <w:vMerge w:val="continue"/>
                  <w:tcBorders>
                    <w:bottom w:val="single" w:color="auto" w:sz="8" w:space="0"/>
                  </w:tcBorders>
                  <w:vAlign w:val="center"/>
                </w:tcPr>
                <w:p w14:paraId="563C66A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p>
              </w:tc>
              <w:tc>
                <w:tcPr>
                  <w:tcW w:w="1550" w:type="dxa"/>
                  <w:vMerge w:val="continue"/>
                  <w:tcBorders>
                    <w:bottom w:val="single" w:color="auto" w:sz="8" w:space="0"/>
                  </w:tcBorders>
                  <w:vAlign w:val="center"/>
                </w:tcPr>
                <w:p w14:paraId="6B205A7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p>
              </w:tc>
              <w:tc>
                <w:tcPr>
                  <w:tcW w:w="1584" w:type="dxa"/>
                  <w:tcBorders>
                    <w:bottom w:val="single" w:color="auto" w:sz="8" w:space="0"/>
                  </w:tcBorders>
                  <w:vAlign w:val="center"/>
                </w:tcPr>
                <w:p w14:paraId="1807EC0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olor w:val="000000"/>
                      <w:sz w:val="21"/>
                      <w:szCs w:val="21"/>
                      <w:vertAlign w:val="baseline"/>
                      <w:lang w:val="en-US" w:eastAsia="zh-CN"/>
                    </w:rPr>
                  </w:pPr>
                  <w:r>
                    <w:rPr>
                      <w:rFonts w:hint="eastAsia" w:ascii="Times New Roman" w:hAnsi="Times New Roman" w:eastAsia="宋体"/>
                      <w:color w:val="000000"/>
                      <w:sz w:val="21"/>
                      <w:szCs w:val="21"/>
                      <w:vertAlign w:val="baseline"/>
                      <w:lang w:val="en-US" w:eastAsia="zh-CN"/>
                    </w:rPr>
                    <w:t>第4次</w:t>
                  </w:r>
                </w:p>
              </w:tc>
              <w:tc>
                <w:tcPr>
                  <w:tcW w:w="2595" w:type="dxa"/>
                  <w:tcBorders>
                    <w:bottom w:val="single" w:color="auto" w:sz="8" w:space="0"/>
                  </w:tcBorders>
                  <w:vAlign w:val="center"/>
                </w:tcPr>
                <w:p w14:paraId="2059C34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color w:val="000000"/>
                      <w:sz w:val="21"/>
                      <w:szCs w:val="21"/>
                      <w:vertAlign w:val="baseline"/>
                      <w:lang w:val="en-US" w:eastAsia="zh-CN"/>
                    </w:rPr>
                    <w:t>0.279</w:t>
                  </w:r>
                </w:p>
              </w:tc>
              <w:tc>
                <w:tcPr>
                  <w:tcW w:w="1759" w:type="dxa"/>
                  <w:tcBorders>
                    <w:bottom w:val="single" w:color="auto" w:sz="8" w:space="0"/>
                  </w:tcBorders>
                  <w:vAlign w:val="center"/>
                </w:tcPr>
                <w:p w14:paraId="0B9C3C2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olor w:val="000000"/>
                      <w:sz w:val="21"/>
                      <w:szCs w:val="21"/>
                      <w:vertAlign w:val="baseline"/>
                      <w:lang w:val="en-US" w:eastAsia="zh-CN"/>
                    </w:rPr>
                  </w:pPr>
                  <w:r>
                    <w:rPr>
                      <w:rFonts w:hint="eastAsia"/>
                      <w:color w:val="000000"/>
                      <w:sz w:val="21"/>
                      <w:szCs w:val="21"/>
                      <w:vertAlign w:val="baseline"/>
                      <w:lang w:val="en-US" w:eastAsia="zh-CN"/>
                    </w:rPr>
                    <w:t>1.64</w:t>
                  </w:r>
                </w:p>
              </w:tc>
            </w:tr>
          </w:tbl>
          <w:p w14:paraId="3207F1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bCs/>
              </w:rPr>
            </w:pPr>
            <w:r>
              <w:rPr>
                <w:rFonts w:hint="eastAsia"/>
              </w:rPr>
              <w:t>由上表可知，</w:t>
            </w:r>
            <w:r>
              <w:rPr>
                <w:rFonts w:hint="default"/>
              </w:rPr>
              <w:t>企业厂界</w:t>
            </w:r>
            <w:r>
              <w:rPr>
                <w:rFonts w:hint="eastAsia"/>
                <w:lang w:val="en-US" w:eastAsia="zh-CN"/>
              </w:rPr>
              <w:t>废气</w:t>
            </w:r>
            <w:r>
              <w:rPr>
                <w:rFonts w:hint="eastAsia"/>
              </w:rPr>
              <w:t>浓度能够满足</w:t>
            </w:r>
            <w:r>
              <w:rPr>
                <w:rFonts w:hint="default"/>
                <w:color w:val="000000"/>
                <w:szCs w:val="21"/>
              </w:rPr>
              <w:t>《电池工业污染物排放标准》（GB30848-2013）表6</w:t>
            </w:r>
            <w:r>
              <w:rPr>
                <w:rFonts w:hint="eastAsia"/>
                <w:color w:val="000000"/>
                <w:szCs w:val="21"/>
              </w:rPr>
              <w:t>中颗粒物厂界浓度0.3</w:t>
            </w:r>
            <w:r>
              <w:rPr>
                <w:rFonts w:hint="eastAsia"/>
                <w:bCs/>
              </w:rPr>
              <w:t>mg/m</w:t>
            </w:r>
            <w:r>
              <w:rPr>
                <w:rFonts w:hint="eastAsia"/>
                <w:bCs/>
                <w:vertAlign w:val="superscript"/>
              </w:rPr>
              <w:t>3</w:t>
            </w:r>
            <w:r>
              <w:rPr>
                <w:rFonts w:hint="eastAsia"/>
                <w:bCs/>
                <w:vertAlign w:val="baseline"/>
                <w:lang w:eastAsia="zh-CN"/>
              </w:rPr>
              <w:t>，</w:t>
            </w:r>
            <w:r>
              <w:rPr>
                <w:rFonts w:hint="eastAsia"/>
                <w:bCs/>
                <w:vertAlign w:val="baseline"/>
                <w:lang w:val="en-US" w:eastAsia="zh-CN"/>
              </w:rPr>
              <w:t>非甲烷总烃厂界浓度</w:t>
            </w:r>
            <w:r>
              <w:rPr>
                <w:rFonts w:hint="eastAsia"/>
                <w:color w:val="000000"/>
                <w:szCs w:val="21"/>
                <w:lang w:val="en-US" w:eastAsia="zh-CN"/>
              </w:rPr>
              <w:t>2.0</w:t>
            </w:r>
            <w:r>
              <w:rPr>
                <w:rFonts w:hint="eastAsia"/>
                <w:bCs/>
              </w:rPr>
              <w:t>mg/m</w:t>
            </w:r>
            <w:r>
              <w:rPr>
                <w:rFonts w:hint="eastAsia"/>
                <w:bCs/>
                <w:vertAlign w:val="superscript"/>
              </w:rPr>
              <w:t>3</w:t>
            </w:r>
            <w:r>
              <w:rPr>
                <w:rFonts w:hint="eastAsia"/>
                <w:bCs/>
                <w:vertAlign w:val="baseline"/>
                <w:lang w:eastAsia="zh-CN"/>
              </w:rPr>
              <w:t>的</w:t>
            </w:r>
            <w:r>
              <w:rPr>
                <w:rFonts w:hint="eastAsia"/>
                <w:bCs/>
                <w:vertAlign w:val="baseline"/>
                <w:lang w:val="en-US" w:eastAsia="zh-CN"/>
              </w:rPr>
              <w:t>限值要求</w:t>
            </w:r>
            <w:r>
              <w:rPr>
                <w:rFonts w:hint="eastAsia"/>
                <w:bCs/>
              </w:rPr>
              <w:t>。</w:t>
            </w:r>
          </w:p>
          <w:p w14:paraId="1D3768C7">
            <w:pPr>
              <w:keepNext w:val="0"/>
              <w:keepLines w:val="0"/>
              <w:suppressLineNumbers w:val="0"/>
              <w:adjustRightInd w:val="0"/>
              <w:snapToGrid w:val="0"/>
              <w:spacing w:before="0" w:beforeAutospacing="0" w:after="0" w:afterAutospacing="0" w:line="440" w:lineRule="exact"/>
              <w:ind w:left="0" w:right="0" w:firstLine="482" w:firstLineChars="200"/>
              <w:rPr>
                <w:rFonts w:hint="eastAsia"/>
                <w:sz w:val="24"/>
                <w:lang w:val="en-US" w:eastAsia="zh-CN"/>
              </w:rPr>
            </w:pPr>
            <w:r>
              <w:rPr>
                <w:rFonts w:hint="eastAsia" w:cs="Times New Roman"/>
                <w:b/>
                <w:bCs/>
                <w:kern w:val="0"/>
                <w:sz w:val="24"/>
                <w:highlight w:val="none"/>
                <w:lang w:val="en-US" w:eastAsia="zh-CN"/>
              </w:rPr>
              <w:t>（二）</w:t>
            </w:r>
            <w:r>
              <w:rPr>
                <w:rFonts w:hint="default" w:ascii="Times New Roman" w:hAnsi="Times New Roman" w:cs="Times New Roman"/>
                <w:b/>
                <w:bCs/>
                <w:kern w:val="0"/>
                <w:sz w:val="24"/>
                <w:highlight w:val="none"/>
                <w:lang w:val="en-US" w:eastAsia="zh-CN"/>
              </w:rPr>
              <w:t>废</w:t>
            </w:r>
            <w:r>
              <w:rPr>
                <w:rFonts w:hint="eastAsia" w:ascii="Times New Roman" w:hAnsi="Times New Roman" w:cs="Times New Roman"/>
                <w:b/>
                <w:bCs/>
                <w:kern w:val="0"/>
                <w:sz w:val="24"/>
                <w:highlight w:val="none"/>
                <w:lang w:val="en-US" w:eastAsia="zh-CN"/>
              </w:rPr>
              <w:t>水</w:t>
            </w:r>
          </w:p>
          <w:p w14:paraId="3CFAFD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lang w:val="en-US" w:eastAsia="zh-CN"/>
              </w:rPr>
            </w:pPr>
            <w:r>
              <w:rPr>
                <w:rFonts w:hint="eastAsia"/>
              </w:rPr>
              <w:t>现有工程废水主要为职工生活污水、生产废水。根据</w:t>
            </w:r>
            <w:r>
              <w:rPr>
                <w:rFonts w:hint="default" w:ascii="Times New Roman" w:hAnsi="Times New Roman" w:cs="Times New Roman"/>
                <w:bCs/>
                <w:color w:val="000000"/>
                <w:sz w:val="24"/>
                <w:lang w:val="en-US" w:eastAsia="zh-CN"/>
              </w:rPr>
              <w:t>2025年自行检测报告（报告编号：XCHC25</w:t>
            </w:r>
            <w:r>
              <w:rPr>
                <w:rFonts w:hint="eastAsia" w:ascii="Times New Roman" w:hAnsi="Times New Roman" w:cs="Times New Roman"/>
                <w:bCs/>
                <w:color w:val="000000"/>
                <w:sz w:val="24"/>
                <w:lang w:val="en-US" w:eastAsia="zh-CN"/>
              </w:rPr>
              <w:t>040237</w:t>
            </w:r>
            <w:r>
              <w:rPr>
                <w:rFonts w:hint="default" w:ascii="Times New Roman" w:hAnsi="Times New Roman" w:cs="Times New Roman"/>
                <w:bCs/>
                <w:color w:val="000000"/>
                <w:sz w:val="24"/>
                <w:lang w:val="en-US" w:eastAsia="zh-CN"/>
              </w:rPr>
              <w:t>）</w:t>
            </w:r>
            <w:r>
              <w:rPr>
                <w:rFonts w:hint="eastAsia"/>
              </w:rPr>
              <w:t>可知，各污染物排放浓度：pH值</w:t>
            </w:r>
            <w:r>
              <w:rPr>
                <w:rFonts w:hint="eastAsia"/>
                <w:lang w:val="en-US" w:eastAsia="zh-CN"/>
              </w:rPr>
              <w:t>8.2</w:t>
            </w:r>
            <w:r>
              <w:rPr>
                <w:rFonts w:hint="eastAsia"/>
              </w:rPr>
              <w:t>~</w:t>
            </w:r>
            <w:r>
              <w:rPr>
                <w:rFonts w:hint="eastAsia"/>
                <w:lang w:val="en-US" w:eastAsia="zh-CN"/>
              </w:rPr>
              <w:t>8.3、</w:t>
            </w:r>
            <w:r>
              <w:rPr>
                <w:rFonts w:hint="eastAsia"/>
              </w:rPr>
              <w:t>COD：</w:t>
            </w:r>
            <w:r>
              <w:rPr>
                <w:rFonts w:hint="eastAsia"/>
                <w:lang w:val="en-US" w:eastAsia="zh-CN"/>
              </w:rPr>
              <w:t>10</w:t>
            </w:r>
            <w:r>
              <w:rPr>
                <w:rFonts w:hint="eastAsia"/>
              </w:rPr>
              <w:t>~</w:t>
            </w:r>
            <w:r>
              <w:rPr>
                <w:rFonts w:hint="eastAsia"/>
                <w:lang w:val="en-US" w:eastAsia="zh-CN"/>
              </w:rPr>
              <w:t>15</w:t>
            </w:r>
            <w:r>
              <w:rPr>
                <w:rFonts w:hint="eastAsia"/>
              </w:rPr>
              <w:t>mg/L、SS：</w:t>
            </w:r>
            <w:r>
              <w:rPr>
                <w:rFonts w:hint="eastAsia"/>
                <w:lang w:val="en-US" w:eastAsia="zh-CN"/>
              </w:rPr>
              <w:t>31</w:t>
            </w:r>
            <w:r>
              <w:rPr>
                <w:rFonts w:hint="eastAsia"/>
              </w:rPr>
              <w:t>~</w:t>
            </w:r>
            <w:r>
              <w:rPr>
                <w:rFonts w:hint="eastAsia"/>
                <w:lang w:val="en-US" w:eastAsia="zh-CN"/>
              </w:rPr>
              <w:t>38</w:t>
            </w:r>
            <w:r>
              <w:rPr>
                <w:rFonts w:hint="eastAsia"/>
              </w:rPr>
              <w:t>mg/L、NH</w:t>
            </w:r>
            <w:r>
              <w:rPr>
                <w:rFonts w:hint="eastAsia"/>
                <w:vertAlign w:val="subscript"/>
              </w:rPr>
              <w:t>3</w:t>
            </w:r>
            <w:r>
              <w:rPr>
                <w:rFonts w:hint="eastAsia"/>
              </w:rPr>
              <w:t>-N：</w:t>
            </w:r>
            <w:r>
              <w:rPr>
                <w:rFonts w:hint="eastAsia"/>
                <w:lang w:val="en-US" w:eastAsia="zh-CN"/>
              </w:rPr>
              <w:t>0.301</w:t>
            </w:r>
            <w:r>
              <w:rPr>
                <w:rFonts w:hint="eastAsia"/>
              </w:rPr>
              <w:t>~0.</w:t>
            </w:r>
            <w:r>
              <w:rPr>
                <w:rFonts w:hint="eastAsia"/>
                <w:lang w:val="en-US" w:eastAsia="zh-CN"/>
              </w:rPr>
              <w:t>366</w:t>
            </w:r>
            <w:r>
              <w:rPr>
                <w:rFonts w:hint="eastAsia"/>
              </w:rPr>
              <w:t>mg/L、TP：0.</w:t>
            </w:r>
            <w:r>
              <w:rPr>
                <w:rFonts w:hint="eastAsia"/>
                <w:lang w:val="en-US" w:eastAsia="zh-CN"/>
              </w:rPr>
              <w:t>02</w:t>
            </w:r>
            <w:r>
              <w:rPr>
                <w:rFonts w:hint="eastAsia"/>
              </w:rPr>
              <w:t>~0.</w:t>
            </w:r>
            <w:r>
              <w:rPr>
                <w:rFonts w:hint="eastAsia"/>
                <w:lang w:val="en-US" w:eastAsia="zh-CN"/>
              </w:rPr>
              <w:t>04</w:t>
            </w:r>
            <w:r>
              <w:rPr>
                <w:rFonts w:hint="eastAsia"/>
              </w:rPr>
              <w:t>mg/L、TN：</w:t>
            </w:r>
            <w:r>
              <w:rPr>
                <w:rFonts w:hint="eastAsia"/>
                <w:lang w:val="en-US" w:eastAsia="zh-CN"/>
              </w:rPr>
              <w:t>1.54</w:t>
            </w:r>
            <w:r>
              <w:rPr>
                <w:rFonts w:hint="eastAsia"/>
              </w:rPr>
              <w:t>~</w:t>
            </w:r>
            <w:r>
              <w:rPr>
                <w:rFonts w:hint="eastAsia"/>
                <w:lang w:val="en-US" w:eastAsia="zh-CN"/>
              </w:rPr>
              <w:t>1.75</w:t>
            </w:r>
            <w:r>
              <w:rPr>
                <w:rFonts w:hint="eastAsia"/>
              </w:rPr>
              <w:t>mg/L、</w:t>
            </w:r>
            <w:r>
              <w:rPr>
                <w:rFonts w:hint="eastAsia"/>
                <w:lang w:val="en-US" w:eastAsia="zh-CN"/>
              </w:rPr>
              <w:t>总锰</w:t>
            </w:r>
            <w:r>
              <w:rPr>
                <w:rFonts w:hint="eastAsia"/>
              </w:rPr>
              <w:t>：</w:t>
            </w:r>
            <w:r>
              <w:rPr>
                <w:rFonts w:hint="eastAsia"/>
                <w:lang w:val="en-US" w:eastAsia="zh-CN"/>
              </w:rPr>
              <w:t>0.68</w:t>
            </w:r>
            <w:r>
              <w:rPr>
                <w:rFonts w:hint="eastAsia"/>
              </w:rPr>
              <w:t>~</w:t>
            </w:r>
            <w:r>
              <w:rPr>
                <w:rFonts w:hint="eastAsia"/>
                <w:lang w:val="en-US" w:eastAsia="zh-CN"/>
              </w:rPr>
              <w:t>0.80</w:t>
            </w:r>
            <w:r>
              <w:rPr>
                <w:rFonts w:hint="eastAsia"/>
              </w:rPr>
              <w:t>mg/L</w:t>
            </w:r>
            <w:r>
              <w:rPr>
                <w:rFonts w:hint="eastAsia"/>
                <w:lang w:val="en-US" w:eastAsia="zh-CN"/>
              </w:rPr>
              <w:t>。</w:t>
            </w:r>
          </w:p>
          <w:p w14:paraId="4D3C8A0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eastAsia="宋体"/>
                <w:lang w:val="en-US" w:eastAsia="zh-CN"/>
              </w:rPr>
            </w:pPr>
            <w:r>
              <w:rPr>
                <w:rFonts w:hint="eastAsia"/>
                <w:lang w:val="en-US" w:eastAsia="zh-CN"/>
              </w:rPr>
              <w:t>根据2025年5月-12月废水在线监测数据，pH6.80-8.66、</w:t>
            </w:r>
            <w:r>
              <w:rPr>
                <w:rFonts w:hint="eastAsia"/>
              </w:rPr>
              <w:t>COD</w:t>
            </w:r>
            <w:r>
              <w:rPr>
                <w:rFonts w:hint="eastAsia"/>
                <w:lang w:val="en-US" w:eastAsia="zh-CN"/>
              </w:rPr>
              <w:t>0.001-113.01</w:t>
            </w:r>
            <w:r>
              <w:rPr>
                <w:rFonts w:hint="eastAsia"/>
              </w:rPr>
              <w:t>mg/L、NH</w:t>
            </w:r>
            <w:r>
              <w:rPr>
                <w:rFonts w:hint="eastAsia"/>
                <w:vertAlign w:val="subscript"/>
              </w:rPr>
              <w:t>3</w:t>
            </w:r>
            <w:r>
              <w:rPr>
                <w:rFonts w:hint="eastAsia"/>
              </w:rPr>
              <w:t>-N</w:t>
            </w:r>
            <w:r>
              <w:rPr>
                <w:rFonts w:hint="eastAsia"/>
                <w:lang w:val="en-US" w:eastAsia="zh-CN"/>
              </w:rPr>
              <w:t>0.001-23.488</w:t>
            </w:r>
            <w:r>
              <w:rPr>
                <w:rFonts w:hint="eastAsia"/>
              </w:rPr>
              <w:t>mg/L、TP</w:t>
            </w:r>
            <w:r>
              <w:rPr>
                <w:rFonts w:hint="eastAsia"/>
                <w:lang w:val="en-US" w:eastAsia="zh-CN"/>
              </w:rPr>
              <w:t>0.013-0.326</w:t>
            </w:r>
            <w:r>
              <w:rPr>
                <w:rFonts w:hint="eastAsia"/>
              </w:rPr>
              <w:t>mg/L</w:t>
            </w:r>
            <w:r>
              <w:rPr>
                <w:rFonts w:hint="eastAsia"/>
                <w:lang w:eastAsia="zh-CN"/>
              </w:rPr>
              <w:t>。</w:t>
            </w:r>
          </w:p>
          <w:p w14:paraId="5F895EA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rPr>
            </w:pPr>
            <w:r>
              <w:rPr>
                <w:rFonts w:hint="eastAsia"/>
                <w:lang w:val="en-US" w:eastAsia="zh-CN"/>
              </w:rPr>
              <w:t>满足《电池工业污染物排放标准》</w:t>
            </w:r>
            <w:r>
              <w:rPr>
                <w:rFonts w:hint="default"/>
                <w:szCs w:val="21"/>
              </w:rPr>
              <w:t>（GB30484-2013）表2间接排放标准</w:t>
            </w:r>
            <w:r>
              <w:rPr>
                <w:rFonts w:hint="eastAsia"/>
              </w:rPr>
              <w:t>COD</w:t>
            </w:r>
            <w:r>
              <w:rPr>
                <w:rFonts w:hint="eastAsia"/>
                <w:lang w:val="en-US" w:eastAsia="zh-CN"/>
              </w:rPr>
              <w:t>150</w:t>
            </w:r>
            <w:r>
              <w:rPr>
                <w:rFonts w:hint="eastAsia"/>
              </w:rPr>
              <w:t>mg/L、SS</w:t>
            </w:r>
            <w:r>
              <w:rPr>
                <w:rFonts w:hint="eastAsia"/>
                <w:lang w:val="en-US" w:eastAsia="zh-CN"/>
              </w:rPr>
              <w:t>14</w:t>
            </w:r>
            <w:r>
              <w:rPr>
                <w:rFonts w:hint="eastAsia"/>
              </w:rPr>
              <w:t>0mg/L、NH</w:t>
            </w:r>
            <w:r>
              <w:rPr>
                <w:rFonts w:hint="eastAsia"/>
                <w:vertAlign w:val="subscript"/>
              </w:rPr>
              <w:t>3</w:t>
            </w:r>
            <w:r>
              <w:rPr>
                <w:rFonts w:hint="eastAsia"/>
              </w:rPr>
              <w:t>-N</w:t>
            </w:r>
            <w:r>
              <w:rPr>
                <w:rFonts w:hint="eastAsia"/>
                <w:lang w:val="en-US" w:eastAsia="zh-CN"/>
              </w:rPr>
              <w:t>3</w:t>
            </w:r>
            <w:r>
              <w:rPr>
                <w:rFonts w:hint="eastAsia"/>
              </w:rPr>
              <w:t>0mg/L、TP</w:t>
            </w:r>
            <w:r>
              <w:rPr>
                <w:rFonts w:hint="eastAsia"/>
                <w:lang w:val="en-US" w:eastAsia="zh-CN"/>
              </w:rPr>
              <w:t>2</w:t>
            </w:r>
            <w:r>
              <w:rPr>
                <w:rFonts w:hint="eastAsia"/>
              </w:rPr>
              <w:t>mg/L</w:t>
            </w:r>
            <w:r>
              <w:rPr>
                <w:rFonts w:hint="eastAsia"/>
                <w:lang w:eastAsia="zh-CN"/>
              </w:rPr>
              <w:t>。</w:t>
            </w:r>
            <w:r>
              <w:rPr>
                <w:rFonts w:hint="eastAsia"/>
              </w:rPr>
              <w:t>满足《污水综合排放标准》（GB8978-1996）表4二级标准</w:t>
            </w:r>
            <w:r>
              <w:rPr>
                <w:rFonts w:hint="default"/>
              </w:rPr>
              <w:t>COD</w:t>
            </w:r>
            <w:r>
              <w:rPr>
                <w:rFonts w:hint="eastAsia"/>
              </w:rPr>
              <w:t>：150</w:t>
            </w:r>
            <w:r>
              <w:rPr>
                <w:rFonts w:hint="default"/>
              </w:rPr>
              <w:t>mg/L</w:t>
            </w:r>
            <w:r>
              <w:rPr>
                <w:rFonts w:hint="eastAsia"/>
              </w:rPr>
              <w:t>、</w:t>
            </w:r>
            <w:r>
              <w:rPr>
                <w:rFonts w:hint="default"/>
              </w:rPr>
              <w:t>NH</w:t>
            </w:r>
            <w:r>
              <w:rPr>
                <w:rFonts w:hint="default"/>
                <w:vertAlign w:val="subscript"/>
              </w:rPr>
              <w:t>3</w:t>
            </w:r>
            <w:r>
              <w:rPr>
                <w:rFonts w:hint="default"/>
              </w:rPr>
              <w:t>-N</w:t>
            </w:r>
            <w:r>
              <w:rPr>
                <w:rFonts w:hint="eastAsia"/>
              </w:rPr>
              <w:t>：25</w:t>
            </w:r>
            <w:r>
              <w:rPr>
                <w:rFonts w:hint="default"/>
              </w:rPr>
              <w:t>mg/L</w:t>
            </w:r>
            <w:r>
              <w:rPr>
                <w:rFonts w:hint="eastAsia"/>
              </w:rPr>
              <w:t>、</w:t>
            </w:r>
            <w:r>
              <w:rPr>
                <w:rFonts w:hint="default"/>
              </w:rPr>
              <w:t>SS</w:t>
            </w:r>
            <w:r>
              <w:rPr>
                <w:rFonts w:hint="eastAsia"/>
              </w:rPr>
              <w:t>：150</w:t>
            </w:r>
            <w:r>
              <w:rPr>
                <w:rFonts w:hint="default"/>
              </w:rPr>
              <w:t>mg/L</w:t>
            </w:r>
            <w:r>
              <w:rPr>
                <w:rFonts w:hint="eastAsia"/>
              </w:rPr>
              <w:t>、</w:t>
            </w:r>
            <w:r>
              <w:rPr>
                <w:rFonts w:hint="default"/>
              </w:rPr>
              <w:t>TP</w:t>
            </w:r>
            <w:r>
              <w:rPr>
                <w:rFonts w:hint="eastAsia"/>
              </w:rPr>
              <w:t>：1.0</w:t>
            </w:r>
            <w:r>
              <w:rPr>
                <w:rFonts w:hint="default"/>
              </w:rPr>
              <w:t>mg/L</w:t>
            </w:r>
            <w:r>
              <w:rPr>
                <w:rFonts w:hint="eastAsia"/>
              </w:rPr>
              <w:t>的要求，同时也能满足新乡县综合污水处理厂收水标准COD420mg/L、BOD</w:t>
            </w:r>
            <w:r>
              <w:rPr>
                <w:rFonts w:hint="eastAsia"/>
                <w:vertAlign w:val="subscript"/>
              </w:rPr>
              <w:t>5</w:t>
            </w:r>
            <w:r>
              <w:rPr>
                <w:rFonts w:hint="eastAsia"/>
              </w:rPr>
              <w:t>210mg/L、SS350 mg/L、NH</w:t>
            </w:r>
            <w:r>
              <w:rPr>
                <w:rFonts w:hint="eastAsia"/>
                <w:vertAlign w:val="subscript"/>
              </w:rPr>
              <w:t>3</w:t>
            </w:r>
            <w:r>
              <w:rPr>
                <w:rFonts w:hint="eastAsia"/>
              </w:rPr>
              <w:t>-N40mg/L、TP4mg/L的收水标准。</w:t>
            </w:r>
          </w:p>
          <w:p w14:paraId="6B018873">
            <w:pPr>
              <w:keepNext w:val="0"/>
              <w:keepLines w:val="0"/>
              <w:pageBreakBefore w:val="0"/>
              <w:numPr>
                <w:ilvl w:val="0"/>
                <w:numId w:val="7"/>
              </w:numPr>
              <w:suppressLineNumbers w:val="0"/>
              <w:kinsoku/>
              <w:wordWrap/>
              <w:overflowPunct/>
              <w:topLinePunct w:val="0"/>
              <w:autoSpaceDE/>
              <w:autoSpaceDN/>
              <w:bidi w:val="0"/>
              <w:spacing w:before="0" w:beforeAutospacing="0" w:after="0" w:afterAutospacing="0" w:line="440" w:lineRule="exact"/>
              <w:ind w:left="480" w:leftChars="200" w:right="0" w:rightChars="0"/>
              <w:jc w:val="both"/>
              <w:textAlignment w:val="auto"/>
              <w:rPr>
                <w:rFonts w:hint="eastAsia"/>
                <w:color w:val="000000"/>
                <w:sz w:val="24"/>
                <w:szCs w:val="24"/>
                <w:lang w:val="en-US" w:eastAsia="zh-CN"/>
              </w:rPr>
            </w:pPr>
            <w:r>
              <w:rPr>
                <w:rFonts w:hint="eastAsia"/>
                <w:color w:val="000000"/>
                <w:sz w:val="24"/>
                <w:szCs w:val="24"/>
                <w:lang w:val="en-US" w:eastAsia="zh-CN"/>
              </w:rPr>
              <w:t>噪声</w:t>
            </w:r>
          </w:p>
          <w:p w14:paraId="51A37B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rPr>
            </w:pPr>
            <w:r>
              <w:rPr>
                <w:rFonts w:hint="eastAsia"/>
              </w:rPr>
              <w:t>根据</w:t>
            </w:r>
            <w:r>
              <w:rPr>
                <w:rFonts w:hint="default" w:ascii="Times New Roman" w:hAnsi="Times New Roman" w:cs="Times New Roman"/>
                <w:bCs/>
                <w:color w:val="000000"/>
                <w:sz w:val="24"/>
                <w:lang w:val="en-US" w:eastAsia="zh-CN"/>
              </w:rPr>
              <w:t>2025年自行检测报告（报告编号：XCHC25101044）</w:t>
            </w:r>
            <w:r>
              <w:rPr>
                <w:rFonts w:hint="eastAsia"/>
              </w:rPr>
              <w:t>可知，各厂界噪声监测结果见下表。</w:t>
            </w:r>
          </w:p>
          <w:p w14:paraId="5E5E6DC0">
            <w:pPr>
              <w:keepNext w:val="0"/>
              <w:keepLines w:val="0"/>
              <w:suppressLineNumbers w:val="0"/>
              <w:autoSpaceDE w:val="0"/>
              <w:autoSpaceDN w:val="0"/>
              <w:adjustRightInd w:val="0"/>
              <w:spacing w:before="0" w:beforeAutospacing="0" w:after="0" w:afterAutospacing="0" w:line="440" w:lineRule="exact"/>
              <w:ind w:left="0" w:right="0" w:firstLine="723" w:firstLineChars="300"/>
              <w:rPr>
                <w:rFonts w:hint="default" w:ascii="Times New Roman" w:hAnsi="Times New Roman" w:eastAsia="宋体" w:cs="Times New Roman"/>
                <w:b/>
                <w:bCs w:val="0"/>
                <w:color w:val="000000"/>
              </w:rPr>
            </w:pPr>
            <w:r>
              <w:rPr>
                <w:rFonts w:hint="default" w:ascii="Times New Roman" w:hAnsi="Times New Roman" w:eastAsia="宋体" w:cs="Times New Roman"/>
                <w:b/>
                <w:bCs w:val="0"/>
                <w:color w:val="000000"/>
              </w:rPr>
              <w:t>表</w:t>
            </w:r>
            <w:r>
              <w:rPr>
                <w:rFonts w:hint="default" w:ascii="Times New Roman" w:hAnsi="Times New Roman" w:eastAsia="宋体" w:cs="Times New Roman"/>
                <w:b/>
                <w:bCs w:val="0"/>
                <w:color w:val="000000"/>
                <w:lang w:val="en-US" w:eastAsia="zh-CN"/>
              </w:rPr>
              <w:t>19</w:t>
            </w:r>
            <w:r>
              <w:rPr>
                <w:rFonts w:hint="default" w:ascii="Times New Roman" w:hAnsi="Times New Roman" w:eastAsia="宋体" w:cs="Times New Roman"/>
                <w:b/>
                <w:bCs w:val="0"/>
                <w:color w:val="000000"/>
              </w:rPr>
              <w:t xml:space="preserve">                现有工程各厂界监测噪声值</w:t>
            </w:r>
          </w:p>
          <w:tbl>
            <w:tblPr>
              <w:tblStyle w:val="23"/>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105"/>
              <w:gridCol w:w="2350"/>
              <w:gridCol w:w="2350"/>
            </w:tblGrid>
            <w:tr w14:paraId="0D427D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1" w:type="pct"/>
                  <w:vMerge w:val="restart"/>
                  <w:tcBorders>
                    <w:top w:val="single" w:color="auto" w:sz="8" w:space="0"/>
                  </w:tcBorders>
                  <w:vAlign w:val="center"/>
                </w:tcPr>
                <w:p w14:paraId="27DF8B3C">
                  <w:pPr>
                    <w:pStyle w:val="51"/>
                    <w:keepNext w:val="0"/>
                    <w:keepLines w:val="0"/>
                    <w:suppressLineNumbers w:val="0"/>
                    <w:spacing w:before="0" w:beforeAutospacing="0" w:after="0" w:afterAutospacing="0"/>
                    <w:ind w:left="0" w:right="0"/>
                    <w:rPr>
                      <w:rFonts w:hint="default"/>
                      <w:b/>
                      <w:bCs/>
                      <w:sz w:val="21"/>
                      <w:szCs w:val="21"/>
                    </w:rPr>
                  </w:pPr>
                  <w:r>
                    <w:rPr>
                      <w:rFonts w:hint="default"/>
                      <w:b/>
                      <w:bCs/>
                      <w:sz w:val="21"/>
                      <w:szCs w:val="21"/>
                    </w:rPr>
                    <w:t>监测点位</w:t>
                  </w:r>
                </w:p>
              </w:tc>
              <w:tc>
                <w:tcPr>
                  <w:tcW w:w="2668" w:type="pct"/>
                  <w:gridSpan w:val="2"/>
                  <w:tcBorders>
                    <w:top w:val="single" w:color="auto" w:sz="8" w:space="0"/>
                  </w:tcBorders>
                  <w:vAlign w:val="center"/>
                </w:tcPr>
                <w:p w14:paraId="2874C855">
                  <w:pPr>
                    <w:pStyle w:val="51"/>
                    <w:keepNext w:val="0"/>
                    <w:keepLines w:val="0"/>
                    <w:suppressLineNumbers w:val="0"/>
                    <w:spacing w:before="0" w:beforeAutospacing="0" w:after="0" w:afterAutospacing="0"/>
                    <w:ind w:left="0" w:right="0"/>
                    <w:rPr>
                      <w:rFonts w:hint="default"/>
                      <w:b/>
                      <w:bCs/>
                      <w:sz w:val="21"/>
                      <w:szCs w:val="21"/>
                    </w:rPr>
                  </w:pPr>
                  <w:r>
                    <w:rPr>
                      <w:rFonts w:hint="default"/>
                      <w:b/>
                      <w:bCs/>
                      <w:sz w:val="21"/>
                      <w:szCs w:val="21"/>
                    </w:rPr>
                    <w:t>监测结果（dB（A））</w:t>
                  </w:r>
                </w:p>
              </w:tc>
            </w:tr>
            <w:tr w14:paraId="471402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1" w:type="pct"/>
                  <w:vMerge w:val="continue"/>
                  <w:tcBorders>
                    <w:bottom w:val="single" w:color="auto" w:sz="8" w:space="0"/>
                  </w:tcBorders>
                  <w:vAlign w:val="center"/>
                </w:tcPr>
                <w:p w14:paraId="4FBE780D">
                  <w:pPr>
                    <w:pStyle w:val="51"/>
                    <w:keepNext w:val="0"/>
                    <w:keepLines w:val="0"/>
                    <w:suppressLineNumbers w:val="0"/>
                    <w:spacing w:before="0" w:beforeAutospacing="0" w:after="0" w:afterAutospacing="0"/>
                    <w:ind w:left="0" w:right="0"/>
                    <w:rPr>
                      <w:rFonts w:hint="default"/>
                      <w:b/>
                      <w:bCs/>
                      <w:sz w:val="21"/>
                      <w:szCs w:val="21"/>
                    </w:rPr>
                  </w:pPr>
                </w:p>
              </w:tc>
              <w:tc>
                <w:tcPr>
                  <w:tcW w:w="1334" w:type="pct"/>
                  <w:tcBorders>
                    <w:bottom w:val="single" w:color="auto" w:sz="8" w:space="0"/>
                  </w:tcBorders>
                  <w:vAlign w:val="center"/>
                </w:tcPr>
                <w:p w14:paraId="0C93F409">
                  <w:pPr>
                    <w:pStyle w:val="51"/>
                    <w:keepNext w:val="0"/>
                    <w:keepLines w:val="0"/>
                    <w:suppressLineNumbers w:val="0"/>
                    <w:spacing w:before="0" w:beforeAutospacing="0" w:after="0" w:afterAutospacing="0"/>
                    <w:ind w:left="0" w:right="0"/>
                    <w:rPr>
                      <w:rFonts w:hint="default"/>
                      <w:b/>
                      <w:bCs/>
                      <w:sz w:val="21"/>
                      <w:szCs w:val="21"/>
                    </w:rPr>
                  </w:pPr>
                  <w:r>
                    <w:rPr>
                      <w:rFonts w:hint="default"/>
                      <w:b/>
                      <w:bCs/>
                      <w:sz w:val="21"/>
                      <w:szCs w:val="21"/>
                    </w:rPr>
                    <w:t>昼间</w:t>
                  </w:r>
                </w:p>
              </w:tc>
              <w:tc>
                <w:tcPr>
                  <w:tcW w:w="1334" w:type="pct"/>
                  <w:tcBorders>
                    <w:bottom w:val="single" w:color="auto" w:sz="8" w:space="0"/>
                  </w:tcBorders>
                  <w:vAlign w:val="center"/>
                </w:tcPr>
                <w:p w14:paraId="28049768">
                  <w:pPr>
                    <w:pStyle w:val="51"/>
                    <w:keepNext w:val="0"/>
                    <w:keepLines w:val="0"/>
                    <w:suppressLineNumbers w:val="0"/>
                    <w:spacing w:before="0" w:beforeAutospacing="0" w:after="0" w:afterAutospacing="0"/>
                    <w:ind w:left="0" w:right="0"/>
                    <w:rPr>
                      <w:rFonts w:hint="eastAsia" w:eastAsia="宋体"/>
                      <w:b/>
                      <w:bCs/>
                      <w:sz w:val="21"/>
                      <w:szCs w:val="21"/>
                      <w:lang w:val="en-US" w:eastAsia="zh-CN"/>
                    </w:rPr>
                  </w:pPr>
                  <w:r>
                    <w:rPr>
                      <w:rFonts w:hint="eastAsia"/>
                      <w:b/>
                      <w:bCs/>
                      <w:sz w:val="21"/>
                      <w:szCs w:val="21"/>
                      <w:lang w:val="en-US" w:eastAsia="zh-CN"/>
                    </w:rPr>
                    <w:t>夜间</w:t>
                  </w:r>
                </w:p>
              </w:tc>
            </w:tr>
            <w:tr w14:paraId="20B921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1" w:type="pct"/>
                  <w:tcBorders>
                    <w:top w:val="single" w:color="auto" w:sz="8" w:space="0"/>
                  </w:tcBorders>
                  <w:vAlign w:val="center"/>
                </w:tcPr>
                <w:p w14:paraId="4CC21402">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北厂界</w:t>
                  </w:r>
                </w:p>
              </w:tc>
              <w:tc>
                <w:tcPr>
                  <w:tcW w:w="1334" w:type="pct"/>
                  <w:tcBorders>
                    <w:top w:val="single" w:color="auto" w:sz="8" w:space="0"/>
                  </w:tcBorders>
                  <w:vAlign w:val="center"/>
                </w:tcPr>
                <w:p w14:paraId="5C6D01D8">
                  <w:pPr>
                    <w:pStyle w:val="51"/>
                    <w:keepNext w:val="0"/>
                    <w:keepLines w:val="0"/>
                    <w:suppressLineNumbers w:val="0"/>
                    <w:spacing w:before="0" w:beforeAutospacing="0" w:after="0" w:afterAutospacing="0"/>
                    <w:ind w:left="0" w:right="0"/>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57</w:t>
                  </w:r>
                </w:p>
              </w:tc>
              <w:tc>
                <w:tcPr>
                  <w:tcW w:w="1334" w:type="pct"/>
                  <w:tcBorders>
                    <w:top w:val="single" w:color="auto" w:sz="8" w:space="0"/>
                  </w:tcBorders>
                  <w:vAlign w:val="center"/>
                </w:tcPr>
                <w:p w14:paraId="2DC39872">
                  <w:pPr>
                    <w:pStyle w:val="51"/>
                    <w:keepNext w:val="0"/>
                    <w:keepLines w:val="0"/>
                    <w:suppressLineNumbers w:val="0"/>
                    <w:spacing w:before="0" w:beforeAutospacing="0" w:after="0" w:afterAutospacing="0"/>
                    <w:ind w:left="0" w:right="0"/>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43</w:t>
                  </w:r>
                </w:p>
              </w:tc>
            </w:tr>
            <w:tr w14:paraId="205F92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1" w:type="pct"/>
                  <w:tcBorders>
                    <w:bottom w:val="single" w:color="auto" w:sz="4" w:space="0"/>
                  </w:tcBorders>
                  <w:vAlign w:val="center"/>
                </w:tcPr>
                <w:p w14:paraId="42D31214">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西厂界</w:t>
                  </w:r>
                </w:p>
              </w:tc>
              <w:tc>
                <w:tcPr>
                  <w:tcW w:w="1334" w:type="pct"/>
                  <w:tcBorders>
                    <w:bottom w:val="single" w:color="auto" w:sz="4" w:space="0"/>
                  </w:tcBorders>
                  <w:vAlign w:val="center"/>
                </w:tcPr>
                <w:p w14:paraId="5755E260">
                  <w:pPr>
                    <w:pStyle w:val="51"/>
                    <w:keepNext w:val="0"/>
                    <w:keepLines w:val="0"/>
                    <w:suppressLineNumbers w:val="0"/>
                    <w:spacing w:before="0" w:beforeAutospacing="0" w:after="0" w:afterAutospacing="0"/>
                    <w:ind w:left="0" w:right="0"/>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56</w:t>
                  </w:r>
                </w:p>
              </w:tc>
              <w:tc>
                <w:tcPr>
                  <w:tcW w:w="1334" w:type="pct"/>
                  <w:tcBorders>
                    <w:bottom w:val="single" w:color="auto" w:sz="4" w:space="0"/>
                  </w:tcBorders>
                  <w:vAlign w:val="center"/>
                </w:tcPr>
                <w:p w14:paraId="7780955B">
                  <w:pPr>
                    <w:pStyle w:val="51"/>
                    <w:keepNext w:val="0"/>
                    <w:keepLines w:val="0"/>
                    <w:suppressLineNumbers w:val="0"/>
                    <w:spacing w:before="0" w:beforeAutospacing="0" w:after="0" w:afterAutospacing="0"/>
                    <w:ind w:left="0" w:right="0"/>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47</w:t>
                  </w:r>
                </w:p>
              </w:tc>
            </w:tr>
            <w:tr w14:paraId="0C5E7F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1" w:type="pct"/>
                  <w:tcBorders>
                    <w:bottom w:val="single" w:color="auto" w:sz="8" w:space="0"/>
                  </w:tcBorders>
                  <w:vAlign w:val="center"/>
                </w:tcPr>
                <w:p w14:paraId="3DB8FBFF">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《工业企业厂界环境噪声排放标准》（GB12348-2008）3类</w:t>
                  </w:r>
                </w:p>
              </w:tc>
              <w:tc>
                <w:tcPr>
                  <w:tcW w:w="2668" w:type="pct"/>
                  <w:gridSpan w:val="2"/>
                  <w:tcBorders>
                    <w:bottom w:val="single" w:color="auto" w:sz="8" w:space="0"/>
                  </w:tcBorders>
                  <w:vAlign w:val="center"/>
                </w:tcPr>
                <w:p w14:paraId="032E9848">
                  <w:pPr>
                    <w:pStyle w:val="51"/>
                    <w:keepNext w:val="0"/>
                    <w:keepLines w:val="0"/>
                    <w:suppressLineNumbers w:val="0"/>
                    <w:spacing w:before="0" w:beforeAutospacing="0" w:after="0" w:afterAutospacing="0"/>
                    <w:ind w:left="0" w:right="0"/>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rPr>
                    <w:t>昼间65（dB（A））</w:t>
                  </w:r>
                  <w:r>
                    <w:rPr>
                      <w:rFonts w:hint="default" w:ascii="Times New Roman" w:hAnsi="Times New Roman" w:cs="Times New Roman"/>
                      <w:sz w:val="21"/>
                      <w:szCs w:val="21"/>
                      <w:lang w:eastAsia="zh-CN"/>
                    </w:rPr>
                    <w:t>、</w:t>
                  </w:r>
                  <w:r>
                    <w:rPr>
                      <w:rFonts w:hint="default" w:ascii="Times New Roman" w:hAnsi="Times New Roman" w:cs="Times New Roman"/>
                      <w:sz w:val="21"/>
                      <w:szCs w:val="21"/>
                      <w:lang w:val="en-US" w:eastAsia="zh-CN"/>
                    </w:rPr>
                    <w:t>夜间55</w:t>
                  </w:r>
                  <w:r>
                    <w:rPr>
                      <w:rFonts w:hint="default" w:ascii="Times New Roman" w:hAnsi="Times New Roman" w:cs="Times New Roman"/>
                      <w:sz w:val="21"/>
                      <w:szCs w:val="21"/>
                    </w:rPr>
                    <w:t>（dB（A））</w:t>
                  </w:r>
                </w:p>
              </w:tc>
            </w:tr>
          </w:tbl>
          <w:p w14:paraId="5086AC60">
            <w:pPr>
              <w:keepNext w:val="0"/>
              <w:keepLines w:val="0"/>
              <w:suppressLineNumbers w:val="0"/>
              <w:spacing w:before="0" w:beforeAutospacing="0" w:after="0" w:afterAutospacing="0"/>
              <w:ind w:left="0" w:right="0" w:firstLine="480"/>
              <w:rPr>
                <w:rFonts w:hint="default"/>
              </w:rPr>
            </w:pPr>
            <w:r>
              <w:rPr>
                <w:rFonts w:hint="eastAsia"/>
              </w:rPr>
              <w:t>注：东厂界、南厂界为共用墙。</w:t>
            </w:r>
          </w:p>
          <w:p w14:paraId="16E857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rPr>
            </w:pPr>
            <w:r>
              <w:rPr>
                <w:rFonts w:hint="eastAsia"/>
              </w:rPr>
              <w:t>由上表可知，</w:t>
            </w:r>
            <w:r>
              <w:rPr>
                <w:rFonts w:hint="default"/>
              </w:rPr>
              <w:t>项目</w:t>
            </w:r>
            <w:r>
              <w:rPr>
                <w:rFonts w:hint="eastAsia"/>
              </w:rPr>
              <w:t>营运期北、西厂界噪声均能够满足</w:t>
            </w:r>
            <w:r>
              <w:rPr>
                <w:rFonts w:hint="default"/>
              </w:rPr>
              <w:t>《工业企业厂界环境噪声排放标准》</w:t>
            </w:r>
            <w:r>
              <w:rPr>
                <w:rFonts w:hint="eastAsia"/>
              </w:rPr>
              <w:t>（</w:t>
            </w:r>
            <w:r>
              <w:rPr>
                <w:rFonts w:hint="default"/>
              </w:rPr>
              <w:t>GB12348-2008</w:t>
            </w:r>
            <w:r>
              <w:rPr>
                <w:rFonts w:hint="eastAsia"/>
              </w:rPr>
              <w:t>）</w:t>
            </w:r>
            <w:r>
              <w:rPr>
                <w:rFonts w:hint="default"/>
              </w:rPr>
              <w:t>的</w:t>
            </w:r>
            <w:r>
              <w:rPr>
                <w:rFonts w:hint="eastAsia"/>
              </w:rPr>
              <w:t>3类</w:t>
            </w:r>
            <w:r>
              <w:rPr>
                <w:rFonts w:hint="default"/>
              </w:rPr>
              <w:t>标准要</w:t>
            </w:r>
            <w:r>
              <w:rPr>
                <w:rFonts w:hint="eastAsia"/>
              </w:rPr>
              <w:t>求。</w:t>
            </w:r>
          </w:p>
          <w:p w14:paraId="197DDC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default"/>
              </w:rPr>
            </w:pPr>
            <w:r>
              <w:rPr>
                <w:rFonts w:hint="eastAsia"/>
              </w:rPr>
              <w:t>（</w:t>
            </w:r>
            <w:r>
              <w:rPr>
                <w:rFonts w:hint="eastAsia"/>
                <w:lang w:val="en-US" w:eastAsia="zh-CN"/>
              </w:rPr>
              <w:t>四</w:t>
            </w:r>
            <w:r>
              <w:rPr>
                <w:rFonts w:hint="eastAsia"/>
              </w:rPr>
              <w:t>）</w:t>
            </w:r>
            <w:r>
              <w:rPr>
                <w:rFonts w:hint="default"/>
              </w:rPr>
              <w:t>固废</w:t>
            </w:r>
          </w:p>
          <w:p w14:paraId="0CA491A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default"/>
              </w:rPr>
            </w:pPr>
            <w:r>
              <w:rPr>
                <w:rFonts w:hint="default"/>
              </w:rPr>
              <w:t>现有工程固废治理情况汇总见</w:t>
            </w:r>
            <w:r>
              <w:rPr>
                <w:rFonts w:hint="eastAsia"/>
                <w:lang w:val="en-US" w:eastAsia="zh-CN"/>
              </w:rPr>
              <w:t>下表</w:t>
            </w:r>
            <w:r>
              <w:rPr>
                <w:rFonts w:hint="default"/>
              </w:rPr>
              <w:t>。</w:t>
            </w:r>
          </w:p>
          <w:p w14:paraId="18302FB6">
            <w:pPr>
              <w:keepNext w:val="0"/>
              <w:keepLines w:val="0"/>
              <w:suppressLineNumbers w:val="0"/>
              <w:autoSpaceDE w:val="0"/>
              <w:autoSpaceDN w:val="0"/>
              <w:adjustRightInd w:val="0"/>
              <w:spacing w:before="0" w:beforeAutospacing="0" w:after="0" w:afterAutospacing="0" w:line="440" w:lineRule="exact"/>
              <w:ind w:left="0" w:right="0" w:firstLine="723" w:firstLineChars="300"/>
              <w:rPr>
                <w:rFonts w:hint="default" w:eastAsia="黑体"/>
                <w:bCs/>
                <w:color w:val="000000"/>
              </w:rPr>
            </w:pPr>
            <w:r>
              <w:rPr>
                <w:rFonts w:hint="default" w:ascii="Times New Roman" w:hAnsi="Times New Roman" w:eastAsia="宋体" w:cs="Times New Roman"/>
                <w:b/>
                <w:bCs w:val="0"/>
                <w:color w:val="000000"/>
              </w:rPr>
              <w:t>表</w:t>
            </w:r>
            <w:r>
              <w:rPr>
                <w:rFonts w:hint="default" w:ascii="Times New Roman" w:hAnsi="Times New Roman" w:eastAsia="宋体" w:cs="Times New Roman"/>
                <w:b/>
                <w:bCs w:val="0"/>
                <w:color w:val="000000"/>
                <w:lang w:val="en-US" w:eastAsia="zh-CN"/>
              </w:rPr>
              <w:t>20</w:t>
            </w:r>
            <w:r>
              <w:rPr>
                <w:rFonts w:hint="default" w:ascii="Times New Roman" w:hAnsi="Times New Roman" w:eastAsia="宋体" w:cs="Times New Roman"/>
                <w:b/>
                <w:bCs w:val="0"/>
                <w:color w:val="000000"/>
              </w:rPr>
              <w:t xml:space="preserve">               现有工程固废治理情况汇总</w:t>
            </w:r>
          </w:p>
          <w:tbl>
            <w:tblPr>
              <w:tblStyle w:val="23"/>
              <w:tblW w:w="8616"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40"/>
              <w:gridCol w:w="1404"/>
              <w:gridCol w:w="1405"/>
              <w:gridCol w:w="1309"/>
              <w:gridCol w:w="2658"/>
            </w:tblGrid>
            <w:tr w14:paraId="178C4DA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0" w:type="dxa"/>
                  <w:tcBorders>
                    <w:top w:val="single" w:color="auto" w:sz="8" w:space="0"/>
                    <w:bottom w:val="single" w:color="auto" w:sz="8" w:space="0"/>
                  </w:tcBorders>
                  <w:noWrap/>
                  <w:vAlign w:val="center"/>
                </w:tcPr>
                <w:p w14:paraId="644269B4">
                  <w:pPr>
                    <w:pStyle w:val="51"/>
                    <w:keepNext w:val="0"/>
                    <w:keepLines w:val="0"/>
                    <w:suppressLineNumbers w:val="0"/>
                    <w:spacing w:before="0" w:beforeAutospacing="0" w:after="0" w:afterAutospacing="0"/>
                    <w:ind w:left="0" w:right="0"/>
                    <w:rPr>
                      <w:rFonts w:hint="default" w:ascii="Times New Roman" w:hAnsi="Times New Roman" w:cs="Times New Roman"/>
                      <w:b/>
                      <w:bCs/>
                      <w:sz w:val="21"/>
                      <w:szCs w:val="21"/>
                    </w:rPr>
                  </w:pPr>
                  <w:r>
                    <w:rPr>
                      <w:rFonts w:hint="default" w:ascii="Times New Roman" w:hAnsi="Times New Roman" w:cs="Times New Roman"/>
                      <w:b/>
                      <w:bCs/>
                      <w:sz w:val="21"/>
                      <w:szCs w:val="21"/>
                    </w:rPr>
                    <w:t>排放源</w:t>
                  </w:r>
                </w:p>
              </w:tc>
              <w:tc>
                <w:tcPr>
                  <w:tcW w:w="1404" w:type="dxa"/>
                  <w:tcBorders>
                    <w:top w:val="single" w:color="auto" w:sz="8" w:space="0"/>
                    <w:bottom w:val="single" w:color="auto" w:sz="8" w:space="0"/>
                  </w:tcBorders>
                  <w:noWrap/>
                  <w:vAlign w:val="center"/>
                </w:tcPr>
                <w:p w14:paraId="0E97BAEA">
                  <w:pPr>
                    <w:pStyle w:val="51"/>
                    <w:keepNext w:val="0"/>
                    <w:keepLines w:val="0"/>
                    <w:suppressLineNumbers w:val="0"/>
                    <w:spacing w:before="0" w:beforeAutospacing="0" w:after="0" w:afterAutospacing="0"/>
                    <w:ind w:left="0" w:right="0"/>
                    <w:rPr>
                      <w:rFonts w:hint="default" w:ascii="Times New Roman" w:hAnsi="Times New Roman" w:cs="Times New Roman"/>
                      <w:b/>
                      <w:bCs/>
                      <w:sz w:val="21"/>
                      <w:szCs w:val="21"/>
                    </w:rPr>
                  </w:pPr>
                  <w:r>
                    <w:rPr>
                      <w:rFonts w:hint="default" w:ascii="Times New Roman" w:hAnsi="Times New Roman" w:cs="Times New Roman"/>
                      <w:b/>
                      <w:bCs/>
                      <w:sz w:val="21"/>
                      <w:szCs w:val="21"/>
                    </w:rPr>
                    <w:t>固废名称</w:t>
                  </w:r>
                </w:p>
              </w:tc>
              <w:tc>
                <w:tcPr>
                  <w:tcW w:w="1405" w:type="dxa"/>
                  <w:tcBorders>
                    <w:top w:val="single" w:color="auto" w:sz="8" w:space="0"/>
                    <w:bottom w:val="single" w:color="auto" w:sz="8" w:space="0"/>
                  </w:tcBorders>
                  <w:noWrap/>
                  <w:vAlign w:val="center"/>
                </w:tcPr>
                <w:p w14:paraId="1526D534">
                  <w:pPr>
                    <w:pStyle w:val="51"/>
                    <w:keepNext w:val="0"/>
                    <w:keepLines w:val="0"/>
                    <w:suppressLineNumbers w:val="0"/>
                    <w:spacing w:before="0" w:beforeAutospacing="0" w:after="0" w:afterAutospacing="0"/>
                    <w:ind w:left="0" w:right="0"/>
                    <w:rPr>
                      <w:rFonts w:hint="default" w:ascii="Times New Roman" w:hAnsi="Times New Roman" w:eastAsia="宋体" w:cs="Times New Roman"/>
                      <w:b/>
                      <w:bCs/>
                      <w:sz w:val="21"/>
                      <w:szCs w:val="21"/>
                      <w:lang w:val="en-US" w:eastAsia="zh-CN"/>
                    </w:rPr>
                  </w:pPr>
                  <w:r>
                    <w:rPr>
                      <w:rFonts w:hint="eastAsia" w:ascii="Times New Roman" w:cs="Times New Roman"/>
                      <w:b/>
                      <w:bCs/>
                      <w:sz w:val="21"/>
                      <w:szCs w:val="21"/>
                      <w:lang w:val="en-US" w:eastAsia="zh-CN"/>
                    </w:rPr>
                    <w:t>固废类别</w:t>
                  </w:r>
                </w:p>
              </w:tc>
              <w:tc>
                <w:tcPr>
                  <w:tcW w:w="1309" w:type="dxa"/>
                  <w:tcBorders>
                    <w:top w:val="single" w:color="auto" w:sz="8" w:space="0"/>
                    <w:bottom w:val="single" w:color="auto" w:sz="8" w:space="0"/>
                  </w:tcBorders>
                  <w:noWrap/>
                  <w:vAlign w:val="center"/>
                </w:tcPr>
                <w:p w14:paraId="68C00532">
                  <w:pPr>
                    <w:pStyle w:val="51"/>
                    <w:keepNext w:val="0"/>
                    <w:keepLines w:val="0"/>
                    <w:suppressLineNumbers w:val="0"/>
                    <w:spacing w:before="0" w:beforeAutospacing="0" w:after="0" w:afterAutospacing="0"/>
                    <w:ind w:left="0" w:right="0"/>
                    <w:rPr>
                      <w:rFonts w:hint="default" w:ascii="Times New Roman" w:hAnsi="Times New Roman" w:cs="Times New Roman"/>
                      <w:b/>
                      <w:bCs/>
                      <w:sz w:val="21"/>
                      <w:szCs w:val="21"/>
                    </w:rPr>
                  </w:pPr>
                  <w:r>
                    <w:rPr>
                      <w:rFonts w:hint="default" w:ascii="Times New Roman" w:hAnsi="Times New Roman" w:cs="Times New Roman"/>
                      <w:b/>
                      <w:bCs/>
                      <w:sz w:val="21"/>
                      <w:szCs w:val="21"/>
                    </w:rPr>
                    <w:t>产生量（t/a）</w:t>
                  </w:r>
                </w:p>
              </w:tc>
              <w:tc>
                <w:tcPr>
                  <w:tcW w:w="2658" w:type="dxa"/>
                  <w:tcBorders>
                    <w:top w:val="single" w:color="auto" w:sz="8" w:space="0"/>
                    <w:bottom w:val="single" w:color="auto" w:sz="8" w:space="0"/>
                  </w:tcBorders>
                  <w:noWrap/>
                  <w:vAlign w:val="center"/>
                </w:tcPr>
                <w:p w14:paraId="6D4D7B7F">
                  <w:pPr>
                    <w:pStyle w:val="51"/>
                    <w:keepNext w:val="0"/>
                    <w:keepLines w:val="0"/>
                    <w:suppressLineNumbers w:val="0"/>
                    <w:spacing w:before="0" w:beforeAutospacing="0" w:after="0" w:afterAutospacing="0"/>
                    <w:ind w:left="0" w:right="0"/>
                    <w:rPr>
                      <w:rFonts w:hint="default" w:ascii="Times New Roman" w:hAnsi="Times New Roman" w:cs="Times New Roman"/>
                      <w:b/>
                      <w:bCs/>
                      <w:sz w:val="21"/>
                      <w:szCs w:val="21"/>
                    </w:rPr>
                  </w:pPr>
                  <w:r>
                    <w:rPr>
                      <w:rFonts w:hint="default" w:ascii="Times New Roman" w:hAnsi="Times New Roman" w:cs="Times New Roman"/>
                      <w:b/>
                      <w:bCs/>
                      <w:sz w:val="21"/>
                      <w:szCs w:val="21"/>
                    </w:rPr>
                    <w:t>处理措施</w:t>
                  </w:r>
                </w:p>
              </w:tc>
            </w:tr>
            <w:tr w14:paraId="78992FB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0" w:type="dxa"/>
                  <w:vMerge w:val="restart"/>
                  <w:noWrap/>
                  <w:vAlign w:val="center"/>
                </w:tcPr>
                <w:p w14:paraId="5F016E45">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生产过程</w:t>
                  </w:r>
                </w:p>
              </w:tc>
              <w:tc>
                <w:tcPr>
                  <w:tcW w:w="1404" w:type="dxa"/>
                  <w:noWrap/>
                  <w:vAlign w:val="center"/>
                </w:tcPr>
                <w:p w14:paraId="29429081">
                  <w:pPr>
                    <w:pStyle w:val="51"/>
                    <w:keepNext w:val="0"/>
                    <w:keepLines w:val="0"/>
                    <w:suppressLineNumbers w:val="0"/>
                    <w:spacing w:before="0" w:beforeAutospacing="0" w:after="0" w:afterAutospacing="0"/>
                    <w:ind w:left="0" w:right="0"/>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rPr>
                    <w:t>废边角料</w:t>
                  </w:r>
                  <w:r>
                    <w:rPr>
                      <w:rFonts w:hint="eastAsia" w:ascii="Times New Roman" w:cs="Times New Roman"/>
                      <w:sz w:val="21"/>
                      <w:szCs w:val="21"/>
                      <w:lang w:eastAsia="zh-CN"/>
                    </w:rPr>
                    <w:t>、</w:t>
                  </w:r>
                  <w:r>
                    <w:rPr>
                      <w:rFonts w:hint="eastAsia" w:ascii="Times New Roman" w:cs="Times New Roman"/>
                      <w:sz w:val="21"/>
                      <w:szCs w:val="21"/>
                      <w:lang w:val="en-US" w:eastAsia="zh-CN"/>
                    </w:rPr>
                    <w:t>次品、废电池钢壳、盖帽、钢带、铝箔等</w:t>
                  </w:r>
                </w:p>
              </w:tc>
              <w:tc>
                <w:tcPr>
                  <w:tcW w:w="1405" w:type="dxa"/>
                  <w:vMerge w:val="restart"/>
                  <w:noWrap/>
                  <w:vAlign w:val="center"/>
                </w:tcPr>
                <w:p w14:paraId="0B7A2A19">
                  <w:pPr>
                    <w:pStyle w:val="51"/>
                    <w:keepNext w:val="0"/>
                    <w:keepLines w:val="0"/>
                    <w:suppressLineNumbers w:val="0"/>
                    <w:spacing w:before="0" w:beforeAutospacing="0" w:after="0" w:afterAutospacing="0"/>
                    <w:ind w:left="0" w:right="0"/>
                    <w:rPr>
                      <w:rFonts w:hint="default" w:ascii="Times New Roman" w:hAnsi="Times New Roman" w:eastAsia="宋体" w:cs="Times New Roman"/>
                      <w:sz w:val="21"/>
                      <w:szCs w:val="21"/>
                      <w:lang w:val="en-US" w:eastAsia="zh-CN"/>
                    </w:rPr>
                  </w:pPr>
                  <w:r>
                    <w:rPr>
                      <w:rFonts w:hint="eastAsia" w:ascii="Times New Roman" w:cs="Times New Roman"/>
                      <w:sz w:val="21"/>
                      <w:szCs w:val="21"/>
                      <w:lang w:val="en-US" w:eastAsia="zh-CN"/>
                    </w:rPr>
                    <w:t>一般固废</w:t>
                  </w:r>
                </w:p>
              </w:tc>
              <w:tc>
                <w:tcPr>
                  <w:tcW w:w="1309" w:type="dxa"/>
                  <w:vMerge w:val="restart"/>
                  <w:noWrap/>
                  <w:vAlign w:val="center"/>
                </w:tcPr>
                <w:p w14:paraId="7E009154">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eastAsia" w:ascii="Times New Roman" w:hAnsi="Times New Roman" w:cs="Times New Roman"/>
                      <w:sz w:val="21"/>
                      <w:szCs w:val="21"/>
                      <w:lang w:val="en-US" w:eastAsia="zh-CN"/>
                    </w:rPr>
                    <w:t>82.5</w:t>
                  </w:r>
                  <w:r>
                    <w:rPr>
                      <w:rFonts w:hint="default" w:ascii="Times New Roman" w:hAnsi="Times New Roman" w:cs="Times New Roman"/>
                      <w:sz w:val="21"/>
                      <w:szCs w:val="21"/>
                    </w:rPr>
                    <w:t>t/a</w:t>
                  </w:r>
                </w:p>
              </w:tc>
              <w:tc>
                <w:tcPr>
                  <w:tcW w:w="2658" w:type="dxa"/>
                  <w:noWrap/>
                  <w:vAlign w:val="center"/>
                </w:tcPr>
                <w:p w14:paraId="096B4E78">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外售</w:t>
                  </w:r>
                </w:p>
              </w:tc>
            </w:tr>
            <w:tr w14:paraId="045D9F1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0" w:type="dxa"/>
                  <w:vMerge w:val="continue"/>
                  <w:noWrap/>
                  <w:vAlign w:val="center"/>
                </w:tcPr>
                <w:p w14:paraId="48E57B12">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1404" w:type="dxa"/>
                  <w:noWrap/>
                  <w:vAlign w:val="center"/>
                </w:tcPr>
                <w:p w14:paraId="48E5B8B0">
                  <w:pPr>
                    <w:pStyle w:val="51"/>
                    <w:keepNext w:val="0"/>
                    <w:keepLines w:val="0"/>
                    <w:suppressLineNumbers w:val="0"/>
                    <w:spacing w:before="0" w:beforeAutospacing="0" w:after="0" w:afterAutospacing="0"/>
                    <w:ind w:left="0" w:right="0"/>
                    <w:rPr>
                      <w:rFonts w:hint="default" w:ascii="Times New Roman" w:hAnsi="Times New Roman" w:eastAsia="宋体" w:cs="Times New Roman"/>
                      <w:sz w:val="21"/>
                      <w:szCs w:val="21"/>
                      <w:lang w:val="en-US" w:eastAsia="zh-CN"/>
                    </w:rPr>
                  </w:pPr>
                  <w:r>
                    <w:rPr>
                      <w:rFonts w:hint="eastAsia" w:ascii="Times New Roman" w:cs="Times New Roman"/>
                      <w:sz w:val="21"/>
                      <w:szCs w:val="21"/>
                      <w:lang w:val="en-US" w:eastAsia="zh-CN"/>
                    </w:rPr>
                    <w:t>废包装物（纸箱、纸板、隔膜、吨包、废隔膜纸等）</w:t>
                  </w:r>
                </w:p>
              </w:tc>
              <w:tc>
                <w:tcPr>
                  <w:tcW w:w="1405" w:type="dxa"/>
                  <w:vMerge w:val="continue"/>
                  <w:noWrap/>
                  <w:vAlign w:val="center"/>
                </w:tcPr>
                <w:p w14:paraId="09DD3E67">
                  <w:pPr>
                    <w:pStyle w:val="51"/>
                    <w:keepNext w:val="0"/>
                    <w:keepLines w:val="0"/>
                    <w:suppressLineNumbers w:val="0"/>
                    <w:spacing w:before="0" w:beforeAutospacing="0" w:after="0" w:afterAutospacing="0"/>
                    <w:ind w:left="0" w:right="0"/>
                    <w:rPr>
                      <w:rFonts w:hint="eastAsia" w:ascii="Times New Roman" w:cs="Times New Roman"/>
                      <w:sz w:val="21"/>
                      <w:szCs w:val="21"/>
                      <w:lang w:val="en-US" w:eastAsia="zh-CN"/>
                    </w:rPr>
                  </w:pPr>
                </w:p>
              </w:tc>
              <w:tc>
                <w:tcPr>
                  <w:tcW w:w="1309" w:type="dxa"/>
                  <w:vMerge w:val="continue"/>
                  <w:noWrap/>
                  <w:vAlign w:val="center"/>
                </w:tcPr>
                <w:p w14:paraId="1492051A">
                  <w:pPr>
                    <w:pStyle w:val="51"/>
                    <w:keepNext w:val="0"/>
                    <w:keepLines w:val="0"/>
                    <w:suppressLineNumbers w:val="0"/>
                    <w:spacing w:before="0" w:beforeAutospacing="0" w:after="0" w:afterAutospacing="0"/>
                    <w:ind w:left="0" w:right="0"/>
                    <w:rPr>
                      <w:rFonts w:hint="eastAsia" w:ascii="Times New Roman" w:hAnsi="Times New Roman" w:cs="Times New Roman"/>
                      <w:sz w:val="21"/>
                      <w:szCs w:val="21"/>
                      <w:lang w:val="en-US" w:eastAsia="zh-CN"/>
                    </w:rPr>
                  </w:pPr>
                </w:p>
              </w:tc>
              <w:tc>
                <w:tcPr>
                  <w:tcW w:w="2658" w:type="dxa"/>
                  <w:noWrap/>
                  <w:vAlign w:val="center"/>
                </w:tcPr>
                <w:p w14:paraId="2BA47468">
                  <w:pPr>
                    <w:keepNext w:val="0"/>
                    <w:keepLines w:val="0"/>
                    <w:suppressLineNumbers w:val="0"/>
                    <w:spacing w:before="0" w:beforeAutospacing="0" w:after="0" w:afterAutospacing="0"/>
                    <w:ind w:left="0" w:right="0"/>
                    <w:jc w:val="center"/>
                    <w:rPr>
                      <w:rFonts w:hint="default" w:ascii="Times New Roman" w:hAnsi="Times New Roman" w:cs="Times New Roman"/>
                      <w:sz w:val="21"/>
                      <w:szCs w:val="21"/>
                    </w:rPr>
                  </w:pPr>
                  <w:r>
                    <w:rPr>
                      <w:rFonts w:hint="default" w:ascii="Times New Roman" w:hAnsi="Times New Roman" w:cs="Times New Roman"/>
                      <w:sz w:val="21"/>
                      <w:szCs w:val="21"/>
                    </w:rPr>
                    <w:t>外售</w:t>
                  </w:r>
                </w:p>
              </w:tc>
            </w:tr>
            <w:tr w14:paraId="142A896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0" w:type="dxa"/>
                  <w:vMerge w:val="continue"/>
                  <w:noWrap/>
                  <w:vAlign w:val="center"/>
                </w:tcPr>
                <w:p w14:paraId="5257AA22">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1404" w:type="dxa"/>
                  <w:noWrap/>
                  <w:vAlign w:val="center"/>
                </w:tcPr>
                <w:p w14:paraId="022D040B">
                  <w:pPr>
                    <w:pStyle w:val="51"/>
                    <w:keepNext w:val="0"/>
                    <w:keepLines w:val="0"/>
                    <w:suppressLineNumbers w:val="0"/>
                    <w:spacing w:before="0" w:beforeAutospacing="0" w:after="0" w:afterAutospacing="0"/>
                    <w:ind w:left="0" w:right="0"/>
                    <w:rPr>
                      <w:rFonts w:hint="default" w:ascii="Times New Roman" w:hAnsi="Times New Roman" w:eastAsia="宋体" w:cs="Times New Roman"/>
                      <w:sz w:val="21"/>
                      <w:szCs w:val="21"/>
                      <w:lang w:val="en-US" w:eastAsia="zh-CN"/>
                    </w:rPr>
                  </w:pPr>
                  <w:r>
                    <w:rPr>
                      <w:rFonts w:hint="eastAsia" w:ascii="Times New Roman" w:cs="Times New Roman"/>
                      <w:sz w:val="21"/>
                      <w:szCs w:val="21"/>
                      <w:lang w:val="en-US" w:eastAsia="zh-CN"/>
                    </w:rPr>
                    <w:t>除尘器集尘</w:t>
                  </w:r>
                </w:p>
              </w:tc>
              <w:tc>
                <w:tcPr>
                  <w:tcW w:w="1405" w:type="dxa"/>
                  <w:vMerge w:val="continue"/>
                  <w:noWrap/>
                  <w:vAlign w:val="center"/>
                </w:tcPr>
                <w:p w14:paraId="513DA103">
                  <w:pPr>
                    <w:pStyle w:val="51"/>
                    <w:keepNext w:val="0"/>
                    <w:keepLines w:val="0"/>
                    <w:suppressLineNumbers w:val="0"/>
                    <w:spacing w:before="0" w:beforeAutospacing="0" w:after="0" w:afterAutospacing="0"/>
                    <w:ind w:left="0" w:right="0"/>
                    <w:rPr>
                      <w:rFonts w:hint="eastAsia" w:ascii="Times New Roman" w:cs="Times New Roman"/>
                      <w:sz w:val="21"/>
                      <w:szCs w:val="21"/>
                      <w:lang w:val="en-US" w:eastAsia="zh-CN"/>
                    </w:rPr>
                  </w:pPr>
                </w:p>
              </w:tc>
              <w:tc>
                <w:tcPr>
                  <w:tcW w:w="1309" w:type="dxa"/>
                  <w:vMerge w:val="continue"/>
                  <w:noWrap/>
                  <w:vAlign w:val="center"/>
                </w:tcPr>
                <w:p w14:paraId="79C14B45">
                  <w:pPr>
                    <w:pStyle w:val="51"/>
                    <w:keepNext w:val="0"/>
                    <w:keepLines w:val="0"/>
                    <w:suppressLineNumbers w:val="0"/>
                    <w:spacing w:before="0" w:beforeAutospacing="0" w:after="0" w:afterAutospacing="0"/>
                    <w:ind w:left="0" w:right="0"/>
                    <w:rPr>
                      <w:rFonts w:hint="eastAsia" w:ascii="Times New Roman" w:hAnsi="Times New Roman" w:cs="Times New Roman"/>
                      <w:sz w:val="21"/>
                      <w:szCs w:val="21"/>
                      <w:lang w:val="en-US" w:eastAsia="zh-CN"/>
                    </w:rPr>
                  </w:pPr>
                </w:p>
              </w:tc>
              <w:tc>
                <w:tcPr>
                  <w:tcW w:w="2658" w:type="dxa"/>
                  <w:noWrap/>
                  <w:vAlign w:val="center"/>
                </w:tcPr>
                <w:p w14:paraId="3B6B8B95">
                  <w:pPr>
                    <w:keepNext w:val="0"/>
                    <w:keepLines w:val="0"/>
                    <w:suppressLineNumbers w:val="0"/>
                    <w:spacing w:before="0" w:beforeAutospacing="0" w:after="0" w:afterAutospacing="0"/>
                    <w:ind w:left="0" w:right="0"/>
                    <w:rPr>
                      <w:rFonts w:hint="default" w:ascii="Times New Roman" w:hAnsi="Times New Roman" w:eastAsia="宋体" w:cs="Times New Roman"/>
                      <w:sz w:val="21"/>
                      <w:szCs w:val="21"/>
                      <w:lang w:val="en-US" w:eastAsia="zh-CN"/>
                    </w:rPr>
                  </w:pPr>
                  <w:r>
                    <w:rPr>
                      <w:rFonts w:hint="eastAsia" w:cs="Times New Roman"/>
                      <w:sz w:val="21"/>
                      <w:szCs w:val="21"/>
                      <w:lang w:val="en-US" w:eastAsia="zh-CN"/>
                    </w:rPr>
                    <w:t>部分回用于投料机、部分回用于混料机</w:t>
                  </w:r>
                </w:p>
              </w:tc>
            </w:tr>
            <w:tr w14:paraId="3D05214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0" w:type="dxa"/>
                  <w:noWrap/>
                  <w:vAlign w:val="center"/>
                </w:tcPr>
                <w:p w14:paraId="7B37598B">
                  <w:pPr>
                    <w:pStyle w:val="51"/>
                    <w:keepNext w:val="0"/>
                    <w:keepLines w:val="0"/>
                    <w:suppressLineNumbers w:val="0"/>
                    <w:spacing w:before="0" w:beforeAutospacing="0" w:after="0" w:afterAutospacing="0"/>
                    <w:ind w:left="0" w:leftChars="0" w:right="0" w:rightChars="0"/>
                    <w:rPr>
                      <w:rFonts w:hint="default" w:ascii="Times New Roman" w:hAnsi="Times New Roman" w:cs="Times New Roman"/>
                      <w:sz w:val="21"/>
                      <w:szCs w:val="21"/>
                    </w:rPr>
                  </w:pPr>
                  <w:r>
                    <w:rPr>
                      <w:rFonts w:hint="default" w:ascii="Times New Roman" w:hAnsi="Times New Roman" w:cs="Times New Roman"/>
                      <w:sz w:val="21"/>
                      <w:szCs w:val="21"/>
                    </w:rPr>
                    <w:t>污水处理站</w:t>
                  </w:r>
                </w:p>
              </w:tc>
              <w:tc>
                <w:tcPr>
                  <w:tcW w:w="1404" w:type="dxa"/>
                  <w:shd w:val="clear" w:color="auto" w:fill="auto"/>
                  <w:noWrap/>
                  <w:vAlign w:val="center"/>
                </w:tcPr>
                <w:p w14:paraId="6393DAB5">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kern w:val="2"/>
                      <w:sz w:val="21"/>
                      <w:szCs w:val="21"/>
                      <w:lang w:val="en-US" w:eastAsia="zh-CN" w:bidi="ar-SA"/>
                    </w:rPr>
                  </w:pPr>
                  <w:r>
                    <w:rPr>
                      <w:rFonts w:hint="eastAsia" w:cs="Times New Roman"/>
                      <w:sz w:val="21"/>
                      <w:szCs w:val="21"/>
                      <w:lang w:val="en-US" w:eastAsia="zh-CN"/>
                    </w:rPr>
                    <w:t>污泥</w:t>
                  </w:r>
                </w:p>
              </w:tc>
              <w:tc>
                <w:tcPr>
                  <w:tcW w:w="1405" w:type="dxa"/>
                  <w:vMerge w:val="continue"/>
                  <w:shd w:val="clear" w:color="auto" w:fill="auto"/>
                  <w:noWrap/>
                  <w:vAlign w:val="center"/>
                </w:tcPr>
                <w:p w14:paraId="57A69EA3">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sz w:val="21"/>
                      <w:szCs w:val="21"/>
                    </w:rPr>
                  </w:pPr>
                </w:p>
              </w:tc>
              <w:tc>
                <w:tcPr>
                  <w:tcW w:w="1309" w:type="dxa"/>
                  <w:noWrap/>
                  <w:vAlign w:val="center"/>
                </w:tcPr>
                <w:p w14:paraId="7DED9848">
                  <w:pPr>
                    <w:pStyle w:val="51"/>
                    <w:keepNext w:val="0"/>
                    <w:keepLines w:val="0"/>
                    <w:suppressLineNumbers w:val="0"/>
                    <w:spacing w:before="0" w:beforeAutospacing="0" w:after="0" w:afterAutospacing="0"/>
                    <w:ind w:left="0" w:leftChars="0" w:right="0" w:rightChars="0"/>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11.8</w:t>
                  </w:r>
                  <w:r>
                    <w:rPr>
                      <w:rFonts w:hint="default" w:ascii="Times New Roman" w:hAnsi="Times New Roman" w:cs="Times New Roman"/>
                      <w:sz w:val="21"/>
                      <w:szCs w:val="21"/>
                    </w:rPr>
                    <w:t>t/a</w:t>
                  </w:r>
                </w:p>
              </w:tc>
              <w:tc>
                <w:tcPr>
                  <w:tcW w:w="2658" w:type="dxa"/>
                  <w:noWrap/>
                  <w:vAlign w:val="center"/>
                </w:tcPr>
                <w:p w14:paraId="048BAFA2">
                  <w:pPr>
                    <w:pStyle w:val="51"/>
                    <w:keepNext w:val="0"/>
                    <w:keepLines w:val="0"/>
                    <w:suppressLineNumbers w:val="0"/>
                    <w:spacing w:before="0" w:beforeAutospacing="0" w:after="0" w:afterAutospacing="0"/>
                    <w:ind w:left="0" w:leftChars="0" w:right="0" w:rightChars="0"/>
                    <w:rPr>
                      <w:rFonts w:hint="default" w:ascii="Times New Roman" w:hAnsi="Times New Roman" w:cs="Times New Roman"/>
                      <w:sz w:val="21"/>
                      <w:szCs w:val="21"/>
                    </w:rPr>
                  </w:pPr>
                  <w:r>
                    <w:rPr>
                      <w:rFonts w:hint="eastAsia" w:ascii="Times New Roman" w:cs="Times New Roman"/>
                      <w:sz w:val="21"/>
                      <w:szCs w:val="21"/>
                      <w:lang w:val="en-US" w:eastAsia="zh-CN"/>
                    </w:rPr>
                    <w:t>一般固废间暂存，定期处置</w:t>
                  </w:r>
                </w:p>
              </w:tc>
            </w:tr>
            <w:tr w14:paraId="4D95553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0" w:type="dxa"/>
                  <w:noWrap/>
                  <w:vAlign w:val="center"/>
                </w:tcPr>
                <w:p w14:paraId="430D6946">
                  <w:pPr>
                    <w:pStyle w:val="51"/>
                    <w:keepNext w:val="0"/>
                    <w:keepLines w:val="0"/>
                    <w:suppressLineNumbers w:val="0"/>
                    <w:spacing w:before="0" w:beforeAutospacing="0" w:after="0" w:afterAutospacing="0"/>
                    <w:ind w:left="0" w:right="0"/>
                    <w:rPr>
                      <w:rFonts w:hint="eastAsia" w:ascii="Times New Roman" w:hAnsi="Times New Roman" w:eastAsia="宋体" w:cs="Times New Roman"/>
                      <w:sz w:val="21"/>
                      <w:szCs w:val="21"/>
                      <w:lang w:val="en-US" w:eastAsia="zh-CN"/>
                    </w:rPr>
                  </w:pPr>
                  <w:r>
                    <w:rPr>
                      <w:rFonts w:hint="eastAsia" w:ascii="Times New Roman" w:cs="Times New Roman"/>
                      <w:sz w:val="21"/>
                      <w:szCs w:val="21"/>
                      <w:lang w:val="en-US" w:eastAsia="zh-CN"/>
                    </w:rPr>
                    <w:t>沉淀池</w:t>
                  </w:r>
                </w:p>
              </w:tc>
              <w:tc>
                <w:tcPr>
                  <w:tcW w:w="1404" w:type="dxa"/>
                  <w:shd w:val="clear" w:color="auto" w:fill="auto"/>
                  <w:noWrap/>
                  <w:vAlign w:val="center"/>
                </w:tcPr>
                <w:p w14:paraId="31E9A338">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kern w:val="2"/>
                      <w:sz w:val="21"/>
                      <w:szCs w:val="21"/>
                      <w:lang w:val="en-US" w:eastAsia="zh-CN" w:bidi="ar-SA"/>
                    </w:rPr>
                  </w:pPr>
                  <w:r>
                    <w:rPr>
                      <w:rFonts w:hint="eastAsia" w:cs="Times New Roman"/>
                      <w:sz w:val="21"/>
                      <w:szCs w:val="21"/>
                      <w:lang w:val="en-US" w:eastAsia="zh-CN"/>
                    </w:rPr>
                    <w:t>污泥</w:t>
                  </w:r>
                </w:p>
              </w:tc>
              <w:tc>
                <w:tcPr>
                  <w:tcW w:w="1405" w:type="dxa"/>
                  <w:vMerge w:val="continue"/>
                  <w:shd w:val="clear" w:color="auto" w:fill="auto"/>
                  <w:noWrap/>
                  <w:vAlign w:val="center"/>
                </w:tcPr>
                <w:p w14:paraId="75DB1103">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sz w:val="21"/>
                      <w:szCs w:val="21"/>
                    </w:rPr>
                  </w:pPr>
                </w:p>
              </w:tc>
              <w:tc>
                <w:tcPr>
                  <w:tcW w:w="1309" w:type="dxa"/>
                  <w:noWrap/>
                  <w:vAlign w:val="center"/>
                </w:tcPr>
                <w:p w14:paraId="2E191F04">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lang w:val="en-US" w:eastAsia="zh-CN"/>
                    </w:rPr>
                  </w:pPr>
                  <w:r>
                    <w:rPr>
                      <w:rFonts w:hint="eastAsia" w:ascii="Times New Roman" w:cs="Times New Roman"/>
                      <w:sz w:val="21"/>
                      <w:szCs w:val="21"/>
                      <w:lang w:val="en-US" w:eastAsia="zh-CN"/>
                    </w:rPr>
                    <w:t>0.5t/a</w:t>
                  </w:r>
                </w:p>
              </w:tc>
              <w:tc>
                <w:tcPr>
                  <w:tcW w:w="2658" w:type="dxa"/>
                  <w:noWrap/>
                  <w:vAlign w:val="center"/>
                </w:tcPr>
                <w:p w14:paraId="20EC7A5E">
                  <w:pPr>
                    <w:pStyle w:val="51"/>
                    <w:keepNext w:val="0"/>
                    <w:keepLines w:val="0"/>
                    <w:suppressLineNumbers w:val="0"/>
                    <w:spacing w:before="0" w:beforeAutospacing="0" w:after="0" w:afterAutospacing="0"/>
                    <w:ind w:left="0" w:right="0"/>
                    <w:rPr>
                      <w:rFonts w:hint="default" w:ascii="Times New Roman" w:hAnsi="Times New Roman" w:eastAsia="宋体" w:cs="Times New Roman"/>
                      <w:sz w:val="21"/>
                      <w:szCs w:val="21"/>
                      <w:lang w:val="en-US" w:eastAsia="zh-CN"/>
                    </w:rPr>
                  </w:pPr>
                  <w:r>
                    <w:rPr>
                      <w:rFonts w:hint="eastAsia" w:ascii="Times New Roman" w:cs="Times New Roman"/>
                      <w:sz w:val="21"/>
                      <w:szCs w:val="21"/>
                      <w:lang w:val="en-US" w:eastAsia="zh-CN"/>
                    </w:rPr>
                    <w:t>沉淀池储存，定期交由有资质单位处置</w:t>
                  </w:r>
                </w:p>
              </w:tc>
            </w:tr>
            <w:tr w14:paraId="22F42E1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0" w:type="dxa"/>
                  <w:noWrap/>
                  <w:vAlign w:val="center"/>
                </w:tcPr>
                <w:p w14:paraId="324E1302">
                  <w:pPr>
                    <w:pStyle w:val="51"/>
                    <w:keepNext w:val="0"/>
                    <w:keepLines w:val="0"/>
                    <w:suppressLineNumbers w:val="0"/>
                    <w:spacing w:before="0" w:beforeAutospacing="0" w:after="0" w:afterAutospacing="0"/>
                    <w:ind w:left="0" w:leftChars="0" w:right="0" w:rightChars="0"/>
                    <w:rPr>
                      <w:rFonts w:hint="eastAsia" w:ascii="Times New Roman" w:cs="Times New Roman"/>
                      <w:sz w:val="21"/>
                      <w:szCs w:val="21"/>
                      <w:lang w:val="en-US" w:eastAsia="zh-CN"/>
                    </w:rPr>
                  </w:pPr>
                  <w:r>
                    <w:rPr>
                      <w:rFonts w:hint="default" w:ascii="Times New Roman" w:hAnsi="Times New Roman" w:cs="Times New Roman"/>
                      <w:sz w:val="21"/>
                      <w:szCs w:val="21"/>
                    </w:rPr>
                    <w:t>NMP高塔回收系统</w:t>
                  </w:r>
                </w:p>
              </w:tc>
              <w:tc>
                <w:tcPr>
                  <w:tcW w:w="1404" w:type="dxa"/>
                  <w:shd w:val="clear" w:color="auto" w:fill="auto"/>
                  <w:noWrap/>
                  <w:vAlign w:val="center"/>
                </w:tcPr>
                <w:p w14:paraId="603F5D3E">
                  <w:pPr>
                    <w:pStyle w:val="51"/>
                    <w:keepNext w:val="0"/>
                    <w:keepLines w:val="0"/>
                    <w:suppressLineNumbers w:val="0"/>
                    <w:spacing w:before="0" w:beforeAutospacing="0" w:after="0" w:afterAutospacing="0"/>
                    <w:ind w:left="0" w:leftChars="0" w:right="0" w:rightChars="0"/>
                    <w:rPr>
                      <w:rFonts w:hint="default" w:ascii="Times New Roman" w:hAnsi="Times New Roman" w:cs="Times New Roman"/>
                      <w:sz w:val="21"/>
                      <w:szCs w:val="21"/>
                    </w:rPr>
                  </w:pPr>
                  <w:r>
                    <w:rPr>
                      <w:rFonts w:hint="default" w:ascii="Times New Roman" w:hAnsi="Times New Roman" w:cs="Times New Roman"/>
                      <w:sz w:val="21"/>
                      <w:szCs w:val="21"/>
                    </w:rPr>
                    <w:t>NMP溶剂、含NMP废水</w:t>
                  </w:r>
                </w:p>
              </w:tc>
              <w:tc>
                <w:tcPr>
                  <w:tcW w:w="1405" w:type="dxa"/>
                  <w:vMerge w:val="restart"/>
                  <w:shd w:val="clear" w:color="auto" w:fill="auto"/>
                  <w:noWrap/>
                  <w:vAlign w:val="center"/>
                </w:tcPr>
                <w:p w14:paraId="53C1B21A">
                  <w:pPr>
                    <w:pStyle w:val="51"/>
                    <w:keepNext w:val="0"/>
                    <w:keepLines w:val="0"/>
                    <w:suppressLineNumbers w:val="0"/>
                    <w:spacing w:before="0" w:beforeAutospacing="0" w:after="0" w:afterAutospacing="0"/>
                    <w:ind w:left="0" w:leftChars="0" w:right="0" w:rightChars="0"/>
                    <w:rPr>
                      <w:rFonts w:hint="default" w:ascii="Times New Roman" w:hAnsi="Times New Roman" w:cs="Times New Roman"/>
                      <w:sz w:val="21"/>
                      <w:szCs w:val="21"/>
                    </w:rPr>
                  </w:pPr>
                  <w:r>
                    <w:rPr>
                      <w:rFonts w:hint="eastAsia" w:ascii="Times New Roman" w:cs="Times New Roman"/>
                      <w:sz w:val="21"/>
                      <w:szCs w:val="21"/>
                      <w:lang w:val="en-US" w:eastAsia="zh-CN"/>
                    </w:rPr>
                    <w:t>危险废物</w:t>
                  </w:r>
                </w:p>
              </w:tc>
              <w:tc>
                <w:tcPr>
                  <w:tcW w:w="1309" w:type="dxa"/>
                  <w:noWrap/>
                  <w:vAlign w:val="center"/>
                </w:tcPr>
                <w:p w14:paraId="3BA64C67">
                  <w:pPr>
                    <w:pStyle w:val="51"/>
                    <w:keepNext w:val="0"/>
                    <w:keepLines w:val="0"/>
                    <w:suppressLineNumbers w:val="0"/>
                    <w:spacing w:before="0" w:beforeAutospacing="0" w:after="0" w:afterAutospacing="0"/>
                    <w:ind w:left="0" w:leftChars="0" w:right="0" w:rightChars="0"/>
                    <w:rPr>
                      <w:rFonts w:hint="eastAsia" w:ascii="Times New Roman" w:cs="Times New Roman"/>
                      <w:sz w:val="21"/>
                      <w:szCs w:val="21"/>
                      <w:lang w:val="en-US" w:eastAsia="zh-CN"/>
                    </w:rPr>
                  </w:pPr>
                  <w:r>
                    <w:rPr>
                      <w:rFonts w:hint="eastAsia" w:ascii="Times New Roman" w:hAnsi="Times New Roman" w:cs="Times New Roman"/>
                      <w:sz w:val="21"/>
                      <w:szCs w:val="21"/>
                      <w:lang w:val="en-US" w:eastAsia="zh-CN"/>
                    </w:rPr>
                    <w:t>8358.5</w:t>
                  </w:r>
                  <w:r>
                    <w:rPr>
                      <w:rFonts w:hint="default" w:ascii="Times New Roman" w:hAnsi="Times New Roman" w:cs="Times New Roman"/>
                      <w:sz w:val="21"/>
                      <w:szCs w:val="21"/>
                    </w:rPr>
                    <w:t>t/a</w:t>
                  </w:r>
                </w:p>
              </w:tc>
              <w:tc>
                <w:tcPr>
                  <w:tcW w:w="2658" w:type="dxa"/>
                  <w:noWrap/>
                  <w:vAlign w:val="center"/>
                </w:tcPr>
                <w:p w14:paraId="1433E46B">
                  <w:pPr>
                    <w:pStyle w:val="51"/>
                    <w:keepNext w:val="0"/>
                    <w:keepLines w:val="0"/>
                    <w:suppressLineNumbers w:val="0"/>
                    <w:spacing w:before="0" w:beforeAutospacing="0" w:after="0" w:afterAutospacing="0"/>
                    <w:ind w:left="0" w:leftChars="0" w:right="0" w:rightChars="0"/>
                    <w:rPr>
                      <w:rFonts w:hint="eastAsia" w:ascii="Times New Roman" w:cs="Times New Roman"/>
                      <w:sz w:val="21"/>
                      <w:szCs w:val="21"/>
                      <w:lang w:val="en-US" w:eastAsia="zh-CN"/>
                    </w:rPr>
                  </w:pPr>
                  <w:r>
                    <w:rPr>
                      <w:rFonts w:hint="default" w:ascii="Times New Roman" w:hAnsi="Times New Roman" w:cs="Times New Roman"/>
                      <w:sz w:val="21"/>
                      <w:szCs w:val="21"/>
                    </w:rPr>
                    <w:t>厂家回收</w:t>
                  </w:r>
                </w:p>
              </w:tc>
            </w:tr>
            <w:tr w14:paraId="5913494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0" w:type="dxa"/>
                  <w:noWrap/>
                  <w:vAlign w:val="center"/>
                </w:tcPr>
                <w:p w14:paraId="1D0C76EF">
                  <w:pPr>
                    <w:pStyle w:val="51"/>
                    <w:keepNext w:val="0"/>
                    <w:keepLines w:val="0"/>
                    <w:suppressLineNumbers w:val="0"/>
                    <w:spacing w:before="0" w:beforeAutospacing="0" w:after="0" w:afterAutospacing="0"/>
                    <w:ind w:left="0" w:right="0"/>
                    <w:rPr>
                      <w:rFonts w:hint="default" w:ascii="Times New Roman" w:cs="Times New Roman"/>
                      <w:sz w:val="21"/>
                      <w:szCs w:val="21"/>
                      <w:lang w:val="en-US" w:eastAsia="zh-CN"/>
                    </w:rPr>
                  </w:pPr>
                  <w:r>
                    <w:rPr>
                      <w:rFonts w:hint="eastAsia" w:ascii="Times New Roman" w:cs="Times New Roman"/>
                      <w:sz w:val="21"/>
                      <w:szCs w:val="21"/>
                      <w:lang w:val="en-US" w:eastAsia="zh-CN"/>
                    </w:rPr>
                    <w:t>设备维修</w:t>
                  </w:r>
                </w:p>
              </w:tc>
              <w:tc>
                <w:tcPr>
                  <w:tcW w:w="1404" w:type="dxa"/>
                  <w:noWrap/>
                  <w:vAlign w:val="center"/>
                </w:tcPr>
                <w:p w14:paraId="73C6E117">
                  <w:pPr>
                    <w:pStyle w:val="51"/>
                    <w:keepNext w:val="0"/>
                    <w:keepLines w:val="0"/>
                    <w:suppressLineNumbers w:val="0"/>
                    <w:spacing w:before="0" w:beforeAutospacing="0" w:after="0" w:afterAutospacing="0"/>
                    <w:ind w:left="0" w:right="0"/>
                    <w:rPr>
                      <w:rFonts w:hint="eastAsia" w:ascii="Times New Roman" w:cs="Times New Roman"/>
                      <w:sz w:val="21"/>
                      <w:szCs w:val="21"/>
                      <w:lang w:val="en-US" w:eastAsia="zh-CN"/>
                    </w:rPr>
                  </w:pPr>
                  <w:r>
                    <w:rPr>
                      <w:rFonts w:hint="eastAsia" w:ascii="Times New Roman" w:cs="Times New Roman"/>
                      <w:sz w:val="21"/>
                      <w:szCs w:val="21"/>
                      <w:lang w:val="en-US" w:eastAsia="zh-CN"/>
                    </w:rPr>
                    <w:t>废机油（润滑油）</w:t>
                  </w:r>
                </w:p>
              </w:tc>
              <w:tc>
                <w:tcPr>
                  <w:tcW w:w="1405" w:type="dxa"/>
                  <w:vMerge w:val="continue"/>
                  <w:noWrap/>
                  <w:vAlign w:val="center"/>
                </w:tcPr>
                <w:p w14:paraId="045A2DDE">
                  <w:pPr>
                    <w:pStyle w:val="51"/>
                    <w:keepNext w:val="0"/>
                    <w:keepLines w:val="0"/>
                    <w:suppressLineNumbers w:val="0"/>
                    <w:spacing w:before="0" w:beforeAutospacing="0" w:after="0" w:afterAutospacing="0"/>
                    <w:ind w:left="0" w:right="0"/>
                    <w:rPr>
                      <w:rFonts w:hint="eastAsia" w:ascii="Times New Roman" w:cs="Times New Roman"/>
                      <w:sz w:val="21"/>
                      <w:szCs w:val="21"/>
                      <w:lang w:val="en-US" w:eastAsia="zh-CN"/>
                    </w:rPr>
                  </w:pPr>
                </w:p>
              </w:tc>
              <w:tc>
                <w:tcPr>
                  <w:tcW w:w="1309" w:type="dxa"/>
                  <w:noWrap/>
                  <w:vAlign w:val="center"/>
                </w:tcPr>
                <w:p w14:paraId="46063B68">
                  <w:pPr>
                    <w:pStyle w:val="51"/>
                    <w:keepNext w:val="0"/>
                    <w:keepLines w:val="0"/>
                    <w:suppressLineNumbers w:val="0"/>
                    <w:spacing w:before="0" w:beforeAutospacing="0" w:after="0" w:afterAutospacing="0"/>
                    <w:ind w:left="0" w:right="0"/>
                    <w:rPr>
                      <w:rFonts w:hint="default" w:ascii="Times New Roman" w:cs="Times New Roman"/>
                      <w:sz w:val="21"/>
                      <w:szCs w:val="21"/>
                      <w:lang w:val="en-US" w:eastAsia="zh-CN"/>
                    </w:rPr>
                  </w:pPr>
                  <w:r>
                    <w:rPr>
                      <w:rFonts w:hint="eastAsia" w:ascii="Times New Roman" w:cs="Times New Roman"/>
                      <w:sz w:val="21"/>
                      <w:szCs w:val="21"/>
                      <w:lang w:val="en-US" w:eastAsia="zh-CN"/>
                    </w:rPr>
                    <w:t>0.7t/a</w:t>
                  </w:r>
                </w:p>
              </w:tc>
              <w:tc>
                <w:tcPr>
                  <w:tcW w:w="2658" w:type="dxa"/>
                  <w:vMerge w:val="restart"/>
                  <w:noWrap/>
                  <w:vAlign w:val="center"/>
                </w:tcPr>
                <w:p w14:paraId="01BC3491">
                  <w:pPr>
                    <w:pStyle w:val="51"/>
                    <w:keepNext w:val="0"/>
                    <w:keepLines w:val="0"/>
                    <w:suppressLineNumbers w:val="0"/>
                    <w:spacing w:before="0" w:beforeAutospacing="0" w:after="0" w:afterAutospacing="0"/>
                    <w:ind w:left="0" w:right="0"/>
                    <w:rPr>
                      <w:rFonts w:hint="eastAsia" w:ascii="Times New Roman" w:cs="Times New Roman"/>
                      <w:sz w:val="21"/>
                      <w:szCs w:val="21"/>
                      <w:lang w:val="en-US" w:eastAsia="zh-CN"/>
                    </w:rPr>
                  </w:pPr>
                  <w:r>
                    <w:rPr>
                      <w:rFonts w:hint="default" w:ascii="Times New Roman" w:hAnsi="Times New Roman" w:cs="Times New Roman"/>
                      <w:sz w:val="21"/>
                      <w:szCs w:val="21"/>
                    </w:rPr>
                    <w:t>危废暂存间暂存后定期委托有相关危废处理资质的单位处理</w:t>
                  </w:r>
                </w:p>
              </w:tc>
            </w:tr>
            <w:tr w14:paraId="460678D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0" w:type="dxa"/>
                  <w:noWrap/>
                  <w:vAlign w:val="center"/>
                </w:tcPr>
                <w:p w14:paraId="07D35279">
                  <w:pPr>
                    <w:pStyle w:val="51"/>
                    <w:keepNext w:val="0"/>
                    <w:keepLines w:val="0"/>
                    <w:suppressLineNumbers w:val="0"/>
                    <w:spacing w:before="0" w:beforeAutospacing="0" w:after="0" w:afterAutospacing="0"/>
                    <w:ind w:left="0" w:right="0"/>
                    <w:rPr>
                      <w:rFonts w:hint="default" w:ascii="Times New Roman" w:cs="Times New Roman"/>
                      <w:sz w:val="21"/>
                      <w:szCs w:val="21"/>
                      <w:lang w:val="en-US" w:eastAsia="zh-CN"/>
                    </w:rPr>
                  </w:pPr>
                  <w:r>
                    <w:rPr>
                      <w:rFonts w:hint="eastAsia" w:ascii="Times New Roman" w:cs="Times New Roman"/>
                      <w:sz w:val="21"/>
                      <w:szCs w:val="21"/>
                      <w:lang w:val="en-US" w:eastAsia="zh-CN"/>
                    </w:rPr>
                    <w:t>废水在线监测装置</w:t>
                  </w:r>
                </w:p>
              </w:tc>
              <w:tc>
                <w:tcPr>
                  <w:tcW w:w="1404" w:type="dxa"/>
                  <w:noWrap/>
                  <w:vAlign w:val="center"/>
                </w:tcPr>
                <w:p w14:paraId="636AABE2">
                  <w:pPr>
                    <w:pStyle w:val="51"/>
                    <w:keepNext w:val="0"/>
                    <w:keepLines w:val="0"/>
                    <w:suppressLineNumbers w:val="0"/>
                    <w:spacing w:before="0" w:beforeAutospacing="0" w:after="0" w:afterAutospacing="0"/>
                    <w:ind w:left="0" w:right="0"/>
                    <w:rPr>
                      <w:rFonts w:hint="default" w:ascii="Times New Roman" w:cs="Times New Roman"/>
                      <w:sz w:val="21"/>
                      <w:szCs w:val="21"/>
                      <w:lang w:val="en-US" w:eastAsia="zh-CN"/>
                    </w:rPr>
                  </w:pPr>
                  <w:r>
                    <w:rPr>
                      <w:rFonts w:hint="eastAsia" w:ascii="Times New Roman" w:cs="Times New Roman"/>
                      <w:sz w:val="21"/>
                      <w:szCs w:val="21"/>
                      <w:lang w:val="en-US" w:eastAsia="zh-CN"/>
                    </w:rPr>
                    <w:t>检测废液</w:t>
                  </w:r>
                </w:p>
              </w:tc>
              <w:tc>
                <w:tcPr>
                  <w:tcW w:w="1405" w:type="dxa"/>
                  <w:vMerge w:val="continue"/>
                  <w:noWrap/>
                  <w:vAlign w:val="center"/>
                </w:tcPr>
                <w:p w14:paraId="2B7AE9B4">
                  <w:pPr>
                    <w:pStyle w:val="51"/>
                    <w:keepNext w:val="0"/>
                    <w:keepLines w:val="0"/>
                    <w:suppressLineNumbers w:val="0"/>
                    <w:spacing w:before="0" w:beforeAutospacing="0" w:after="0" w:afterAutospacing="0"/>
                    <w:ind w:left="0" w:right="0"/>
                    <w:rPr>
                      <w:rFonts w:hint="eastAsia" w:ascii="Times New Roman" w:cs="Times New Roman"/>
                      <w:sz w:val="21"/>
                      <w:szCs w:val="21"/>
                      <w:lang w:val="en-US" w:eastAsia="zh-CN"/>
                    </w:rPr>
                  </w:pPr>
                </w:p>
              </w:tc>
              <w:tc>
                <w:tcPr>
                  <w:tcW w:w="1309" w:type="dxa"/>
                  <w:noWrap/>
                  <w:vAlign w:val="center"/>
                </w:tcPr>
                <w:p w14:paraId="243A8371">
                  <w:pPr>
                    <w:pStyle w:val="51"/>
                    <w:keepNext w:val="0"/>
                    <w:keepLines w:val="0"/>
                    <w:suppressLineNumbers w:val="0"/>
                    <w:spacing w:before="0" w:beforeAutospacing="0" w:after="0" w:afterAutospacing="0"/>
                    <w:ind w:left="0" w:right="0"/>
                    <w:rPr>
                      <w:rFonts w:hint="default" w:ascii="Times New Roman" w:cs="Times New Roman"/>
                      <w:sz w:val="21"/>
                      <w:szCs w:val="21"/>
                      <w:lang w:val="en-US" w:eastAsia="zh-CN"/>
                    </w:rPr>
                  </w:pPr>
                  <w:r>
                    <w:rPr>
                      <w:rFonts w:hint="eastAsia" w:ascii="Times New Roman" w:cs="Times New Roman"/>
                      <w:sz w:val="21"/>
                      <w:szCs w:val="21"/>
                      <w:lang w:val="en-US" w:eastAsia="zh-CN"/>
                    </w:rPr>
                    <w:t>0.5t/a</w:t>
                  </w:r>
                </w:p>
              </w:tc>
              <w:tc>
                <w:tcPr>
                  <w:tcW w:w="2658" w:type="dxa"/>
                  <w:vMerge w:val="continue"/>
                  <w:noWrap/>
                  <w:vAlign w:val="center"/>
                </w:tcPr>
                <w:p w14:paraId="01DD7886">
                  <w:pPr>
                    <w:pStyle w:val="51"/>
                    <w:keepNext w:val="0"/>
                    <w:keepLines w:val="0"/>
                    <w:suppressLineNumbers w:val="0"/>
                    <w:spacing w:before="0" w:beforeAutospacing="0" w:after="0" w:afterAutospacing="0"/>
                    <w:ind w:left="0" w:right="0"/>
                    <w:rPr>
                      <w:rFonts w:hint="eastAsia" w:ascii="Times New Roman" w:cs="Times New Roman"/>
                      <w:sz w:val="21"/>
                      <w:szCs w:val="21"/>
                      <w:lang w:val="en-US" w:eastAsia="zh-CN"/>
                    </w:rPr>
                  </w:pPr>
                </w:p>
              </w:tc>
            </w:tr>
            <w:tr w14:paraId="082BD77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0" w:type="dxa"/>
                  <w:vMerge w:val="restart"/>
                  <w:noWrap/>
                  <w:vAlign w:val="center"/>
                </w:tcPr>
                <w:p w14:paraId="23003CD5">
                  <w:pPr>
                    <w:pStyle w:val="51"/>
                    <w:keepNext w:val="0"/>
                    <w:keepLines w:val="0"/>
                    <w:suppressLineNumbers w:val="0"/>
                    <w:spacing w:before="0" w:beforeAutospacing="0" w:after="0" w:afterAutospacing="0"/>
                    <w:ind w:left="0" w:leftChars="0" w:right="0" w:rightChars="0"/>
                    <w:rPr>
                      <w:rFonts w:hint="eastAsia" w:ascii="Times New Roman" w:cs="Times New Roman"/>
                      <w:sz w:val="21"/>
                      <w:szCs w:val="21"/>
                      <w:lang w:val="en-US" w:eastAsia="zh-CN"/>
                    </w:rPr>
                  </w:pPr>
                  <w:r>
                    <w:rPr>
                      <w:rFonts w:hint="default" w:ascii="Times New Roman" w:hAnsi="Times New Roman" w:cs="Times New Roman"/>
                      <w:sz w:val="21"/>
                      <w:szCs w:val="21"/>
                    </w:rPr>
                    <w:t>废气治理措施</w:t>
                  </w:r>
                </w:p>
              </w:tc>
              <w:tc>
                <w:tcPr>
                  <w:tcW w:w="1404" w:type="dxa"/>
                  <w:noWrap/>
                  <w:vAlign w:val="center"/>
                </w:tcPr>
                <w:p w14:paraId="7E322587">
                  <w:pPr>
                    <w:pStyle w:val="51"/>
                    <w:keepNext w:val="0"/>
                    <w:keepLines w:val="0"/>
                    <w:suppressLineNumbers w:val="0"/>
                    <w:spacing w:before="0" w:beforeAutospacing="0" w:after="0" w:afterAutospacing="0"/>
                    <w:ind w:left="0" w:leftChars="0" w:right="0" w:rightChars="0"/>
                    <w:rPr>
                      <w:rFonts w:hint="eastAsia" w:ascii="Times New Roman" w:cs="Times New Roman"/>
                      <w:sz w:val="21"/>
                      <w:szCs w:val="21"/>
                      <w:lang w:val="en-US" w:eastAsia="zh-CN"/>
                    </w:rPr>
                  </w:pPr>
                  <w:r>
                    <w:rPr>
                      <w:rFonts w:hint="default" w:ascii="Times New Roman" w:hAnsi="Times New Roman" w:cs="Times New Roman"/>
                      <w:sz w:val="21"/>
                      <w:szCs w:val="21"/>
                    </w:rPr>
                    <w:t>废活性炭</w:t>
                  </w:r>
                </w:p>
              </w:tc>
              <w:tc>
                <w:tcPr>
                  <w:tcW w:w="1405" w:type="dxa"/>
                  <w:vMerge w:val="continue"/>
                  <w:noWrap/>
                  <w:vAlign w:val="center"/>
                </w:tcPr>
                <w:p w14:paraId="3A83D172">
                  <w:pPr>
                    <w:pStyle w:val="51"/>
                    <w:keepNext w:val="0"/>
                    <w:keepLines w:val="0"/>
                    <w:suppressLineNumbers w:val="0"/>
                    <w:spacing w:before="0" w:beforeAutospacing="0" w:after="0" w:afterAutospacing="0"/>
                    <w:ind w:left="0" w:leftChars="0" w:right="0" w:rightChars="0"/>
                    <w:rPr>
                      <w:rFonts w:hint="default" w:ascii="Times New Roman" w:hAnsi="Times New Roman" w:cs="Times New Roman"/>
                      <w:sz w:val="21"/>
                      <w:szCs w:val="21"/>
                    </w:rPr>
                  </w:pPr>
                </w:p>
              </w:tc>
              <w:tc>
                <w:tcPr>
                  <w:tcW w:w="1309" w:type="dxa"/>
                  <w:noWrap/>
                  <w:vAlign w:val="center"/>
                </w:tcPr>
                <w:p w14:paraId="59862332">
                  <w:pPr>
                    <w:pStyle w:val="51"/>
                    <w:keepNext w:val="0"/>
                    <w:keepLines w:val="0"/>
                    <w:suppressLineNumbers w:val="0"/>
                    <w:spacing w:before="0" w:beforeAutospacing="0" w:after="0" w:afterAutospacing="0"/>
                    <w:ind w:left="0" w:leftChars="0" w:right="0" w:rightChars="0"/>
                    <w:rPr>
                      <w:rFonts w:hint="eastAsia" w:ascii="Times New Roman" w:cs="Times New Roman"/>
                      <w:sz w:val="21"/>
                      <w:szCs w:val="21"/>
                      <w:lang w:val="en-US" w:eastAsia="zh-CN"/>
                    </w:rPr>
                  </w:pPr>
                  <w:r>
                    <w:rPr>
                      <w:rFonts w:hint="eastAsia" w:ascii="Times New Roman" w:cs="Times New Roman"/>
                      <w:sz w:val="21"/>
                      <w:szCs w:val="21"/>
                      <w:lang w:val="en-US" w:eastAsia="zh-CN"/>
                    </w:rPr>
                    <w:t>1.5</w:t>
                  </w:r>
                  <w:r>
                    <w:rPr>
                      <w:rFonts w:hint="default" w:ascii="Times New Roman" w:hAnsi="Times New Roman" w:cs="Times New Roman"/>
                      <w:sz w:val="21"/>
                      <w:szCs w:val="21"/>
                    </w:rPr>
                    <w:t>t/a</w:t>
                  </w:r>
                </w:p>
              </w:tc>
              <w:tc>
                <w:tcPr>
                  <w:tcW w:w="2658" w:type="dxa"/>
                  <w:vMerge w:val="restart"/>
                  <w:noWrap/>
                  <w:vAlign w:val="center"/>
                </w:tcPr>
                <w:p w14:paraId="17E85A91">
                  <w:pPr>
                    <w:pStyle w:val="51"/>
                    <w:keepNext w:val="0"/>
                    <w:keepLines w:val="0"/>
                    <w:suppressLineNumbers w:val="0"/>
                    <w:spacing w:before="0" w:beforeAutospacing="0" w:after="0" w:afterAutospacing="0"/>
                    <w:ind w:left="0" w:right="0"/>
                    <w:rPr>
                      <w:rFonts w:hint="eastAsia" w:ascii="Times New Roman" w:cs="Times New Roman"/>
                      <w:sz w:val="21"/>
                      <w:szCs w:val="21"/>
                      <w:lang w:val="en-US" w:eastAsia="zh-CN"/>
                    </w:rPr>
                  </w:pPr>
                  <w:r>
                    <w:rPr>
                      <w:rFonts w:hint="default" w:ascii="Times New Roman" w:hAnsi="Times New Roman" w:cs="Times New Roman"/>
                      <w:sz w:val="21"/>
                      <w:szCs w:val="21"/>
                    </w:rPr>
                    <w:t>危废暂存间暂存后定期委托有相关危废处理资质的单位处理</w:t>
                  </w:r>
                </w:p>
              </w:tc>
            </w:tr>
            <w:tr w14:paraId="60355BB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0" w:type="dxa"/>
                  <w:vMerge w:val="continue"/>
                  <w:noWrap/>
                  <w:vAlign w:val="center"/>
                </w:tcPr>
                <w:p w14:paraId="34F918BC">
                  <w:pPr>
                    <w:pStyle w:val="51"/>
                    <w:keepNext w:val="0"/>
                    <w:keepLines w:val="0"/>
                    <w:suppressLineNumbers w:val="0"/>
                    <w:spacing w:before="0" w:beforeAutospacing="0" w:after="0" w:afterAutospacing="0"/>
                    <w:ind w:left="0" w:leftChars="0" w:right="0" w:rightChars="0"/>
                    <w:rPr>
                      <w:rFonts w:hint="eastAsia" w:ascii="Times New Roman" w:cs="Times New Roman"/>
                      <w:sz w:val="21"/>
                      <w:szCs w:val="21"/>
                      <w:lang w:val="en-US" w:eastAsia="zh-CN"/>
                    </w:rPr>
                  </w:pPr>
                </w:p>
              </w:tc>
              <w:tc>
                <w:tcPr>
                  <w:tcW w:w="1404" w:type="dxa"/>
                  <w:noWrap/>
                  <w:vAlign w:val="center"/>
                </w:tcPr>
                <w:p w14:paraId="1F9C8AE1">
                  <w:pPr>
                    <w:pStyle w:val="51"/>
                    <w:keepNext w:val="0"/>
                    <w:keepLines w:val="0"/>
                    <w:suppressLineNumbers w:val="0"/>
                    <w:spacing w:before="0" w:beforeAutospacing="0" w:after="0" w:afterAutospacing="0"/>
                    <w:ind w:left="0" w:leftChars="0" w:right="0" w:rightChars="0"/>
                    <w:rPr>
                      <w:rFonts w:hint="eastAsia" w:ascii="Times New Roman" w:cs="Times New Roman"/>
                      <w:sz w:val="21"/>
                      <w:szCs w:val="21"/>
                      <w:lang w:val="en-US" w:eastAsia="zh-CN"/>
                    </w:rPr>
                  </w:pPr>
                  <w:r>
                    <w:rPr>
                      <w:rFonts w:hint="default" w:ascii="Times New Roman" w:hAnsi="Times New Roman" w:cs="Times New Roman"/>
                      <w:sz w:val="21"/>
                      <w:szCs w:val="21"/>
                    </w:rPr>
                    <w:t>废催化剂</w:t>
                  </w:r>
                </w:p>
              </w:tc>
              <w:tc>
                <w:tcPr>
                  <w:tcW w:w="1405" w:type="dxa"/>
                  <w:vMerge w:val="continue"/>
                  <w:noWrap/>
                  <w:vAlign w:val="center"/>
                </w:tcPr>
                <w:p w14:paraId="21B067D1">
                  <w:pPr>
                    <w:pStyle w:val="51"/>
                    <w:keepNext w:val="0"/>
                    <w:keepLines w:val="0"/>
                    <w:suppressLineNumbers w:val="0"/>
                    <w:spacing w:before="0" w:beforeAutospacing="0" w:after="0" w:afterAutospacing="0"/>
                    <w:ind w:left="0" w:leftChars="0" w:right="0" w:rightChars="0"/>
                    <w:rPr>
                      <w:rFonts w:hint="default" w:ascii="Times New Roman" w:hAnsi="Times New Roman" w:cs="Times New Roman"/>
                      <w:sz w:val="21"/>
                      <w:szCs w:val="21"/>
                    </w:rPr>
                  </w:pPr>
                </w:p>
              </w:tc>
              <w:tc>
                <w:tcPr>
                  <w:tcW w:w="1309" w:type="dxa"/>
                  <w:noWrap/>
                  <w:vAlign w:val="center"/>
                </w:tcPr>
                <w:p w14:paraId="344CFADD">
                  <w:pPr>
                    <w:pStyle w:val="51"/>
                    <w:keepNext w:val="0"/>
                    <w:keepLines w:val="0"/>
                    <w:suppressLineNumbers w:val="0"/>
                    <w:spacing w:before="0" w:beforeAutospacing="0" w:after="0" w:afterAutospacing="0"/>
                    <w:ind w:left="0" w:leftChars="0" w:right="0" w:rightChars="0"/>
                    <w:rPr>
                      <w:rFonts w:hint="eastAsia" w:ascii="Times New Roman" w:cs="Times New Roman"/>
                      <w:sz w:val="21"/>
                      <w:szCs w:val="21"/>
                      <w:lang w:val="en-US" w:eastAsia="zh-CN"/>
                    </w:rPr>
                  </w:pPr>
                  <w:r>
                    <w:rPr>
                      <w:rFonts w:hint="eastAsia" w:ascii="Times New Roman" w:hAnsi="Times New Roman" w:cs="Times New Roman"/>
                      <w:sz w:val="21"/>
                      <w:szCs w:val="21"/>
                      <w:lang w:val="en-US" w:eastAsia="zh-CN"/>
                    </w:rPr>
                    <w:t>0.06</w:t>
                  </w:r>
                  <w:r>
                    <w:rPr>
                      <w:rFonts w:hint="default" w:ascii="Times New Roman" w:hAnsi="Times New Roman" w:cs="Times New Roman"/>
                      <w:sz w:val="21"/>
                      <w:szCs w:val="21"/>
                    </w:rPr>
                    <w:t>t/a</w:t>
                  </w:r>
                </w:p>
              </w:tc>
              <w:tc>
                <w:tcPr>
                  <w:tcW w:w="2658" w:type="dxa"/>
                  <w:vMerge w:val="continue"/>
                  <w:noWrap/>
                  <w:vAlign w:val="center"/>
                </w:tcPr>
                <w:p w14:paraId="4090F22D">
                  <w:pPr>
                    <w:pStyle w:val="51"/>
                    <w:keepNext w:val="0"/>
                    <w:keepLines w:val="0"/>
                    <w:suppressLineNumbers w:val="0"/>
                    <w:spacing w:before="0" w:beforeAutospacing="0" w:after="0" w:afterAutospacing="0"/>
                    <w:ind w:left="0" w:right="0"/>
                    <w:rPr>
                      <w:rFonts w:hint="eastAsia" w:ascii="Times New Roman" w:cs="Times New Roman"/>
                      <w:sz w:val="21"/>
                      <w:szCs w:val="21"/>
                      <w:lang w:val="en-US" w:eastAsia="zh-CN"/>
                    </w:rPr>
                  </w:pPr>
                </w:p>
              </w:tc>
            </w:tr>
          </w:tbl>
          <w:p w14:paraId="2982D57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auto"/>
              <w:rPr>
                <w:rFonts w:hint="default"/>
              </w:rPr>
            </w:pPr>
            <w:r>
              <w:rPr>
                <w:rFonts w:hint="default"/>
              </w:rPr>
              <w:t>现有工程厂区内设置一般固废暂存间</w:t>
            </w:r>
            <w:r>
              <w:rPr>
                <w:rFonts w:hint="eastAsia"/>
                <w:lang w:val="en-US" w:eastAsia="zh-CN"/>
              </w:rPr>
              <w:t>共计</w:t>
            </w:r>
            <w:r>
              <w:rPr>
                <w:rFonts w:hint="eastAsia"/>
              </w:rPr>
              <w:t>350m</w:t>
            </w:r>
            <w:r>
              <w:rPr>
                <w:rFonts w:hint="eastAsia"/>
                <w:vertAlign w:val="superscript"/>
              </w:rPr>
              <w:t>2</w:t>
            </w:r>
            <w:r>
              <w:rPr>
                <w:rFonts w:hint="default"/>
              </w:rPr>
              <w:t>，</w:t>
            </w:r>
            <w:r>
              <w:rPr>
                <w:rFonts w:hint="eastAsia"/>
              </w:rPr>
              <w:t>能满足需要</w:t>
            </w:r>
            <w:r>
              <w:rPr>
                <w:rFonts w:hint="default"/>
              </w:rPr>
              <w:t>。建设单位应加强对一般固废临时存放场所的检查和维修，确保其能够满足《一般工业固体废物贮存、处理场污染控制标准》（GB18599-2020）要求。已建设危废暂存间</w:t>
            </w:r>
            <w:r>
              <w:rPr>
                <w:rFonts w:hint="eastAsia"/>
                <w:lang w:val="en-US" w:eastAsia="zh-CN"/>
              </w:rPr>
              <w:t>共计</w:t>
            </w:r>
            <w:r>
              <w:rPr>
                <w:rFonts w:hint="default"/>
              </w:rPr>
              <w:t>20m</w:t>
            </w:r>
            <w:r>
              <w:rPr>
                <w:rFonts w:hint="default"/>
                <w:vertAlign w:val="superscript"/>
              </w:rPr>
              <w:t>2</w:t>
            </w:r>
            <w:r>
              <w:rPr>
                <w:rFonts w:hint="default"/>
              </w:rPr>
              <w:t>，危废暂存间的地面已进行硬化，做好“四防”（防风、防雨、防晒、防渗漏）设施，堆场内的地面耐腐蚀、无裂隙，设专人看管，能够满足《危险废物贮存污染控制标准》（GB18597-20</w:t>
            </w:r>
            <w:r>
              <w:rPr>
                <w:rFonts w:hint="eastAsia"/>
              </w:rPr>
              <w:t>23</w:t>
            </w:r>
            <w:r>
              <w:rPr>
                <w:rFonts w:hint="default"/>
              </w:rPr>
              <w:t>）的要求且能满足全厂贮存废物的需求。</w:t>
            </w:r>
          </w:p>
          <w:p w14:paraId="02D91E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jc w:val="both"/>
              <w:textAlignment w:val="auto"/>
              <w:rPr>
                <w:rFonts w:hint="default"/>
                <w:b/>
                <w:bCs/>
                <w:lang w:val="en-US" w:eastAsia="zh-CN"/>
              </w:rPr>
            </w:pPr>
            <w:r>
              <w:rPr>
                <w:rFonts w:hint="eastAsia"/>
                <w:b/>
                <w:bCs/>
                <w:lang w:val="en-US" w:eastAsia="zh-CN"/>
              </w:rPr>
              <w:t>三</w:t>
            </w:r>
            <w:r>
              <w:rPr>
                <w:rFonts w:hint="default"/>
                <w:b/>
                <w:bCs/>
                <w:lang w:val="en-US" w:eastAsia="zh-CN"/>
              </w:rPr>
              <w:t>、</w:t>
            </w:r>
            <w:r>
              <w:rPr>
                <w:rFonts w:hint="eastAsia"/>
                <w:b/>
                <w:bCs/>
                <w:lang w:val="en-US" w:eastAsia="zh-CN"/>
              </w:rPr>
              <w:t>现有</w:t>
            </w:r>
            <w:r>
              <w:rPr>
                <w:rFonts w:hint="default"/>
                <w:b/>
                <w:bCs/>
                <w:lang w:val="en-US" w:eastAsia="zh-CN"/>
              </w:rPr>
              <w:t>项目污染物实际排放量核算</w:t>
            </w:r>
          </w:p>
          <w:p w14:paraId="115078B7">
            <w:pPr>
              <w:keepNext w:val="0"/>
              <w:keepLines w:val="0"/>
              <w:suppressLineNumbers w:val="0"/>
              <w:spacing w:before="0" w:beforeAutospacing="0" w:after="0" w:afterAutospacing="0" w:line="440" w:lineRule="exact"/>
              <w:ind w:left="0" w:right="0" w:firstLine="480" w:firstLineChars="200"/>
              <w:jc w:val="both"/>
              <w:rPr>
                <w:rFonts w:hint="default" w:ascii="Times New Roman" w:hAnsi="Times New Roman" w:eastAsia="宋体" w:cs="Times New Roman"/>
                <w:sz w:val="24"/>
                <w:highlight w:val="none"/>
                <w:lang w:val="en-US" w:eastAsia="zh-CN"/>
              </w:rPr>
            </w:pPr>
            <w:r>
              <w:rPr>
                <w:rFonts w:hint="eastAsia" w:cs="Times New Roman"/>
                <w:sz w:val="24"/>
                <w:highlight w:val="none"/>
                <w:lang w:val="en-US" w:eastAsia="zh-CN"/>
              </w:rPr>
              <w:t>现有项目实际</w:t>
            </w:r>
            <w:r>
              <w:rPr>
                <w:rFonts w:hint="eastAsia" w:ascii="Times New Roman" w:hAnsi="Times New Roman" w:eastAsia="宋体" w:cs="Times New Roman"/>
                <w:sz w:val="24"/>
                <w:highlight w:val="none"/>
                <w:lang w:val="en-US" w:eastAsia="zh-CN"/>
              </w:rPr>
              <w:t>污染物排放量见下表。</w:t>
            </w:r>
          </w:p>
          <w:p w14:paraId="37982B21">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440" w:lineRule="exact"/>
              <w:ind w:left="0" w:right="0" w:firstLine="0"/>
              <w:jc w:val="center"/>
              <w:textAlignment w:val="auto"/>
              <w:outlineLvl w:val="9"/>
              <w:rPr>
                <w:rFonts w:hint="default" w:ascii="Times New Roman" w:hAnsi="Times New Roman" w:eastAsia="宋体" w:cs="Times New Roman"/>
                <w:b/>
                <w:bCs/>
                <w:color w:val="000000"/>
                <w:sz w:val="24"/>
                <w:szCs w:val="24"/>
              </w:rPr>
            </w:pPr>
          </w:p>
          <w:p w14:paraId="415C573C">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440" w:lineRule="exact"/>
              <w:ind w:left="0" w:right="0" w:firstLine="0"/>
              <w:jc w:val="center"/>
              <w:textAlignment w:val="auto"/>
              <w:outlineLvl w:val="9"/>
              <w:rPr>
                <w:rFonts w:hint="default" w:ascii="Times New Roman" w:hAnsi="Times New Roman" w:eastAsia="宋体" w:cs="Times New Roman"/>
                <w:b/>
                <w:bCs/>
                <w:color w:val="000000"/>
                <w:sz w:val="24"/>
                <w:szCs w:val="24"/>
              </w:rPr>
            </w:pPr>
          </w:p>
          <w:p w14:paraId="658441D1">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440" w:lineRule="exact"/>
              <w:ind w:left="0" w:right="0" w:firstLine="0"/>
              <w:jc w:val="center"/>
              <w:textAlignment w:val="auto"/>
              <w:outlineLvl w:val="9"/>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rPr>
              <w:t>表</w:t>
            </w:r>
            <w:r>
              <w:rPr>
                <w:rFonts w:hint="eastAsia" w:cs="Times New Roman"/>
                <w:b/>
                <w:bCs/>
                <w:color w:val="000000"/>
                <w:sz w:val="24"/>
                <w:szCs w:val="24"/>
                <w:lang w:val="en-US" w:eastAsia="zh-CN"/>
              </w:rPr>
              <w:t>21</w:t>
            </w:r>
            <w:r>
              <w:rPr>
                <w:rFonts w:hint="default" w:ascii="Times New Roman" w:hAnsi="Times New Roman" w:eastAsia="宋体" w:cs="Times New Roman"/>
                <w:b/>
                <w:bCs/>
                <w:color w:val="000000"/>
                <w:sz w:val="24"/>
                <w:szCs w:val="24"/>
              </w:rPr>
              <w:t xml:space="preserve">         </w:t>
            </w:r>
            <w:r>
              <w:rPr>
                <w:rFonts w:hint="eastAsia" w:cs="Times New Roman"/>
                <w:b/>
                <w:bCs/>
                <w:color w:val="000000"/>
                <w:sz w:val="24"/>
                <w:szCs w:val="24"/>
                <w:lang w:val="en-US" w:eastAsia="zh-CN"/>
              </w:rPr>
              <w:t>现有项目</w:t>
            </w:r>
            <w:r>
              <w:rPr>
                <w:rFonts w:hint="default" w:ascii="Times New Roman" w:hAnsi="Times New Roman" w:eastAsia="宋体" w:cs="Times New Roman"/>
                <w:b/>
                <w:bCs/>
                <w:color w:val="000000"/>
                <w:sz w:val="24"/>
                <w:szCs w:val="24"/>
              </w:rPr>
              <w:t>污染物排放量</w:t>
            </w:r>
          </w:p>
          <w:tbl>
            <w:tblPr>
              <w:tblStyle w:val="23"/>
              <w:tblW w:w="4988" w:type="pct"/>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716"/>
              <w:gridCol w:w="1563"/>
              <w:gridCol w:w="2005"/>
              <w:gridCol w:w="2250"/>
              <w:gridCol w:w="2250"/>
            </w:tblGrid>
            <w:tr w14:paraId="47AC17C3">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84" w:hRule="atLeast"/>
              </w:trPr>
              <w:tc>
                <w:tcPr>
                  <w:tcW w:w="408" w:type="pct"/>
                  <w:vMerge w:val="restart"/>
                  <w:tcBorders>
                    <w:top w:val="single" w:color="000000" w:sz="8" w:space="0"/>
                  </w:tcBorders>
                  <w:noWrap w:val="0"/>
                  <w:vAlign w:val="center"/>
                </w:tcPr>
                <w:p w14:paraId="57C68EE9">
                  <w:pPr>
                    <w:keepNext w:val="0"/>
                    <w:keepLines w:val="0"/>
                    <w:widowControl/>
                    <w:suppressLineNumbers w:val="0"/>
                    <w:adjustRightInd w:val="0"/>
                    <w:snapToGrid w:val="0"/>
                    <w:spacing w:before="0" w:beforeAutospacing="0" w:after="0" w:afterAutospacing="0"/>
                    <w:ind w:left="0" w:right="0"/>
                    <w:jc w:val="center"/>
                    <w:rPr>
                      <w:rFonts w:hint="eastAsia" w:eastAsia="宋体"/>
                      <w:sz w:val="21"/>
                      <w:szCs w:val="21"/>
                      <w:lang w:eastAsia="zh-CN"/>
                    </w:rPr>
                  </w:pPr>
                  <w:r>
                    <w:rPr>
                      <w:rFonts w:hint="eastAsia"/>
                      <w:b/>
                      <w:bCs/>
                      <w:sz w:val="21"/>
                      <w:szCs w:val="21"/>
                      <w:lang w:eastAsia="zh-CN"/>
                    </w:rPr>
                    <w:t>类别</w:t>
                  </w:r>
                </w:p>
              </w:tc>
              <w:tc>
                <w:tcPr>
                  <w:tcW w:w="889" w:type="pct"/>
                  <w:tcBorders>
                    <w:top w:val="single" w:color="000000" w:sz="8" w:space="0"/>
                  </w:tcBorders>
                  <w:noWrap w:val="0"/>
                  <w:vAlign w:val="center"/>
                </w:tcPr>
                <w:p w14:paraId="7F4A3E9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b/>
                      <w:bCs/>
                      <w:sz w:val="21"/>
                      <w:szCs w:val="21"/>
                      <w:lang w:eastAsia="zh-CN"/>
                    </w:rPr>
                  </w:pPr>
                  <w:r>
                    <w:rPr>
                      <w:rFonts w:hint="eastAsia"/>
                      <w:b/>
                      <w:bCs/>
                      <w:sz w:val="21"/>
                      <w:szCs w:val="21"/>
                      <w:lang w:eastAsia="zh-CN"/>
                    </w:rPr>
                    <w:t>污染</w:t>
                  </w:r>
                  <w:r>
                    <w:rPr>
                      <w:rFonts w:hint="eastAsia"/>
                      <w:b/>
                      <w:bCs/>
                      <w:sz w:val="21"/>
                      <w:szCs w:val="21"/>
                      <w:lang w:val="en-US" w:eastAsia="zh-CN"/>
                    </w:rPr>
                    <w:t>因子</w:t>
                  </w:r>
                </w:p>
              </w:tc>
              <w:tc>
                <w:tcPr>
                  <w:tcW w:w="1141" w:type="pct"/>
                  <w:tcBorders>
                    <w:top w:val="single" w:color="000000" w:sz="8" w:space="0"/>
                  </w:tcBorders>
                  <w:noWrap w:val="0"/>
                  <w:vAlign w:val="center"/>
                </w:tcPr>
                <w:p w14:paraId="2A65A51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bCs/>
                      <w:sz w:val="21"/>
                      <w:szCs w:val="21"/>
                      <w:lang w:eastAsia="zh-CN"/>
                    </w:rPr>
                  </w:pPr>
                  <w:r>
                    <w:rPr>
                      <w:rFonts w:hint="eastAsia"/>
                      <w:b/>
                      <w:bCs/>
                      <w:sz w:val="21"/>
                      <w:szCs w:val="21"/>
                      <w:lang w:eastAsia="zh-CN"/>
                    </w:rPr>
                    <w:t>实际排放量（</w:t>
                  </w:r>
                  <w:r>
                    <w:rPr>
                      <w:rFonts w:hint="eastAsia"/>
                      <w:b/>
                      <w:bCs/>
                      <w:sz w:val="21"/>
                      <w:szCs w:val="21"/>
                      <w:lang w:val="en-US" w:eastAsia="zh-CN"/>
                    </w:rPr>
                    <w:t>t/a</w:t>
                  </w:r>
                  <w:r>
                    <w:rPr>
                      <w:rFonts w:hint="eastAsia"/>
                      <w:b/>
                      <w:bCs/>
                      <w:sz w:val="21"/>
                      <w:szCs w:val="21"/>
                      <w:lang w:eastAsia="zh-CN"/>
                    </w:rPr>
                    <w:t>）</w:t>
                  </w:r>
                </w:p>
              </w:tc>
              <w:tc>
                <w:tcPr>
                  <w:tcW w:w="1280" w:type="pct"/>
                  <w:tcBorders>
                    <w:top w:val="single" w:color="000000" w:sz="8" w:space="0"/>
                    <w:bottom w:val="single" w:color="000000" w:sz="8" w:space="0"/>
                  </w:tcBorders>
                  <w:noWrap w:val="0"/>
                  <w:vAlign w:val="center"/>
                </w:tcPr>
                <w:p w14:paraId="3545F040">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b/>
                      <w:bCs/>
                      <w:sz w:val="21"/>
                      <w:szCs w:val="21"/>
                      <w:lang w:val="en-US" w:eastAsia="zh-CN"/>
                    </w:rPr>
                  </w:pPr>
                  <w:r>
                    <w:rPr>
                      <w:rFonts w:hint="eastAsia"/>
                      <w:b/>
                      <w:bCs/>
                      <w:sz w:val="21"/>
                      <w:szCs w:val="21"/>
                      <w:lang w:eastAsia="zh-CN"/>
                    </w:rPr>
                    <w:t>环评批复</w:t>
                  </w:r>
                  <w:r>
                    <w:rPr>
                      <w:rFonts w:hint="default"/>
                      <w:b/>
                      <w:bCs/>
                      <w:sz w:val="21"/>
                      <w:szCs w:val="21"/>
                    </w:rPr>
                    <w:t>量</w:t>
                  </w:r>
                  <w:r>
                    <w:rPr>
                      <w:rFonts w:hint="eastAsia"/>
                      <w:b/>
                      <w:bCs/>
                      <w:sz w:val="21"/>
                      <w:szCs w:val="21"/>
                    </w:rPr>
                    <w:t>（</w:t>
                  </w:r>
                  <w:r>
                    <w:rPr>
                      <w:rFonts w:hint="default"/>
                      <w:b/>
                      <w:bCs/>
                      <w:snapToGrid w:val="0"/>
                      <w:kern w:val="0"/>
                      <w:sz w:val="21"/>
                      <w:szCs w:val="21"/>
                    </w:rPr>
                    <w:t>t/a</w:t>
                  </w:r>
                  <w:r>
                    <w:rPr>
                      <w:rFonts w:hint="eastAsia"/>
                      <w:b/>
                      <w:bCs/>
                      <w:sz w:val="21"/>
                      <w:szCs w:val="21"/>
                    </w:rPr>
                    <w:t>）</w:t>
                  </w:r>
                </w:p>
              </w:tc>
              <w:tc>
                <w:tcPr>
                  <w:tcW w:w="1280" w:type="pct"/>
                  <w:tcBorders>
                    <w:top w:val="single" w:color="000000" w:sz="8" w:space="0"/>
                  </w:tcBorders>
                  <w:noWrap w:val="0"/>
                  <w:vAlign w:val="center"/>
                </w:tcPr>
                <w:p w14:paraId="47C382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bCs/>
                      <w:sz w:val="21"/>
                      <w:szCs w:val="21"/>
                      <w:lang w:val="en-US" w:eastAsia="zh-CN"/>
                    </w:rPr>
                  </w:pPr>
                  <w:r>
                    <w:rPr>
                      <w:rFonts w:hint="eastAsia"/>
                      <w:b/>
                      <w:bCs/>
                      <w:sz w:val="21"/>
                      <w:szCs w:val="21"/>
                      <w:lang w:eastAsia="zh-CN"/>
                    </w:rPr>
                    <w:t>许可排放量（</w:t>
                  </w:r>
                  <w:r>
                    <w:rPr>
                      <w:rFonts w:hint="eastAsia"/>
                      <w:b/>
                      <w:bCs/>
                      <w:sz w:val="21"/>
                      <w:szCs w:val="21"/>
                      <w:lang w:val="en-US" w:eastAsia="zh-CN"/>
                    </w:rPr>
                    <w:t>t/a</w:t>
                  </w:r>
                  <w:r>
                    <w:rPr>
                      <w:rFonts w:hint="eastAsia"/>
                      <w:b/>
                      <w:bCs/>
                      <w:sz w:val="21"/>
                      <w:szCs w:val="21"/>
                      <w:lang w:eastAsia="zh-CN"/>
                    </w:rPr>
                    <w:t>）</w:t>
                  </w:r>
                </w:p>
              </w:tc>
            </w:tr>
            <w:tr w14:paraId="75E8A88A">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08" w:type="pct"/>
                  <w:vMerge w:val="restart"/>
                  <w:tcBorders>
                    <w:top w:val="single" w:color="000000" w:sz="8" w:space="0"/>
                  </w:tcBorders>
                  <w:noWrap w:val="0"/>
                  <w:vAlign w:val="center"/>
                </w:tcPr>
                <w:p w14:paraId="3D271618">
                  <w:pPr>
                    <w:keepNext w:val="0"/>
                    <w:keepLines w:val="0"/>
                    <w:widowControl/>
                    <w:suppressLineNumbers w:val="0"/>
                    <w:adjustRightInd w:val="0"/>
                    <w:snapToGrid w:val="0"/>
                    <w:spacing w:before="0" w:beforeAutospacing="0" w:after="0" w:afterAutospacing="0"/>
                    <w:ind w:left="0" w:right="0"/>
                    <w:jc w:val="center"/>
                    <w:rPr>
                      <w:rFonts w:hint="default"/>
                      <w:sz w:val="21"/>
                      <w:szCs w:val="21"/>
                    </w:rPr>
                  </w:pPr>
                  <w:r>
                    <w:rPr>
                      <w:rFonts w:hint="default"/>
                      <w:sz w:val="21"/>
                      <w:szCs w:val="21"/>
                    </w:rPr>
                    <w:t>废气</w:t>
                  </w:r>
                </w:p>
              </w:tc>
              <w:tc>
                <w:tcPr>
                  <w:tcW w:w="889" w:type="pct"/>
                  <w:tcBorders>
                    <w:top w:val="single" w:color="000000" w:sz="8" w:space="0"/>
                    <w:bottom w:val="single" w:color="000000" w:sz="4" w:space="0"/>
                  </w:tcBorders>
                  <w:noWrap w:val="0"/>
                  <w:vAlign w:val="center"/>
                </w:tcPr>
                <w:p w14:paraId="63B8FDCC">
                  <w:pPr>
                    <w:pStyle w:val="51"/>
                    <w:keepNext w:val="0"/>
                    <w:keepLines w:val="0"/>
                    <w:suppressLineNumbers w:val="0"/>
                    <w:spacing w:before="0" w:beforeLines="0" w:beforeAutospacing="0" w:after="0" w:afterLines="0" w:afterAutospacing="0" w:line="240" w:lineRule="auto"/>
                    <w:ind w:left="0" w:right="0"/>
                    <w:rPr>
                      <w:rFonts w:hint="eastAsia"/>
                      <w:sz w:val="21"/>
                      <w:szCs w:val="21"/>
                      <w:highlight w:val="none"/>
                      <w:lang w:eastAsia="zh-CN"/>
                    </w:rPr>
                  </w:pPr>
                  <w:r>
                    <w:rPr>
                      <w:rFonts w:hint="eastAsia" w:ascii="Times New Roman"/>
                      <w:snapToGrid w:val="0"/>
                      <w:color w:val="000000"/>
                      <w:kern w:val="21"/>
                      <w:sz w:val="21"/>
                      <w:szCs w:val="21"/>
                      <w:highlight w:val="none"/>
                      <w:lang w:val="en-US" w:eastAsia="zh-CN"/>
                    </w:rPr>
                    <w:t>颗粒物</w:t>
                  </w:r>
                </w:p>
              </w:tc>
              <w:tc>
                <w:tcPr>
                  <w:tcW w:w="2025" w:type="dxa"/>
                  <w:tcBorders>
                    <w:top w:val="single" w:color="000000" w:sz="8" w:space="0"/>
                    <w:bottom w:val="single" w:color="000000" w:sz="4" w:space="0"/>
                  </w:tcBorders>
                  <w:noWrap w:val="0"/>
                  <w:vAlign w:val="center"/>
                </w:tcPr>
                <w:p w14:paraId="50CBF89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sz w:val="21"/>
                      <w:szCs w:val="21"/>
                      <w:highlight w:val="none"/>
                    </w:rPr>
                    <w:t>0.4</w:t>
                  </w:r>
                  <w:r>
                    <w:rPr>
                      <w:rFonts w:hint="eastAsia" w:cs="Times New Roman"/>
                      <w:sz w:val="21"/>
                      <w:szCs w:val="21"/>
                      <w:highlight w:val="none"/>
                      <w:lang w:val="en-US" w:eastAsia="zh-CN"/>
                    </w:rPr>
                    <w:t>400</w:t>
                  </w:r>
                </w:p>
              </w:tc>
              <w:tc>
                <w:tcPr>
                  <w:tcW w:w="2272" w:type="dxa"/>
                  <w:tcBorders>
                    <w:top w:val="single" w:color="000000" w:sz="8" w:space="0"/>
                    <w:bottom w:val="single" w:color="000000" w:sz="4" w:space="0"/>
                  </w:tcBorders>
                  <w:noWrap w:val="0"/>
                  <w:vAlign w:val="center"/>
                </w:tcPr>
                <w:p w14:paraId="78D60F0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snapToGrid w:val="0"/>
                      <w:color w:val="000000"/>
                      <w:kern w:val="21"/>
                      <w:sz w:val="21"/>
                      <w:szCs w:val="21"/>
                      <w:highlight w:val="none"/>
                      <w:lang w:val="en-US" w:eastAsia="zh-CN"/>
                    </w:rPr>
                  </w:pPr>
                  <w:r>
                    <w:rPr>
                      <w:rFonts w:hint="default" w:ascii="Times New Roman" w:hAnsi="Times New Roman" w:cs="Times New Roman"/>
                      <w:sz w:val="21"/>
                      <w:szCs w:val="21"/>
                    </w:rPr>
                    <w:t>0.4524</w:t>
                  </w:r>
                </w:p>
              </w:tc>
              <w:tc>
                <w:tcPr>
                  <w:tcW w:w="1280" w:type="pct"/>
                  <w:tcBorders>
                    <w:top w:val="single" w:color="000000" w:sz="8" w:space="0"/>
                    <w:bottom w:val="single" w:color="000000" w:sz="4" w:space="0"/>
                  </w:tcBorders>
                  <w:noWrap w:val="0"/>
                  <w:vAlign w:val="center"/>
                </w:tcPr>
                <w:p w14:paraId="0F42BF17">
                  <w:pPr>
                    <w:keepNext w:val="0"/>
                    <w:keepLines w:val="0"/>
                    <w:widowControl/>
                    <w:suppressLineNumbers w:val="0"/>
                    <w:adjustRightInd w:val="0"/>
                    <w:snapToGrid w:val="0"/>
                    <w:spacing w:before="0" w:beforeAutospacing="0" w:after="0" w:afterAutospacing="0"/>
                    <w:ind w:left="0" w:right="0"/>
                    <w:jc w:val="center"/>
                    <w:rPr>
                      <w:rFonts w:hint="default"/>
                      <w:sz w:val="21"/>
                      <w:szCs w:val="21"/>
                      <w:lang w:val="en-US" w:eastAsia="zh-CN"/>
                    </w:rPr>
                  </w:pPr>
                  <w:r>
                    <w:rPr>
                      <w:rFonts w:hint="eastAsia"/>
                      <w:sz w:val="21"/>
                      <w:szCs w:val="21"/>
                      <w:lang w:val="en-US" w:eastAsia="zh-CN"/>
                    </w:rPr>
                    <w:t>/</w:t>
                  </w:r>
                </w:p>
              </w:tc>
            </w:tr>
            <w:tr w14:paraId="524CBB60">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08" w:type="pct"/>
                  <w:vMerge w:val="continue"/>
                  <w:noWrap w:val="0"/>
                  <w:vAlign w:val="center"/>
                </w:tcPr>
                <w:p w14:paraId="1C13A787">
                  <w:pPr>
                    <w:keepNext w:val="0"/>
                    <w:keepLines w:val="0"/>
                    <w:widowControl/>
                    <w:suppressLineNumbers w:val="0"/>
                    <w:adjustRightInd w:val="0"/>
                    <w:snapToGrid w:val="0"/>
                    <w:spacing w:before="0" w:beforeAutospacing="0" w:after="0" w:afterAutospacing="0"/>
                    <w:ind w:left="0" w:right="0"/>
                    <w:jc w:val="center"/>
                    <w:rPr>
                      <w:rFonts w:hint="default"/>
                      <w:sz w:val="21"/>
                      <w:szCs w:val="21"/>
                    </w:rPr>
                  </w:pPr>
                </w:p>
              </w:tc>
              <w:tc>
                <w:tcPr>
                  <w:tcW w:w="889" w:type="pct"/>
                  <w:tcBorders>
                    <w:top w:val="single" w:color="000000" w:sz="4" w:space="0"/>
                    <w:bottom w:val="single" w:color="000000" w:sz="4" w:space="0"/>
                  </w:tcBorders>
                  <w:noWrap w:val="0"/>
                  <w:vAlign w:val="center"/>
                </w:tcPr>
                <w:p w14:paraId="7C5AD8C1">
                  <w:pPr>
                    <w:pStyle w:val="51"/>
                    <w:keepNext w:val="0"/>
                    <w:keepLines w:val="0"/>
                    <w:suppressLineNumbers w:val="0"/>
                    <w:spacing w:before="0" w:beforeLines="0" w:beforeAutospacing="0" w:after="0" w:afterLines="0" w:afterAutospacing="0" w:line="240" w:lineRule="auto"/>
                    <w:ind w:left="0" w:right="0"/>
                    <w:rPr>
                      <w:rFonts w:hint="eastAsia"/>
                      <w:sz w:val="21"/>
                      <w:szCs w:val="21"/>
                      <w:highlight w:val="none"/>
                      <w:lang w:eastAsia="zh-CN"/>
                    </w:rPr>
                  </w:pPr>
                  <w:r>
                    <w:rPr>
                      <w:rFonts w:hint="default" w:ascii="Times New Roman" w:hAnsi="宋体"/>
                      <w:snapToGrid w:val="0"/>
                      <w:color w:val="000000"/>
                      <w:kern w:val="21"/>
                      <w:sz w:val="21"/>
                      <w:szCs w:val="21"/>
                      <w:highlight w:val="none"/>
                      <w:lang w:val="en-US" w:eastAsia="zh-CN"/>
                    </w:rPr>
                    <w:t>非甲烷总烃</w:t>
                  </w:r>
                </w:p>
              </w:tc>
              <w:tc>
                <w:tcPr>
                  <w:tcW w:w="2025" w:type="dxa"/>
                  <w:tcBorders>
                    <w:top w:val="single" w:color="000000" w:sz="4" w:space="0"/>
                    <w:bottom w:val="single" w:color="000000" w:sz="4" w:space="0"/>
                  </w:tcBorders>
                  <w:noWrap w:val="0"/>
                  <w:vAlign w:val="center"/>
                </w:tcPr>
                <w:p w14:paraId="1F393A0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3.3880</w:t>
                  </w:r>
                </w:p>
              </w:tc>
              <w:tc>
                <w:tcPr>
                  <w:tcW w:w="2272" w:type="dxa"/>
                  <w:tcBorders>
                    <w:top w:val="single" w:color="000000" w:sz="4" w:space="0"/>
                    <w:bottom w:val="single" w:color="000000" w:sz="4" w:space="0"/>
                  </w:tcBorders>
                  <w:noWrap w:val="0"/>
                  <w:vAlign w:val="center"/>
                </w:tcPr>
                <w:p w14:paraId="182D67C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snapToGrid w:val="0"/>
                      <w:color w:val="000000"/>
                      <w:kern w:val="21"/>
                      <w:sz w:val="21"/>
                      <w:szCs w:val="21"/>
                      <w:highlight w:val="none"/>
                      <w:lang w:val="en-US" w:eastAsia="zh-CN"/>
                    </w:rPr>
                  </w:pPr>
                  <w:r>
                    <w:rPr>
                      <w:rFonts w:hint="default" w:ascii="Times New Roman" w:hAnsi="Times New Roman" w:cs="Times New Roman"/>
                      <w:sz w:val="21"/>
                      <w:szCs w:val="21"/>
                    </w:rPr>
                    <w:t>3.4426</w:t>
                  </w:r>
                </w:p>
              </w:tc>
              <w:tc>
                <w:tcPr>
                  <w:tcW w:w="1280" w:type="pct"/>
                  <w:tcBorders>
                    <w:top w:val="single" w:color="000000" w:sz="4" w:space="0"/>
                    <w:bottom w:val="single" w:color="000000" w:sz="4" w:space="0"/>
                  </w:tcBorders>
                  <w:noWrap w:val="0"/>
                  <w:vAlign w:val="center"/>
                </w:tcPr>
                <w:p w14:paraId="40F18219">
                  <w:pPr>
                    <w:keepNext w:val="0"/>
                    <w:keepLines w:val="0"/>
                    <w:widowControl/>
                    <w:suppressLineNumbers w:val="0"/>
                    <w:adjustRightInd w:val="0"/>
                    <w:snapToGrid w:val="0"/>
                    <w:spacing w:before="0" w:beforeAutospacing="0" w:after="0" w:afterAutospacing="0"/>
                    <w:ind w:left="0" w:right="0"/>
                    <w:jc w:val="center"/>
                    <w:rPr>
                      <w:rFonts w:hint="default"/>
                      <w:sz w:val="21"/>
                      <w:szCs w:val="21"/>
                      <w:lang w:val="en-US" w:eastAsia="zh-CN"/>
                    </w:rPr>
                  </w:pPr>
                  <w:r>
                    <w:rPr>
                      <w:rFonts w:hint="eastAsia"/>
                      <w:sz w:val="21"/>
                      <w:szCs w:val="21"/>
                      <w:lang w:val="en-US" w:eastAsia="zh-CN"/>
                    </w:rPr>
                    <w:t>/</w:t>
                  </w:r>
                </w:p>
              </w:tc>
            </w:tr>
            <w:tr w14:paraId="4216CC0C">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08" w:type="pct"/>
                  <w:vMerge w:val="restart"/>
                  <w:noWrap w:val="0"/>
                  <w:vAlign w:val="center"/>
                </w:tcPr>
                <w:p w14:paraId="3EB552B0">
                  <w:pPr>
                    <w:keepNext w:val="0"/>
                    <w:keepLines w:val="0"/>
                    <w:widowControl/>
                    <w:suppressLineNumbers w:val="0"/>
                    <w:adjustRightInd w:val="0"/>
                    <w:snapToGrid w:val="0"/>
                    <w:spacing w:before="0" w:beforeAutospacing="0" w:after="0" w:afterAutospacing="0"/>
                    <w:ind w:left="0" w:right="0"/>
                    <w:jc w:val="center"/>
                    <w:rPr>
                      <w:rFonts w:hint="eastAsia"/>
                      <w:sz w:val="21"/>
                      <w:szCs w:val="21"/>
                    </w:rPr>
                  </w:pPr>
                  <w:r>
                    <w:rPr>
                      <w:rFonts w:hint="eastAsia"/>
                      <w:sz w:val="21"/>
                      <w:szCs w:val="21"/>
                    </w:rPr>
                    <w:t>废水</w:t>
                  </w:r>
                </w:p>
              </w:tc>
              <w:tc>
                <w:tcPr>
                  <w:tcW w:w="889" w:type="pct"/>
                  <w:tcBorders>
                    <w:top w:val="single" w:color="000000" w:sz="4" w:space="0"/>
                  </w:tcBorders>
                  <w:noWrap w:val="0"/>
                  <w:vAlign w:val="center"/>
                </w:tcPr>
                <w:p w14:paraId="78B3621F">
                  <w:pPr>
                    <w:keepNext w:val="0"/>
                    <w:keepLines w:val="0"/>
                    <w:widowControl/>
                    <w:suppressLineNumbers w:val="0"/>
                    <w:adjustRightInd w:val="0"/>
                    <w:snapToGrid w:val="0"/>
                    <w:spacing w:before="0" w:beforeAutospacing="0" w:after="0" w:afterAutospacing="0"/>
                    <w:ind w:left="0" w:right="0"/>
                    <w:jc w:val="center"/>
                    <w:rPr>
                      <w:rFonts w:hint="default"/>
                      <w:sz w:val="21"/>
                      <w:szCs w:val="21"/>
                      <w:highlight w:val="none"/>
                      <w:lang w:bidi="ar"/>
                    </w:rPr>
                  </w:pPr>
                  <w:r>
                    <w:rPr>
                      <w:rFonts w:hint="default"/>
                      <w:sz w:val="21"/>
                      <w:szCs w:val="21"/>
                      <w:highlight w:val="none"/>
                      <w:lang w:bidi="ar"/>
                    </w:rPr>
                    <w:t>COD</w:t>
                  </w:r>
                </w:p>
              </w:tc>
              <w:tc>
                <w:tcPr>
                  <w:tcW w:w="2025" w:type="dxa"/>
                  <w:tcBorders>
                    <w:top w:val="single" w:color="000000" w:sz="4" w:space="0"/>
                  </w:tcBorders>
                  <w:noWrap w:val="0"/>
                  <w:vAlign w:val="center"/>
                </w:tcPr>
                <w:p w14:paraId="70AAE9C9">
                  <w:pPr>
                    <w:pStyle w:val="51"/>
                    <w:keepNext w:val="0"/>
                    <w:keepLines w:val="0"/>
                    <w:suppressLineNumbers w:val="0"/>
                    <w:spacing w:before="0" w:beforeAutospacing="0" w:after="0" w:afterAutospacing="0"/>
                    <w:ind w:left="0" w:right="0"/>
                    <w:jc w:val="center"/>
                    <w:rPr>
                      <w:rFonts w:hint="default" w:eastAsia="宋体"/>
                      <w:sz w:val="21"/>
                      <w:szCs w:val="21"/>
                      <w:highlight w:val="none"/>
                      <w:lang w:val="en-US" w:eastAsia="zh-CN" w:bidi="ar"/>
                    </w:rPr>
                  </w:pPr>
                  <w:r>
                    <w:rPr>
                      <w:rFonts w:hint="eastAsia" w:ascii="Times New Roman" w:cs="Times New Roman"/>
                      <w:sz w:val="21"/>
                      <w:szCs w:val="21"/>
                      <w:highlight w:val="none"/>
                      <w:lang w:val="en-US" w:eastAsia="zh-CN"/>
                    </w:rPr>
                    <w:t>4.2768</w:t>
                  </w:r>
                </w:p>
              </w:tc>
              <w:tc>
                <w:tcPr>
                  <w:tcW w:w="2272" w:type="dxa"/>
                  <w:tcBorders>
                    <w:top w:val="single" w:color="000000" w:sz="4" w:space="0"/>
                    <w:bottom w:val="single" w:color="000000" w:sz="4" w:space="0"/>
                  </w:tcBorders>
                  <w:shd w:val="clear" w:color="auto" w:fill="auto"/>
                  <w:noWrap w:val="0"/>
                  <w:vAlign w:val="center"/>
                </w:tcPr>
                <w:p w14:paraId="7C3A5A7C">
                  <w:pPr>
                    <w:pStyle w:val="51"/>
                    <w:keepNext w:val="0"/>
                    <w:keepLines w:val="0"/>
                    <w:suppressLineNumbers w:val="0"/>
                    <w:spacing w:before="0" w:beforeAutospacing="0" w:after="0" w:afterAutospacing="0"/>
                    <w:ind w:left="0" w:right="0"/>
                    <w:jc w:val="center"/>
                    <w:rPr>
                      <w:rFonts w:hint="default" w:ascii="Times New Roman" w:hAnsi="Times New Roman" w:cs="Times New Roman"/>
                      <w:color w:val="000000"/>
                      <w:sz w:val="21"/>
                      <w:szCs w:val="21"/>
                      <w:highlight w:val="yellow"/>
                    </w:rPr>
                  </w:pPr>
                  <w:r>
                    <w:rPr>
                      <w:rFonts w:hint="default" w:ascii="Times New Roman" w:hAnsi="Times New Roman" w:cs="Times New Roman"/>
                      <w:sz w:val="21"/>
                      <w:szCs w:val="21"/>
                    </w:rPr>
                    <w:t>4.3711</w:t>
                  </w:r>
                </w:p>
              </w:tc>
              <w:tc>
                <w:tcPr>
                  <w:tcW w:w="1280" w:type="pct"/>
                  <w:tcBorders>
                    <w:top w:val="single" w:color="000000" w:sz="4" w:space="0"/>
                    <w:bottom w:val="single" w:color="000000" w:sz="4" w:space="0"/>
                  </w:tcBorders>
                  <w:noWrap w:val="0"/>
                  <w:vAlign w:val="center"/>
                </w:tcPr>
                <w:p w14:paraId="50E5BA04">
                  <w:pPr>
                    <w:keepNext w:val="0"/>
                    <w:keepLines w:val="0"/>
                    <w:widowControl/>
                    <w:suppressLineNumbers w:val="0"/>
                    <w:adjustRightInd w:val="0"/>
                    <w:snapToGrid w:val="0"/>
                    <w:spacing w:before="0" w:beforeAutospacing="0" w:after="0" w:afterAutospacing="0"/>
                    <w:ind w:left="0" w:right="0"/>
                    <w:jc w:val="center"/>
                    <w:rPr>
                      <w:rFonts w:hint="default"/>
                      <w:sz w:val="21"/>
                      <w:szCs w:val="21"/>
                      <w:lang w:val="en-US" w:eastAsia="zh-CN" w:bidi="ar"/>
                    </w:rPr>
                  </w:pPr>
                  <w:r>
                    <w:rPr>
                      <w:rFonts w:hint="eastAsia"/>
                      <w:sz w:val="21"/>
                      <w:szCs w:val="21"/>
                      <w:lang w:val="en-US" w:eastAsia="zh-CN" w:bidi="ar"/>
                    </w:rPr>
                    <w:t>/</w:t>
                  </w:r>
                </w:p>
              </w:tc>
            </w:tr>
            <w:tr w14:paraId="5864A290">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08" w:type="pct"/>
                  <w:vMerge w:val="continue"/>
                  <w:noWrap w:val="0"/>
                  <w:vAlign w:val="center"/>
                </w:tcPr>
                <w:p w14:paraId="6248EC70">
                  <w:pPr>
                    <w:keepNext w:val="0"/>
                    <w:keepLines w:val="0"/>
                    <w:widowControl/>
                    <w:suppressLineNumbers w:val="0"/>
                    <w:adjustRightInd w:val="0"/>
                    <w:snapToGrid w:val="0"/>
                    <w:spacing w:before="0" w:beforeAutospacing="0" w:after="0" w:afterAutospacing="0"/>
                    <w:ind w:left="0" w:right="0"/>
                    <w:jc w:val="center"/>
                    <w:rPr>
                      <w:rFonts w:hint="eastAsia"/>
                      <w:sz w:val="21"/>
                      <w:szCs w:val="21"/>
                    </w:rPr>
                  </w:pPr>
                </w:p>
              </w:tc>
              <w:tc>
                <w:tcPr>
                  <w:tcW w:w="889" w:type="pct"/>
                  <w:noWrap w:val="0"/>
                  <w:vAlign w:val="center"/>
                </w:tcPr>
                <w:p w14:paraId="14616C12">
                  <w:pPr>
                    <w:keepNext w:val="0"/>
                    <w:keepLines w:val="0"/>
                    <w:widowControl/>
                    <w:suppressLineNumbers w:val="0"/>
                    <w:adjustRightInd w:val="0"/>
                    <w:snapToGrid w:val="0"/>
                    <w:spacing w:before="0" w:beforeAutospacing="0" w:after="0" w:afterAutospacing="0"/>
                    <w:ind w:left="0" w:right="0"/>
                    <w:jc w:val="center"/>
                    <w:rPr>
                      <w:rFonts w:hint="default"/>
                      <w:sz w:val="21"/>
                      <w:szCs w:val="21"/>
                      <w:highlight w:val="none"/>
                      <w:lang w:bidi="ar"/>
                    </w:rPr>
                  </w:pPr>
                  <w:r>
                    <w:rPr>
                      <w:rFonts w:hint="default"/>
                      <w:sz w:val="21"/>
                      <w:szCs w:val="21"/>
                      <w:highlight w:val="none"/>
                      <w:lang w:bidi="ar"/>
                    </w:rPr>
                    <w:t>NH</w:t>
                  </w:r>
                  <w:r>
                    <w:rPr>
                      <w:rFonts w:hint="default"/>
                      <w:sz w:val="21"/>
                      <w:szCs w:val="21"/>
                      <w:highlight w:val="none"/>
                      <w:vertAlign w:val="subscript"/>
                      <w:lang w:bidi="ar"/>
                    </w:rPr>
                    <w:t>3</w:t>
                  </w:r>
                  <w:r>
                    <w:rPr>
                      <w:rFonts w:hint="default"/>
                      <w:sz w:val="21"/>
                      <w:szCs w:val="21"/>
                      <w:highlight w:val="none"/>
                      <w:lang w:bidi="ar"/>
                    </w:rPr>
                    <w:t>-N</w:t>
                  </w:r>
                </w:p>
              </w:tc>
              <w:tc>
                <w:tcPr>
                  <w:tcW w:w="2025" w:type="dxa"/>
                  <w:noWrap w:val="0"/>
                  <w:vAlign w:val="center"/>
                </w:tcPr>
                <w:p w14:paraId="59866A37">
                  <w:pPr>
                    <w:pStyle w:val="51"/>
                    <w:keepNext w:val="0"/>
                    <w:keepLines w:val="0"/>
                    <w:suppressLineNumbers w:val="0"/>
                    <w:spacing w:before="0" w:beforeAutospacing="0" w:after="0" w:afterAutospacing="0"/>
                    <w:ind w:left="0" w:right="0"/>
                    <w:jc w:val="center"/>
                    <w:rPr>
                      <w:rFonts w:hint="default" w:eastAsia="宋体"/>
                      <w:sz w:val="21"/>
                      <w:szCs w:val="21"/>
                      <w:highlight w:val="none"/>
                      <w:lang w:val="en-US" w:eastAsia="zh-CN" w:bidi="ar"/>
                    </w:rPr>
                  </w:pPr>
                  <w:r>
                    <w:rPr>
                      <w:rFonts w:hint="eastAsia" w:ascii="Times New Roman" w:cs="Times New Roman"/>
                      <w:snapToGrid w:val="0"/>
                      <w:color w:val="000000"/>
                      <w:kern w:val="21"/>
                      <w:sz w:val="21"/>
                      <w:szCs w:val="21"/>
                      <w:highlight w:val="none"/>
                      <w:lang w:val="en-US" w:eastAsia="zh-CN"/>
                    </w:rPr>
                    <w:t>0.4158</w:t>
                  </w:r>
                </w:p>
              </w:tc>
              <w:tc>
                <w:tcPr>
                  <w:tcW w:w="2272" w:type="dxa"/>
                  <w:tcBorders>
                    <w:top w:val="single" w:color="000000" w:sz="4" w:space="0"/>
                    <w:bottom w:val="single" w:color="000000" w:sz="8" w:space="0"/>
                  </w:tcBorders>
                  <w:shd w:val="clear" w:color="auto" w:fill="auto"/>
                  <w:noWrap w:val="0"/>
                  <w:vAlign w:val="center"/>
                </w:tcPr>
                <w:p w14:paraId="1C529812">
                  <w:pPr>
                    <w:pStyle w:val="51"/>
                    <w:keepNext w:val="0"/>
                    <w:keepLines w:val="0"/>
                    <w:suppressLineNumbers w:val="0"/>
                    <w:spacing w:before="0" w:beforeAutospacing="0" w:after="0" w:afterAutospacing="0"/>
                    <w:ind w:left="0" w:right="0"/>
                    <w:jc w:val="center"/>
                    <w:rPr>
                      <w:rFonts w:hint="default" w:ascii="Times New Roman" w:hAnsi="Times New Roman" w:cs="Times New Roman"/>
                      <w:color w:val="000000"/>
                      <w:sz w:val="21"/>
                      <w:szCs w:val="21"/>
                      <w:highlight w:val="yellow"/>
                    </w:rPr>
                  </w:pPr>
                  <w:r>
                    <w:rPr>
                      <w:rFonts w:hint="default" w:ascii="Times New Roman" w:hAnsi="Times New Roman" w:cs="Times New Roman"/>
                      <w:snapToGrid w:val="0"/>
                      <w:color w:val="000000"/>
                      <w:kern w:val="21"/>
                      <w:sz w:val="21"/>
                      <w:szCs w:val="21"/>
                    </w:rPr>
                    <w:t>0.4302</w:t>
                  </w:r>
                </w:p>
              </w:tc>
              <w:tc>
                <w:tcPr>
                  <w:tcW w:w="1280" w:type="pct"/>
                  <w:tcBorders>
                    <w:top w:val="single" w:color="000000" w:sz="4" w:space="0"/>
                    <w:bottom w:val="single" w:color="000000" w:sz="8" w:space="0"/>
                  </w:tcBorders>
                  <w:noWrap w:val="0"/>
                  <w:vAlign w:val="center"/>
                </w:tcPr>
                <w:p w14:paraId="6ABF1851">
                  <w:pPr>
                    <w:keepNext w:val="0"/>
                    <w:keepLines w:val="0"/>
                    <w:widowControl/>
                    <w:suppressLineNumbers w:val="0"/>
                    <w:adjustRightInd w:val="0"/>
                    <w:snapToGrid w:val="0"/>
                    <w:spacing w:before="0" w:beforeAutospacing="0" w:after="0" w:afterAutospacing="0"/>
                    <w:ind w:left="0" w:right="0"/>
                    <w:jc w:val="center"/>
                    <w:rPr>
                      <w:rFonts w:hint="default"/>
                      <w:sz w:val="21"/>
                      <w:szCs w:val="21"/>
                      <w:lang w:val="en-US" w:eastAsia="zh-CN" w:bidi="ar"/>
                    </w:rPr>
                  </w:pPr>
                  <w:r>
                    <w:rPr>
                      <w:rFonts w:hint="eastAsia"/>
                      <w:sz w:val="21"/>
                      <w:szCs w:val="21"/>
                      <w:lang w:val="en-US" w:eastAsia="zh-CN" w:bidi="ar"/>
                    </w:rPr>
                    <w:t>/</w:t>
                  </w:r>
                </w:p>
              </w:tc>
            </w:tr>
          </w:tbl>
          <w:p w14:paraId="71391E97">
            <w:pPr>
              <w:pStyle w:val="33"/>
              <w:keepNext w:val="0"/>
              <w:keepLines w:val="0"/>
              <w:pageBreakBefore w:val="0"/>
              <w:widowControl w:val="0"/>
              <w:numPr>
                <w:ilvl w:val="0"/>
                <w:numId w:val="8"/>
              </w:numPr>
              <w:suppressLineNumbers w:val="0"/>
              <w:kinsoku/>
              <w:wordWrap/>
              <w:overflowPunct/>
              <w:topLinePunct w:val="0"/>
              <w:bidi w:val="0"/>
              <w:snapToGrid/>
              <w:spacing w:before="0" w:beforeAutospacing="0" w:after="0" w:afterAutospacing="0" w:line="440" w:lineRule="exact"/>
              <w:ind w:left="0" w:right="0" w:firstLine="482" w:firstLineChars="200"/>
              <w:jc w:val="both"/>
              <w:textAlignment w:val="auto"/>
              <w:rPr>
                <w:rFonts w:hint="eastAsia"/>
                <w:b/>
                <w:bCs/>
                <w:sz w:val="24"/>
                <w:szCs w:val="24"/>
                <w:lang w:val="en-US" w:eastAsia="zh-CN"/>
              </w:rPr>
            </w:pPr>
            <w:r>
              <w:rPr>
                <w:rFonts w:hint="eastAsia"/>
                <w:b/>
                <w:bCs/>
                <w:sz w:val="24"/>
                <w:szCs w:val="24"/>
                <w:lang w:val="en-US" w:eastAsia="zh-CN"/>
              </w:rPr>
              <w:t>现有项目主要环境问题及整改措施</w:t>
            </w:r>
          </w:p>
          <w:p w14:paraId="7833DEF5">
            <w:pPr>
              <w:keepNext w:val="0"/>
              <w:keepLines w:val="0"/>
              <w:pageBreakBefore w:val="0"/>
              <w:widowControl w:val="0"/>
              <w:suppressLineNumbers w:val="0"/>
              <w:kinsoku/>
              <w:wordWrap/>
              <w:overflowPunct/>
              <w:topLinePunct w:val="0"/>
              <w:autoSpaceDE/>
              <w:autoSpaceDN/>
              <w:bidi w:val="0"/>
              <w:spacing w:before="0" w:beforeAutospacing="0" w:after="0" w:afterAutospacing="0" w:line="440" w:lineRule="exact"/>
              <w:ind w:left="0" w:right="0" w:firstLine="480" w:firstLineChars="200"/>
              <w:jc w:val="both"/>
              <w:textAlignment w:val="auto"/>
              <w:rPr>
                <w:rFonts w:hint="eastAsia" w:cs="Times New Roman"/>
                <w:bCs/>
                <w:color w:val="000000"/>
                <w:sz w:val="24"/>
                <w:szCs w:val="24"/>
                <w:highlight w:val="none"/>
                <w:lang w:val="en-US" w:eastAsia="zh-CN"/>
              </w:rPr>
            </w:pPr>
            <w:r>
              <w:rPr>
                <w:rFonts w:hint="eastAsia" w:cs="Times New Roman"/>
                <w:bCs/>
                <w:color w:val="000000"/>
                <w:sz w:val="24"/>
                <w:szCs w:val="24"/>
                <w:highlight w:val="none"/>
                <w:lang w:val="en-US" w:eastAsia="zh-CN"/>
              </w:rPr>
              <w:t>本项目为电池制造A级企业，经现场勘查，现有工程正常生产，环保设施正常运行，无与本项目有关的原有环境污染问题。</w:t>
            </w:r>
          </w:p>
          <w:p w14:paraId="279258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jc w:val="both"/>
              <w:textAlignment w:val="auto"/>
              <w:rPr>
                <w:rFonts w:hint="eastAsia" w:cs="Times New Roman"/>
                <w:b/>
                <w:bCs/>
                <w:sz w:val="24"/>
                <w:szCs w:val="24"/>
                <w:highlight w:val="none"/>
                <w:lang w:val="en-US" w:eastAsia="zh-CN"/>
              </w:rPr>
            </w:pPr>
            <w:r>
              <w:rPr>
                <w:rFonts w:hint="eastAsia" w:cs="Times New Roman"/>
                <w:b/>
                <w:bCs/>
                <w:sz w:val="24"/>
                <w:szCs w:val="24"/>
                <w:highlight w:val="none"/>
                <w:lang w:val="en-US" w:eastAsia="zh-CN"/>
              </w:rPr>
              <w:t>五、以新带老削减量</w:t>
            </w:r>
          </w:p>
          <w:p w14:paraId="79759F2C">
            <w:pPr>
              <w:keepNext/>
              <w:keepLines w:val="0"/>
              <w:pageBreakBefore w:val="0"/>
              <w:widowControl w:val="0"/>
              <w:numPr>
                <w:ilvl w:val="0"/>
                <w:numId w:val="0"/>
              </w:numPr>
              <w:suppressLineNumbers w:val="0"/>
              <w:kinsoku/>
              <w:wordWrap/>
              <w:overflowPunct w:val="0"/>
              <w:topLinePunct w:val="0"/>
              <w:autoSpaceDE/>
              <w:autoSpaceDN/>
              <w:bidi w:val="0"/>
              <w:adjustRightInd/>
              <w:snapToGrid w:val="0"/>
              <w:spacing w:before="0" w:beforeAutospacing="0" w:after="0" w:afterAutospacing="0" w:line="440" w:lineRule="exact"/>
              <w:ind w:left="0" w:leftChars="0" w:right="0" w:firstLine="480" w:firstLineChars="200"/>
              <w:textAlignment w:val="auto"/>
              <w:outlineLvl w:val="9"/>
              <w:rPr>
                <w:rFonts w:hint="eastAsia" w:eastAsia="黑体"/>
                <w:sz w:val="24"/>
                <w:szCs w:val="24"/>
                <w:highlight w:val="none"/>
                <w:u w:val="none" w:color="auto"/>
                <w:lang w:eastAsia="zh-CN"/>
              </w:rPr>
            </w:pPr>
            <w:r>
              <w:rPr>
                <w:rFonts w:hint="eastAsia" w:cs="Times New Roman"/>
                <w:b w:val="0"/>
                <w:bCs w:val="0"/>
                <w:sz w:val="24"/>
                <w:szCs w:val="24"/>
                <w:highlight w:val="none"/>
                <w:lang w:val="en-US" w:eastAsia="zh-CN"/>
              </w:rPr>
              <w:t>本项目对设备进行自动化改造，提升制片、化成等工序自动化水平</w:t>
            </w:r>
            <w:r>
              <w:rPr>
                <w:rFonts w:hint="eastAsia"/>
                <w:sz w:val="24"/>
                <w:szCs w:val="24"/>
                <w:highlight w:val="none"/>
                <w:u w:val="none" w:color="auto"/>
                <w:lang w:val="en-US" w:eastAsia="zh-CN"/>
              </w:rPr>
              <w:t>，拟减少员工50人。故本次评价将节约人力成本产生的废水排放量纳入本次以新带老削减，</w:t>
            </w:r>
            <w:r>
              <w:rPr>
                <w:rFonts w:hint="eastAsia"/>
                <w:sz w:val="24"/>
                <w:szCs w:val="24"/>
                <w:highlight w:val="none"/>
                <w:u w:val="none" w:color="auto"/>
                <w:lang w:eastAsia="zh-CN"/>
              </w:rPr>
              <w:t>本项目建成后全厂废</w:t>
            </w:r>
            <w:r>
              <w:rPr>
                <w:rFonts w:hint="eastAsia"/>
                <w:sz w:val="24"/>
                <w:szCs w:val="24"/>
                <w:highlight w:val="none"/>
                <w:u w:val="none" w:color="auto"/>
                <w:lang w:val="en-US" w:eastAsia="zh-CN"/>
              </w:rPr>
              <w:t>水</w:t>
            </w:r>
            <w:r>
              <w:rPr>
                <w:rFonts w:hint="eastAsia"/>
                <w:sz w:val="24"/>
                <w:szCs w:val="24"/>
                <w:highlight w:val="none"/>
                <w:u w:val="none" w:color="auto"/>
                <w:lang w:eastAsia="zh-CN"/>
              </w:rPr>
              <w:t>污染物排放情况见下表。</w:t>
            </w:r>
          </w:p>
          <w:p w14:paraId="021F2A0C">
            <w:pPr>
              <w:keepNext w:val="0"/>
              <w:keepLines w:val="0"/>
              <w:suppressLineNumbers w:val="0"/>
              <w:spacing w:before="0" w:beforeAutospacing="0" w:after="0" w:afterAutospacing="0" w:line="440" w:lineRule="exact"/>
              <w:ind w:left="0" w:right="0"/>
              <w:jc w:val="center"/>
              <w:rPr>
                <w:rFonts w:hint="default" w:ascii="Times New Roman" w:hAnsi="Times New Roman" w:eastAsia="黑体" w:cs="Times New Roman"/>
                <w:b w:val="0"/>
                <w:bCs w:val="0"/>
                <w:sz w:val="24"/>
                <w:highlight w:val="none"/>
                <w:u w:val="none" w:color="auto"/>
              </w:rPr>
            </w:pPr>
            <w:r>
              <w:rPr>
                <w:rFonts w:hint="default" w:ascii="Times New Roman" w:hAnsi="Times New Roman" w:eastAsia="宋体" w:cs="Times New Roman"/>
                <w:b/>
                <w:bCs/>
                <w:sz w:val="24"/>
                <w:highlight w:val="none"/>
                <w:u w:val="none" w:color="auto"/>
              </w:rPr>
              <w:t>表</w:t>
            </w:r>
            <w:r>
              <w:rPr>
                <w:rFonts w:hint="eastAsia" w:cs="Times New Roman"/>
                <w:b/>
                <w:bCs/>
                <w:sz w:val="24"/>
                <w:highlight w:val="none"/>
                <w:u w:val="none" w:color="auto"/>
                <w:lang w:val="en-US" w:eastAsia="zh-CN"/>
              </w:rPr>
              <w:t>22</w:t>
            </w:r>
            <w:r>
              <w:rPr>
                <w:rFonts w:hint="default" w:ascii="Times New Roman" w:hAnsi="Times New Roman" w:eastAsia="宋体" w:cs="Times New Roman"/>
                <w:b/>
                <w:bCs/>
                <w:sz w:val="24"/>
                <w:highlight w:val="none"/>
                <w:u w:val="none" w:color="auto"/>
              </w:rPr>
              <w:t xml:space="preserve"> </w:t>
            </w:r>
            <w:r>
              <w:rPr>
                <w:rFonts w:hint="eastAsia" w:cs="Times New Roman"/>
                <w:b/>
                <w:bCs/>
                <w:sz w:val="24"/>
                <w:highlight w:val="none"/>
                <w:u w:val="none" w:color="auto"/>
                <w:lang w:val="en-US" w:eastAsia="zh-CN"/>
              </w:rPr>
              <w:t xml:space="preserve">  本项目以新带老削减量</w:t>
            </w:r>
            <w:r>
              <w:rPr>
                <w:rFonts w:hint="default" w:ascii="Times New Roman" w:hAnsi="Times New Roman" w:eastAsia="宋体" w:cs="Times New Roman"/>
                <w:b/>
                <w:bCs/>
                <w:sz w:val="24"/>
                <w:highlight w:val="none"/>
                <w:u w:val="none" w:color="auto"/>
              </w:rPr>
              <w:t>一览表  单位：t/a</w:t>
            </w:r>
          </w:p>
          <w:tbl>
            <w:tblPr>
              <w:tblStyle w:val="23"/>
              <w:tblW w:w="4997"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97"/>
              <w:gridCol w:w="2386"/>
              <w:gridCol w:w="2578"/>
              <w:gridCol w:w="2439"/>
            </w:tblGrid>
            <w:tr w14:paraId="285812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4" w:type="pct"/>
                  <w:tcBorders>
                    <w:top w:val="single" w:color="auto" w:sz="8" w:space="0"/>
                    <w:bottom w:val="single" w:color="auto" w:sz="8" w:space="0"/>
                  </w:tcBorders>
                  <w:noWrap w:val="0"/>
                  <w:vAlign w:val="center"/>
                </w:tcPr>
                <w:p w14:paraId="12DBF79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sz w:val="21"/>
                      <w:szCs w:val="21"/>
                      <w:highlight w:val="none"/>
                      <w:u w:val="none" w:color="auto"/>
                    </w:rPr>
                  </w:pPr>
                  <w:r>
                    <w:rPr>
                      <w:rFonts w:hint="default" w:ascii="Times New Roman" w:hAnsi="Times New Roman" w:eastAsia="宋体" w:cs="Times New Roman"/>
                      <w:b/>
                      <w:bCs/>
                      <w:sz w:val="21"/>
                      <w:szCs w:val="21"/>
                      <w:highlight w:val="none"/>
                      <w:u w:val="none" w:color="auto"/>
                    </w:rPr>
                    <w:t>污染</w:t>
                  </w:r>
                  <w:r>
                    <w:rPr>
                      <w:rFonts w:hint="default" w:ascii="Times New Roman" w:hAnsi="Times New Roman" w:eastAsia="宋体" w:cs="Times New Roman"/>
                      <w:b/>
                      <w:bCs/>
                      <w:sz w:val="21"/>
                      <w:szCs w:val="21"/>
                      <w:highlight w:val="none"/>
                      <w:u w:val="none" w:color="auto"/>
                      <w:lang w:eastAsia="zh-CN"/>
                    </w:rPr>
                    <w:t>因子</w:t>
                  </w:r>
                </w:p>
              </w:tc>
              <w:tc>
                <w:tcPr>
                  <w:tcW w:w="1355" w:type="pct"/>
                  <w:tcBorders>
                    <w:top w:val="single" w:color="auto" w:sz="8" w:space="0"/>
                    <w:bottom w:val="single" w:color="auto" w:sz="8" w:space="0"/>
                  </w:tcBorders>
                  <w:noWrap w:val="0"/>
                  <w:vAlign w:val="center"/>
                </w:tcPr>
                <w:p w14:paraId="0E88E24A">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sz w:val="21"/>
                      <w:szCs w:val="21"/>
                      <w:highlight w:val="none"/>
                      <w:u w:val="none" w:color="auto"/>
                      <w:lang w:val="en-US" w:eastAsia="zh-CN"/>
                    </w:rPr>
                  </w:pPr>
                  <w:r>
                    <w:rPr>
                      <w:rFonts w:hint="eastAsia" w:cs="Times New Roman"/>
                      <w:b/>
                      <w:bCs/>
                      <w:sz w:val="21"/>
                      <w:szCs w:val="21"/>
                      <w:highlight w:val="none"/>
                      <w:u w:val="none" w:color="auto"/>
                      <w:lang w:val="en-US" w:eastAsia="zh-CN"/>
                    </w:rPr>
                    <w:t>改建前排放量</w:t>
                  </w:r>
                </w:p>
              </w:tc>
              <w:tc>
                <w:tcPr>
                  <w:tcW w:w="1464" w:type="pct"/>
                  <w:tcBorders>
                    <w:top w:val="single" w:color="auto" w:sz="8" w:space="0"/>
                    <w:bottom w:val="single" w:color="auto" w:sz="8" w:space="0"/>
                  </w:tcBorders>
                  <w:noWrap w:val="0"/>
                  <w:vAlign w:val="center"/>
                </w:tcPr>
                <w:p w14:paraId="7217463B">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bCs/>
                      <w:sz w:val="21"/>
                      <w:szCs w:val="21"/>
                      <w:highlight w:val="none"/>
                      <w:u w:val="none" w:color="auto"/>
                      <w:lang w:eastAsia="zh-CN"/>
                    </w:rPr>
                  </w:pPr>
                  <w:r>
                    <w:rPr>
                      <w:rFonts w:hint="eastAsia" w:cs="Times New Roman"/>
                      <w:b/>
                      <w:bCs/>
                      <w:sz w:val="21"/>
                      <w:szCs w:val="21"/>
                      <w:highlight w:val="none"/>
                      <w:u w:val="none" w:color="auto"/>
                      <w:lang w:val="en-US" w:eastAsia="zh-CN"/>
                    </w:rPr>
                    <w:t>改建后排放量</w:t>
                  </w:r>
                </w:p>
              </w:tc>
              <w:tc>
                <w:tcPr>
                  <w:tcW w:w="1385" w:type="pct"/>
                  <w:tcBorders>
                    <w:top w:val="single" w:color="auto" w:sz="8" w:space="0"/>
                    <w:bottom w:val="single" w:color="auto" w:sz="8" w:space="0"/>
                  </w:tcBorders>
                  <w:noWrap w:val="0"/>
                  <w:vAlign w:val="center"/>
                </w:tcPr>
                <w:p w14:paraId="0EA33D38">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sz w:val="21"/>
                      <w:szCs w:val="21"/>
                      <w:highlight w:val="none"/>
                      <w:u w:val="none" w:color="auto"/>
                    </w:rPr>
                  </w:pPr>
                  <w:r>
                    <w:rPr>
                      <w:rFonts w:hint="eastAsia" w:cs="Times New Roman"/>
                      <w:b/>
                      <w:bCs/>
                      <w:sz w:val="21"/>
                      <w:szCs w:val="21"/>
                      <w:highlight w:val="none"/>
                      <w:u w:val="none" w:color="auto"/>
                      <w:lang w:val="en-US" w:eastAsia="zh-CN"/>
                    </w:rPr>
                    <w:t>以新带老削减</w:t>
                  </w:r>
                  <w:r>
                    <w:rPr>
                      <w:rFonts w:hint="default" w:ascii="Times New Roman" w:hAnsi="Times New Roman" w:eastAsia="宋体" w:cs="Times New Roman"/>
                      <w:b/>
                      <w:bCs/>
                      <w:sz w:val="21"/>
                      <w:szCs w:val="21"/>
                      <w:highlight w:val="none"/>
                      <w:u w:val="none" w:color="auto"/>
                    </w:rPr>
                    <w:t>量</w:t>
                  </w:r>
                </w:p>
              </w:tc>
            </w:tr>
            <w:tr w14:paraId="009317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4" w:type="pct"/>
                  <w:tcBorders>
                    <w:top w:val="single" w:color="auto" w:sz="4" w:space="0"/>
                    <w:bottom w:val="single" w:color="auto" w:sz="4" w:space="0"/>
                  </w:tcBorders>
                  <w:noWrap w:val="0"/>
                  <w:vAlign w:val="center"/>
                </w:tcPr>
                <w:p w14:paraId="567342BC">
                  <w:pPr>
                    <w:keepNext w:val="0"/>
                    <w:keepLines w:val="0"/>
                    <w:widowControl/>
                    <w:suppressLineNumbers w:val="0"/>
                    <w:adjustRightInd w:val="0"/>
                    <w:snapToGrid w:val="0"/>
                    <w:spacing w:before="0" w:beforeAutospacing="0" w:after="0" w:afterAutospacing="0"/>
                    <w:ind w:left="0" w:leftChars="0" w:right="0" w:rightChars="0"/>
                    <w:jc w:val="center"/>
                    <w:rPr>
                      <w:rFonts w:hint="eastAsia" w:cs="Times New Roman"/>
                      <w:sz w:val="21"/>
                      <w:szCs w:val="21"/>
                      <w:highlight w:val="none"/>
                      <w:u w:val="none" w:color="auto"/>
                      <w:lang w:val="en-US" w:eastAsia="zh-CN"/>
                    </w:rPr>
                  </w:pPr>
                  <w:r>
                    <w:rPr>
                      <w:rFonts w:hint="eastAsia" w:cs="Times New Roman"/>
                      <w:sz w:val="21"/>
                      <w:szCs w:val="21"/>
                      <w:highlight w:val="none"/>
                      <w:u w:val="none" w:color="auto"/>
                      <w:lang w:val="en-US" w:eastAsia="zh-CN"/>
                    </w:rPr>
                    <w:t>颗粒物</w:t>
                  </w:r>
                </w:p>
              </w:tc>
              <w:tc>
                <w:tcPr>
                  <w:tcW w:w="2409" w:type="dxa"/>
                  <w:tcBorders>
                    <w:top w:val="single" w:color="auto" w:sz="4" w:space="0"/>
                    <w:bottom w:val="single" w:color="auto" w:sz="4" w:space="0"/>
                  </w:tcBorders>
                  <w:noWrap w:val="0"/>
                  <w:vAlign w:val="center"/>
                </w:tcPr>
                <w:p w14:paraId="4DA35548">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cs="Times New Roman"/>
                      <w:sz w:val="21"/>
                      <w:szCs w:val="21"/>
                      <w:highlight w:val="none"/>
                      <w:u w:val="none" w:color="auto"/>
                      <w:lang w:val="en-US" w:eastAsia="zh-CN"/>
                    </w:rPr>
                  </w:pPr>
                  <w:r>
                    <w:rPr>
                      <w:rFonts w:hint="default" w:ascii="Times New Roman" w:hAnsi="Times New Roman" w:cs="Times New Roman"/>
                      <w:sz w:val="21"/>
                      <w:szCs w:val="21"/>
                      <w:highlight w:val="none"/>
                    </w:rPr>
                    <w:t>0.4</w:t>
                  </w:r>
                  <w:r>
                    <w:rPr>
                      <w:rFonts w:hint="eastAsia" w:cs="Times New Roman"/>
                      <w:sz w:val="21"/>
                      <w:szCs w:val="21"/>
                      <w:highlight w:val="none"/>
                      <w:lang w:val="en-US" w:eastAsia="zh-CN"/>
                    </w:rPr>
                    <w:t>400</w:t>
                  </w:r>
                </w:p>
              </w:tc>
              <w:tc>
                <w:tcPr>
                  <w:tcW w:w="2603" w:type="dxa"/>
                  <w:tcBorders>
                    <w:top w:val="single" w:color="auto" w:sz="4" w:space="0"/>
                    <w:bottom w:val="single" w:color="auto" w:sz="4" w:space="0"/>
                  </w:tcBorders>
                  <w:noWrap w:val="0"/>
                  <w:vAlign w:val="center"/>
                </w:tcPr>
                <w:p w14:paraId="3B3784E0">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cs="Times New Roman"/>
                      <w:sz w:val="21"/>
                      <w:szCs w:val="21"/>
                      <w:highlight w:val="none"/>
                      <w:u w:val="none" w:color="auto"/>
                      <w:lang w:val="en-US" w:eastAsia="zh-CN"/>
                    </w:rPr>
                  </w:pPr>
                  <w:r>
                    <w:rPr>
                      <w:rFonts w:hint="default" w:ascii="Times New Roman" w:hAnsi="Times New Roman" w:cs="Times New Roman"/>
                      <w:sz w:val="21"/>
                      <w:szCs w:val="21"/>
                      <w:highlight w:val="none"/>
                    </w:rPr>
                    <w:t>0.4</w:t>
                  </w:r>
                  <w:r>
                    <w:rPr>
                      <w:rFonts w:hint="eastAsia" w:cs="Times New Roman"/>
                      <w:sz w:val="21"/>
                      <w:szCs w:val="21"/>
                      <w:highlight w:val="none"/>
                      <w:lang w:val="en-US" w:eastAsia="zh-CN"/>
                    </w:rPr>
                    <w:t>400</w:t>
                  </w:r>
                </w:p>
              </w:tc>
              <w:tc>
                <w:tcPr>
                  <w:tcW w:w="1385" w:type="pct"/>
                  <w:tcBorders>
                    <w:top w:val="single" w:color="auto" w:sz="4" w:space="0"/>
                    <w:bottom w:val="single" w:color="auto" w:sz="4" w:space="0"/>
                  </w:tcBorders>
                  <w:noWrap w:val="0"/>
                  <w:vAlign w:val="center"/>
                </w:tcPr>
                <w:p w14:paraId="6F98D6E2">
                  <w:pPr>
                    <w:keepNext w:val="0"/>
                    <w:keepLines w:val="0"/>
                    <w:suppressLineNumbers w:val="0"/>
                    <w:spacing w:before="0" w:beforeAutospacing="0" w:after="0" w:afterAutospacing="0"/>
                    <w:ind w:left="0" w:leftChars="0" w:right="0" w:rightChars="0"/>
                    <w:jc w:val="center"/>
                    <w:rPr>
                      <w:rFonts w:hint="default"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sz w:val="21"/>
                      <w:szCs w:val="21"/>
                      <w:highlight w:val="none"/>
                      <w:u w:val="none" w:color="auto"/>
                      <w:lang w:val="en-US" w:eastAsia="zh-CN"/>
                    </w:rPr>
                    <w:t>0</w:t>
                  </w:r>
                </w:p>
              </w:tc>
            </w:tr>
            <w:tr w14:paraId="32A2AB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4" w:type="pct"/>
                  <w:tcBorders>
                    <w:top w:val="single" w:color="auto" w:sz="4" w:space="0"/>
                    <w:bottom w:val="single" w:color="auto" w:sz="4" w:space="0"/>
                  </w:tcBorders>
                  <w:noWrap w:val="0"/>
                  <w:vAlign w:val="center"/>
                </w:tcPr>
                <w:p w14:paraId="49D3E2E2">
                  <w:pPr>
                    <w:keepNext w:val="0"/>
                    <w:keepLines w:val="0"/>
                    <w:widowControl/>
                    <w:suppressLineNumbers w:val="0"/>
                    <w:adjustRightInd w:val="0"/>
                    <w:snapToGrid w:val="0"/>
                    <w:spacing w:before="0" w:beforeAutospacing="0" w:after="0" w:afterAutospacing="0"/>
                    <w:ind w:left="0" w:leftChars="0" w:right="0" w:rightChars="0"/>
                    <w:jc w:val="center"/>
                    <w:rPr>
                      <w:rFonts w:hint="default" w:cs="Times New Roman"/>
                      <w:sz w:val="21"/>
                      <w:szCs w:val="21"/>
                      <w:highlight w:val="none"/>
                      <w:u w:val="none" w:color="auto"/>
                      <w:lang w:val="en-US" w:eastAsia="zh-CN"/>
                    </w:rPr>
                  </w:pPr>
                  <w:r>
                    <w:rPr>
                      <w:rFonts w:hint="eastAsia" w:cs="Times New Roman"/>
                      <w:sz w:val="21"/>
                      <w:szCs w:val="21"/>
                      <w:highlight w:val="none"/>
                      <w:u w:val="none" w:color="auto"/>
                      <w:lang w:val="en-US" w:eastAsia="zh-CN"/>
                    </w:rPr>
                    <w:t>非甲烷总烃</w:t>
                  </w:r>
                </w:p>
              </w:tc>
              <w:tc>
                <w:tcPr>
                  <w:tcW w:w="2409" w:type="dxa"/>
                  <w:tcBorders>
                    <w:top w:val="single" w:color="auto" w:sz="4" w:space="0"/>
                    <w:bottom w:val="single" w:color="auto" w:sz="4" w:space="0"/>
                  </w:tcBorders>
                  <w:noWrap w:val="0"/>
                  <w:vAlign w:val="center"/>
                </w:tcPr>
                <w:p w14:paraId="78D0BC28">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cs="Times New Roman"/>
                      <w:sz w:val="21"/>
                      <w:szCs w:val="21"/>
                      <w:highlight w:val="none"/>
                      <w:u w:val="none" w:color="auto"/>
                      <w:lang w:val="en-US" w:eastAsia="zh-CN"/>
                    </w:rPr>
                  </w:pPr>
                  <w:r>
                    <w:rPr>
                      <w:rFonts w:hint="eastAsia"/>
                      <w:color w:val="000000" w:themeColor="text1"/>
                      <w:sz w:val="21"/>
                      <w:szCs w:val="21"/>
                      <w:highlight w:val="none"/>
                      <w:lang w:val="en-US" w:eastAsia="zh-CN"/>
                      <w14:textFill>
                        <w14:solidFill>
                          <w14:schemeClr w14:val="tx1"/>
                        </w14:solidFill>
                      </w14:textFill>
                    </w:rPr>
                    <w:t>3.3880</w:t>
                  </w:r>
                </w:p>
              </w:tc>
              <w:tc>
                <w:tcPr>
                  <w:tcW w:w="2603" w:type="dxa"/>
                  <w:tcBorders>
                    <w:top w:val="single" w:color="auto" w:sz="4" w:space="0"/>
                    <w:bottom w:val="single" w:color="auto" w:sz="4" w:space="0"/>
                  </w:tcBorders>
                  <w:noWrap w:val="0"/>
                  <w:vAlign w:val="center"/>
                </w:tcPr>
                <w:p w14:paraId="0DA33701">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cs="Times New Roman"/>
                      <w:sz w:val="21"/>
                      <w:szCs w:val="21"/>
                      <w:highlight w:val="none"/>
                      <w:u w:val="none" w:color="auto"/>
                      <w:lang w:val="en-US" w:eastAsia="zh-CN"/>
                    </w:rPr>
                  </w:pPr>
                  <w:r>
                    <w:rPr>
                      <w:rFonts w:hint="eastAsia"/>
                      <w:color w:val="000000" w:themeColor="text1"/>
                      <w:sz w:val="21"/>
                      <w:szCs w:val="21"/>
                      <w:highlight w:val="none"/>
                      <w:lang w:val="en-US" w:eastAsia="zh-CN"/>
                      <w14:textFill>
                        <w14:solidFill>
                          <w14:schemeClr w14:val="tx1"/>
                        </w14:solidFill>
                      </w14:textFill>
                    </w:rPr>
                    <w:t>3.3880</w:t>
                  </w:r>
                </w:p>
              </w:tc>
              <w:tc>
                <w:tcPr>
                  <w:tcW w:w="1385" w:type="pct"/>
                  <w:tcBorders>
                    <w:top w:val="single" w:color="auto" w:sz="4" w:space="0"/>
                    <w:bottom w:val="single" w:color="auto" w:sz="4" w:space="0"/>
                  </w:tcBorders>
                  <w:noWrap w:val="0"/>
                  <w:vAlign w:val="center"/>
                </w:tcPr>
                <w:p w14:paraId="25F3BA03">
                  <w:pPr>
                    <w:keepNext w:val="0"/>
                    <w:keepLines w:val="0"/>
                    <w:suppressLineNumbers w:val="0"/>
                    <w:spacing w:before="0" w:beforeAutospacing="0" w:after="0" w:afterAutospacing="0"/>
                    <w:ind w:left="0" w:leftChars="0" w:right="0" w:rightChars="0"/>
                    <w:jc w:val="center"/>
                    <w:rPr>
                      <w:rFonts w:hint="default"/>
                      <w:color w:val="000000" w:themeColor="text1"/>
                      <w:sz w:val="21"/>
                      <w:szCs w:val="21"/>
                      <w:highlight w:val="none"/>
                      <w:u w:val="none" w:color="auto"/>
                      <w:lang w:val="en-US" w:eastAsia="zh-CN"/>
                      <w14:textFill>
                        <w14:solidFill>
                          <w14:schemeClr w14:val="tx1"/>
                        </w14:solidFill>
                      </w14:textFill>
                    </w:rPr>
                  </w:pPr>
                  <w:r>
                    <w:rPr>
                      <w:rFonts w:hint="eastAsia" w:cs="Times New Roman"/>
                      <w:sz w:val="21"/>
                      <w:szCs w:val="21"/>
                      <w:highlight w:val="none"/>
                      <w:u w:val="none" w:color="auto"/>
                      <w:lang w:val="en-US" w:eastAsia="zh-CN"/>
                    </w:rPr>
                    <w:t>0</w:t>
                  </w:r>
                </w:p>
              </w:tc>
            </w:tr>
            <w:tr w14:paraId="56E67D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4" w:type="pct"/>
                  <w:tcBorders>
                    <w:top w:val="single" w:color="auto" w:sz="4" w:space="0"/>
                    <w:bottom w:val="single" w:color="auto" w:sz="4" w:space="0"/>
                  </w:tcBorders>
                  <w:noWrap w:val="0"/>
                  <w:vAlign w:val="center"/>
                </w:tcPr>
                <w:p w14:paraId="3DF3082C">
                  <w:pPr>
                    <w:pStyle w:val="51"/>
                    <w:keepNext w:val="0"/>
                    <w:keepLines w:val="0"/>
                    <w:suppressLineNumbers w:val="0"/>
                    <w:spacing w:before="0" w:beforeLines="0" w:beforeAutospacing="0" w:after="0" w:afterLines="0" w:afterAutospacing="0" w:line="240" w:lineRule="auto"/>
                    <w:ind w:left="0" w:leftChars="0" w:right="0" w:rightChars="0"/>
                    <w:rPr>
                      <w:rFonts w:hint="default" w:cs="Times New Roman"/>
                      <w:sz w:val="21"/>
                      <w:szCs w:val="21"/>
                      <w:highlight w:val="none"/>
                      <w:u w:val="none" w:color="auto"/>
                      <w:lang w:val="en-US" w:eastAsia="zh-CN"/>
                    </w:rPr>
                  </w:pPr>
                  <w:r>
                    <w:rPr>
                      <w:rFonts w:hint="eastAsia" w:ascii="Times New Roman" w:hAnsi="宋体"/>
                      <w:snapToGrid w:val="0"/>
                      <w:color w:val="000000"/>
                      <w:kern w:val="21"/>
                      <w:sz w:val="21"/>
                      <w:szCs w:val="21"/>
                      <w:highlight w:val="none"/>
                      <w:lang w:val="en-US" w:eastAsia="zh-CN"/>
                    </w:rPr>
                    <w:t>COD</w:t>
                  </w:r>
                </w:p>
              </w:tc>
              <w:tc>
                <w:tcPr>
                  <w:tcW w:w="2409" w:type="dxa"/>
                  <w:tcBorders>
                    <w:top w:val="single" w:color="auto" w:sz="4" w:space="0"/>
                    <w:bottom w:val="single" w:color="auto" w:sz="4" w:space="0"/>
                  </w:tcBorders>
                  <w:noWrap w:val="0"/>
                  <w:vAlign w:val="center"/>
                </w:tcPr>
                <w:p w14:paraId="5CDD9476">
                  <w:pPr>
                    <w:pStyle w:val="51"/>
                    <w:keepNext w:val="0"/>
                    <w:keepLines w:val="0"/>
                    <w:suppressLineNumbers w:val="0"/>
                    <w:spacing w:before="0" w:beforeAutospacing="0" w:after="0" w:afterAutospacing="0"/>
                    <w:ind w:left="0" w:leftChars="0" w:right="0" w:rightChars="0"/>
                    <w:jc w:val="center"/>
                    <w:rPr>
                      <w:rFonts w:hint="default" w:cs="Times New Roman"/>
                      <w:sz w:val="21"/>
                      <w:szCs w:val="21"/>
                      <w:highlight w:val="none"/>
                      <w:u w:val="none" w:color="auto"/>
                      <w:lang w:val="en-US" w:eastAsia="zh-CN"/>
                    </w:rPr>
                  </w:pPr>
                  <w:r>
                    <w:rPr>
                      <w:rFonts w:hint="eastAsia" w:ascii="Times New Roman" w:cs="Times New Roman"/>
                      <w:sz w:val="21"/>
                      <w:szCs w:val="21"/>
                      <w:highlight w:val="none"/>
                      <w:lang w:val="en-US" w:eastAsia="zh-CN"/>
                    </w:rPr>
                    <w:t>4.2768</w:t>
                  </w:r>
                </w:p>
              </w:tc>
              <w:tc>
                <w:tcPr>
                  <w:tcW w:w="2603" w:type="dxa"/>
                  <w:tcBorders>
                    <w:top w:val="single" w:color="auto" w:sz="4" w:space="0"/>
                    <w:bottom w:val="single" w:color="auto" w:sz="4" w:space="0"/>
                  </w:tcBorders>
                  <w:noWrap w:val="0"/>
                  <w:vAlign w:val="center"/>
                </w:tcPr>
                <w:p w14:paraId="074057B5">
                  <w:pPr>
                    <w:pStyle w:val="51"/>
                    <w:keepNext w:val="0"/>
                    <w:keepLines w:val="0"/>
                    <w:suppressLineNumbers w:val="0"/>
                    <w:spacing w:before="0" w:beforeAutospacing="0" w:after="0" w:afterAutospacing="0"/>
                    <w:ind w:left="0" w:leftChars="0" w:right="0" w:rightChars="0"/>
                    <w:jc w:val="center"/>
                    <w:rPr>
                      <w:rFonts w:hint="default" w:cs="Times New Roman"/>
                      <w:sz w:val="21"/>
                      <w:szCs w:val="21"/>
                      <w:highlight w:val="none"/>
                      <w:u w:val="none" w:color="auto"/>
                      <w:lang w:val="en-US" w:eastAsia="zh-CN"/>
                    </w:rPr>
                  </w:pPr>
                  <w:r>
                    <w:rPr>
                      <w:rFonts w:hint="eastAsia" w:ascii="Times New Roman" w:cs="Times New Roman"/>
                      <w:sz w:val="21"/>
                      <w:szCs w:val="21"/>
                      <w:highlight w:val="none"/>
                      <w:lang w:val="en-US" w:eastAsia="zh-CN"/>
                    </w:rPr>
                    <w:t>4.2610</w:t>
                  </w:r>
                </w:p>
              </w:tc>
              <w:tc>
                <w:tcPr>
                  <w:tcW w:w="1385" w:type="pct"/>
                  <w:tcBorders>
                    <w:top w:val="single" w:color="auto" w:sz="4" w:space="0"/>
                    <w:bottom w:val="single" w:color="auto" w:sz="4" w:space="0"/>
                  </w:tcBorders>
                  <w:noWrap w:val="0"/>
                  <w:vAlign w:val="center"/>
                </w:tcPr>
                <w:p w14:paraId="3769F333">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0.0158</w:t>
                  </w:r>
                </w:p>
              </w:tc>
            </w:tr>
            <w:tr w14:paraId="24B5BF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4" w:type="pct"/>
                  <w:tcBorders>
                    <w:top w:val="single" w:color="auto" w:sz="4" w:space="0"/>
                    <w:bottom w:val="single" w:color="auto" w:sz="8" w:space="0"/>
                  </w:tcBorders>
                  <w:noWrap w:val="0"/>
                  <w:vAlign w:val="center"/>
                </w:tcPr>
                <w:p w14:paraId="08277230">
                  <w:pPr>
                    <w:keepNext w:val="0"/>
                    <w:keepLines w:val="0"/>
                    <w:widowControl/>
                    <w:suppressLineNumbers w:val="0"/>
                    <w:adjustRightInd w:val="0"/>
                    <w:snapToGrid w:val="0"/>
                    <w:spacing w:before="0" w:beforeAutospacing="0" w:after="0" w:afterAutospacing="0"/>
                    <w:ind w:left="0" w:leftChars="0" w:right="0" w:rightChars="0"/>
                    <w:jc w:val="center"/>
                    <w:rPr>
                      <w:rFonts w:hint="eastAsia" w:cs="Times New Roman"/>
                      <w:sz w:val="21"/>
                      <w:szCs w:val="21"/>
                      <w:highlight w:val="none"/>
                      <w:u w:val="none" w:color="auto"/>
                      <w:lang w:val="en-US" w:eastAsia="zh-CN"/>
                    </w:rPr>
                  </w:pPr>
                  <w:r>
                    <w:rPr>
                      <w:rFonts w:hint="default"/>
                      <w:sz w:val="21"/>
                      <w:szCs w:val="21"/>
                      <w:highlight w:val="none"/>
                      <w:lang w:bidi="ar"/>
                    </w:rPr>
                    <w:t>NH</w:t>
                  </w:r>
                  <w:r>
                    <w:rPr>
                      <w:rFonts w:hint="default"/>
                      <w:sz w:val="21"/>
                      <w:szCs w:val="21"/>
                      <w:highlight w:val="none"/>
                      <w:vertAlign w:val="subscript"/>
                      <w:lang w:bidi="ar"/>
                    </w:rPr>
                    <w:t>3</w:t>
                  </w:r>
                  <w:r>
                    <w:rPr>
                      <w:rFonts w:hint="default"/>
                      <w:sz w:val="21"/>
                      <w:szCs w:val="21"/>
                      <w:highlight w:val="none"/>
                      <w:lang w:bidi="ar"/>
                    </w:rPr>
                    <w:t>-N</w:t>
                  </w:r>
                </w:p>
              </w:tc>
              <w:tc>
                <w:tcPr>
                  <w:tcW w:w="2409" w:type="dxa"/>
                  <w:tcBorders>
                    <w:top w:val="single" w:color="auto" w:sz="4" w:space="0"/>
                    <w:bottom w:val="single" w:color="auto" w:sz="8" w:space="0"/>
                  </w:tcBorders>
                  <w:noWrap w:val="0"/>
                  <w:vAlign w:val="center"/>
                </w:tcPr>
                <w:p w14:paraId="4A3EE656">
                  <w:pPr>
                    <w:pStyle w:val="51"/>
                    <w:keepNext w:val="0"/>
                    <w:keepLines w:val="0"/>
                    <w:suppressLineNumbers w:val="0"/>
                    <w:spacing w:before="0" w:beforeAutospacing="0" w:after="0" w:afterAutospacing="0"/>
                    <w:ind w:left="0" w:leftChars="0" w:right="0" w:rightChars="0"/>
                    <w:jc w:val="center"/>
                    <w:rPr>
                      <w:rFonts w:hint="default" w:cs="Times New Roman"/>
                      <w:sz w:val="21"/>
                      <w:szCs w:val="21"/>
                      <w:highlight w:val="none"/>
                      <w:u w:val="none" w:color="auto"/>
                      <w:lang w:val="en-US" w:eastAsia="zh-CN"/>
                    </w:rPr>
                  </w:pPr>
                  <w:r>
                    <w:rPr>
                      <w:rFonts w:hint="eastAsia" w:ascii="Times New Roman" w:cs="Times New Roman"/>
                      <w:snapToGrid w:val="0"/>
                      <w:color w:val="000000"/>
                      <w:kern w:val="21"/>
                      <w:sz w:val="21"/>
                      <w:szCs w:val="21"/>
                      <w:highlight w:val="none"/>
                      <w:lang w:val="en-US" w:eastAsia="zh-CN"/>
                    </w:rPr>
                    <w:t>0.4158</w:t>
                  </w:r>
                </w:p>
              </w:tc>
              <w:tc>
                <w:tcPr>
                  <w:tcW w:w="2603" w:type="dxa"/>
                  <w:tcBorders>
                    <w:top w:val="single" w:color="auto" w:sz="4" w:space="0"/>
                    <w:bottom w:val="single" w:color="auto" w:sz="8" w:space="0"/>
                  </w:tcBorders>
                  <w:noWrap w:val="0"/>
                  <w:vAlign w:val="center"/>
                </w:tcPr>
                <w:p w14:paraId="32D06E96">
                  <w:pPr>
                    <w:pStyle w:val="51"/>
                    <w:keepNext w:val="0"/>
                    <w:keepLines w:val="0"/>
                    <w:suppressLineNumbers w:val="0"/>
                    <w:spacing w:before="0" w:beforeAutospacing="0" w:after="0" w:afterAutospacing="0"/>
                    <w:ind w:left="0" w:leftChars="0" w:right="0" w:rightChars="0"/>
                    <w:jc w:val="center"/>
                    <w:rPr>
                      <w:rFonts w:hint="default" w:cs="Times New Roman"/>
                      <w:sz w:val="21"/>
                      <w:szCs w:val="21"/>
                      <w:highlight w:val="none"/>
                      <w:u w:val="none" w:color="auto"/>
                      <w:lang w:val="en-US" w:eastAsia="zh-CN"/>
                    </w:rPr>
                  </w:pPr>
                  <w:r>
                    <w:rPr>
                      <w:rFonts w:hint="eastAsia" w:ascii="Times New Roman" w:cs="Times New Roman"/>
                      <w:snapToGrid w:val="0"/>
                      <w:color w:val="000000"/>
                      <w:kern w:val="21"/>
                      <w:sz w:val="21"/>
                      <w:szCs w:val="21"/>
                      <w:highlight w:val="none"/>
                      <w:lang w:val="en-US" w:eastAsia="zh-CN"/>
                    </w:rPr>
                    <w:t>0.4118</w:t>
                  </w:r>
                </w:p>
              </w:tc>
              <w:tc>
                <w:tcPr>
                  <w:tcW w:w="1385" w:type="pct"/>
                  <w:tcBorders>
                    <w:top w:val="single" w:color="auto" w:sz="4" w:space="0"/>
                    <w:bottom w:val="single" w:color="auto" w:sz="8" w:space="0"/>
                  </w:tcBorders>
                  <w:noWrap w:val="0"/>
                  <w:vAlign w:val="center"/>
                </w:tcPr>
                <w:p w14:paraId="1EB534EF">
                  <w:pPr>
                    <w:pStyle w:val="51"/>
                    <w:keepNext w:val="0"/>
                    <w:keepLines w:val="0"/>
                    <w:suppressLineNumbers w:val="0"/>
                    <w:spacing w:before="0" w:beforeLines="0" w:beforeAutospacing="0" w:after="0" w:afterLines="0" w:afterAutospacing="0" w:line="240" w:lineRule="auto"/>
                    <w:ind w:left="0" w:leftChars="0" w:right="0" w:rightChars="0"/>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0.004</w:t>
                  </w:r>
                </w:p>
              </w:tc>
            </w:tr>
          </w:tbl>
          <w:p w14:paraId="7903CFC9">
            <w:pPr>
              <w:keepNext w:val="0"/>
              <w:keepLines w:val="0"/>
              <w:pageBreakBefore w:val="0"/>
              <w:widowControl w:val="0"/>
              <w:numPr>
                <w:ilvl w:val="0"/>
                <w:numId w:val="0"/>
              </w:numPr>
              <w:suppressLineNumbers w:val="0"/>
              <w:kinsoku/>
              <w:wordWrap/>
              <w:overflowPunct/>
              <w:topLinePunct w:val="0"/>
              <w:autoSpaceDE/>
              <w:autoSpaceDN/>
              <w:bidi w:val="0"/>
              <w:spacing w:before="0" w:beforeAutospacing="0" w:after="0" w:afterAutospacing="0" w:line="440" w:lineRule="exact"/>
              <w:ind w:left="0" w:right="0" w:rightChars="0" w:firstLine="480" w:firstLineChars="200"/>
              <w:jc w:val="both"/>
              <w:textAlignment w:val="auto"/>
              <w:rPr>
                <w:rFonts w:hint="default"/>
                <w:color w:val="000000"/>
                <w:sz w:val="24"/>
                <w:szCs w:val="24"/>
                <w:lang w:val="en-US" w:eastAsia="zh-CN"/>
              </w:rPr>
            </w:pPr>
          </w:p>
          <w:p w14:paraId="1CB6BCE6">
            <w:pPr>
              <w:keepNext w:val="0"/>
              <w:keepLines w:val="0"/>
              <w:pageBreakBefore w:val="0"/>
              <w:numPr>
                <w:ilvl w:val="0"/>
                <w:numId w:val="0"/>
              </w:numPr>
              <w:suppressLineNumbers w:val="0"/>
              <w:kinsoku/>
              <w:wordWrap/>
              <w:overflowPunct/>
              <w:topLinePunct w:val="0"/>
              <w:autoSpaceDE/>
              <w:autoSpaceDN/>
              <w:bidi w:val="0"/>
              <w:spacing w:before="0" w:beforeAutospacing="0" w:after="0" w:afterAutospacing="0" w:line="440" w:lineRule="exact"/>
              <w:ind w:left="480" w:leftChars="200" w:right="0" w:rightChars="0"/>
              <w:jc w:val="both"/>
              <w:textAlignment w:val="auto"/>
              <w:rPr>
                <w:rFonts w:hint="default" w:ascii="Times New Roman" w:hAnsi="Times New Roman" w:eastAsia="宋体"/>
                <w:color w:val="000000"/>
                <w:sz w:val="24"/>
                <w:szCs w:val="24"/>
                <w:lang w:val="en-US" w:eastAsia="zh-CN"/>
              </w:rPr>
            </w:pPr>
          </w:p>
          <w:p w14:paraId="2A1FA249">
            <w:pPr>
              <w:keepNext w:val="0"/>
              <w:keepLines w:val="0"/>
              <w:pageBreakBefore w:val="0"/>
              <w:numPr>
                <w:ilvl w:val="0"/>
                <w:numId w:val="0"/>
              </w:numPr>
              <w:suppressLineNumbers w:val="0"/>
              <w:kinsoku/>
              <w:wordWrap/>
              <w:overflowPunct/>
              <w:topLinePunct w:val="0"/>
              <w:autoSpaceDE/>
              <w:autoSpaceDN/>
              <w:bidi w:val="0"/>
              <w:spacing w:before="0" w:beforeAutospacing="0" w:after="0" w:afterAutospacing="0" w:line="440" w:lineRule="exact"/>
              <w:ind w:left="480" w:leftChars="200" w:right="0" w:rightChars="0"/>
              <w:jc w:val="both"/>
              <w:textAlignment w:val="auto"/>
              <w:rPr>
                <w:rFonts w:hint="default" w:ascii="Times New Roman" w:hAnsi="Times New Roman" w:eastAsia="宋体"/>
                <w:color w:val="000000"/>
                <w:sz w:val="24"/>
                <w:szCs w:val="24"/>
                <w:lang w:val="en-US" w:eastAsia="zh-CN"/>
              </w:rPr>
            </w:pPr>
          </w:p>
          <w:p w14:paraId="6AA9DBE0">
            <w:pPr>
              <w:keepNext w:val="0"/>
              <w:keepLines w:val="0"/>
              <w:pageBreakBefore w:val="0"/>
              <w:numPr>
                <w:ilvl w:val="0"/>
                <w:numId w:val="0"/>
              </w:numPr>
              <w:suppressLineNumbers w:val="0"/>
              <w:kinsoku/>
              <w:wordWrap/>
              <w:overflowPunct/>
              <w:topLinePunct w:val="0"/>
              <w:autoSpaceDE/>
              <w:autoSpaceDN/>
              <w:bidi w:val="0"/>
              <w:spacing w:before="0" w:beforeAutospacing="0" w:after="0" w:afterAutospacing="0" w:line="440" w:lineRule="exact"/>
              <w:ind w:left="480" w:leftChars="200" w:right="0" w:rightChars="0"/>
              <w:jc w:val="both"/>
              <w:textAlignment w:val="auto"/>
              <w:rPr>
                <w:rFonts w:hint="default" w:ascii="Times New Roman" w:hAnsi="Times New Roman" w:eastAsia="宋体"/>
                <w:color w:val="000000"/>
                <w:sz w:val="24"/>
                <w:szCs w:val="24"/>
                <w:lang w:val="en-US" w:eastAsia="zh-CN"/>
              </w:rPr>
            </w:pPr>
          </w:p>
          <w:p w14:paraId="782B9A3E">
            <w:pPr>
              <w:keepNext w:val="0"/>
              <w:keepLines w:val="0"/>
              <w:pageBreakBefore w:val="0"/>
              <w:numPr>
                <w:ilvl w:val="0"/>
                <w:numId w:val="0"/>
              </w:numPr>
              <w:suppressLineNumbers w:val="0"/>
              <w:kinsoku/>
              <w:wordWrap/>
              <w:overflowPunct/>
              <w:topLinePunct w:val="0"/>
              <w:autoSpaceDE/>
              <w:autoSpaceDN/>
              <w:bidi w:val="0"/>
              <w:spacing w:before="0" w:beforeAutospacing="0" w:after="0" w:afterAutospacing="0" w:line="440" w:lineRule="exact"/>
              <w:ind w:left="480" w:leftChars="200" w:right="0" w:rightChars="0"/>
              <w:jc w:val="both"/>
              <w:textAlignment w:val="auto"/>
              <w:rPr>
                <w:rFonts w:hint="default" w:ascii="Times New Roman" w:hAnsi="Times New Roman" w:eastAsia="宋体"/>
                <w:color w:val="000000"/>
                <w:sz w:val="24"/>
                <w:szCs w:val="24"/>
                <w:lang w:val="en-US" w:eastAsia="zh-CN"/>
              </w:rPr>
            </w:pPr>
          </w:p>
          <w:p w14:paraId="530CB072">
            <w:pPr>
              <w:keepNext w:val="0"/>
              <w:keepLines w:val="0"/>
              <w:suppressLineNumbers w:val="0"/>
              <w:spacing w:before="0" w:beforeAutospacing="0" w:after="0" w:afterAutospacing="0"/>
              <w:ind w:left="0" w:right="0"/>
              <w:rPr>
                <w:rFonts w:hint="default"/>
                <w:lang w:val="en-US" w:eastAsia="zh-CN"/>
              </w:rPr>
            </w:pPr>
          </w:p>
          <w:p w14:paraId="22A301F0">
            <w:pPr>
              <w:keepNext w:val="0"/>
              <w:keepLines w:val="0"/>
              <w:suppressLineNumbers w:val="0"/>
              <w:spacing w:before="0" w:beforeAutospacing="0" w:after="0" w:afterAutospacing="0"/>
              <w:ind w:left="0" w:right="0"/>
              <w:rPr>
                <w:rFonts w:hint="default"/>
                <w:lang w:val="en-US" w:eastAsia="zh-CN"/>
              </w:rPr>
            </w:pPr>
          </w:p>
          <w:p w14:paraId="077FE9BD">
            <w:pPr>
              <w:keepNext w:val="0"/>
              <w:keepLines w:val="0"/>
              <w:suppressLineNumbers w:val="0"/>
              <w:spacing w:before="0" w:beforeAutospacing="0" w:after="0" w:afterAutospacing="0"/>
              <w:ind w:left="0" w:right="0"/>
              <w:rPr>
                <w:rFonts w:hint="default"/>
                <w:lang w:val="en-US" w:eastAsia="zh-CN"/>
              </w:rPr>
            </w:pPr>
          </w:p>
          <w:p w14:paraId="76A638DA">
            <w:pPr>
              <w:keepNext w:val="0"/>
              <w:keepLines w:val="0"/>
              <w:suppressLineNumbers w:val="0"/>
              <w:spacing w:before="0" w:beforeAutospacing="0" w:after="0" w:afterAutospacing="0"/>
              <w:ind w:left="0" w:right="0"/>
              <w:rPr>
                <w:rFonts w:hint="default"/>
                <w:lang w:val="en-US" w:eastAsia="zh-CN"/>
              </w:rPr>
            </w:pPr>
          </w:p>
          <w:p w14:paraId="750041F0">
            <w:pPr>
              <w:keepNext w:val="0"/>
              <w:keepLines w:val="0"/>
              <w:suppressLineNumbers w:val="0"/>
              <w:spacing w:before="0" w:beforeAutospacing="0" w:after="0" w:afterAutospacing="0"/>
              <w:ind w:left="0" w:right="0"/>
              <w:rPr>
                <w:rFonts w:hint="default"/>
                <w:lang w:val="en-US" w:eastAsia="zh-CN"/>
              </w:rPr>
            </w:pPr>
          </w:p>
          <w:p w14:paraId="283612E6">
            <w:pPr>
              <w:keepNext w:val="0"/>
              <w:keepLines w:val="0"/>
              <w:suppressLineNumbers w:val="0"/>
              <w:spacing w:before="0" w:beforeAutospacing="0" w:after="0" w:afterAutospacing="0"/>
              <w:ind w:left="0" w:right="0"/>
              <w:rPr>
                <w:rFonts w:hint="default"/>
                <w:lang w:val="en-US" w:eastAsia="zh-CN"/>
              </w:rPr>
            </w:pPr>
          </w:p>
          <w:p w14:paraId="03BDD5BA">
            <w:pPr>
              <w:keepNext w:val="0"/>
              <w:keepLines w:val="0"/>
              <w:suppressLineNumbers w:val="0"/>
              <w:spacing w:before="0" w:beforeAutospacing="0" w:after="0" w:afterAutospacing="0"/>
              <w:ind w:left="0" w:right="0"/>
              <w:rPr>
                <w:rFonts w:hint="default"/>
                <w:lang w:val="en-US" w:eastAsia="zh-CN"/>
              </w:rPr>
            </w:pPr>
          </w:p>
          <w:p w14:paraId="457DD4F6">
            <w:pPr>
              <w:keepNext w:val="0"/>
              <w:keepLines w:val="0"/>
              <w:suppressLineNumbers w:val="0"/>
              <w:spacing w:before="0" w:beforeAutospacing="0" w:after="0" w:afterAutospacing="0"/>
              <w:ind w:left="0" w:right="0"/>
              <w:rPr>
                <w:rFonts w:hint="default"/>
                <w:lang w:val="en-US" w:eastAsia="zh-CN"/>
              </w:rPr>
            </w:pPr>
          </w:p>
          <w:p w14:paraId="24B23109">
            <w:pPr>
              <w:keepNext w:val="0"/>
              <w:keepLines w:val="0"/>
              <w:suppressLineNumbers w:val="0"/>
              <w:spacing w:before="0" w:beforeAutospacing="0" w:after="0" w:afterAutospacing="0"/>
              <w:ind w:left="0" w:right="0"/>
              <w:rPr>
                <w:rFonts w:hint="default"/>
                <w:lang w:val="en-US" w:eastAsia="zh-CN"/>
              </w:rPr>
            </w:pPr>
          </w:p>
        </w:tc>
      </w:tr>
    </w:tbl>
    <w:p w14:paraId="1C5FD001">
      <w:pPr>
        <w:pStyle w:val="19"/>
        <w:jc w:val="center"/>
        <w:outlineLvl w:val="0"/>
        <w:rPr>
          <w:rFonts w:hint="eastAsia" w:ascii="黑体" w:hAnsi="黑体" w:eastAsia="黑体" w:cs="黑体"/>
          <w:b w:val="0"/>
          <w:bCs w:val="0"/>
          <w:snapToGrid w:val="0"/>
          <w:sz w:val="30"/>
          <w:szCs w:val="30"/>
        </w:rPr>
      </w:pPr>
      <w:r>
        <w:rPr>
          <w:rFonts w:hint="eastAsia" w:ascii="黑体" w:hAnsi="黑体" w:eastAsia="黑体" w:cs="黑体"/>
          <w:b w:val="0"/>
          <w:bCs w:val="0"/>
          <w:snapToGrid w:val="0"/>
          <w:sz w:val="30"/>
          <w:szCs w:val="30"/>
        </w:rPr>
        <w:t>三、区域环境质量现状、环境保护目标及评价标准</w:t>
      </w:r>
    </w:p>
    <w:tbl>
      <w:tblPr>
        <w:tblStyle w:val="23"/>
        <w:tblW w:w="963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58"/>
        <w:gridCol w:w="8781"/>
      </w:tblGrid>
      <w:tr w14:paraId="41272E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858" w:type="dxa"/>
            <w:noWrap w:val="0"/>
            <w:vAlign w:val="center"/>
          </w:tcPr>
          <w:p w14:paraId="3329DC7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eastAsia" w:ascii="Times New Roman" w:hAnsi="宋体" w:eastAsia="宋体" w:cs="Times New Roman"/>
                <w:bCs/>
                <w:kern w:val="2"/>
                <w:sz w:val="24"/>
                <w:szCs w:val="24"/>
                <w:lang w:val="en-US" w:eastAsia="zh-CN" w:bidi="ar-SA"/>
              </w:rPr>
            </w:pPr>
            <w:r>
              <w:rPr>
                <w:rFonts w:hint="eastAsia" w:ascii="Times New Roman" w:hAnsi="宋体" w:eastAsia="宋体" w:cs="Times New Roman"/>
                <w:bCs/>
                <w:kern w:val="2"/>
                <w:sz w:val="24"/>
                <w:szCs w:val="24"/>
                <w:lang w:val="en-US" w:eastAsia="zh-CN" w:bidi="ar-SA"/>
              </w:rPr>
              <w:t>区域</w:t>
            </w:r>
          </w:p>
          <w:p w14:paraId="5A52BB8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eastAsia" w:ascii="Times New Roman" w:hAnsi="宋体" w:eastAsia="宋体" w:cs="Times New Roman"/>
                <w:bCs/>
                <w:kern w:val="2"/>
                <w:sz w:val="24"/>
                <w:szCs w:val="24"/>
                <w:lang w:val="en-US" w:eastAsia="zh-CN" w:bidi="ar-SA"/>
              </w:rPr>
            </w:pPr>
            <w:r>
              <w:rPr>
                <w:rFonts w:hint="eastAsia" w:ascii="Times New Roman" w:hAnsi="宋体" w:eastAsia="宋体" w:cs="Times New Roman"/>
                <w:bCs/>
                <w:kern w:val="2"/>
                <w:sz w:val="24"/>
                <w:szCs w:val="24"/>
                <w:lang w:val="en-US" w:eastAsia="zh-CN" w:bidi="ar-SA"/>
              </w:rPr>
              <w:t>环境</w:t>
            </w:r>
          </w:p>
          <w:p w14:paraId="5A72825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eastAsia" w:ascii="Times New Roman" w:hAnsi="宋体" w:eastAsia="宋体" w:cs="Times New Roman"/>
                <w:bCs/>
                <w:kern w:val="2"/>
                <w:sz w:val="24"/>
                <w:szCs w:val="24"/>
                <w:lang w:val="en-US" w:eastAsia="zh-CN" w:bidi="ar-SA"/>
              </w:rPr>
            </w:pPr>
            <w:r>
              <w:rPr>
                <w:rFonts w:hint="eastAsia" w:ascii="Times New Roman" w:hAnsi="宋体" w:eastAsia="宋体" w:cs="Times New Roman"/>
                <w:bCs/>
                <w:kern w:val="2"/>
                <w:sz w:val="24"/>
                <w:szCs w:val="24"/>
                <w:lang w:val="en-US" w:eastAsia="zh-CN" w:bidi="ar-SA"/>
              </w:rPr>
              <w:t>质量</w:t>
            </w:r>
          </w:p>
          <w:p w14:paraId="69390ED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Cs w:val="21"/>
              </w:rPr>
            </w:pPr>
            <w:r>
              <w:rPr>
                <w:rFonts w:hint="eastAsia" w:ascii="Times New Roman" w:hAnsi="宋体" w:eastAsia="宋体" w:cs="Times New Roman"/>
                <w:bCs/>
                <w:kern w:val="2"/>
                <w:sz w:val="24"/>
                <w:szCs w:val="24"/>
                <w:lang w:val="en-US" w:eastAsia="zh-CN" w:bidi="ar-SA"/>
              </w:rPr>
              <w:t>现状</w:t>
            </w:r>
          </w:p>
        </w:tc>
        <w:tc>
          <w:tcPr>
            <w:tcW w:w="8781" w:type="dxa"/>
            <w:noWrap w:val="0"/>
            <w:vAlign w:val="center"/>
          </w:tcPr>
          <w:p w14:paraId="739AF388">
            <w:pPr>
              <w:keepNext w:val="0"/>
              <w:keepLines w:val="0"/>
              <w:suppressLineNumbers w:val="0"/>
              <w:spacing w:before="0" w:beforeAutospacing="0" w:after="0" w:afterAutospacing="0" w:line="440" w:lineRule="exact"/>
              <w:ind w:left="0" w:right="0" w:firstLine="482" w:firstLineChars="200"/>
              <w:jc w:val="left"/>
              <w:rPr>
                <w:rFonts w:hint="default"/>
                <w:b/>
                <w:bCs/>
                <w:color w:val="000000"/>
                <w:sz w:val="24"/>
              </w:rPr>
            </w:pPr>
            <w:r>
              <w:rPr>
                <w:rFonts w:hint="default"/>
                <w:b/>
                <w:bCs/>
                <w:color w:val="000000"/>
                <w:sz w:val="24"/>
              </w:rPr>
              <w:t>1</w:t>
            </w:r>
            <w:r>
              <w:rPr>
                <w:rFonts w:hint="eastAsia" w:ascii="宋体" w:hAnsi="宋体"/>
                <w:b/>
                <w:bCs/>
                <w:color w:val="000000"/>
                <w:sz w:val="24"/>
              </w:rPr>
              <w:t>、环境空气</w:t>
            </w:r>
            <w:r>
              <w:rPr>
                <w:rFonts w:hint="default"/>
                <w:b/>
                <w:bCs/>
                <w:color w:val="000000"/>
                <w:sz w:val="24"/>
              </w:rPr>
              <w:t>质量现状</w:t>
            </w:r>
          </w:p>
          <w:p w14:paraId="5366A0A2">
            <w:pPr>
              <w:keepNext w:val="0"/>
              <w:keepLines w:val="0"/>
              <w:widowControl/>
              <w:suppressLineNumbers w:val="0"/>
              <w:adjustRightInd w:val="0"/>
              <w:snapToGrid w:val="0"/>
              <w:spacing w:before="0" w:beforeAutospacing="0" w:after="0" w:afterAutospacing="0" w:line="440" w:lineRule="exact"/>
              <w:ind w:left="0" w:right="0" w:firstLine="480" w:firstLineChars="200"/>
              <w:rPr>
                <w:rFonts w:hint="default"/>
                <w:color w:val="000000" w:themeColor="text1"/>
                <w:kern w:val="0"/>
                <w:sz w:val="24"/>
                <w14:textFill>
                  <w14:solidFill>
                    <w14:schemeClr w14:val="tx1"/>
                  </w14:solidFill>
                </w14:textFill>
              </w:rPr>
            </w:pPr>
            <w:r>
              <w:rPr>
                <w:rFonts w:hint="eastAsia" w:ascii="宋体" w:hAnsi="宋体"/>
                <w:color w:val="000000" w:themeColor="text1"/>
                <w:sz w:val="24"/>
                <w14:textFill>
                  <w14:solidFill>
                    <w14:schemeClr w14:val="tx1"/>
                  </w14:solidFill>
                </w14:textFill>
              </w:rPr>
              <w:t>根据大气功能区划分原则，项目所在区域为二类功能区，环境空气质量应执行《环境空气质量标准》（</w:t>
            </w:r>
            <w:r>
              <w:rPr>
                <w:rFonts w:hint="default"/>
                <w:color w:val="000000" w:themeColor="text1"/>
                <w:sz w:val="24"/>
                <w14:textFill>
                  <w14:solidFill>
                    <w14:schemeClr w14:val="tx1"/>
                  </w14:solidFill>
                </w14:textFill>
              </w:rPr>
              <w:t>GB3095-20</w:t>
            </w:r>
            <w:r>
              <w:rPr>
                <w:rFonts w:hint="eastAsia"/>
                <w:color w:val="000000" w:themeColor="text1"/>
                <w:sz w:val="24"/>
                <w:lang w:val="en-US" w:eastAsia="zh-CN"/>
                <w14:textFill>
                  <w14:solidFill>
                    <w14:schemeClr w14:val="tx1"/>
                  </w14:solidFill>
                </w14:textFill>
              </w:rPr>
              <w:t>26</w:t>
            </w:r>
            <w:r>
              <w:rPr>
                <w:rFonts w:hint="eastAsia" w:ascii="宋体" w:hAnsi="宋体"/>
                <w:color w:val="000000" w:themeColor="text1"/>
                <w:sz w:val="24"/>
                <w14:textFill>
                  <w14:solidFill>
                    <w14:schemeClr w14:val="tx1"/>
                  </w14:solidFill>
                </w14:textFill>
              </w:rPr>
              <w:t>）二级标准。</w:t>
            </w:r>
            <w:r>
              <w:rPr>
                <w:rFonts w:hint="eastAsia" w:ascii="宋体" w:hAnsi="宋体"/>
                <w:color w:val="000000" w:themeColor="text1"/>
                <w:kern w:val="0"/>
                <w:sz w:val="24"/>
                <w14:textFill>
                  <w14:solidFill>
                    <w14:schemeClr w14:val="tx1"/>
                  </w14:solidFill>
                </w14:textFill>
              </w:rPr>
              <w:t>根据新乡市生态环境局发布的《</w:t>
            </w:r>
            <w:r>
              <w:rPr>
                <w:rFonts w:hint="default" w:ascii="宋体" w:hAnsi="宋体"/>
                <w:color w:val="000000" w:themeColor="text1"/>
                <w:kern w:val="0"/>
                <w:sz w:val="24"/>
                <w14:textFill>
                  <w14:solidFill>
                    <w14:schemeClr w14:val="tx1"/>
                  </w14:solidFill>
                </w14:textFill>
              </w:rPr>
              <w:t>新乡市</w:t>
            </w:r>
            <w:r>
              <w:rPr>
                <w:rFonts w:hint="default" w:ascii="Times New Roman" w:hAnsi="Times New Roman" w:cs="Times New Roman"/>
                <w:color w:val="000000" w:themeColor="text1"/>
                <w:kern w:val="0"/>
                <w:sz w:val="24"/>
                <w14:textFill>
                  <w14:solidFill>
                    <w14:schemeClr w14:val="tx1"/>
                  </w14:solidFill>
                </w14:textFill>
              </w:rPr>
              <w:t>202</w:t>
            </w:r>
            <w:r>
              <w:rPr>
                <w:rFonts w:hint="eastAsia" w:cs="Times New Roman"/>
                <w:color w:val="000000" w:themeColor="text1"/>
                <w:kern w:val="0"/>
                <w:sz w:val="24"/>
                <w:lang w:val="en-US" w:eastAsia="zh-CN"/>
                <w14:textFill>
                  <w14:solidFill>
                    <w14:schemeClr w14:val="tx1"/>
                  </w14:solidFill>
                </w14:textFill>
              </w:rPr>
              <w:t>4</w:t>
            </w:r>
            <w:r>
              <w:rPr>
                <w:rFonts w:hint="default" w:ascii="宋体" w:hAnsi="宋体"/>
                <w:color w:val="000000" w:themeColor="text1"/>
                <w:kern w:val="0"/>
                <w:sz w:val="24"/>
                <w14:textFill>
                  <w14:solidFill>
                    <w14:schemeClr w14:val="tx1"/>
                  </w14:solidFill>
                </w14:textFill>
              </w:rPr>
              <w:t>年环境质量年报</w:t>
            </w:r>
            <w:r>
              <w:rPr>
                <w:rFonts w:hint="eastAsia" w:ascii="宋体" w:hAnsi="宋体"/>
                <w:color w:val="000000" w:themeColor="text1"/>
                <w:kern w:val="0"/>
                <w:sz w:val="24"/>
                <w14:textFill>
                  <w14:solidFill>
                    <w14:schemeClr w14:val="tx1"/>
                  </w14:solidFill>
                </w14:textFill>
              </w:rPr>
              <w:t>》，区域空气质量现状数据如下表所示。</w:t>
            </w:r>
          </w:p>
          <w:p w14:paraId="7B7BFE2C">
            <w:pPr>
              <w:keepNext w:val="0"/>
              <w:keepLines w:val="0"/>
              <w:suppressLineNumbers w:val="0"/>
              <w:spacing w:before="0" w:beforeAutospacing="0" w:after="0" w:afterAutospacing="0" w:line="440" w:lineRule="exact"/>
              <w:ind w:left="0" w:right="0"/>
              <w:jc w:val="center"/>
              <w:rPr>
                <w:rFonts w:hint="default" w:ascii="宋体" w:hAnsi="宋体"/>
                <w:b/>
                <w:color w:val="000000" w:themeColor="text1"/>
                <w:sz w:val="24"/>
                <w14:textFill>
                  <w14:solidFill>
                    <w14:schemeClr w14:val="tx1"/>
                  </w14:solidFill>
                </w14:textFill>
              </w:rPr>
            </w:pPr>
            <w:r>
              <w:rPr>
                <w:rFonts w:hint="default" w:ascii="Times New Roman" w:hAnsi="Times New Roman" w:cs="Times New Roman"/>
                <w:b/>
                <w:color w:val="000000" w:themeColor="text1"/>
                <w:sz w:val="24"/>
                <w14:textFill>
                  <w14:solidFill>
                    <w14:schemeClr w14:val="tx1"/>
                  </w14:solidFill>
                </w14:textFill>
              </w:rPr>
              <w:t>表</w:t>
            </w:r>
            <w:r>
              <w:rPr>
                <w:rFonts w:hint="eastAsia" w:cs="Times New Roman"/>
                <w:b/>
                <w:color w:val="000000" w:themeColor="text1"/>
                <w:sz w:val="24"/>
                <w:lang w:val="en-US" w:eastAsia="zh-CN"/>
                <w14:textFill>
                  <w14:solidFill>
                    <w14:schemeClr w14:val="tx1"/>
                  </w14:solidFill>
                </w14:textFill>
              </w:rPr>
              <w:t>23</w:t>
            </w:r>
            <w:r>
              <w:rPr>
                <w:rFonts w:hint="eastAsia" w:ascii="宋体" w:hAnsi="宋体"/>
                <w:b/>
                <w:color w:val="000000" w:themeColor="text1"/>
                <w:sz w:val="24"/>
                <w:lang w:val="en-US" w:eastAsia="zh-CN"/>
                <w14:textFill>
                  <w14:solidFill>
                    <w14:schemeClr w14:val="tx1"/>
                  </w14:solidFill>
                </w14:textFill>
              </w:rPr>
              <w:t xml:space="preserve">  </w:t>
            </w:r>
            <w:r>
              <w:rPr>
                <w:rFonts w:hint="eastAsia" w:ascii="宋体" w:hAnsi="宋体"/>
                <w:b/>
                <w:color w:val="000000" w:themeColor="text1"/>
                <w:sz w:val="24"/>
                <w14:textFill>
                  <w14:solidFill>
                    <w14:schemeClr w14:val="tx1"/>
                  </w14:solidFill>
                </w14:textFill>
              </w:rPr>
              <w:t>区域空气质量现状评价表</w:t>
            </w:r>
          </w:p>
          <w:tbl>
            <w:tblPr>
              <w:tblStyle w:val="23"/>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57" w:type="dxa"/>
                <w:left w:w="108" w:type="dxa"/>
                <w:bottom w:w="57" w:type="dxa"/>
                <w:right w:w="108" w:type="dxa"/>
              </w:tblCellMar>
            </w:tblPr>
            <w:tblGrid>
              <w:gridCol w:w="834"/>
              <w:gridCol w:w="1710"/>
              <w:gridCol w:w="1920"/>
              <w:gridCol w:w="1695"/>
              <w:gridCol w:w="1203"/>
              <w:gridCol w:w="1203"/>
            </w:tblGrid>
            <w:tr w14:paraId="320F187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835" w:type="dxa"/>
                  <w:tcBorders>
                    <w:top w:val="single" w:color="auto" w:sz="8" w:space="0"/>
                    <w:left w:val="nil"/>
                    <w:bottom w:val="single" w:color="auto" w:sz="8" w:space="0"/>
                    <w:right w:val="single" w:color="auto" w:sz="4" w:space="0"/>
                  </w:tcBorders>
                  <w:noWrap w:val="0"/>
                  <w:tcMar>
                    <w:top w:w="57" w:type="dxa"/>
                    <w:left w:w="85" w:type="dxa"/>
                    <w:bottom w:w="57" w:type="dxa"/>
                    <w:right w:w="85" w:type="dxa"/>
                  </w:tcMar>
                  <w:vAlign w:val="center"/>
                </w:tcPr>
                <w:p w14:paraId="4B5F839F">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b/>
                      <w:bCs/>
                      <w:color w:val="000000" w:themeColor="text1"/>
                      <w:sz w:val="21"/>
                      <w:szCs w:val="21"/>
                      <w14:textFill>
                        <w14:solidFill>
                          <w14:schemeClr w14:val="tx1"/>
                        </w14:solidFill>
                      </w14:textFill>
                    </w:rPr>
                  </w:pPr>
                  <w:r>
                    <w:rPr>
                      <w:rFonts w:hint="eastAsia" w:hAnsi="宋体"/>
                      <w:b/>
                      <w:bCs/>
                      <w:color w:val="000000" w:themeColor="text1"/>
                      <w:sz w:val="21"/>
                      <w:szCs w:val="21"/>
                      <w14:textFill>
                        <w14:solidFill>
                          <w14:schemeClr w14:val="tx1"/>
                        </w14:solidFill>
                      </w14:textFill>
                    </w:rPr>
                    <w:t>污染物</w:t>
                  </w:r>
                </w:p>
              </w:tc>
              <w:tc>
                <w:tcPr>
                  <w:tcW w:w="1710" w:type="dxa"/>
                  <w:tcBorders>
                    <w:top w:val="single" w:color="auto" w:sz="8" w:space="0"/>
                    <w:left w:val="single" w:color="auto" w:sz="4" w:space="0"/>
                    <w:bottom w:val="single" w:color="auto" w:sz="8" w:space="0"/>
                    <w:right w:val="single" w:color="auto" w:sz="4" w:space="0"/>
                  </w:tcBorders>
                  <w:noWrap w:val="0"/>
                  <w:tcMar>
                    <w:top w:w="57" w:type="dxa"/>
                    <w:left w:w="85" w:type="dxa"/>
                    <w:bottom w:w="57" w:type="dxa"/>
                    <w:right w:w="85" w:type="dxa"/>
                  </w:tcMar>
                  <w:vAlign w:val="center"/>
                </w:tcPr>
                <w:p w14:paraId="1D2DD0CE">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b/>
                      <w:bCs/>
                      <w:color w:val="000000" w:themeColor="text1"/>
                      <w:sz w:val="21"/>
                      <w:szCs w:val="21"/>
                      <w14:textFill>
                        <w14:solidFill>
                          <w14:schemeClr w14:val="tx1"/>
                        </w14:solidFill>
                      </w14:textFill>
                    </w:rPr>
                  </w:pPr>
                  <w:r>
                    <w:rPr>
                      <w:rFonts w:hint="eastAsia" w:hAnsi="宋体"/>
                      <w:b/>
                      <w:bCs/>
                      <w:color w:val="000000" w:themeColor="text1"/>
                      <w:sz w:val="21"/>
                      <w:szCs w:val="21"/>
                      <w14:textFill>
                        <w14:solidFill>
                          <w14:schemeClr w14:val="tx1"/>
                        </w14:solidFill>
                      </w14:textFill>
                    </w:rPr>
                    <w:t>年评价指标</w:t>
                  </w:r>
                </w:p>
              </w:tc>
              <w:tc>
                <w:tcPr>
                  <w:tcW w:w="1920" w:type="dxa"/>
                  <w:tcBorders>
                    <w:top w:val="single" w:color="auto" w:sz="8" w:space="0"/>
                    <w:left w:val="single" w:color="auto" w:sz="4" w:space="0"/>
                    <w:bottom w:val="single" w:color="auto" w:sz="8" w:space="0"/>
                    <w:right w:val="single" w:color="auto" w:sz="4" w:space="0"/>
                  </w:tcBorders>
                  <w:noWrap w:val="0"/>
                  <w:tcMar>
                    <w:top w:w="57" w:type="dxa"/>
                    <w:left w:w="85" w:type="dxa"/>
                    <w:bottom w:w="57" w:type="dxa"/>
                    <w:right w:w="85" w:type="dxa"/>
                  </w:tcMar>
                  <w:vAlign w:val="center"/>
                </w:tcPr>
                <w:p w14:paraId="3E878372">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b/>
                      <w:bCs/>
                      <w:color w:val="000000" w:themeColor="text1"/>
                      <w:sz w:val="21"/>
                      <w:szCs w:val="21"/>
                      <w14:textFill>
                        <w14:solidFill>
                          <w14:schemeClr w14:val="tx1"/>
                        </w14:solidFill>
                      </w14:textFill>
                    </w:rPr>
                  </w:pPr>
                  <w:r>
                    <w:rPr>
                      <w:rFonts w:hint="eastAsia" w:hAnsi="宋体"/>
                      <w:b/>
                      <w:bCs/>
                      <w:color w:val="000000" w:themeColor="text1"/>
                      <w:sz w:val="21"/>
                      <w:szCs w:val="21"/>
                      <w14:textFill>
                        <w14:solidFill>
                          <w14:schemeClr w14:val="tx1"/>
                        </w14:solidFill>
                      </w14:textFill>
                    </w:rPr>
                    <w:t>现状浓度</w:t>
                  </w:r>
                  <w:r>
                    <w:rPr>
                      <w:rFonts w:hint="default"/>
                      <w:b/>
                      <w:bCs/>
                      <w:color w:val="000000" w:themeColor="text1"/>
                      <w:sz w:val="21"/>
                      <w:szCs w:val="21"/>
                      <w14:textFill>
                        <w14:solidFill>
                          <w14:schemeClr w14:val="tx1"/>
                        </w14:solidFill>
                      </w14:textFill>
                    </w:rPr>
                    <w:t>/</w:t>
                  </w:r>
                  <w:r>
                    <w:rPr>
                      <w:rFonts w:hint="eastAsia" w:hAnsi="宋体"/>
                      <w:b/>
                      <w:bCs/>
                      <w:color w:val="000000" w:themeColor="text1"/>
                      <w:sz w:val="21"/>
                      <w:szCs w:val="21"/>
                      <w14:textFill>
                        <w14:solidFill>
                          <w14:schemeClr w14:val="tx1"/>
                        </w14:solidFill>
                      </w14:textFill>
                    </w:rPr>
                    <w:t>（</w:t>
                  </w:r>
                  <w:r>
                    <w:rPr>
                      <w:rFonts w:hint="default" w:ascii="Times New Roman" w:hAnsi="Times New Roman" w:cs="Times New Roman"/>
                      <w:b/>
                      <w:bCs/>
                      <w:color w:val="000000" w:themeColor="text1"/>
                      <w:sz w:val="21"/>
                      <w:szCs w:val="21"/>
                      <w:lang w:val="en-US" w:eastAsia="zh-CN"/>
                      <w14:textFill>
                        <w14:solidFill>
                          <w14:schemeClr w14:val="tx1"/>
                        </w14:solidFill>
                      </w14:textFill>
                    </w:rPr>
                    <w:t>μ</w:t>
                  </w:r>
                  <w:r>
                    <w:rPr>
                      <w:rFonts w:hint="eastAsia"/>
                      <w:b/>
                      <w:bCs/>
                      <w:color w:val="000000" w:themeColor="text1"/>
                      <w:sz w:val="21"/>
                      <w:szCs w:val="21"/>
                      <w:lang w:val="en-US" w:eastAsia="zh-CN"/>
                      <w14:textFill>
                        <w14:solidFill>
                          <w14:schemeClr w14:val="tx1"/>
                        </w14:solidFill>
                      </w14:textFill>
                    </w:rPr>
                    <w:t>g</w:t>
                  </w:r>
                  <w:r>
                    <w:rPr>
                      <w:rFonts w:hint="default"/>
                      <w:b/>
                      <w:bCs/>
                      <w:color w:val="000000" w:themeColor="text1"/>
                      <w:sz w:val="21"/>
                      <w:szCs w:val="21"/>
                      <w14:textFill>
                        <w14:solidFill>
                          <w14:schemeClr w14:val="tx1"/>
                        </w14:solidFill>
                      </w14:textFill>
                    </w:rPr>
                    <w:t>/m</w:t>
                  </w:r>
                  <w:r>
                    <w:rPr>
                      <w:rFonts w:hint="default"/>
                      <w:b/>
                      <w:bCs/>
                      <w:color w:val="000000" w:themeColor="text1"/>
                      <w:sz w:val="21"/>
                      <w:szCs w:val="21"/>
                      <w:vertAlign w:val="superscript"/>
                      <w14:textFill>
                        <w14:solidFill>
                          <w14:schemeClr w14:val="tx1"/>
                        </w14:solidFill>
                      </w14:textFill>
                    </w:rPr>
                    <w:t>3</w:t>
                  </w:r>
                  <w:r>
                    <w:rPr>
                      <w:rFonts w:hint="eastAsia" w:hAnsi="宋体"/>
                      <w:b/>
                      <w:bCs/>
                      <w:color w:val="000000" w:themeColor="text1"/>
                      <w:sz w:val="21"/>
                      <w:szCs w:val="21"/>
                      <w14:textFill>
                        <w14:solidFill>
                          <w14:schemeClr w14:val="tx1"/>
                        </w14:solidFill>
                      </w14:textFill>
                    </w:rPr>
                    <w:t>）</w:t>
                  </w:r>
                </w:p>
              </w:tc>
              <w:tc>
                <w:tcPr>
                  <w:tcW w:w="1695" w:type="dxa"/>
                  <w:tcBorders>
                    <w:top w:val="single" w:color="auto" w:sz="8" w:space="0"/>
                    <w:left w:val="single" w:color="auto" w:sz="4" w:space="0"/>
                    <w:bottom w:val="single" w:color="auto" w:sz="8" w:space="0"/>
                    <w:right w:val="single" w:color="auto" w:sz="4" w:space="0"/>
                  </w:tcBorders>
                  <w:noWrap w:val="0"/>
                  <w:tcMar>
                    <w:top w:w="57" w:type="dxa"/>
                    <w:left w:w="85" w:type="dxa"/>
                    <w:bottom w:w="57" w:type="dxa"/>
                    <w:right w:w="85" w:type="dxa"/>
                  </w:tcMar>
                  <w:vAlign w:val="center"/>
                </w:tcPr>
                <w:p w14:paraId="309AC230">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b/>
                      <w:bCs/>
                      <w:color w:val="000000" w:themeColor="text1"/>
                      <w:sz w:val="21"/>
                      <w:szCs w:val="21"/>
                      <w14:textFill>
                        <w14:solidFill>
                          <w14:schemeClr w14:val="tx1"/>
                        </w14:solidFill>
                      </w14:textFill>
                    </w:rPr>
                  </w:pPr>
                  <w:r>
                    <w:rPr>
                      <w:rFonts w:hint="eastAsia" w:hAnsi="宋体"/>
                      <w:b/>
                      <w:bCs/>
                      <w:color w:val="000000" w:themeColor="text1"/>
                      <w:sz w:val="21"/>
                      <w:szCs w:val="21"/>
                      <w14:textFill>
                        <w14:solidFill>
                          <w14:schemeClr w14:val="tx1"/>
                        </w14:solidFill>
                      </w14:textFill>
                    </w:rPr>
                    <w:t>标准值</w:t>
                  </w:r>
                  <w:r>
                    <w:rPr>
                      <w:rFonts w:hint="default"/>
                      <w:b/>
                      <w:bCs/>
                      <w:color w:val="000000" w:themeColor="text1"/>
                      <w:sz w:val="21"/>
                      <w:szCs w:val="21"/>
                      <w14:textFill>
                        <w14:solidFill>
                          <w14:schemeClr w14:val="tx1"/>
                        </w14:solidFill>
                      </w14:textFill>
                    </w:rPr>
                    <w:t>/</w:t>
                  </w:r>
                  <w:r>
                    <w:rPr>
                      <w:rFonts w:hint="eastAsia" w:hAnsi="宋体"/>
                      <w:b/>
                      <w:bCs/>
                      <w:color w:val="000000" w:themeColor="text1"/>
                      <w:sz w:val="21"/>
                      <w:szCs w:val="21"/>
                      <w14:textFill>
                        <w14:solidFill>
                          <w14:schemeClr w14:val="tx1"/>
                        </w14:solidFill>
                      </w14:textFill>
                    </w:rPr>
                    <w:t>（</w:t>
                  </w:r>
                  <w:r>
                    <w:rPr>
                      <w:rFonts w:hint="default"/>
                      <w:b/>
                      <w:bCs/>
                      <w:color w:val="000000" w:themeColor="text1"/>
                      <w:sz w:val="21"/>
                      <w:szCs w:val="21"/>
                      <w14:textFill>
                        <w14:solidFill>
                          <w14:schemeClr w14:val="tx1"/>
                        </w14:solidFill>
                      </w14:textFill>
                    </w:rPr>
                    <w:t>μg/m</w:t>
                  </w:r>
                  <w:r>
                    <w:rPr>
                      <w:rFonts w:hint="default"/>
                      <w:b/>
                      <w:bCs/>
                      <w:color w:val="000000" w:themeColor="text1"/>
                      <w:sz w:val="21"/>
                      <w:szCs w:val="21"/>
                      <w:vertAlign w:val="superscript"/>
                      <w14:textFill>
                        <w14:solidFill>
                          <w14:schemeClr w14:val="tx1"/>
                        </w14:solidFill>
                      </w14:textFill>
                    </w:rPr>
                    <w:t>3</w:t>
                  </w:r>
                  <w:r>
                    <w:rPr>
                      <w:rFonts w:hint="eastAsia" w:hAnsi="宋体"/>
                      <w:b/>
                      <w:bCs/>
                      <w:color w:val="000000" w:themeColor="text1"/>
                      <w:sz w:val="21"/>
                      <w:szCs w:val="21"/>
                      <w14:textFill>
                        <w14:solidFill>
                          <w14:schemeClr w14:val="tx1"/>
                        </w14:solidFill>
                      </w14:textFill>
                    </w:rPr>
                    <w:t>）</w:t>
                  </w:r>
                </w:p>
              </w:tc>
              <w:tc>
                <w:tcPr>
                  <w:tcW w:w="1203" w:type="dxa"/>
                  <w:tcBorders>
                    <w:top w:val="single" w:color="auto" w:sz="8" w:space="0"/>
                    <w:left w:val="single" w:color="auto" w:sz="4" w:space="0"/>
                    <w:bottom w:val="single" w:color="auto" w:sz="8" w:space="0"/>
                    <w:right w:val="single" w:color="auto" w:sz="4" w:space="0"/>
                  </w:tcBorders>
                  <w:noWrap w:val="0"/>
                  <w:tcMar>
                    <w:top w:w="57" w:type="dxa"/>
                    <w:left w:w="85" w:type="dxa"/>
                    <w:bottom w:w="57" w:type="dxa"/>
                    <w:right w:w="85" w:type="dxa"/>
                  </w:tcMar>
                  <w:vAlign w:val="center"/>
                </w:tcPr>
                <w:p w14:paraId="1AF60978">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b/>
                      <w:bCs/>
                      <w:color w:val="000000" w:themeColor="text1"/>
                      <w:sz w:val="21"/>
                      <w:szCs w:val="21"/>
                      <w14:textFill>
                        <w14:solidFill>
                          <w14:schemeClr w14:val="tx1"/>
                        </w14:solidFill>
                      </w14:textFill>
                    </w:rPr>
                  </w:pPr>
                  <w:r>
                    <w:rPr>
                      <w:rFonts w:hint="eastAsia" w:hAnsi="宋体"/>
                      <w:b/>
                      <w:bCs/>
                      <w:color w:val="000000" w:themeColor="text1"/>
                      <w:sz w:val="21"/>
                      <w:szCs w:val="21"/>
                      <w14:textFill>
                        <w14:solidFill>
                          <w14:schemeClr w14:val="tx1"/>
                        </w14:solidFill>
                      </w14:textFill>
                    </w:rPr>
                    <w:t>占标率</w:t>
                  </w:r>
                  <w:r>
                    <w:rPr>
                      <w:rFonts w:hint="default"/>
                      <w:b/>
                      <w:bCs/>
                      <w:color w:val="000000" w:themeColor="text1"/>
                      <w:sz w:val="21"/>
                      <w:szCs w:val="21"/>
                      <w14:textFill>
                        <w14:solidFill>
                          <w14:schemeClr w14:val="tx1"/>
                        </w14:solidFill>
                      </w14:textFill>
                    </w:rPr>
                    <w:t>%</w:t>
                  </w:r>
                </w:p>
              </w:tc>
              <w:tc>
                <w:tcPr>
                  <w:tcW w:w="1203" w:type="dxa"/>
                  <w:tcBorders>
                    <w:top w:val="single" w:color="auto" w:sz="8" w:space="0"/>
                    <w:left w:val="single" w:color="auto" w:sz="4" w:space="0"/>
                    <w:bottom w:val="single" w:color="auto" w:sz="8" w:space="0"/>
                    <w:right w:val="nil"/>
                  </w:tcBorders>
                  <w:noWrap w:val="0"/>
                  <w:tcMar>
                    <w:top w:w="57" w:type="dxa"/>
                    <w:left w:w="85" w:type="dxa"/>
                    <w:bottom w:w="57" w:type="dxa"/>
                    <w:right w:w="85" w:type="dxa"/>
                  </w:tcMar>
                  <w:vAlign w:val="center"/>
                </w:tcPr>
                <w:p w14:paraId="033DA432">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b/>
                      <w:bCs/>
                      <w:color w:val="000000" w:themeColor="text1"/>
                      <w:sz w:val="21"/>
                      <w:szCs w:val="21"/>
                      <w14:textFill>
                        <w14:solidFill>
                          <w14:schemeClr w14:val="tx1"/>
                        </w14:solidFill>
                      </w14:textFill>
                    </w:rPr>
                  </w:pPr>
                  <w:r>
                    <w:rPr>
                      <w:rFonts w:hint="eastAsia" w:hAnsi="宋体"/>
                      <w:b/>
                      <w:bCs/>
                      <w:color w:val="000000" w:themeColor="text1"/>
                      <w:sz w:val="21"/>
                      <w:szCs w:val="21"/>
                      <w14:textFill>
                        <w14:solidFill>
                          <w14:schemeClr w14:val="tx1"/>
                        </w14:solidFill>
                      </w14:textFill>
                    </w:rPr>
                    <w:t>达标情况</w:t>
                  </w:r>
                </w:p>
              </w:tc>
            </w:tr>
            <w:tr w14:paraId="798A398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835" w:type="dxa"/>
                  <w:tcBorders>
                    <w:top w:val="single" w:color="auto" w:sz="8" w:space="0"/>
                    <w:left w:val="nil"/>
                    <w:bottom w:val="single" w:color="auto" w:sz="4" w:space="0"/>
                    <w:right w:val="single" w:color="auto" w:sz="4" w:space="0"/>
                  </w:tcBorders>
                  <w:noWrap w:val="0"/>
                  <w:tcMar>
                    <w:top w:w="57" w:type="dxa"/>
                    <w:left w:w="85" w:type="dxa"/>
                    <w:bottom w:w="57" w:type="dxa"/>
                    <w:right w:w="85" w:type="dxa"/>
                  </w:tcMar>
                  <w:vAlign w:val="center"/>
                </w:tcPr>
                <w:p w14:paraId="079B0873">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PM</w:t>
                  </w:r>
                  <w:r>
                    <w:rPr>
                      <w:rFonts w:hint="default"/>
                      <w:color w:val="000000" w:themeColor="text1"/>
                      <w:sz w:val="21"/>
                      <w:szCs w:val="21"/>
                      <w:vertAlign w:val="subscript"/>
                      <w14:textFill>
                        <w14:solidFill>
                          <w14:schemeClr w14:val="tx1"/>
                        </w14:solidFill>
                      </w14:textFill>
                    </w:rPr>
                    <w:t>10</w:t>
                  </w:r>
                </w:p>
              </w:tc>
              <w:tc>
                <w:tcPr>
                  <w:tcW w:w="1710" w:type="dxa"/>
                  <w:tcBorders>
                    <w:top w:val="single" w:color="auto" w:sz="8"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305E008A">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年平</w:t>
                  </w:r>
                  <w:r>
                    <w:rPr>
                      <w:rFonts w:hint="eastAsia"/>
                      <w:color w:val="000000" w:themeColor="text1"/>
                      <w:sz w:val="21"/>
                      <w:szCs w:val="21"/>
                      <w14:textFill>
                        <w14:solidFill>
                          <w14:schemeClr w14:val="tx1"/>
                        </w14:solidFill>
                      </w14:textFill>
                    </w:rPr>
                    <w:t>均质量浓度</w:t>
                  </w:r>
                </w:p>
              </w:tc>
              <w:tc>
                <w:tcPr>
                  <w:tcW w:w="1920" w:type="dxa"/>
                  <w:tcBorders>
                    <w:top w:val="single" w:color="auto" w:sz="8"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026D18F5">
                  <w:pPr>
                    <w:pStyle w:val="83"/>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textAlignment w:val="auto"/>
                    <w:rPr>
                      <w:rFonts w:hint="default"/>
                      <w:color w:val="000000" w:themeColor="text1"/>
                      <w:sz w:val="21"/>
                      <w:szCs w:val="21"/>
                      <w14:textFill>
                        <w14:solidFill>
                          <w14:schemeClr w14:val="tx1"/>
                        </w14:solidFill>
                      </w14:textFill>
                    </w:rPr>
                  </w:pPr>
                  <w:r>
                    <w:rPr>
                      <w:rFonts w:hint="default" w:ascii="Times New Roman" w:hAnsi="Times New Roman" w:cs="Times New Roman"/>
                      <w:color w:val="auto"/>
                      <w:sz w:val="21"/>
                      <w:szCs w:val="21"/>
                      <w:u w:val="none" w:color="auto"/>
                    </w:rPr>
                    <w:t>8</w:t>
                  </w:r>
                  <w:r>
                    <w:rPr>
                      <w:rFonts w:hint="eastAsia" w:ascii="Times New Roman" w:hAnsi="Times New Roman" w:cs="Times New Roman"/>
                      <w:color w:val="auto"/>
                      <w:sz w:val="21"/>
                      <w:szCs w:val="21"/>
                      <w:u w:val="none" w:color="auto"/>
                      <w:lang w:val="en-US" w:eastAsia="zh-CN"/>
                    </w:rPr>
                    <w:t>2</w:t>
                  </w:r>
                </w:p>
              </w:tc>
              <w:tc>
                <w:tcPr>
                  <w:tcW w:w="1695" w:type="dxa"/>
                  <w:tcBorders>
                    <w:top w:val="single" w:color="auto" w:sz="8"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621B6B8B">
                  <w:pPr>
                    <w:pStyle w:val="51"/>
                    <w:keepNext w:val="0"/>
                    <w:keepLines w:val="0"/>
                    <w:widowControl/>
                    <w:suppressLineNumbers w:val="0"/>
                    <w:bidi w:val="0"/>
                    <w:spacing w:before="0" w:beforeAutospacing="0" w:after="0" w:afterAutospacing="0"/>
                    <w:ind w:left="0" w:leftChars="0" w:right="0" w:rightChars="0" w:firstLine="0" w:firstLineChars="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auto"/>
                      <w:kern w:val="2"/>
                      <w:sz w:val="21"/>
                      <w:lang w:val="en-US" w:eastAsia="zh-CN"/>
                    </w:rPr>
                    <w:t>60</w:t>
                  </w:r>
                </w:p>
              </w:tc>
              <w:tc>
                <w:tcPr>
                  <w:tcW w:w="1203" w:type="dxa"/>
                  <w:tcBorders>
                    <w:top w:val="single" w:color="auto" w:sz="8"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65AB68DE">
                  <w:pPr>
                    <w:pStyle w:val="51"/>
                    <w:keepNext w:val="0"/>
                    <w:keepLines w:val="0"/>
                    <w:widowControl/>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auto"/>
                      <w:kern w:val="2"/>
                      <w:sz w:val="21"/>
                      <w:lang w:val="en-US" w:eastAsia="zh-CN"/>
                    </w:rPr>
                    <w:t>13.6.7</w:t>
                  </w:r>
                </w:p>
              </w:tc>
              <w:tc>
                <w:tcPr>
                  <w:tcW w:w="1203" w:type="dxa"/>
                  <w:tcBorders>
                    <w:top w:val="single" w:color="auto" w:sz="8" w:space="0"/>
                    <w:left w:val="single" w:color="auto" w:sz="4" w:space="0"/>
                    <w:bottom w:val="single" w:color="auto" w:sz="4" w:space="0"/>
                    <w:right w:val="nil"/>
                  </w:tcBorders>
                  <w:noWrap w:val="0"/>
                  <w:tcMar>
                    <w:top w:w="57" w:type="dxa"/>
                    <w:left w:w="85" w:type="dxa"/>
                    <w:bottom w:w="57" w:type="dxa"/>
                    <w:right w:w="85" w:type="dxa"/>
                  </w:tcMar>
                  <w:vAlign w:val="center"/>
                </w:tcPr>
                <w:p w14:paraId="3BF1CD43">
                  <w:pPr>
                    <w:pStyle w:val="83"/>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textAlignment w:val="auto"/>
                    <w:rPr>
                      <w:rFonts w:hint="default"/>
                      <w:color w:val="000000" w:themeColor="text1"/>
                      <w:sz w:val="21"/>
                      <w:szCs w:val="21"/>
                      <w14:textFill>
                        <w14:solidFill>
                          <w14:schemeClr w14:val="tx1"/>
                        </w14:solidFill>
                      </w14:textFill>
                    </w:rPr>
                  </w:pPr>
                  <w:r>
                    <w:rPr>
                      <w:rFonts w:hint="default" w:ascii="Times New Roman" w:hAnsi="Times New Roman" w:eastAsia="宋体" w:cs="Times New Roman"/>
                      <w:color w:val="auto"/>
                      <w:sz w:val="21"/>
                      <w:szCs w:val="21"/>
                      <w:u w:val="none" w:color="auto"/>
                    </w:rPr>
                    <w:t>超标</w:t>
                  </w:r>
                </w:p>
              </w:tc>
            </w:tr>
            <w:tr w14:paraId="63A1C06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835" w:type="dxa"/>
                  <w:tcBorders>
                    <w:top w:val="single" w:color="auto" w:sz="4" w:space="0"/>
                    <w:left w:val="nil"/>
                    <w:bottom w:val="single" w:color="auto" w:sz="4" w:space="0"/>
                    <w:right w:val="single" w:color="auto" w:sz="4" w:space="0"/>
                  </w:tcBorders>
                  <w:noWrap w:val="0"/>
                  <w:tcMar>
                    <w:top w:w="57" w:type="dxa"/>
                    <w:left w:w="85" w:type="dxa"/>
                    <w:bottom w:w="57" w:type="dxa"/>
                    <w:right w:w="85" w:type="dxa"/>
                  </w:tcMar>
                  <w:vAlign w:val="center"/>
                </w:tcPr>
                <w:p w14:paraId="0099F331">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PM</w:t>
                  </w:r>
                  <w:r>
                    <w:rPr>
                      <w:rFonts w:hint="default"/>
                      <w:color w:val="000000" w:themeColor="text1"/>
                      <w:sz w:val="21"/>
                      <w:szCs w:val="21"/>
                      <w:vertAlign w:val="subscript"/>
                      <w14:textFill>
                        <w14:solidFill>
                          <w14:schemeClr w14:val="tx1"/>
                        </w14:solidFill>
                      </w14:textFill>
                    </w:rPr>
                    <w:t>2.5</w:t>
                  </w:r>
                </w:p>
              </w:tc>
              <w:tc>
                <w:tcPr>
                  <w:tcW w:w="171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3493FB86">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年平均质量浓度</w:t>
                  </w:r>
                </w:p>
              </w:tc>
              <w:tc>
                <w:tcPr>
                  <w:tcW w:w="192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1CFD831E">
                  <w:pPr>
                    <w:pStyle w:val="83"/>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textAlignment w:val="auto"/>
                    <w:rPr>
                      <w:rFonts w:hint="default"/>
                      <w:color w:val="000000" w:themeColor="text1"/>
                      <w:sz w:val="21"/>
                      <w:szCs w:val="21"/>
                      <w14:textFill>
                        <w14:solidFill>
                          <w14:schemeClr w14:val="tx1"/>
                        </w14:solidFill>
                      </w14:textFill>
                    </w:rPr>
                  </w:pPr>
                  <w:r>
                    <w:rPr>
                      <w:rFonts w:hint="default" w:ascii="Times New Roman" w:hAnsi="Times New Roman" w:cs="Times New Roman"/>
                      <w:color w:val="auto"/>
                      <w:sz w:val="21"/>
                      <w:szCs w:val="21"/>
                      <w:u w:val="none" w:color="auto"/>
                    </w:rPr>
                    <w:t>4</w:t>
                  </w:r>
                  <w:r>
                    <w:rPr>
                      <w:rFonts w:hint="eastAsia" w:ascii="Times New Roman" w:hAnsi="Times New Roman" w:cs="Times New Roman"/>
                      <w:color w:val="auto"/>
                      <w:sz w:val="21"/>
                      <w:szCs w:val="21"/>
                      <w:u w:val="none" w:color="auto"/>
                      <w:lang w:val="en-US" w:eastAsia="zh-CN"/>
                    </w:rPr>
                    <w:t>9</w:t>
                  </w:r>
                </w:p>
              </w:tc>
              <w:tc>
                <w:tcPr>
                  <w:tcW w:w="1695"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21E97468">
                  <w:pPr>
                    <w:pStyle w:val="51"/>
                    <w:keepNext w:val="0"/>
                    <w:keepLines w:val="0"/>
                    <w:widowControl/>
                    <w:suppressLineNumbers w:val="0"/>
                    <w:bidi w:val="0"/>
                    <w:spacing w:before="0" w:beforeAutospacing="0" w:after="0" w:afterAutospacing="0"/>
                    <w:ind w:left="0" w:leftChars="0" w:right="0" w:rightChars="0" w:firstLine="0" w:firstLineChars="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auto"/>
                      <w:kern w:val="2"/>
                      <w:sz w:val="21"/>
                      <w:lang w:val="en-US" w:eastAsia="zh-CN"/>
                    </w:rPr>
                    <w:t>30</w:t>
                  </w:r>
                </w:p>
              </w:tc>
              <w:tc>
                <w:tcPr>
                  <w:tcW w:w="1203"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39F8222A">
                  <w:pPr>
                    <w:pStyle w:val="51"/>
                    <w:keepNext w:val="0"/>
                    <w:keepLines w:val="0"/>
                    <w:widowControl/>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auto"/>
                      <w:kern w:val="2"/>
                      <w:sz w:val="21"/>
                      <w:lang w:val="en-US" w:eastAsia="zh-CN"/>
                    </w:rPr>
                    <w:t>163.3</w:t>
                  </w:r>
                </w:p>
              </w:tc>
              <w:tc>
                <w:tcPr>
                  <w:tcW w:w="1203" w:type="dxa"/>
                  <w:tcBorders>
                    <w:top w:val="single" w:color="auto" w:sz="4" w:space="0"/>
                    <w:left w:val="single" w:color="auto" w:sz="4" w:space="0"/>
                    <w:bottom w:val="single" w:color="auto" w:sz="4" w:space="0"/>
                    <w:right w:val="nil"/>
                  </w:tcBorders>
                  <w:noWrap w:val="0"/>
                  <w:tcMar>
                    <w:top w:w="57" w:type="dxa"/>
                    <w:left w:w="85" w:type="dxa"/>
                    <w:bottom w:w="57" w:type="dxa"/>
                    <w:right w:w="85" w:type="dxa"/>
                  </w:tcMar>
                  <w:vAlign w:val="center"/>
                </w:tcPr>
                <w:p w14:paraId="3BE7BFFD">
                  <w:pPr>
                    <w:pStyle w:val="83"/>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textAlignment w:val="auto"/>
                    <w:rPr>
                      <w:rFonts w:hint="default"/>
                      <w:color w:val="000000" w:themeColor="text1"/>
                      <w:sz w:val="21"/>
                      <w:szCs w:val="21"/>
                      <w14:textFill>
                        <w14:solidFill>
                          <w14:schemeClr w14:val="tx1"/>
                        </w14:solidFill>
                      </w14:textFill>
                    </w:rPr>
                  </w:pPr>
                  <w:r>
                    <w:rPr>
                      <w:rFonts w:hint="default" w:ascii="Times New Roman" w:hAnsi="Times New Roman" w:eastAsia="宋体" w:cs="Times New Roman"/>
                      <w:color w:val="auto"/>
                      <w:sz w:val="21"/>
                      <w:szCs w:val="21"/>
                      <w:u w:val="none" w:color="auto"/>
                    </w:rPr>
                    <w:t>超标</w:t>
                  </w:r>
                </w:p>
              </w:tc>
            </w:tr>
            <w:tr w14:paraId="5090FBB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835" w:type="dxa"/>
                  <w:tcBorders>
                    <w:top w:val="single" w:color="auto" w:sz="4" w:space="0"/>
                    <w:left w:val="nil"/>
                    <w:bottom w:val="single" w:color="auto" w:sz="4" w:space="0"/>
                    <w:right w:val="single" w:color="auto" w:sz="4" w:space="0"/>
                  </w:tcBorders>
                  <w:noWrap w:val="0"/>
                  <w:tcMar>
                    <w:top w:w="57" w:type="dxa"/>
                    <w:left w:w="85" w:type="dxa"/>
                    <w:bottom w:w="57" w:type="dxa"/>
                    <w:right w:w="85" w:type="dxa"/>
                  </w:tcMar>
                  <w:vAlign w:val="center"/>
                </w:tcPr>
                <w:p w14:paraId="7D62D237">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SO</w:t>
                  </w:r>
                  <w:r>
                    <w:rPr>
                      <w:rFonts w:hint="default"/>
                      <w:color w:val="000000" w:themeColor="text1"/>
                      <w:sz w:val="21"/>
                      <w:szCs w:val="21"/>
                      <w:vertAlign w:val="subscript"/>
                      <w14:textFill>
                        <w14:solidFill>
                          <w14:schemeClr w14:val="tx1"/>
                        </w14:solidFill>
                      </w14:textFill>
                    </w:rPr>
                    <w:t>2</w:t>
                  </w:r>
                </w:p>
              </w:tc>
              <w:tc>
                <w:tcPr>
                  <w:tcW w:w="171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394B6DF7">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年平均质量浓度</w:t>
                  </w:r>
                </w:p>
              </w:tc>
              <w:tc>
                <w:tcPr>
                  <w:tcW w:w="192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295D9FE6">
                  <w:pPr>
                    <w:pStyle w:val="83"/>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textAlignment w:val="auto"/>
                    <w:rPr>
                      <w:rFonts w:hint="default"/>
                      <w:color w:val="000000" w:themeColor="text1"/>
                      <w:sz w:val="21"/>
                      <w:szCs w:val="21"/>
                      <w14:textFill>
                        <w14:solidFill>
                          <w14:schemeClr w14:val="tx1"/>
                        </w14:solidFill>
                      </w14:textFill>
                    </w:rPr>
                  </w:pPr>
                  <w:r>
                    <w:rPr>
                      <w:rFonts w:hint="eastAsia" w:ascii="Times New Roman" w:hAnsi="Times New Roman" w:cs="Times New Roman"/>
                      <w:color w:val="auto"/>
                      <w:sz w:val="21"/>
                      <w:szCs w:val="21"/>
                      <w:u w:val="none" w:color="auto"/>
                      <w:lang w:val="en-US" w:eastAsia="zh-CN"/>
                    </w:rPr>
                    <w:t>8</w:t>
                  </w:r>
                </w:p>
              </w:tc>
              <w:tc>
                <w:tcPr>
                  <w:tcW w:w="1695"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2E5EF6CB">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default" w:ascii="Times New Roman" w:hAnsi="Times New Roman" w:eastAsia="宋体" w:cs="Times New Roman"/>
                      <w:sz w:val="21"/>
                      <w:szCs w:val="21"/>
                    </w:rPr>
                    <w:t>60</w:t>
                  </w:r>
                </w:p>
              </w:tc>
              <w:tc>
                <w:tcPr>
                  <w:tcW w:w="1203"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192D0530">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eastAsia="宋体"/>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auto"/>
                      <w:sz w:val="21"/>
                      <w:szCs w:val="21"/>
                    </w:rPr>
                    <w:t>13.3</w:t>
                  </w:r>
                </w:p>
              </w:tc>
              <w:tc>
                <w:tcPr>
                  <w:tcW w:w="1203" w:type="dxa"/>
                  <w:tcBorders>
                    <w:top w:val="single" w:color="auto" w:sz="4" w:space="0"/>
                    <w:left w:val="single" w:color="auto" w:sz="4" w:space="0"/>
                    <w:bottom w:val="single" w:color="auto" w:sz="4" w:space="0"/>
                    <w:right w:val="nil"/>
                  </w:tcBorders>
                  <w:noWrap w:val="0"/>
                  <w:tcMar>
                    <w:top w:w="57" w:type="dxa"/>
                    <w:left w:w="85" w:type="dxa"/>
                    <w:bottom w:w="57" w:type="dxa"/>
                    <w:right w:w="85" w:type="dxa"/>
                  </w:tcMar>
                  <w:vAlign w:val="center"/>
                </w:tcPr>
                <w:p w14:paraId="7EDFB25C">
                  <w:pPr>
                    <w:pStyle w:val="83"/>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textAlignment w:val="auto"/>
                    <w:rPr>
                      <w:rFonts w:hint="default"/>
                      <w:color w:val="000000" w:themeColor="text1"/>
                      <w:sz w:val="21"/>
                      <w:szCs w:val="21"/>
                      <w14:textFill>
                        <w14:solidFill>
                          <w14:schemeClr w14:val="tx1"/>
                        </w14:solidFill>
                      </w14:textFill>
                    </w:rPr>
                  </w:pPr>
                  <w:r>
                    <w:rPr>
                      <w:rFonts w:hint="default" w:ascii="Times New Roman" w:hAnsi="Times New Roman" w:eastAsia="宋体" w:cs="Times New Roman"/>
                      <w:color w:val="auto"/>
                      <w:sz w:val="21"/>
                      <w:szCs w:val="21"/>
                      <w:u w:val="none" w:color="auto"/>
                    </w:rPr>
                    <w:t>达标</w:t>
                  </w:r>
                </w:p>
              </w:tc>
            </w:tr>
            <w:tr w14:paraId="46E1322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835" w:type="dxa"/>
                  <w:tcBorders>
                    <w:top w:val="single" w:color="auto" w:sz="4" w:space="0"/>
                    <w:left w:val="nil"/>
                    <w:bottom w:val="single" w:color="auto" w:sz="4" w:space="0"/>
                    <w:right w:val="single" w:color="auto" w:sz="4" w:space="0"/>
                  </w:tcBorders>
                  <w:noWrap w:val="0"/>
                  <w:tcMar>
                    <w:top w:w="57" w:type="dxa"/>
                    <w:left w:w="85" w:type="dxa"/>
                    <w:bottom w:w="57" w:type="dxa"/>
                    <w:right w:w="85" w:type="dxa"/>
                  </w:tcMar>
                  <w:vAlign w:val="center"/>
                </w:tcPr>
                <w:p w14:paraId="66D70749">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NO</w:t>
                  </w:r>
                  <w:r>
                    <w:rPr>
                      <w:rFonts w:hint="default"/>
                      <w:color w:val="000000" w:themeColor="text1"/>
                      <w:sz w:val="21"/>
                      <w:szCs w:val="21"/>
                      <w:vertAlign w:val="subscript"/>
                      <w14:textFill>
                        <w14:solidFill>
                          <w14:schemeClr w14:val="tx1"/>
                        </w14:solidFill>
                      </w14:textFill>
                    </w:rPr>
                    <w:t>2</w:t>
                  </w:r>
                </w:p>
              </w:tc>
              <w:tc>
                <w:tcPr>
                  <w:tcW w:w="171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5BEDA721">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年平均质量浓度</w:t>
                  </w:r>
                </w:p>
              </w:tc>
              <w:tc>
                <w:tcPr>
                  <w:tcW w:w="192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11D270AA">
                  <w:pPr>
                    <w:pStyle w:val="83"/>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textAlignment w:val="auto"/>
                    <w:rPr>
                      <w:rFonts w:hint="default"/>
                      <w:color w:val="000000" w:themeColor="text1"/>
                      <w:sz w:val="21"/>
                      <w:szCs w:val="21"/>
                      <w:lang w:val="en-US"/>
                      <w14:textFill>
                        <w14:solidFill>
                          <w14:schemeClr w14:val="tx1"/>
                        </w14:solidFill>
                      </w14:textFill>
                    </w:rPr>
                  </w:pPr>
                  <w:r>
                    <w:rPr>
                      <w:rFonts w:hint="eastAsia" w:ascii="Times New Roman" w:hAnsi="Times New Roman" w:cs="Times New Roman"/>
                      <w:color w:val="auto"/>
                      <w:sz w:val="21"/>
                      <w:szCs w:val="21"/>
                      <w:u w:val="none" w:color="auto"/>
                      <w:lang w:val="en-US" w:eastAsia="zh-CN"/>
                    </w:rPr>
                    <w:t>27</w:t>
                  </w:r>
                </w:p>
              </w:tc>
              <w:tc>
                <w:tcPr>
                  <w:tcW w:w="1695"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09DA837B">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default" w:ascii="Times New Roman" w:hAnsi="Times New Roman" w:eastAsia="宋体" w:cs="Times New Roman"/>
                      <w:sz w:val="21"/>
                      <w:szCs w:val="21"/>
                    </w:rPr>
                    <w:t>40</w:t>
                  </w:r>
                </w:p>
              </w:tc>
              <w:tc>
                <w:tcPr>
                  <w:tcW w:w="1203"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464BE521">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eastAsia="宋体"/>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auto"/>
                      <w:sz w:val="21"/>
                      <w:szCs w:val="21"/>
                    </w:rPr>
                    <w:t>67.5</w:t>
                  </w:r>
                </w:p>
              </w:tc>
              <w:tc>
                <w:tcPr>
                  <w:tcW w:w="1203" w:type="dxa"/>
                  <w:tcBorders>
                    <w:top w:val="single" w:color="auto" w:sz="4" w:space="0"/>
                    <w:left w:val="single" w:color="auto" w:sz="4" w:space="0"/>
                    <w:bottom w:val="single" w:color="auto" w:sz="4" w:space="0"/>
                    <w:right w:val="nil"/>
                  </w:tcBorders>
                  <w:noWrap w:val="0"/>
                  <w:tcMar>
                    <w:top w:w="57" w:type="dxa"/>
                    <w:left w:w="85" w:type="dxa"/>
                    <w:bottom w:w="57" w:type="dxa"/>
                    <w:right w:w="85" w:type="dxa"/>
                  </w:tcMar>
                  <w:vAlign w:val="center"/>
                </w:tcPr>
                <w:p w14:paraId="64330B4A">
                  <w:pPr>
                    <w:pStyle w:val="83"/>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textAlignment w:val="auto"/>
                    <w:rPr>
                      <w:rFonts w:hint="default"/>
                      <w:color w:val="000000" w:themeColor="text1"/>
                      <w:sz w:val="21"/>
                      <w:szCs w:val="21"/>
                      <w14:textFill>
                        <w14:solidFill>
                          <w14:schemeClr w14:val="tx1"/>
                        </w14:solidFill>
                      </w14:textFill>
                    </w:rPr>
                  </w:pPr>
                  <w:r>
                    <w:rPr>
                      <w:rFonts w:hint="default" w:ascii="Times New Roman" w:hAnsi="Times New Roman" w:eastAsia="宋体" w:cs="Times New Roman"/>
                      <w:color w:val="auto"/>
                      <w:sz w:val="21"/>
                      <w:szCs w:val="21"/>
                      <w:u w:val="none" w:color="auto"/>
                    </w:rPr>
                    <w:t>达标</w:t>
                  </w:r>
                </w:p>
              </w:tc>
            </w:tr>
            <w:tr w14:paraId="513D2E3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835" w:type="dxa"/>
                  <w:tcBorders>
                    <w:top w:val="single" w:color="auto" w:sz="4" w:space="0"/>
                    <w:left w:val="nil"/>
                    <w:bottom w:val="single" w:color="auto" w:sz="4" w:space="0"/>
                    <w:right w:val="single" w:color="auto" w:sz="4" w:space="0"/>
                  </w:tcBorders>
                  <w:noWrap w:val="0"/>
                  <w:tcMar>
                    <w:top w:w="57" w:type="dxa"/>
                    <w:left w:w="85" w:type="dxa"/>
                    <w:bottom w:w="57" w:type="dxa"/>
                    <w:right w:w="85" w:type="dxa"/>
                  </w:tcMar>
                  <w:vAlign w:val="center"/>
                </w:tcPr>
                <w:p w14:paraId="0E57675B">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CO</w:t>
                  </w:r>
                </w:p>
              </w:tc>
              <w:tc>
                <w:tcPr>
                  <w:tcW w:w="171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668AB978">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第</w:t>
                  </w:r>
                  <w:r>
                    <w:rPr>
                      <w:rFonts w:hint="default"/>
                      <w:color w:val="000000" w:themeColor="text1"/>
                      <w:sz w:val="21"/>
                      <w:szCs w:val="21"/>
                      <w14:textFill>
                        <w14:solidFill>
                          <w14:schemeClr w14:val="tx1"/>
                        </w14:solidFill>
                      </w14:textFill>
                    </w:rPr>
                    <w:t>95</w:t>
                  </w:r>
                  <w:r>
                    <w:rPr>
                      <w:rFonts w:hint="eastAsia" w:hAnsi="宋体"/>
                      <w:color w:val="000000" w:themeColor="text1"/>
                      <w:sz w:val="21"/>
                      <w:szCs w:val="21"/>
                      <w14:textFill>
                        <w14:solidFill>
                          <w14:schemeClr w14:val="tx1"/>
                        </w14:solidFill>
                      </w14:textFill>
                    </w:rPr>
                    <w:t>百分位浓度</w:t>
                  </w:r>
                </w:p>
              </w:tc>
              <w:tc>
                <w:tcPr>
                  <w:tcW w:w="192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380B2374">
                  <w:pPr>
                    <w:pStyle w:val="83"/>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textAlignment w:val="auto"/>
                    <w:rPr>
                      <w:rFonts w:hint="default"/>
                      <w:color w:val="000000" w:themeColor="text1"/>
                      <w:sz w:val="21"/>
                      <w:szCs w:val="21"/>
                      <w14:textFill>
                        <w14:solidFill>
                          <w14:schemeClr w14:val="tx1"/>
                        </w14:solidFill>
                      </w14:textFill>
                    </w:rPr>
                  </w:pPr>
                  <w:r>
                    <w:rPr>
                      <w:rFonts w:hint="default" w:ascii="Times New Roman" w:hAnsi="Times New Roman" w:cs="Times New Roman"/>
                      <w:color w:val="auto"/>
                      <w:sz w:val="21"/>
                      <w:szCs w:val="21"/>
                      <w:u w:val="none" w:color="auto"/>
                    </w:rPr>
                    <w:t>1.</w:t>
                  </w:r>
                  <w:r>
                    <w:rPr>
                      <w:rFonts w:hint="eastAsia" w:ascii="Times New Roman" w:hAnsi="Times New Roman" w:cs="Times New Roman"/>
                      <w:color w:val="auto"/>
                      <w:sz w:val="21"/>
                      <w:szCs w:val="21"/>
                      <w:u w:val="none" w:color="auto"/>
                      <w:lang w:val="en-US" w:eastAsia="zh-CN"/>
                    </w:rPr>
                    <w:t>3</w:t>
                  </w:r>
                  <w:r>
                    <w:rPr>
                      <w:rFonts w:hint="default" w:ascii="Times New Roman" w:hAnsi="Times New Roman" w:cs="Times New Roman"/>
                      <w:color w:val="auto"/>
                      <w:sz w:val="21"/>
                      <w:szCs w:val="21"/>
                      <w:u w:val="none" w:color="auto"/>
                    </w:rPr>
                    <w:t>mg/m</w:t>
                  </w:r>
                  <w:r>
                    <w:rPr>
                      <w:rFonts w:hint="default" w:ascii="Times New Roman" w:hAnsi="Times New Roman" w:cs="Times New Roman"/>
                      <w:color w:val="auto"/>
                      <w:sz w:val="21"/>
                      <w:szCs w:val="21"/>
                      <w:u w:val="none" w:color="auto"/>
                      <w:vertAlign w:val="superscript"/>
                    </w:rPr>
                    <w:t>3</w:t>
                  </w:r>
                </w:p>
              </w:tc>
              <w:tc>
                <w:tcPr>
                  <w:tcW w:w="1695"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75D82532">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default" w:ascii="Times New Roman" w:hAnsi="Times New Roman" w:eastAsia="宋体" w:cs="Times New Roman"/>
                      <w:sz w:val="21"/>
                      <w:szCs w:val="21"/>
                    </w:rPr>
                    <w:t>4000</w:t>
                  </w:r>
                </w:p>
              </w:tc>
              <w:tc>
                <w:tcPr>
                  <w:tcW w:w="1203"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43ED94E7">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eastAsia="宋体"/>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auto"/>
                      <w:sz w:val="21"/>
                      <w:szCs w:val="21"/>
                    </w:rPr>
                    <w:t>32.5</w:t>
                  </w:r>
                </w:p>
              </w:tc>
              <w:tc>
                <w:tcPr>
                  <w:tcW w:w="1203" w:type="dxa"/>
                  <w:tcBorders>
                    <w:top w:val="single" w:color="auto" w:sz="4" w:space="0"/>
                    <w:left w:val="single" w:color="auto" w:sz="4" w:space="0"/>
                    <w:bottom w:val="single" w:color="auto" w:sz="4" w:space="0"/>
                    <w:right w:val="nil"/>
                  </w:tcBorders>
                  <w:noWrap w:val="0"/>
                  <w:tcMar>
                    <w:top w:w="57" w:type="dxa"/>
                    <w:left w:w="85" w:type="dxa"/>
                    <w:bottom w:w="57" w:type="dxa"/>
                    <w:right w:w="85" w:type="dxa"/>
                  </w:tcMar>
                  <w:vAlign w:val="center"/>
                </w:tcPr>
                <w:p w14:paraId="4E59513D">
                  <w:pPr>
                    <w:pStyle w:val="83"/>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textAlignment w:val="auto"/>
                    <w:rPr>
                      <w:rFonts w:hint="default"/>
                      <w:color w:val="000000" w:themeColor="text1"/>
                      <w:sz w:val="21"/>
                      <w:szCs w:val="21"/>
                      <w14:textFill>
                        <w14:solidFill>
                          <w14:schemeClr w14:val="tx1"/>
                        </w14:solidFill>
                      </w14:textFill>
                    </w:rPr>
                  </w:pPr>
                  <w:r>
                    <w:rPr>
                      <w:rFonts w:hint="default" w:ascii="Times New Roman" w:hAnsi="Times New Roman" w:eastAsia="宋体" w:cs="Times New Roman"/>
                      <w:color w:val="auto"/>
                      <w:sz w:val="21"/>
                      <w:szCs w:val="21"/>
                      <w:u w:val="none" w:color="auto"/>
                    </w:rPr>
                    <w:t>达标</w:t>
                  </w:r>
                </w:p>
              </w:tc>
            </w:tr>
            <w:tr w14:paraId="08AF2DF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835" w:type="dxa"/>
                  <w:tcBorders>
                    <w:top w:val="single" w:color="auto" w:sz="4" w:space="0"/>
                    <w:left w:val="nil"/>
                    <w:bottom w:val="single" w:color="auto" w:sz="8" w:space="0"/>
                    <w:right w:val="single" w:color="auto" w:sz="4" w:space="0"/>
                  </w:tcBorders>
                  <w:noWrap w:val="0"/>
                  <w:tcMar>
                    <w:top w:w="57" w:type="dxa"/>
                    <w:left w:w="85" w:type="dxa"/>
                    <w:bottom w:w="57" w:type="dxa"/>
                    <w:right w:w="85" w:type="dxa"/>
                  </w:tcMar>
                  <w:vAlign w:val="center"/>
                </w:tcPr>
                <w:p w14:paraId="1A95E5E6">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O</w:t>
                  </w:r>
                  <w:r>
                    <w:rPr>
                      <w:rFonts w:hint="default"/>
                      <w:color w:val="000000" w:themeColor="text1"/>
                      <w:sz w:val="21"/>
                      <w:szCs w:val="21"/>
                      <w:vertAlign w:val="subscript"/>
                      <w14:textFill>
                        <w14:solidFill>
                          <w14:schemeClr w14:val="tx1"/>
                        </w14:solidFill>
                      </w14:textFill>
                    </w:rPr>
                    <w:t>3</w:t>
                  </w:r>
                </w:p>
              </w:tc>
              <w:tc>
                <w:tcPr>
                  <w:tcW w:w="1710" w:type="dxa"/>
                  <w:tcBorders>
                    <w:top w:val="single" w:color="auto" w:sz="4" w:space="0"/>
                    <w:left w:val="single" w:color="auto" w:sz="4" w:space="0"/>
                    <w:bottom w:val="single" w:color="auto" w:sz="8" w:space="0"/>
                    <w:right w:val="single" w:color="auto" w:sz="4" w:space="0"/>
                  </w:tcBorders>
                  <w:noWrap w:val="0"/>
                  <w:tcMar>
                    <w:top w:w="57" w:type="dxa"/>
                    <w:left w:w="85" w:type="dxa"/>
                    <w:bottom w:w="57" w:type="dxa"/>
                    <w:right w:w="85" w:type="dxa"/>
                  </w:tcMar>
                  <w:vAlign w:val="center"/>
                </w:tcPr>
                <w:p w14:paraId="550A1069">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第</w:t>
                  </w:r>
                  <w:r>
                    <w:rPr>
                      <w:rFonts w:hint="default"/>
                      <w:color w:val="000000" w:themeColor="text1"/>
                      <w:sz w:val="21"/>
                      <w:szCs w:val="21"/>
                      <w14:textFill>
                        <w14:solidFill>
                          <w14:schemeClr w14:val="tx1"/>
                        </w14:solidFill>
                      </w14:textFill>
                    </w:rPr>
                    <w:t>90</w:t>
                  </w:r>
                  <w:r>
                    <w:rPr>
                      <w:rFonts w:hint="eastAsia" w:hAnsi="宋体"/>
                      <w:color w:val="000000" w:themeColor="text1"/>
                      <w:sz w:val="21"/>
                      <w:szCs w:val="21"/>
                      <w14:textFill>
                        <w14:solidFill>
                          <w14:schemeClr w14:val="tx1"/>
                        </w14:solidFill>
                      </w14:textFill>
                    </w:rPr>
                    <w:t>百分位浓度</w:t>
                  </w:r>
                </w:p>
              </w:tc>
              <w:tc>
                <w:tcPr>
                  <w:tcW w:w="1920" w:type="dxa"/>
                  <w:tcBorders>
                    <w:top w:val="single" w:color="auto" w:sz="4" w:space="0"/>
                    <w:left w:val="single" w:color="auto" w:sz="4" w:space="0"/>
                    <w:bottom w:val="single" w:color="auto" w:sz="8" w:space="0"/>
                    <w:right w:val="single" w:color="auto" w:sz="4" w:space="0"/>
                  </w:tcBorders>
                  <w:noWrap w:val="0"/>
                  <w:tcMar>
                    <w:top w:w="57" w:type="dxa"/>
                    <w:left w:w="85" w:type="dxa"/>
                    <w:bottom w:w="57" w:type="dxa"/>
                    <w:right w:w="85" w:type="dxa"/>
                  </w:tcMar>
                  <w:vAlign w:val="center"/>
                </w:tcPr>
                <w:p w14:paraId="6BEB2C95">
                  <w:pPr>
                    <w:pStyle w:val="83"/>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textAlignment w:val="auto"/>
                    <w:rPr>
                      <w:rFonts w:hint="default"/>
                      <w:color w:val="000000" w:themeColor="text1"/>
                      <w:sz w:val="21"/>
                      <w:szCs w:val="21"/>
                      <w14:textFill>
                        <w14:solidFill>
                          <w14:schemeClr w14:val="tx1"/>
                        </w14:solidFill>
                      </w14:textFill>
                    </w:rPr>
                  </w:pPr>
                  <w:r>
                    <w:rPr>
                      <w:rFonts w:hint="default" w:ascii="Times New Roman" w:hAnsi="Times New Roman" w:cs="Times New Roman"/>
                      <w:color w:val="auto"/>
                      <w:sz w:val="21"/>
                      <w:szCs w:val="21"/>
                      <w:u w:val="none" w:color="auto"/>
                    </w:rPr>
                    <w:t>183</w:t>
                  </w:r>
                </w:p>
              </w:tc>
              <w:tc>
                <w:tcPr>
                  <w:tcW w:w="1695" w:type="dxa"/>
                  <w:tcBorders>
                    <w:top w:val="single" w:color="auto" w:sz="4" w:space="0"/>
                    <w:left w:val="single" w:color="auto" w:sz="4" w:space="0"/>
                    <w:bottom w:val="single" w:color="auto" w:sz="8" w:space="0"/>
                    <w:right w:val="single" w:color="auto" w:sz="4" w:space="0"/>
                  </w:tcBorders>
                  <w:noWrap w:val="0"/>
                  <w:tcMar>
                    <w:top w:w="57" w:type="dxa"/>
                    <w:left w:w="85" w:type="dxa"/>
                    <w:bottom w:w="57" w:type="dxa"/>
                    <w:right w:w="85" w:type="dxa"/>
                  </w:tcMar>
                  <w:vAlign w:val="center"/>
                </w:tcPr>
                <w:p w14:paraId="6F5C201F">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default" w:ascii="Times New Roman" w:hAnsi="Times New Roman" w:eastAsia="宋体" w:cs="Times New Roman"/>
                      <w:sz w:val="21"/>
                      <w:szCs w:val="21"/>
                    </w:rPr>
                    <w:t>160</w:t>
                  </w:r>
                </w:p>
              </w:tc>
              <w:tc>
                <w:tcPr>
                  <w:tcW w:w="1203" w:type="dxa"/>
                  <w:tcBorders>
                    <w:top w:val="single" w:color="auto" w:sz="4" w:space="0"/>
                    <w:left w:val="single" w:color="auto" w:sz="4" w:space="0"/>
                    <w:bottom w:val="single" w:color="auto" w:sz="8" w:space="0"/>
                    <w:right w:val="single" w:color="auto" w:sz="4" w:space="0"/>
                  </w:tcBorders>
                  <w:noWrap w:val="0"/>
                  <w:tcMar>
                    <w:top w:w="57" w:type="dxa"/>
                    <w:left w:w="85" w:type="dxa"/>
                    <w:bottom w:w="57" w:type="dxa"/>
                    <w:right w:w="85" w:type="dxa"/>
                  </w:tcMar>
                  <w:vAlign w:val="center"/>
                </w:tcPr>
                <w:p w14:paraId="236AE2FA">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eastAsia="宋体"/>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auto"/>
                      <w:sz w:val="21"/>
                      <w:szCs w:val="21"/>
                    </w:rPr>
                    <w:t>114.4</w:t>
                  </w:r>
                </w:p>
              </w:tc>
              <w:tc>
                <w:tcPr>
                  <w:tcW w:w="1203" w:type="dxa"/>
                  <w:tcBorders>
                    <w:top w:val="single" w:color="auto" w:sz="4" w:space="0"/>
                    <w:left w:val="single" w:color="auto" w:sz="4" w:space="0"/>
                    <w:bottom w:val="single" w:color="auto" w:sz="8" w:space="0"/>
                    <w:right w:val="nil"/>
                  </w:tcBorders>
                  <w:noWrap w:val="0"/>
                  <w:tcMar>
                    <w:top w:w="57" w:type="dxa"/>
                    <w:left w:w="85" w:type="dxa"/>
                    <w:bottom w:w="57" w:type="dxa"/>
                    <w:right w:w="85" w:type="dxa"/>
                  </w:tcMar>
                  <w:vAlign w:val="center"/>
                </w:tcPr>
                <w:p w14:paraId="5465FB54">
                  <w:pPr>
                    <w:pStyle w:val="83"/>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textAlignment w:val="auto"/>
                    <w:rPr>
                      <w:rFonts w:hint="default"/>
                      <w:color w:val="000000" w:themeColor="text1"/>
                      <w:sz w:val="21"/>
                      <w:szCs w:val="21"/>
                      <w14:textFill>
                        <w14:solidFill>
                          <w14:schemeClr w14:val="tx1"/>
                        </w14:solidFill>
                      </w14:textFill>
                    </w:rPr>
                  </w:pPr>
                  <w:r>
                    <w:rPr>
                      <w:rFonts w:hint="default" w:ascii="Times New Roman" w:hAnsi="Times New Roman" w:eastAsia="宋体" w:cs="Times New Roman"/>
                      <w:color w:val="auto"/>
                      <w:sz w:val="21"/>
                      <w:szCs w:val="21"/>
                      <w:u w:val="none" w:color="auto"/>
                    </w:rPr>
                    <w:t>超标</w:t>
                  </w:r>
                </w:p>
              </w:tc>
            </w:tr>
          </w:tbl>
          <w:p w14:paraId="18164C9D">
            <w:pPr>
              <w:keepNext w:val="0"/>
              <w:keepLines w:val="0"/>
              <w:widowControl/>
              <w:suppressLineNumbers w:val="0"/>
              <w:adjustRightInd w:val="0"/>
              <w:snapToGrid w:val="0"/>
              <w:spacing w:before="0" w:beforeAutospacing="0" w:after="0" w:afterAutospacing="0" w:line="440" w:lineRule="exact"/>
              <w:ind w:left="0" w:right="0" w:firstLine="480" w:firstLineChars="200"/>
              <w:jc w:val="both"/>
              <w:rPr>
                <w:rFonts w:hint="default"/>
                <w:color w:val="000000" w:themeColor="text1"/>
                <w:kern w:val="0"/>
                <w:sz w:val="24"/>
                <w14:textFill>
                  <w14:solidFill>
                    <w14:schemeClr w14:val="tx1"/>
                  </w14:solidFill>
                </w14:textFill>
              </w:rPr>
            </w:pPr>
            <w:r>
              <w:rPr>
                <w:rFonts w:hint="default" w:hAnsi="宋体"/>
                <w:color w:val="000000" w:themeColor="text1"/>
                <w:kern w:val="0"/>
                <w:sz w:val="24"/>
                <w14:textFill>
                  <w14:solidFill>
                    <w14:schemeClr w14:val="tx1"/>
                  </w14:solidFill>
                </w14:textFill>
              </w:rPr>
              <w:t>由上表可知，其中</w:t>
            </w:r>
            <w:r>
              <w:rPr>
                <w:rFonts w:hint="default"/>
                <w:color w:val="000000" w:themeColor="text1"/>
                <w:kern w:val="0"/>
                <w:sz w:val="24"/>
                <w14:textFill>
                  <w14:solidFill>
                    <w14:schemeClr w14:val="tx1"/>
                  </w14:solidFill>
                </w14:textFill>
              </w:rPr>
              <w:t>PM</w:t>
            </w:r>
            <w:r>
              <w:rPr>
                <w:rFonts w:hint="default"/>
                <w:color w:val="000000" w:themeColor="text1"/>
                <w:kern w:val="0"/>
                <w:sz w:val="24"/>
                <w:vertAlign w:val="subscript"/>
                <w14:textFill>
                  <w14:solidFill>
                    <w14:schemeClr w14:val="tx1"/>
                  </w14:solidFill>
                </w14:textFill>
              </w:rPr>
              <w:t>10</w:t>
            </w:r>
            <w:r>
              <w:rPr>
                <w:rFonts w:hint="default" w:hAnsi="宋体"/>
                <w:color w:val="000000" w:themeColor="text1"/>
                <w:kern w:val="0"/>
                <w:sz w:val="24"/>
                <w14:textFill>
                  <w14:solidFill>
                    <w14:schemeClr w14:val="tx1"/>
                  </w14:solidFill>
                </w14:textFill>
              </w:rPr>
              <w:t>、</w:t>
            </w:r>
            <w:r>
              <w:rPr>
                <w:rFonts w:hint="default"/>
                <w:color w:val="000000" w:themeColor="text1"/>
                <w:kern w:val="0"/>
                <w:sz w:val="24"/>
                <w14:textFill>
                  <w14:solidFill>
                    <w14:schemeClr w14:val="tx1"/>
                  </w14:solidFill>
                </w14:textFill>
              </w:rPr>
              <w:t>PM</w:t>
            </w:r>
            <w:r>
              <w:rPr>
                <w:rFonts w:hint="default"/>
                <w:color w:val="000000" w:themeColor="text1"/>
                <w:kern w:val="0"/>
                <w:sz w:val="24"/>
                <w:vertAlign w:val="subscript"/>
                <w14:textFill>
                  <w14:solidFill>
                    <w14:schemeClr w14:val="tx1"/>
                  </w14:solidFill>
                </w14:textFill>
              </w:rPr>
              <w:t>2.5</w:t>
            </w:r>
            <w:r>
              <w:rPr>
                <w:rFonts w:hint="default" w:hAnsi="宋体"/>
                <w:color w:val="000000" w:themeColor="text1"/>
                <w:kern w:val="0"/>
                <w:sz w:val="24"/>
                <w14:textFill>
                  <w14:solidFill>
                    <w14:schemeClr w14:val="tx1"/>
                  </w14:solidFill>
                </w14:textFill>
              </w:rPr>
              <w:t>、</w:t>
            </w:r>
            <w:r>
              <w:rPr>
                <w:rFonts w:hint="default"/>
                <w:color w:val="000000" w:themeColor="text1"/>
                <w:kern w:val="0"/>
                <w:sz w:val="24"/>
                <w14:textFill>
                  <w14:solidFill>
                    <w14:schemeClr w14:val="tx1"/>
                  </w14:solidFill>
                </w14:textFill>
              </w:rPr>
              <w:t>O</w:t>
            </w:r>
            <w:r>
              <w:rPr>
                <w:rFonts w:hint="default"/>
                <w:color w:val="000000" w:themeColor="text1"/>
                <w:kern w:val="0"/>
                <w:sz w:val="24"/>
                <w:vertAlign w:val="subscript"/>
                <w14:textFill>
                  <w14:solidFill>
                    <w14:schemeClr w14:val="tx1"/>
                  </w14:solidFill>
                </w14:textFill>
              </w:rPr>
              <w:t>3</w:t>
            </w:r>
            <w:r>
              <w:rPr>
                <w:rFonts w:hint="default" w:hAnsi="宋体"/>
                <w:color w:val="000000" w:themeColor="text1"/>
                <w:kern w:val="0"/>
                <w:sz w:val="24"/>
                <w14:textFill>
                  <w14:solidFill>
                    <w14:schemeClr w14:val="tx1"/>
                  </w14:solidFill>
                </w14:textFill>
              </w:rPr>
              <w:t>均不能够满足《环境空气质量标准》（</w:t>
            </w:r>
            <w:r>
              <w:rPr>
                <w:rFonts w:hint="default"/>
                <w:color w:val="000000" w:themeColor="text1"/>
                <w:kern w:val="0"/>
                <w:sz w:val="24"/>
                <w14:textFill>
                  <w14:solidFill>
                    <w14:schemeClr w14:val="tx1"/>
                  </w14:solidFill>
                </w14:textFill>
              </w:rPr>
              <w:t>GB3095-20</w:t>
            </w:r>
            <w:r>
              <w:rPr>
                <w:rFonts w:hint="eastAsia"/>
                <w:color w:val="000000" w:themeColor="text1"/>
                <w:kern w:val="0"/>
                <w:sz w:val="24"/>
                <w:lang w:val="en-US" w:eastAsia="zh-CN"/>
                <w14:textFill>
                  <w14:solidFill>
                    <w14:schemeClr w14:val="tx1"/>
                  </w14:solidFill>
                </w14:textFill>
              </w:rPr>
              <w:t>26</w:t>
            </w:r>
            <w:r>
              <w:rPr>
                <w:rFonts w:hint="default" w:hAnsi="宋体"/>
                <w:color w:val="000000" w:themeColor="text1"/>
                <w:kern w:val="0"/>
                <w:sz w:val="24"/>
                <w14:textFill>
                  <w14:solidFill>
                    <w14:schemeClr w14:val="tx1"/>
                  </w14:solidFill>
                </w14:textFill>
              </w:rPr>
              <w:t>）二级标准。根据《环境影响评价技术导则</w:t>
            </w:r>
            <w:r>
              <w:rPr>
                <w:rFonts w:hint="default"/>
                <w:color w:val="000000" w:themeColor="text1"/>
                <w:kern w:val="0"/>
                <w:sz w:val="24"/>
                <w14:textFill>
                  <w14:solidFill>
                    <w14:schemeClr w14:val="tx1"/>
                  </w14:solidFill>
                </w14:textFill>
              </w:rPr>
              <w:t xml:space="preserve"> </w:t>
            </w:r>
            <w:r>
              <w:rPr>
                <w:rFonts w:hint="default" w:hAnsi="宋体"/>
                <w:color w:val="000000" w:themeColor="text1"/>
                <w:kern w:val="0"/>
                <w:sz w:val="24"/>
                <w14:textFill>
                  <w14:solidFill>
                    <w14:schemeClr w14:val="tx1"/>
                  </w14:solidFill>
                </w14:textFill>
              </w:rPr>
              <w:t>大气环境》</w:t>
            </w:r>
            <w:r>
              <w:rPr>
                <w:rFonts w:hint="default"/>
                <w:color w:val="000000" w:themeColor="text1"/>
                <w:kern w:val="0"/>
                <w:sz w:val="24"/>
                <w14:textFill>
                  <w14:solidFill>
                    <w14:schemeClr w14:val="tx1"/>
                  </w14:solidFill>
                </w14:textFill>
              </w:rPr>
              <w:t>(HJ2.2-2018)</w:t>
            </w:r>
            <w:r>
              <w:rPr>
                <w:rFonts w:hint="default" w:hAnsi="宋体"/>
                <w:color w:val="000000" w:themeColor="text1"/>
                <w:kern w:val="0"/>
                <w:sz w:val="24"/>
                <w14:textFill>
                  <w14:solidFill>
                    <w14:schemeClr w14:val="tx1"/>
                  </w14:solidFill>
                </w14:textFill>
              </w:rPr>
              <w:t>，本项目所在区域属于不达标区。</w:t>
            </w:r>
          </w:p>
          <w:p w14:paraId="02E551C9">
            <w:pPr>
              <w:keepNext w:val="0"/>
              <w:keepLines w:val="0"/>
              <w:suppressLineNumbers w:val="0"/>
              <w:adjustRightInd w:val="0"/>
              <w:snapToGrid w:val="0"/>
              <w:spacing w:before="0" w:beforeAutospacing="0" w:after="0" w:afterAutospacing="0" w:line="440" w:lineRule="exact"/>
              <w:ind w:left="0" w:right="0" w:firstLine="480" w:firstLineChars="200"/>
              <w:rPr>
                <w:rFonts w:hint="default"/>
                <w:color w:val="000000" w:themeColor="text1"/>
                <w:kern w:val="0"/>
                <w:sz w:val="24"/>
                <w14:textFill>
                  <w14:solidFill>
                    <w14:schemeClr w14:val="tx1"/>
                  </w14:solidFill>
                </w14:textFill>
              </w:rPr>
            </w:pPr>
            <w:r>
              <w:rPr>
                <w:rFonts w:hint="default" w:hAnsi="宋体"/>
                <w:color w:val="000000" w:themeColor="text1"/>
                <w:kern w:val="0"/>
                <w:sz w:val="24"/>
                <w14:textFill>
                  <w14:solidFill>
                    <w14:schemeClr w14:val="tx1"/>
                  </w14:solidFill>
                </w14:textFill>
              </w:rPr>
              <w:t>目前，新乡市正在实施《新乡市生态环境保护委员会办公室关于印发&lt;新乡市202</w:t>
            </w:r>
            <w:r>
              <w:rPr>
                <w:rFonts w:hint="eastAsia" w:hAnsi="宋体"/>
                <w:color w:val="000000" w:themeColor="text1"/>
                <w:kern w:val="0"/>
                <w:sz w:val="24"/>
                <w:lang w:val="en-US" w:eastAsia="zh-CN"/>
                <w14:textFill>
                  <w14:solidFill>
                    <w14:schemeClr w14:val="tx1"/>
                  </w14:solidFill>
                </w14:textFill>
              </w:rPr>
              <w:t>5</w:t>
            </w:r>
            <w:r>
              <w:rPr>
                <w:rFonts w:hint="default" w:hAnsi="宋体"/>
                <w:color w:val="000000" w:themeColor="text1"/>
                <w:kern w:val="0"/>
                <w:sz w:val="24"/>
                <w14:textFill>
                  <w14:solidFill>
                    <w14:schemeClr w14:val="tx1"/>
                  </w14:solidFill>
                </w14:textFill>
              </w:rPr>
              <w:t>年蓝天保卫战实施方案&gt;的通知》（新环委办〔202</w:t>
            </w:r>
            <w:r>
              <w:rPr>
                <w:rFonts w:hint="eastAsia" w:hAnsi="宋体"/>
                <w:color w:val="000000" w:themeColor="text1"/>
                <w:kern w:val="0"/>
                <w:sz w:val="24"/>
                <w:lang w:val="en-US" w:eastAsia="zh-CN"/>
                <w14:textFill>
                  <w14:solidFill>
                    <w14:schemeClr w14:val="tx1"/>
                  </w14:solidFill>
                </w14:textFill>
              </w:rPr>
              <w:t>5</w:t>
            </w:r>
            <w:r>
              <w:rPr>
                <w:rFonts w:hint="default" w:hAnsi="宋体"/>
                <w:color w:val="000000" w:themeColor="text1"/>
                <w:kern w:val="0"/>
                <w:sz w:val="24"/>
                <w14:textFill>
                  <w14:solidFill>
                    <w14:schemeClr w14:val="tx1"/>
                  </w14:solidFill>
                </w14:textFill>
              </w:rPr>
              <w:t>〕</w:t>
            </w:r>
            <w:r>
              <w:rPr>
                <w:rFonts w:hint="eastAsia" w:hAnsi="宋体"/>
                <w:color w:val="000000" w:themeColor="text1"/>
                <w:kern w:val="0"/>
                <w:sz w:val="24"/>
                <w:lang w:val="en-US" w:eastAsia="zh-CN"/>
                <w14:textFill>
                  <w14:solidFill>
                    <w14:schemeClr w14:val="tx1"/>
                  </w14:solidFill>
                </w14:textFill>
              </w:rPr>
              <w:t>38</w:t>
            </w:r>
            <w:r>
              <w:rPr>
                <w:rFonts w:hint="default" w:hAnsi="宋体"/>
                <w:color w:val="000000" w:themeColor="text1"/>
                <w:kern w:val="0"/>
                <w:sz w:val="24"/>
                <w14:textFill>
                  <w14:solidFill>
                    <w14:schemeClr w14:val="tx1"/>
                  </w14:solidFill>
                </w14:textFill>
              </w:rPr>
              <w:t>号）等一系列措施</w:t>
            </w:r>
            <w:r>
              <w:rPr>
                <w:rFonts w:hint="eastAsia" w:hAnsi="宋体"/>
                <w:color w:val="000000" w:themeColor="text1"/>
                <w:kern w:val="0"/>
                <w:sz w:val="24"/>
                <w:lang w:eastAsia="zh-CN"/>
                <w14:textFill>
                  <w14:solidFill>
                    <w14:schemeClr w14:val="tx1"/>
                  </w14:solidFill>
                </w14:textFill>
              </w:rPr>
              <w:t>，</w:t>
            </w:r>
            <w:r>
              <w:rPr>
                <w:rFonts w:hint="default" w:hAnsi="宋体"/>
                <w:color w:val="000000" w:themeColor="text1"/>
                <w:kern w:val="0"/>
                <w:sz w:val="24"/>
                <w14:textFill>
                  <w14:solidFill>
                    <w14:schemeClr w14:val="tx1"/>
                  </w14:solidFill>
                </w14:textFill>
              </w:rPr>
              <w:t>将不断改善区域大气环境质量。</w:t>
            </w:r>
          </w:p>
          <w:p w14:paraId="77069540">
            <w:pPr>
              <w:keepNext w:val="0"/>
              <w:keepLines w:val="0"/>
              <w:suppressLineNumbers w:val="0"/>
              <w:spacing w:before="0" w:beforeAutospacing="0" w:after="0" w:afterAutospacing="0" w:line="440" w:lineRule="exact"/>
              <w:ind w:left="0" w:right="0" w:firstLine="482" w:firstLineChars="200"/>
              <w:jc w:val="left"/>
              <w:rPr>
                <w:rFonts w:hint="default"/>
                <w:b/>
                <w:bCs/>
                <w:sz w:val="24"/>
              </w:rPr>
            </w:pPr>
            <w:r>
              <w:rPr>
                <w:rFonts w:hint="default"/>
                <w:b/>
                <w:bCs/>
                <w:sz w:val="24"/>
              </w:rPr>
              <w:t>2</w:t>
            </w:r>
            <w:r>
              <w:rPr>
                <w:rFonts w:hint="default" w:hAnsi="宋体"/>
                <w:b/>
                <w:bCs/>
                <w:sz w:val="24"/>
              </w:rPr>
              <w:t>、地表水</w:t>
            </w:r>
            <w:r>
              <w:rPr>
                <w:rFonts w:hint="default"/>
                <w:b/>
                <w:bCs/>
                <w:sz w:val="24"/>
              </w:rPr>
              <w:t>质量现状</w:t>
            </w:r>
          </w:p>
          <w:p w14:paraId="62E5B7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color w:val="0000FF"/>
                <w:sz w:val="24"/>
                <w:highlight w:val="none"/>
              </w:rPr>
            </w:pPr>
            <w:r>
              <w:rPr>
                <w:rFonts w:hint="eastAsia"/>
                <w:color w:val="auto"/>
                <w:sz w:val="24"/>
                <w:highlight w:val="none"/>
                <w:lang w:val="en-US" w:eastAsia="zh-CN"/>
              </w:rPr>
              <w:t>企业废水经厂区污水处理站治理后排入新乡县综合污水处理厂进一步处理，项目纳污</w:t>
            </w:r>
            <w:r>
              <w:rPr>
                <w:rFonts w:hint="eastAsia"/>
                <w:color w:val="000000" w:themeColor="text1"/>
                <w:sz w:val="24"/>
                <w:highlight w:val="none"/>
                <w:lang w:val="en-US" w:eastAsia="zh-CN"/>
                <w14:textFill>
                  <w14:solidFill>
                    <w14:schemeClr w14:val="tx1"/>
                  </w14:solidFill>
                </w14:textFill>
              </w:rPr>
              <w:t>水体为东孟姜女河</w:t>
            </w:r>
            <w:r>
              <w:rPr>
                <w:rFonts w:hint="eastAsia"/>
                <w:color w:val="000000" w:themeColor="text1"/>
                <w:sz w:val="24"/>
                <w:highlight w:val="none"/>
                <w14:textFill>
                  <w14:solidFill>
                    <w14:schemeClr w14:val="tx1"/>
                  </w14:solidFill>
                </w14:textFill>
              </w:rPr>
              <w:t>。</w:t>
            </w:r>
            <w:r>
              <w:rPr>
                <w:rFonts w:hint="eastAsia"/>
                <w:color w:val="auto"/>
                <w:sz w:val="24"/>
                <w:highlight w:val="none"/>
              </w:rPr>
              <w:t>依据新乡市生态环境关于</w:t>
            </w:r>
            <w:r>
              <w:rPr>
                <w:rFonts w:hint="eastAsia" w:cs="Times New Roman"/>
                <w:color w:val="auto"/>
                <w:sz w:val="24"/>
                <w:szCs w:val="24"/>
                <w:highlight w:val="none"/>
                <w:lang w:val="en-US" w:eastAsia="zh-CN"/>
              </w:rPr>
              <w:t>下达</w:t>
            </w:r>
            <w:r>
              <w:rPr>
                <w:rFonts w:hint="default" w:ascii="Times New Roman" w:hAnsi="Times New Roman" w:eastAsia="宋体" w:cs="Times New Roman"/>
                <w:color w:val="auto"/>
                <w:sz w:val="24"/>
                <w:szCs w:val="24"/>
                <w:highlight w:val="none"/>
                <w:lang w:val="en-US" w:eastAsia="zh-CN"/>
              </w:rPr>
              <w:t>《202</w:t>
            </w:r>
            <w:r>
              <w:rPr>
                <w:rFonts w:hint="eastAsia"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年地表水环境质量目标》的函</w:t>
            </w:r>
            <w:r>
              <w:rPr>
                <w:rFonts w:hint="eastAsia"/>
                <w:color w:val="auto"/>
                <w:sz w:val="24"/>
                <w:highlight w:val="none"/>
              </w:rPr>
              <w:t>，</w:t>
            </w:r>
            <w:r>
              <w:rPr>
                <w:rFonts w:hint="eastAsia"/>
                <w:color w:val="auto"/>
                <w:sz w:val="24"/>
                <w:highlight w:val="none"/>
                <w:lang w:val="en-US" w:eastAsia="zh-CN"/>
              </w:rPr>
              <w:t>东孟姜女河</w:t>
            </w:r>
            <w:r>
              <w:rPr>
                <w:rFonts w:hint="eastAsia"/>
                <w:color w:val="auto"/>
                <w:sz w:val="24"/>
                <w:highlight w:val="none"/>
              </w:rPr>
              <w:t>202</w:t>
            </w:r>
            <w:r>
              <w:rPr>
                <w:rFonts w:hint="eastAsia"/>
                <w:color w:val="auto"/>
                <w:sz w:val="24"/>
                <w:highlight w:val="none"/>
                <w:lang w:val="en-US" w:eastAsia="zh-CN"/>
              </w:rPr>
              <w:t>5</w:t>
            </w:r>
            <w:r>
              <w:rPr>
                <w:rFonts w:hint="eastAsia"/>
                <w:color w:val="auto"/>
                <w:sz w:val="24"/>
                <w:highlight w:val="none"/>
              </w:rPr>
              <w:t>年地表水环境质量目</w:t>
            </w:r>
            <w:r>
              <w:rPr>
                <w:rFonts w:hint="default" w:ascii="Times New Roman" w:hAnsi="Times New Roman" w:cs="Times New Roman"/>
                <w:color w:val="auto"/>
                <w:sz w:val="24"/>
                <w:highlight w:val="none"/>
              </w:rPr>
              <w:t>标为</w:t>
            </w:r>
            <w:r>
              <w:rPr>
                <w:rFonts w:hint="default" w:ascii="Times New Roman" w:hAnsi="Times New Roman" w:eastAsia="宋体" w:cs="Times New Roman"/>
                <w:color w:val="auto"/>
                <w:sz w:val="24"/>
                <w:highlight w:val="none"/>
              </w:rPr>
              <w:t>Ⅲ</w:t>
            </w:r>
            <w:r>
              <w:rPr>
                <w:rFonts w:hint="default" w:ascii="Times New Roman" w:hAnsi="Times New Roman" w:cs="Times New Roman"/>
                <w:color w:val="auto"/>
                <w:sz w:val="24"/>
                <w:highlight w:val="none"/>
              </w:rPr>
              <w:t>类。</w:t>
            </w:r>
            <w:r>
              <w:rPr>
                <w:rFonts w:hint="eastAsia"/>
                <w:color w:val="auto"/>
                <w:sz w:val="24"/>
                <w:highlight w:val="none"/>
              </w:rPr>
              <w:t>本评价引用新乡市环境监测站对</w:t>
            </w:r>
            <w:r>
              <w:rPr>
                <w:rFonts w:hint="eastAsia"/>
                <w:color w:val="auto"/>
                <w:sz w:val="24"/>
                <w:highlight w:val="none"/>
                <w:lang w:val="en-US" w:eastAsia="zh-CN"/>
              </w:rPr>
              <w:t>东孟姜女河南环桥</w:t>
            </w:r>
            <w:r>
              <w:rPr>
                <w:rFonts w:hint="eastAsia"/>
                <w:color w:val="auto"/>
                <w:sz w:val="24"/>
                <w:highlight w:val="none"/>
              </w:rPr>
              <w:t>断面202</w:t>
            </w:r>
            <w:r>
              <w:rPr>
                <w:rFonts w:hint="eastAsia"/>
                <w:color w:val="auto"/>
                <w:sz w:val="24"/>
                <w:highlight w:val="none"/>
                <w:lang w:val="en-US" w:eastAsia="zh-CN"/>
              </w:rPr>
              <w:t>5</w:t>
            </w:r>
            <w:r>
              <w:rPr>
                <w:rFonts w:hint="eastAsia"/>
                <w:color w:val="auto"/>
                <w:sz w:val="24"/>
                <w:highlight w:val="none"/>
              </w:rPr>
              <w:t>年</w:t>
            </w:r>
            <w:r>
              <w:rPr>
                <w:rFonts w:hint="eastAsia"/>
                <w:color w:val="auto"/>
                <w:sz w:val="24"/>
                <w:highlight w:val="none"/>
                <w:lang w:val="en-US" w:eastAsia="zh-CN"/>
              </w:rPr>
              <w:t>1-12</w:t>
            </w:r>
            <w:r>
              <w:rPr>
                <w:rFonts w:hint="eastAsia"/>
                <w:color w:val="auto"/>
                <w:sz w:val="24"/>
                <w:highlight w:val="none"/>
              </w:rPr>
              <w:t>月的监测数据</w:t>
            </w:r>
            <w:r>
              <w:rPr>
                <w:rFonts w:hint="eastAsia"/>
                <w:color w:val="auto"/>
                <w:sz w:val="24"/>
                <w:highlight w:val="none"/>
                <w:lang w:val="en-US" w:eastAsia="zh-CN"/>
              </w:rPr>
              <w:t>均值</w:t>
            </w:r>
            <w:r>
              <w:rPr>
                <w:rFonts w:hint="eastAsia"/>
                <w:color w:val="auto"/>
                <w:sz w:val="24"/>
                <w:highlight w:val="none"/>
              </w:rPr>
              <w:t>，数据见下表。</w:t>
            </w:r>
          </w:p>
          <w:p w14:paraId="5046D873">
            <w:pPr>
              <w:keepNext w:val="0"/>
              <w:keepLines w:val="0"/>
              <w:suppressLineNumbers w:val="0"/>
              <w:adjustRightInd w:val="0"/>
              <w:snapToGrid w:val="0"/>
              <w:spacing w:before="0" w:beforeAutospacing="0" w:after="0" w:afterAutospacing="0" w:line="440" w:lineRule="exact"/>
              <w:ind w:left="0" w:right="0" w:firstLine="479" w:firstLineChars="199"/>
              <w:jc w:val="left"/>
              <w:rPr>
                <w:rFonts w:hint="eastAsia"/>
                <w:b/>
                <w:bCs/>
                <w:color w:val="auto"/>
                <w:sz w:val="24"/>
                <w:highlight w:val="none"/>
                <w:lang w:val="en-US" w:eastAsia="zh-CN"/>
              </w:rPr>
            </w:pPr>
          </w:p>
          <w:p w14:paraId="07027BB3">
            <w:pPr>
              <w:keepNext w:val="0"/>
              <w:keepLines w:val="0"/>
              <w:suppressLineNumbers w:val="0"/>
              <w:adjustRightInd w:val="0"/>
              <w:snapToGrid w:val="0"/>
              <w:spacing w:before="0" w:beforeAutospacing="0" w:after="0" w:afterAutospacing="0" w:line="440" w:lineRule="exact"/>
              <w:ind w:left="0" w:right="0" w:firstLine="479" w:firstLineChars="199"/>
              <w:jc w:val="left"/>
              <w:rPr>
                <w:rFonts w:hint="eastAsia"/>
                <w:b/>
                <w:bCs/>
                <w:color w:val="auto"/>
                <w:sz w:val="24"/>
                <w:highlight w:val="none"/>
                <w:lang w:val="en-US" w:eastAsia="zh-CN"/>
              </w:rPr>
            </w:pPr>
          </w:p>
          <w:p w14:paraId="546CDE73">
            <w:pPr>
              <w:keepNext w:val="0"/>
              <w:keepLines w:val="0"/>
              <w:suppressLineNumbers w:val="0"/>
              <w:adjustRightInd w:val="0"/>
              <w:snapToGrid w:val="0"/>
              <w:spacing w:before="0" w:beforeAutospacing="0" w:after="0" w:afterAutospacing="0" w:line="440" w:lineRule="exact"/>
              <w:ind w:left="0" w:right="0" w:firstLine="479" w:firstLineChars="199"/>
              <w:jc w:val="left"/>
              <w:rPr>
                <w:rFonts w:hint="eastAsia"/>
                <w:b/>
                <w:bCs/>
                <w:color w:val="auto"/>
                <w:sz w:val="24"/>
                <w:highlight w:val="none"/>
                <w:lang w:val="en-US" w:eastAsia="zh-CN"/>
              </w:rPr>
            </w:pPr>
          </w:p>
          <w:p w14:paraId="44BEDDD1">
            <w:pPr>
              <w:keepNext w:val="0"/>
              <w:keepLines w:val="0"/>
              <w:suppressLineNumbers w:val="0"/>
              <w:adjustRightInd w:val="0"/>
              <w:snapToGrid w:val="0"/>
              <w:spacing w:before="0" w:beforeAutospacing="0" w:after="0" w:afterAutospacing="0" w:line="440" w:lineRule="exact"/>
              <w:ind w:left="0" w:right="0" w:firstLine="479" w:firstLineChars="199"/>
              <w:jc w:val="left"/>
              <w:rPr>
                <w:rFonts w:hint="eastAsia"/>
                <w:b/>
                <w:bCs/>
                <w:color w:val="auto"/>
                <w:sz w:val="24"/>
                <w:highlight w:val="none"/>
                <w:lang w:val="en-US" w:eastAsia="zh-CN"/>
              </w:rPr>
            </w:pPr>
            <w:r>
              <w:rPr>
                <w:rFonts w:hint="eastAsia"/>
                <w:b/>
                <w:bCs/>
                <w:color w:val="auto"/>
                <w:sz w:val="24"/>
                <w:highlight w:val="none"/>
                <w:lang w:val="en-US" w:eastAsia="zh-CN"/>
              </w:rPr>
              <w:t xml:space="preserve">表24  </w:t>
            </w:r>
            <w:r>
              <w:rPr>
                <w:rFonts w:hint="eastAsia"/>
                <w:b/>
                <w:bCs w:val="0"/>
                <w:color w:val="auto"/>
                <w:sz w:val="24"/>
                <w:highlight w:val="none"/>
                <w:lang w:val="en-US" w:eastAsia="zh-CN"/>
              </w:rPr>
              <w:t>东孟姜女河南环桥</w:t>
            </w:r>
            <w:r>
              <w:rPr>
                <w:rFonts w:hint="eastAsia" w:ascii="宋体" w:hAnsi="宋体"/>
                <w:b/>
                <w:bCs w:val="0"/>
                <w:color w:val="auto"/>
                <w:sz w:val="24"/>
                <w:highlight w:val="none"/>
                <w:lang w:val="en-US" w:eastAsia="zh-CN"/>
              </w:rPr>
              <w:t>断面监测</w:t>
            </w:r>
            <w:r>
              <w:rPr>
                <w:rFonts w:hint="eastAsia" w:ascii="宋体" w:hAnsi="宋体"/>
                <w:b/>
                <w:bCs/>
                <w:color w:val="auto"/>
                <w:sz w:val="24"/>
                <w:highlight w:val="none"/>
                <w:lang w:val="en-US" w:eastAsia="zh-CN"/>
              </w:rPr>
              <w:t>数据</w:t>
            </w:r>
            <w:r>
              <w:rPr>
                <w:rFonts w:hint="eastAsia"/>
                <w:b/>
                <w:bCs/>
                <w:color w:val="auto"/>
                <w:sz w:val="24"/>
                <w:highlight w:val="none"/>
                <w:lang w:val="en-US" w:eastAsia="zh-CN"/>
              </w:rPr>
              <w:t>（2025年1-12月均值）  单位（mg/L）</w:t>
            </w:r>
          </w:p>
          <w:tbl>
            <w:tblPr>
              <w:tblStyle w:val="23"/>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39"/>
              <w:gridCol w:w="2142"/>
              <w:gridCol w:w="2142"/>
              <w:gridCol w:w="2142"/>
            </w:tblGrid>
            <w:tr w14:paraId="0E03ECC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97" w:hRule="atLeast"/>
                <w:jc w:val="center"/>
              </w:trPr>
              <w:tc>
                <w:tcPr>
                  <w:tcW w:w="2139" w:type="dxa"/>
                  <w:tcBorders>
                    <w:top w:val="single" w:color="auto" w:sz="8" w:space="0"/>
                    <w:bottom w:val="single" w:color="auto" w:sz="8" w:space="0"/>
                    <w:right w:val="single" w:color="auto" w:sz="4" w:space="0"/>
                  </w:tcBorders>
                  <w:noWrap/>
                  <w:vAlign w:val="center"/>
                </w:tcPr>
                <w:p w14:paraId="7830864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监测因子</w:t>
                  </w:r>
                </w:p>
              </w:tc>
              <w:tc>
                <w:tcPr>
                  <w:tcW w:w="2142" w:type="dxa"/>
                  <w:tcBorders>
                    <w:top w:val="single" w:color="auto" w:sz="8" w:space="0"/>
                    <w:left w:val="single" w:color="auto" w:sz="4" w:space="0"/>
                    <w:bottom w:val="single" w:color="auto" w:sz="8" w:space="0"/>
                    <w:right w:val="single" w:color="auto" w:sz="4" w:space="0"/>
                  </w:tcBorders>
                  <w:noWrap/>
                  <w:vAlign w:val="center"/>
                </w:tcPr>
                <w:p w14:paraId="7A1E399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COD</w:t>
                  </w:r>
                </w:p>
              </w:tc>
              <w:tc>
                <w:tcPr>
                  <w:tcW w:w="2142" w:type="dxa"/>
                  <w:tcBorders>
                    <w:top w:val="single" w:color="auto" w:sz="8" w:space="0"/>
                    <w:left w:val="single" w:color="auto" w:sz="4" w:space="0"/>
                    <w:bottom w:val="single" w:color="auto" w:sz="8" w:space="0"/>
                    <w:right w:val="single" w:color="auto" w:sz="4" w:space="0"/>
                  </w:tcBorders>
                  <w:noWrap/>
                  <w:vAlign w:val="center"/>
                </w:tcPr>
                <w:p w14:paraId="4209A99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NH</w:t>
                  </w:r>
                  <w:r>
                    <w:rPr>
                      <w:rFonts w:hint="eastAsia"/>
                      <w:color w:val="auto"/>
                      <w:sz w:val="21"/>
                      <w:szCs w:val="21"/>
                      <w:highlight w:val="none"/>
                      <w:vertAlign w:val="subscript"/>
                      <w:lang w:val="en-US" w:eastAsia="zh-CN"/>
                    </w:rPr>
                    <w:t>3</w:t>
                  </w:r>
                  <w:r>
                    <w:rPr>
                      <w:rFonts w:hint="eastAsia"/>
                      <w:color w:val="auto"/>
                      <w:sz w:val="21"/>
                      <w:szCs w:val="21"/>
                      <w:highlight w:val="none"/>
                      <w:lang w:val="en-US" w:eastAsia="zh-CN"/>
                    </w:rPr>
                    <w:t>-N</w:t>
                  </w:r>
                </w:p>
              </w:tc>
              <w:tc>
                <w:tcPr>
                  <w:tcW w:w="2142" w:type="dxa"/>
                  <w:tcBorders>
                    <w:top w:val="single" w:color="auto" w:sz="8" w:space="0"/>
                    <w:left w:val="single" w:color="auto" w:sz="4" w:space="0"/>
                    <w:bottom w:val="single" w:color="auto" w:sz="8" w:space="0"/>
                  </w:tcBorders>
                  <w:noWrap/>
                  <w:vAlign w:val="center"/>
                </w:tcPr>
                <w:p w14:paraId="372AD96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TP</w:t>
                  </w:r>
                </w:p>
              </w:tc>
            </w:tr>
            <w:tr w14:paraId="17231FF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39" w:type="dxa"/>
                  <w:tcBorders>
                    <w:top w:val="single" w:color="auto" w:sz="8" w:space="0"/>
                  </w:tcBorders>
                  <w:noWrap/>
                  <w:vAlign w:val="center"/>
                </w:tcPr>
                <w:p w14:paraId="46922EB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监测数据</w:t>
                  </w:r>
                </w:p>
              </w:tc>
              <w:tc>
                <w:tcPr>
                  <w:tcW w:w="2142" w:type="dxa"/>
                  <w:tcBorders>
                    <w:top w:val="single" w:color="auto" w:sz="8" w:space="0"/>
                  </w:tcBorders>
                  <w:noWrap/>
                  <w:vAlign w:val="center"/>
                </w:tcPr>
                <w:p w14:paraId="09EE897B">
                  <w:pPr>
                    <w:keepNext w:val="0"/>
                    <w:keepLines w:val="0"/>
                    <w:widowControl/>
                    <w:suppressLineNumbers w:val="0"/>
                    <w:spacing w:before="0" w:beforeAutospacing="0" w:after="0" w:afterAutospacing="0"/>
                    <w:ind w:left="0" w:leftChars="0" w:right="0" w:rightChars="0"/>
                    <w:jc w:val="center"/>
                    <w:textAlignment w:val="center"/>
                    <w:rPr>
                      <w:rFonts w:hint="default"/>
                      <w:color w:val="auto"/>
                      <w:sz w:val="21"/>
                      <w:szCs w:val="21"/>
                      <w:highlight w:val="none"/>
                      <w:lang w:val="en-US" w:eastAsia="zh-CN"/>
                    </w:rPr>
                  </w:pPr>
                  <w:r>
                    <w:rPr>
                      <w:rFonts w:hint="eastAsia" w:cs="Times New Roman"/>
                      <w:i w:val="0"/>
                      <w:color w:val="000000"/>
                      <w:kern w:val="0"/>
                      <w:sz w:val="21"/>
                      <w:szCs w:val="21"/>
                      <w:highlight w:val="none"/>
                      <w:u w:val="none"/>
                      <w:lang w:val="en-US" w:eastAsia="zh-CN" w:bidi="ar"/>
                    </w:rPr>
                    <w:t>27.6</w:t>
                  </w:r>
                </w:p>
              </w:tc>
              <w:tc>
                <w:tcPr>
                  <w:tcW w:w="2142" w:type="dxa"/>
                  <w:tcBorders>
                    <w:top w:val="single" w:color="auto" w:sz="8" w:space="0"/>
                    <w:right w:val="single" w:color="auto" w:sz="4" w:space="0"/>
                  </w:tcBorders>
                  <w:noWrap/>
                  <w:vAlign w:val="center"/>
                </w:tcPr>
                <w:p w14:paraId="0F825372">
                  <w:pPr>
                    <w:keepNext w:val="0"/>
                    <w:keepLines w:val="0"/>
                    <w:widowControl/>
                    <w:suppressLineNumbers w:val="0"/>
                    <w:spacing w:before="0" w:beforeAutospacing="0" w:after="0" w:afterAutospacing="0"/>
                    <w:ind w:left="0" w:leftChars="0" w:right="0" w:rightChars="0"/>
                    <w:jc w:val="center"/>
                    <w:textAlignment w:val="center"/>
                    <w:rPr>
                      <w:rFonts w:hint="default"/>
                      <w:color w:val="auto"/>
                      <w:sz w:val="21"/>
                      <w:szCs w:val="21"/>
                      <w:highlight w:val="none"/>
                      <w:lang w:val="en-US" w:eastAsia="zh-CN"/>
                    </w:rPr>
                  </w:pPr>
                  <w:r>
                    <w:rPr>
                      <w:rFonts w:hint="eastAsia" w:cs="Times New Roman"/>
                      <w:i w:val="0"/>
                      <w:color w:val="000000"/>
                      <w:kern w:val="0"/>
                      <w:sz w:val="21"/>
                      <w:szCs w:val="21"/>
                      <w:highlight w:val="none"/>
                      <w:u w:val="none"/>
                      <w:lang w:val="en-US" w:eastAsia="zh-CN" w:bidi="ar"/>
                    </w:rPr>
                    <w:t>0.66</w:t>
                  </w:r>
                </w:p>
              </w:tc>
              <w:tc>
                <w:tcPr>
                  <w:tcW w:w="2142" w:type="dxa"/>
                  <w:tcBorders>
                    <w:top w:val="single" w:color="auto" w:sz="8" w:space="0"/>
                  </w:tcBorders>
                  <w:noWrap/>
                  <w:vAlign w:val="center"/>
                </w:tcPr>
                <w:p w14:paraId="5CFD7BF3">
                  <w:pPr>
                    <w:keepNext w:val="0"/>
                    <w:keepLines w:val="0"/>
                    <w:widowControl/>
                    <w:suppressLineNumbers w:val="0"/>
                    <w:spacing w:before="0" w:beforeAutospacing="0" w:after="0" w:afterAutospacing="0"/>
                    <w:ind w:left="0" w:leftChars="0" w:right="0" w:rightChars="0"/>
                    <w:jc w:val="center"/>
                    <w:textAlignment w:val="center"/>
                    <w:rPr>
                      <w:rFonts w:hint="default"/>
                      <w:color w:val="auto"/>
                      <w:sz w:val="21"/>
                      <w:szCs w:val="21"/>
                      <w:highlight w:val="none"/>
                      <w:lang w:val="en-US" w:eastAsia="zh-CN"/>
                    </w:rPr>
                  </w:pPr>
                  <w:r>
                    <w:rPr>
                      <w:rFonts w:hint="eastAsia" w:cs="Times New Roman"/>
                      <w:i w:val="0"/>
                      <w:color w:val="000000"/>
                      <w:kern w:val="0"/>
                      <w:sz w:val="21"/>
                      <w:szCs w:val="21"/>
                      <w:highlight w:val="none"/>
                      <w:u w:val="none"/>
                      <w:lang w:val="en-US" w:eastAsia="zh-CN" w:bidi="ar"/>
                    </w:rPr>
                    <w:t>0.116</w:t>
                  </w:r>
                </w:p>
              </w:tc>
            </w:tr>
            <w:tr w14:paraId="44CFD93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39" w:type="dxa"/>
                  <w:noWrap/>
                  <w:vAlign w:val="center"/>
                </w:tcPr>
                <w:p w14:paraId="1C3DC9C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执行标准</w:t>
                  </w:r>
                </w:p>
              </w:tc>
              <w:tc>
                <w:tcPr>
                  <w:tcW w:w="2142" w:type="dxa"/>
                  <w:noWrap/>
                  <w:vAlign w:val="center"/>
                </w:tcPr>
                <w:p w14:paraId="6463EE1D">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highlight w:val="none"/>
                      <w:lang w:val="en-US" w:eastAsia="zh-CN"/>
                    </w:rPr>
                  </w:pPr>
                  <w:r>
                    <w:rPr>
                      <w:rFonts w:hint="eastAsia"/>
                      <w:sz w:val="21"/>
                      <w:szCs w:val="21"/>
                      <w:lang w:val="en-US" w:eastAsia="zh-CN"/>
                    </w:rPr>
                    <w:t>20</w:t>
                  </w:r>
                </w:p>
              </w:tc>
              <w:tc>
                <w:tcPr>
                  <w:tcW w:w="2142" w:type="dxa"/>
                  <w:tcBorders>
                    <w:right w:val="single" w:color="auto" w:sz="4" w:space="0"/>
                  </w:tcBorders>
                  <w:noWrap/>
                  <w:vAlign w:val="center"/>
                </w:tcPr>
                <w:p w14:paraId="0C46A853">
                  <w:pPr>
                    <w:keepNext w:val="0"/>
                    <w:keepLines w:val="0"/>
                    <w:suppressLineNumbers w:val="0"/>
                    <w:adjustRightInd w:val="0"/>
                    <w:snapToGrid w:val="0"/>
                    <w:spacing w:before="0" w:beforeAutospacing="0" w:after="0" w:afterAutospacing="0"/>
                    <w:ind w:left="0" w:leftChars="0" w:right="0" w:rightChars="0"/>
                    <w:jc w:val="center"/>
                    <w:rPr>
                      <w:rFonts w:hint="eastAsia"/>
                      <w:color w:val="auto"/>
                      <w:sz w:val="21"/>
                      <w:szCs w:val="21"/>
                      <w:highlight w:val="none"/>
                      <w:lang w:val="en-US" w:eastAsia="zh-CN"/>
                    </w:rPr>
                  </w:pPr>
                  <w:r>
                    <w:rPr>
                      <w:rFonts w:hint="eastAsia"/>
                      <w:sz w:val="21"/>
                      <w:szCs w:val="21"/>
                      <w:lang w:val="en-US" w:eastAsia="zh-CN"/>
                    </w:rPr>
                    <w:t>1.0</w:t>
                  </w:r>
                </w:p>
              </w:tc>
              <w:tc>
                <w:tcPr>
                  <w:tcW w:w="2142" w:type="dxa"/>
                  <w:noWrap/>
                  <w:vAlign w:val="center"/>
                </w:tcPr>
                <w:p w14:paraId="2703B0BA">
                  <w:pPr>
                    <w:keepNext w:val="0"/>
                    <w:keepLines w:val="0"/>
                    <w:suppressLineNumbers w:val="0"/>
                    <w:adjustRightInd w:val="0"/>
                    <w:snapToGrid w:val="0"/>
                    <w:spacing w:before="0" w:beforeAutospacing="0" w:after="0" w:afterAutospacing="0"/>
                    <w:ind w:left="0" w:leftChars="0" w:right="0" w:rightChars="0"/>
                    <w:jc w:val="center"/>
                    <w:rPr>
                      <w:rFonts w:hint="eastAsia"/>
                      <w:color w:val="auto"/>
                      <w:sz w:val="21"/>
                      <w:szCs w:val="21"/>
                      <w:highlight w:val="none"/>
                      <w:lang w:val="en-US" w:eastAsia="zh-CN"/>
                    </w:rPr>
                  </w:pPr>
                  <w:r>
                    <w:rPr>
                      <w:rFonts w:hint="eastAsia"/>
                      <w:sz w:val="21"/>
                      <w:szCs w:val="21"/>
                      <w:lang w:val="en-US" w:eastAsia="zh-CN"/>
                    </w:rPr>
                    <w:t>0.2</w:t>
                  </w:r>
                </w:p>
              </w:tc>
            </w:tr>
            <w:tr w14:paraId="30A9F3F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39" w:type="dxa"/>
                  <w:tcBorders>
                    <w:bottom w:val="single" w:color="auto" w:sz="8" w:space="0"/>
                  </w:tcBorders>
                  <w:noWrap/>
                  <w:vAlign w:val="center"/>
                </w:tcPr>
                <w:p w14:paraId="5CC2BFD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达标情况</w:t>
                  </w:r>
                </w:p>
              </w:tc>
              <w:tc>
                <w:tcPr>
                  <w:tcW w:w="2142" w:type="dxa"/>
                  <w:tcBorders>
                    <w:bottom w:val="single" w:color="auto" w:sz="8" w:space="0"/>
                  </w:tcBorders>
                  <w:noWrap/>
                  <w:vAlign w:val="center"/>
                </w:tcPr>
                <w:p w14:paraId="4B2F1836">
                  <w:pPr>
                    <w:keepNext w:val="0"/>
                    <w:keepLines w:val="0"/>
                    <w:suppressLineNumbers w:val="0"/>
                    <w:adjustRightInd w:val="0"/>
                    <w:snapToGrid w:val="0"/>
                    <w:spacing w:before="0" w:beforeAutospacing="0" w:after="0" w:afterAutospacing="0"/>
                    <w:ind w:left="0" w:leftChars="0" w:right="0" w:rightChars="0"/>
                    <w:jc w:val="center"/>
                    <w:rPr>
                      <w:rFonts w:hint="eastAsia"/>
                      <w:color w:val="auto"/>
                      <w:sz w:val="21"/>
                      <w:szCs w:val="21"/>
                      <w:highlight w:val="none"/>
                      <w:lang w:val="en-US" w:eastAsia="zh-CN"/>
                    </w:rPr>
                  </w:pPr>
                  <w:r>
                    <w:rPr>
                      <w:rFonts w:hint="eastAsia" w:hAnsi="宋体"/>
                      <w:sz w:val="21"/>
                      <w:szCs w:val="21"/>
                      <w:highlight w:val="none"/>
                      <w:lang w:val="en-US" w:eastAsia="zh-CN"/>
                    </w:rPr>
                    <w:t>达标</w:t>
                  </w:r>
                </w:p>
              </w:tc>
              <w:tc>
                <w:tcPr>
                  <w:tcW w:w="2142" w:type="dxa"/>
                  <w:tcBorders>
                    <w:bottom w:val="single" w:color="auto" w:sz="8" w:space="0"/>
                    <w:right w:val="single" w:color="auto" w:sz="4" w:space="0"/>
                  </w:tcBorders>
                  <w:noWrap/>
                  <w:vAlign w:val="center"/>
                </w:tcPr>
                <w:p w14:paraId="2FC61DE2">
                  <w:pPr>
                    <w:keepNext w:val="0"/>
                    <w:keepLines w:val="0"/>
                    <w:suppressLineNumbers w:val="0"/>
                    <w:adjustRightInd w:val="0"/>
                    <w:snapToGrid w:val="0"/>
                    <w:spacing w:before="0" w:beforeAutospacing="0" w:after="0" w:afterAutospacing="0"/>
                    <w:ind w:left="0" w:leftChars="0" w:right="0" w:rightChars="0"/>
                    <w:jc w:val="center"/>
                    <w:rPr>
                      <w:rFonts w:hint="eastAsia"/>
                      <w:color w:val="auto"/>
                      <w:sz w:val="21"/>
                      <w:szCs w:val="21"/>
                      <w:highlight w:val="none"/>
                      <w:lang w:val="en-US" w:eastAsia="zh-CN"/>
                    </w:rPr>
                  </w:pPr>
                  <w:r>
                    <w:rPr>
                      <w:rFonts w:hint="eastAsia" w:hAnsi="宋体"/>
                      <w:sz w:val="21"/>
                      <w:szCs w:val="21"/>
                      <w:highlight w:val="none"/>
                      <w:lang w:val="en-US" w:eastAsia="zh-CN"/>
                    </w:rPr>
                    <w:t>达标</w:t>
                  </w:r>
                </w:p>
              </w:tc>
              <w:tc>
                <w:tcPr>
                  <w:tcW w:w="2142" w:type="dxa"/>
                  <w:tcBorders>
                    <w:bottom w:val="single" w:color="auto" w:sz="8" w:space="0"/>
                  </w:tcBorders>
                  <w:noWrap/>
                  <w:vAlign w:val="center"/>
                </w:tcPr>
                <w:p w14:paraId="7AA22473">
                  <w:pPr>
                    <w:keepNext w:val="0"/>
                    <w:keepLines w:val="0"/>
                    <w:suppressLineNumbers w:val="0"/>
                    <w:adjustRightInd w:val="0"/>
                    <w:snapToGrid w:val="0"/>
                    <w:spacing w:before="0" w:beforeAutospacing="0" w:after="0" w:afterAutospacing="0"/>
                    <w:ind w:left="0" w:leftChars="0" w:right="0" w:rightChars="0"/>
                    <w:jc w:val="center"/>
                    <w:rPr>
                      <w:rFonts w:hint="eastAsia"/>
                      <w:color w:val="auto"/>
                      <w:sz w:val="21"/>
                      <w:szCs w:val="21"/>
                      <w:highlight w:val="none"/>
                      <w:lang w:val="en-US" w:eastAsia="zh-CN"/>
                    </w:rPr>
                  </w:pPr>
                  <w:r>
                    <w:rPr>
                      <w:rFonts w:hint="eastAsia" w:hAnsi="宋体"/>
                      <w:sz w:val="21"/>
                      <w:szCs w:val="21"/>
                      <w:highlight w:val="none"/>
                      <w:lang w:val="en-US" w:eastAsia="zh-CN"/>
                    </w:rPr>
                    <w:t>达标</w:t>
                  </w:r>
                </w:p>
              </w:tc>
            </w:tr>
          </w:tbl>
          <w:p w14:paraId="1C646AA2">
            <w:pPr>
              <w:keepNext w:val="0"/>
              <w:keepLines w:val="0"/>
              <w:suppressLineNumbers w:val="0"/>
              <w:adjustRightInd w:val="0"/>
              <w:snapToGrid w:val="0"/>
              <w:spacing w:before="0" w:beforeAutospacing="0" w:after="0" w:afterAutospacing="0" w:line="440" w:lineRule="exact"/>
              <w:ind w:left="0" w:right="0" w:firstLine="477" w:firstLineChars="199"/>
              <w:jc w:val="both"/>
              <w:rPr>
                <w:rFonts w:hint="eastAsia"/>
                <w:color w:val="auto"/>
                <w:sz w:val="24"/>
                <w:highlight w:val="none"/>
                <w:lang w:val="en-US" w:eastAsia="zh-CN"/>
              </w:rPr>
            </w:pPr>
            <w:r>
              <w:rPr>
                <w:rFonts w:hint="eastAsia"/>
                <w:color w:val="auto"/>
                <w:sz w:val="24"/>
                <w:highlight w:val="none"/>
                <w:lang w:val="en-US" w:eastAsia="zh-CN"/>
              </w:rPr>
              <w:t>由上表可知，</w:t>
            </w:r>
            <w:r>
              <w:rPr>
                <w:rFonts w:hint="default" w:ascii="Times New Roman" w:hAnsi="Times New Roman" w:eastAsia="宋体" w:cs="Times New Roman"/>
                <w:color w:val="auto"/>
                <w:sz w:val="24"/>
              </w:rPr>
              <w:t>202</w:t>
            </w:r>
            <w:r>
              <w:rPr>
                <w:rFonts w:hint="eastAsia" w:cs="Times New Roman"/>
                <w:color w:val="auto"/>
                <w:sz w:val="24"/>
                <w:lang w:val="en-US" w:eastAsia="zh-CN"/>
              </w:rPr>
              <w:t>5</w:t>
            </w:r>
            <w:r>
              <w:rPr>
                <w:rFonts w:hint="default" w:ascii="Times New Roman" w:hAnsi="Times New Roman" w:eastAsia="宋体" w:cs="Times New Roman"/>
                <w:color w:val="auto"/>
                <w:sz w:val="24"/>
              </w:rPr>
              <w:t>年</w:t>
            </w:r>
            <w:r>
              <w:rPr>
                <w:rFonts w:hint="eastAsia" w:cs="Times New Roman"/>
                <w:color w:val="auto"/>
                <w:sz w:val="24"/>
                <w:lang w:val="en-US" w:eastAsia="zh-CN"/>
              </w:rPr>
              <w:t>1-12</w:t>
            </w:r>
            <w:r>
              <w:rPr>
                <w:rFonts w:hint="default" w:ascii="Times New Roman" w:hAnsi="Times New Roman" w:eastAsia="宋体" w:cs="Times New Roman"/>
                <w:color w:val="auto"/>
                <w:sz w:val="24"/>
              </w:rPr>
              <w:t>月</w:t>
            </w:r>
            <w:r>
              <w:rPr>
                <w:rFonts w:hint="eastAsia" w:cs="Times New Roman"/>
                <w:color w:val="auto"/>
                <w:sz w:val="24"/>
                <w:lang w:val="en-US" w:eastAsia="zh-CN"/>
              </w:rPr>
              <w:t>东</w:t>
            </w:r>
            <w:r>
              <w:rPr>
                <w:rFonts w:hint="eastAsia"/>
                <w:color w:val="auto"/>
                <w:sz w:val="24"/>
                <w:highlight w:val="none"/>
                <w:lang w:val="en-US" w:eastAsia="zh-CN"/>
              </w:rPr>
              <w:t>孟姜女河南环桥</w:t>
            </w:r>
            <w:r>
              <w:rPr>
                <w:rFonts w:hint="default" w:ascii="Times New Roman" w:hAnsi="Times New Roman" w:eastAsia="宋体" w:cs="Times New Roman"/>
                <w:color w:val="auto"/>
                <w:sz w:val="24"/>
              </w:rPr>
              <w:t>断面</w:t>
            </w:r>
            <w:r>
              <w:rPr>
                <w:rFonts w:hint="eastAsia" w:cs="Times New Roman"/>
                <w:color w:val="auto"/>
                <w:sz w:val="24"/>
                <w:lang w:val="en-US" w:eastAsia="zh-CN"/>
              </w:rPr>
              <w:t>监测</w:t>
            </w:r>
            <w:r>
              <w:rPr>
                <w:rFonts w:hint="default" w:ascii="Times New Roman" w:hAnsi="Times New Roman" w:eastAsia="宋体" w:cs="Times New Roman"/>
                <w:color w:val="auto"/>
                <w:sz w:val="24"/>
              </w:rPr>
              <w:t>数据COD</w:t>
            </w:r>
            <w:r>
              <w:rPr>
                <w:rFonts w:hint="eastAsia" w:cs="Times New Roman"/>
                <w:color w:val="auto"/>
                <w:sz w:val="24"/>
                <w:lang w:eastAsia="zh-CN"/>
              </w:rPr>
              <w:t>、</w:t>
            </w:r>
            <w:r>
              <w:rPr>
                <w:rFonts w:hint="default" w:ascii="Times New Roman" w:hAnsi="Times New Roman" w:eastAsia="宋体" w:cs="Times New Roman"/>
                <w:color w:val="auto"/>
                <w:sz w:val="24"/>
              </w:rPr>
              <w:t>NH</w:t>
            </w:r>
            <w:r>
              <w:rPr>
                <w:rFonts w:hint="default" w:ascii="Times New Roman" w:hAnsi="Times New Roman" w:eastAsia="宋体" w:cs="Times New Roman"/>
                <w:color w:val="auto"/>
                <w:sz w:val="24"/>
                <w:vertAlign w:val="subscript"/>
              </w:rPr>
              <w:t>3</w:t>
            </w:r>
            <w:r>
              <w:rPr>
                <w:rFonts w:hint="default" w:ascii="Times New Roman" w:hAnsi="Times New Roman" w:eastAsia="宋体" w:cs="Times New Roman"/>
                <w:color w:val="auto"/>
                <w:sz w:val="24"/>
              </w:rPr>
              <w:t>-N、TP</w:t>
            </w:r>
            <w:r>
              <w:rPr>
                <w:rFonts w:hint="eastAsia" w:cs="Times New Roman"/>
                <w:color w:val="auto"/>
                <w:sz w:val="24"/>
                <w:lang w:val="en-US" w:eastAsia="zh-CN"/>
              </w:rPr>
              <w:t>存在超标现象</w:t>
            </w:r>
            <w:r>
              <w:rPr>
                <w:rFonts w:hint="default" w:ascii="Times New Roman" w:hAnsi="Times New Roman" w:eastAsia="宋体" w:cs="Times New Roman"/>
                <w:color w:val="auto"/>
                <w:sz w:val="24"/>
              </w:rPr>
              <w:t>。目前新乡市正在推</w:t>
            </w:r>
            <w:r>
              <w:rPr>
                <w:rFonts w:hint="default" w:ascii="Times New Roman" w:hAnsi="Times New Roman" w:eastAsia="宋体" w:cs="Times New Roman"/>
                <w:color w:val="000000" w:themeColor="text1"/>
                <w:sz w:val="24"/>
                <w14:textFill>
                  <w14:solidFill>
                    <w14:schemeClr w14:val="tx1"/>
                  </w14:solidFill>
                </w14:textFill>
              </w:rPr>
              <w:t>进实施</w:t>
            </w:r>
            <w:r>
              <w:rPr>
                <w:rFonts w:hint="default" w:hAnsi="宋体"/>
                <w:color w:val="000000" w:themeColor="text1"/>
                <w:kern w:val="0"/>
                <w:sz w:val="24"/>
                <w14:textFill>
                  <w14:solidFill>
                    <w14:schemeClr w14:val="tx1"/>
                  </w14:solidFill>
                </w14:textFill>
              </w:rPr>
              <w:t>《新乡市</w:t>
            </w:r>
            <w:r>
              <w:rPr>
                <w:rFonts w:hint="default" w:hAnsi="宋体"/>
                <w:color w:val="000000" w:themeColor="text1"/>
                <w:kern w:val="0"/>
                <w:sz w:val="24"/>
                <w:lang w:val="en-US" w:eastAsia="zh-CN"/>
                <w14:textFill>
                  <w14:solidFill>
                    <w14:schemeClr w14:val="tx1"/>
                  </w14:solidFill>
                </w14:textFill>
              </w:rPr>
              <w:t>202</w:t>
            </w:r>
            <w:r>
              <w:rPr>
                <w:rFonts w:hint="eastAsia" w:hAnsi="宋体"/>
                <w:color w:val="000000" w:themeColor="text1"/>
                <w:kern w:val="0"/>
                <w:sz w:val="24"/>
                <w:lang w:val="en-US" w:eastAsia="zh-CN"/>
                <w14:textFill>
                  <w14:solidFill>
                    <w14:schemeClr w14:val="tx1"/>
                  </w14:solidFill>
                </w14:textFill>
              </w:rPr>
              <w:t>5</w:t>
            </w:r>
            <w:r>
              <w:rPr>
                <w:rFonts w:hint="default" w:hAnsi="宋体"/>
                <w:color w:val="000000" w:themeColor="text1"/>
                <w:kern w:val="0"/>
                <w:sz w:val="24"/>
                <w14:textFill>
                  <w14:solidFill>
                    <w14:schemeClr w14:val="tx1"/>
                  </w14:solidFill>
                </w14:textFill>
              </w:rPr>
              <w:t>年碧水保卫战实施方案》</w:t>
            </w:r>
            <w:r>
              <w:rPr>
                <w:rFonts w:hint="default" w:ascii="Times New Roman" w:hAnsi="Times New Roman" w:eastAsia="宋体" w:cs="Times New Roman"/>
                <w:color w:val="000000" w:themeColor="text1"/>
                <w:sz w:val="24"/>
                <w14:textFill>
                  <w14:solidFill>
                    <w14:schemeClr w14:val="tx1"/>
                  </w14:solidFill>
                </w14:textFill>
              </w:rPr>
              <w:t>，将继续改善新乡市水环境质量</w:t>
            </w:r>
            <w:r>
              <w:rPr>
                <w:rFonts w:hint="default" w:ascii="Times New Roman" w:hAnsi="Times New Roman" w:eastAsia="宋体" w:cs="Times New Roman"/>
                <w:color w:val="000000" w:themeColor="text1"/>
                <w:sz w:val="24"/>
                <w:highlight w:val="none"/>
                <w14:textFill>
                  <w14:solidFill>
                    <w14:schemeClr w14:val="tx1"/>
                  </w14:solidFill>
                </w14:textFill>
              </w:rPr>
              <w:t>。</w:t>
            </w:r>
          </w:p>
          <w:p w14:paraId="43EC13BC">
            <w:pPr>
              <w:keepNext w:val="0"/>
              <w:keepLines w:val="0"/>
              <w:suppressLineNumbers w:val="0"/>
              <w:adjustRightInd w:val="0"/>
              <w:snapToGrid w:val="0"/>
              <w:spacing w:before="0" w:beforeAutospacing="0" w:after="0" w:afterAutospacing="0" w:line="440" w:lineRule="exact"/>
              <w:ind w:left="0" w:right="0" w:firstLine="479" w:firstLineChars="199"/>
              <w:jc w:val="left"/>
              <w:rPr>
                <w:rFonts w:hint="eastAsia" w:eastAsia="宋体"/>
                <w:b/>
                <w:color w:val="auto"/>
                <w:sz w:val="24"/>
                <w:lang w:val="en-US" w:eastAsia="zh-CN"/>
              </w:rPr>
            </w:pPr>
            <w:r>
              <w:rPr>
                <w:rFonts w:hint="eastAsia"/>
                <w:b/>
                <w:color w:val="auto"/>
                <w:sz w:val="24"/>
              </w:rPr>
              <w:t>3</w:t>
            </w:r>
            <w:r>
              <w:rPr>
                <w:rFonts w:hint="default"/>
                <w:b/>
                <w:color w:val="auto"/>
                <w:sz w:val="24"/>
              </w:rPr>
              <w:t>、声环境</w:t>
            </w:r>
            <w:r>
              <w:rPr>
                <w:rFonts w:hint="eastAsia"/>
                <w:b/>
                <w:color w:val="auto"/>
                <w:sz w:val="24"/>
                <w:lang w:val="en-US" w:eastAsia="zh-CN"/>
              </w:rPr>
              <w:t>现状</w:t>
            </w:r>
          </w:p>
          <w:p w14:paraId="0BE5E9C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ascii="Times New Roman" w:hAnsi="Times New Roman" w:eastAsia="宋体" w:cs="Times New Roman"/>
                <w:color w:val="000000"/>
                <w:sz w:val="24"/>
                <w:highlight w:val="none"/>
                <w:lang w:val="pt-BR" w:eastAsia="zh-CN"/>
              </w:rPr>
            </w:pPr>
            <w:r>
              <w:rPr>
                <w:rFonts w:hint="eastAsia" w:ascii="Times New Roman" w:hAnsi="Times New Roman" w:eastAsia="宋体" w:cs="Times New Roman"/>
                <w:color w:val="000000"/>
                <w:sz w:val="24"/>
                <w:highlight w:val="none"/>
                <w:lang w:val="pt-BR"/>
              </w:rPr>
              <w:t>根据《建设项目环境影响报告表编制技术指南（污染影响类）（试行）》，本项目厂界外周边50米范围内不存在声环境保护目标，因此不进行声环境质量现状调查</w:t>
            </w:r>
            <w:r>
              <w:rPr>
                <w:rFonts w:hint="eastAsia" w:ascii="Times New Roman" w:hAnsi="Times New Roman" w:eastAsia="宋体" w:cs="Times New Roman"/>
                <w:color w:val="000000"/>
                <w:sz w:val="24"/>
                <w:highlight w:val="none"/>
                <w:lang w:val="pt-BR" w:eastAsia="zh-CN"/>
              </w:rPr>
              <w:t>。</w:t>
            </w:r>
          </w:p>
          <w:p w14:paraId="33C3D7B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textAlignment w:val="auto"/>
              <w:rPr>
                <w:rFonts w:hint="eastAsia"/>
                <w:lang w:val="en-US" w:eastAsia="zh-CN"/>
              </w:rPr>
            </w:pPr>
            <w:r>
              <w:rPr>
                <w:rFonts w:hint="default" w:ascii="Times New Roman" w:hAnsi="Times New Roman" w:eastAsia="宋体" w:cs="Times New Roman"/>
                <w:b/>
                <w:bCs/>
                <w:sz w:val="24"/>
                <w:szCs w:val="24"/>
                <w:lang w:val="en-US" w:eastAsia="zh-CN"/>
              </w:rPr>
              <w:t>4</w:t>
            </w:r>
            <w:r>
              <w:rPr>
                <w:rFonts w:hint="eastAsia" w:ascii="宋体" w:hAnsi="宋体" w:eastAsia="宋体" w:cs="宋体"/>
                <w:b/>
                <w:bCs/>
                <w:sz w:val="24"/>
                <w:szCs w:val="24"/>
                <w:lang w:val="en-US" w:eastAsia="zh-CN"/>
              </w:rPr>
              <w:t>、生态环境</w:t>
            </w:r>
          </w:p>
          <w:p w14:paraId="4E6AAF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根据现场调查，本项目位于</w:t>
            </w:r>
            <w:r>
              <w:rPr>
                <w:rFonts w:hint="eastAsia" w:cs="Times New Roman"/>
                <w:color w:val="000000"/>
                <w:sz w:val="24"/>
                <w:szCs w:val="24"/>
                <w:lang w:val="en-US" w:eastAsia="zh-CN"/>
              </w:rPr>
              <w:t>河南省新乡市新乡县兴隆路西段</w:t>
            </w: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bCs/>
                <w:color w:val="000000" w:themeColor="text1"/>
                <w:sz w:val="24"/>
                <w14:textFill>
                  <w14:solidFill>
                    <w14:schemeClr w14:val="tx1"/>
                  </w14:solidFill>
                </w14:textFill>
              </w:rPr>
              <w:t>项目</w:t>
            </w:r>
            <w:r>
              <w:rPr>
                <w:rFonts w:hint="default" w:ascii="Times New Roman" w:hAnsi="Times New Roman" w:cs="Times New Roman"/>
                <w:color w:val="000000" w:themeColor="text1"/>
                <w:sz w:val="24"/>
                <w14:textFill>
                  <w14:solidFill>
                    <w14:schemeClr w14:val="tx1"/>
                  </w14:solidFill>
                </w14:textFill>
              </w:rPr>
              <w:t>周围500m范围内无重点保护的野生动植物、风景名胜区、自然保护区及文化遗产等特殊保护目标</w:t>
            </w:r>
            <w:r>
              <w:rPr>
                <w:rFonts w:hint="default" w:ascii="Times New Roman" w:hAnsi="Times New Roman" w:cs="Times New Roman"/>
                <w:color w:val="000000" w:themeColor="text1"/>
                <w:sz w:val="24"/>
                <w:lang w:eastAsia="zh-CN"/>
                <w14:textFill>
                  <w14:solidFill>
                    <w14:schemeClr w14:val="tx1"/>
                  </w14:solidFill>
                </w14:textFill>
              </w:rPr>
              <w:t>。</w:t>
            </w:r>
          </w:p>
          <w:p w14:paraId="04F69175">
            <w:pPr>
              <w:keepNext w:val="0"/>
              <w:keepLines w:val="0"/>
              <w:suppressLineNumbers w:val="0"/>
              <w:spacing w:before="0" w:beforeAutospacing="0" w:after="0" w:afterAutospacing="0" w:line="440" w:lineRule="exact"/>
              <w:ind w:left="0" w:right="0" w:firstLine="482" w:firstLineChars="200"/>
              <w:rPr>
                <w:rFonts w:hint="eastAsia"/>
                <w:b/>
                <w:bCs/>
                <w:color w:val="auto"/>
                <w:sz w:val="24"/>
                <w:lang w:val="en-US" w:eastAsia="zh-CN"/>
              </w:rPr>
            </w:pPr>
            <w:r>
              <w:rPr>
                <w:rFonts w:hint="eastAsia"/>
                <w:b/>
                <w:bCs/>
                <w:color w:val="auto"/>
                <w:sz w:val="24"/>
                <w:lang w:val="en-US" w:eastAsia="zh-CN"/>
              </w:rPr>
              <w:t>5、地下水、土壤质量现状</w:t>
            </w:r>
          </w:p>
          <w:p w14:paraId="63CEDE6A">
            <w:pPr>
              <w:keepNext w:val="0"/>
              <w:keepLines w:val="0"/>
              <w:suppressLineNumbers w:val="0"/>
              <w:spacing w:before="0" w:beforeAutospacing="0" w:after="0" w:afterAutospacing="0" w:line="440" w:lineRule="exact"/>
              <w:ind w:left="0" w:right="0"/>
              <w:rPr>
                <w:rFonts w:hint="default"/>
                <w:lang w:val="en-US" w:eastAsia="zh-CN"/>
              </w:rPr>
            </w:pPr>
            <w:r>
              <w:rPr>
                <w:rFonts w:hint="eastAsia"/>
                <w:lang w:val="en-US" w:eastAsia="zh-CN"/>
              </w:rPr>
              <w:t xml:space="preserve">    </w:t>
            </w:r>
            <w:r>
              <w:rPr>
                <w:rFonts w:hint="default"/>
                <w:color w:val="auto"/>
                <w:sz w:val="24"/>
              </w:rPr>
              <w:t>根据《建设项目环境影响报告表编制技术指南（污染影响类）》（试行）中要求：</w:t>
            </w:r>
            <w:r>
              <w:rPr>
                <w:rFonts w:hint="eastAsia" w:ascii="宋体" w:hAnsi="宋体" w:eastAsia="宋体" w:cs="宋体"/>
                <w:color w:val="auto"/>
                <w:sz w:val="24"/>
              </w:rPr>
              <w:t>“</w:t>
            </w:r>
            <w:r>
              <w:rPr>
                <w:rFonts w:hint="default"/>
                <w:color w:val="auto"/>
                <w:sz w:val="24"/>
              </w:rPr>
              <w:t>原则上不开展地下水、土壤环境质量现状调查</w:t>
            </w:r>
            <w:r>
              <w:rPr>
                <w:rFonts w:hint="eastAsia" w:ascii="宋体" w:hAnsi="宋体" w:eastAsia="宋体" w:cs="宋体"/>
                <w:color w:val="auto"/>
                <w:sz w:val="24"/>
              </w:rPr>
              <w:t>”</w:t>
            </w:r>
            <w:r>
              <w:rPr>
                <w:rFonts w:hint="default"/>
                <w:color w:val="auto"/>
                <w:sz w:val="24"/>
              </w:rPr>
              <w:t>，结合本项目厂址所在区域，经调查周边无饮用水井，且项目用地范围内均进行硬化，不存在土壤污染途径，因此，本次评价不对地下水、土壤环境进行现状调查</w:t>
            </w:r>
            <w:r>
              <w:rPr>
                <w:rFonts w:hint="eastAsia"/>
                <w:lang w:val="en-US" w:eastAsia="zh-CN"/>
              </w:rPr>
              <w:t>。</w:t>
            </w:r>
          </w:p>
        </w:tc>
      </w:tr>
      <w:tr w14:paraId="20CC73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858" w:type="dxa"/>
            <w:noWrap w:val="0"/>
            <w:vAlign w:val="center"/>
          </w:tcPr>
          <w:p w14:paraId="743F29E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 w:val="24"/>
                <w:szCs w:val="24"/>
              </w:rPr>
            </w:pPr>
            <w:r>
              <w:rPr>
                <w:rFonts w:hint="default" w:hAnsi="宋体"/>
                <w:kern w:val="0"/>
                <w:sz w:val="24"/>
                <w:szCs w:val="24"/>
              </w:rPr>
              <w:t>环境</w:t>
            </w:r>
          </w:p>
          <w:p w14:paraId="25A7F26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 w:val="24"/>
                <w:szCs w:val="24"/>
              </w:rPr>
            </w:pPr>
            <w:r>
              <w:rPr>
                <w:rFonts w:hint="default" w:hAnsi="宋体"/>
                <w:kern w:val="0"/>
                <w:sz w:val="24"/>
                <w:szCs w:val="24"/>
              </w:rPr>
              <w:t>保护</w:t>
            </w:r>
          </w:p>
          <w:p w14:paraId="5EFD91B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 w:val="24"/>
                <w:szCs w:val="24"/>
              </w:rPr>
            </w:pPr>
            <w:r>
              <w:rPr>
                <w:rFonts w:hint="default" w:hAnsi="宋体"/>
                <w:kern w:val="0"/>
                <w:sz w:val="24"/>
                <w:szCs w:val="24"/>
              </w:rPr>
              <w:t>目标</w:t>
            </w:r>
          </w:p>
        </w:tc>
        <w:tc>
          <w:tcPr>
            <w:tcW w:w="8781" w:type="dxa"/>
            <w:noWrap w:val="0"/>
            <w:vAlign w:val="top"/>
          </w:tcPr>
          <w:p w14:paraId="3DC5DB55">
            <w:pPr>
              <w:keepNext w:val="0"/>
              <w:keepLines w:val="0"/>
              <w:pageBreakBefore w:val="0"/>
              <w:widowControl w:val="0"/>
              <w:suppressLineNumbers w:val="0"/>
              <w:tabs>
                <w:tab w:val="left" w:pos="3230"/>
              </w:tabs>
              <w:kinsoku/>
              <w:wordWrap/>
              <w:overflowPunct/>
              <w:topLinePunct w:val="0"/>
              <w:autoSpaceDE/>
              <w:autoSpaceDN/>
              <w:bidi w:val="0"/>
              <w:adjustRightInd w:val="0"/>
              <w:snapToGrid w:val="0"/>
              <w:spacing w:before="0" w:beforeAutospacing="0" w:after="0" w:afterAutospacing="0" w:line="320" w:lineRule="exact"/>
              <w:ind w:left="0" w:right="0"/>
              <w:textAlignment w:val="auto"/>
              <w:rPr>
                <w:rFonts w:hint="default"/>
                <w:sz w:val="24"/>
              </w:rPr>
            </w:pPr>
            <w:r>
              <w:rPr>
                <w:rFonts w:hint="eastAsia"/>
                <w:sz w:val="24"/>
              </w:rPr>
              <w:t>本项目周围主要环境保护目标见下表。</w:t>
            </w:r>
          </w:p>
          <w:p w14:paraId="1991EFE8">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宋体" w:hAnsi="宋体"/>
                <w:b/>
                <w:color w:val="000000" w:themeColor="text1"/>
                <w:sz w:val="24"/>
                <w14:textFill>
                  <w14:solidFill>
                    <w14:schemeClr w14:val="tx1"/>
                  </w14:solidFill>
                </w14:textFill>
              </w:rPr>
            </w:pPr>
            <w:r>
              <w:rPr>
                <w:rFonts w:hint="default" w:ascii="Times New Roman" w:hAnsi="Times New Roman" w:cs="Times New Roman"/>
                <w:b/>
                <w:color w:val="000000" w:themeColor="text1"/>
                <w:sz w:val="24"/>
                <w14:textFill>
                  <w14:solidFill>
                    <w14:schemeClr w14:val="tx1"/>
                  </w14:solidFill>
                </w14:textFill>
              </w:rPr>
              <w:t>表</w:t>
            </w:r>
            <w:r>
              <w:rPr>
                <w:rFonts w:hint="eastAsia" w:cs="Times New Roman"/>
                <w:b/>
                <w:color w:val="000000" w:themeColor="text1"/>
                <w:sz w:val="24"/>
                <w:lang w:val="en-US" w:eastAsia="zh-CN"/>
                <w14:textFill>
                  <w14:solidFill>
                    <w14:schemeClr w14:val="tx1"/>
                  </w14:solidFill>
                </w14:textFill>
              </w:rPr>
              <w:t>25</w:t>
            </w:r>
            <w:r>
              <w:rPr>
                <w:rFonts w:hint="default" w:ascii="Times New Roman" w:hAnsi="Times New Roman" w:cs="Times New Roman"/>
                <w:b/>
                <w:color w:val="000000" w:themeColor="text1"/>
                <w:sz w:val="24"/>
                <w:lang w:val="en-US" w:eastAsia="zh-CN"/>
                <w14:textFill>
                  <w14:solidFill>
                    <w14:schemeClr w14:val="tx1"/>
                  </w14:solidFill>
                </w14:textFill>
              </w:rPr>
              <w:t xml:space="preserve">  </w:t>
            </w:r>
            <w:r>
              <w:rPr>
                <w:rFonts w:hint="default" w:ascii="宋体" w:hAnsi="宋体"/>
                <w:b/>
                <w:color w:val="000000" w:themeColor="text1"/>
                <w:sz w:val="24"/>
                <w14:textFill>
                  <w14:solidFill>
                    <w14:schemeClr w14:val="tx1"/>
                  </w14:solidFill>
                </w14:textFill>
              </w:rPr>
              <w:t>本项目周围环境保护目标概况</w:t>
            </w:r>
          </w:p>
          <w:tbl>
            <w:tblPr>
              <w:tblStyle w:val="23"/>
              <w:tblW w:w="4998"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1265"/>
              <w:gridCol w:w="1574"/>
              <w:gridCol w:w="975"/>
              <w:gridCol w:w="2175"/>
              <w:gridCol w:w="2573"/>
            </w:tblGrid>
            <w:tr w14:paraId="20163220">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65" w:type="dxa"/>
                  <w:tcBorders>
                    <w:right w:val="single" w:color="auto" w:sz="4" w:space="0"/>
                  </w:tcBorders>
                  <w:noWrap w:val="0"/>
                  <w:vAlign w:val="center"/>
                </w:tcPr>
                <w:p w14:paraId="3ABBA618">
                  <w:pPr>
                    <w:keepNext w:val="0"/>
                    <w:keepLines w:val="0"/>
                    <w:suppressLineNumbers w:val="0"/>
                    <w:tabs>
                      <w:tab w:val="left" w:pos="3230"/>
                    </w:tabs>
                    <w:adjustRightInd w:val="0"/>
                    <w:snapToGrid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hAnsi="宋体"/>
                      <w:b/>
                      <w:color w:val="000000" w:themeColor="text1"/>
                      <w:sz w:val="21"/>
                      <w:szCs w:val="21"/>
                      <w14:textFill>
                        <w14:solidFill>
                          <w14:schemeClr w14:val="tx1"/>
                        </w14:solidFill>
                      </w14:textFill>
                    </w:rPr>
                    <w:t>环境要素</w:t>
                  </w:r>
                </w:p>
              </w:tc>
              <w:tc>
                <w:tcPr>
                  <w:tcW w:w="1574" w:type="dxa"/>
                  <w:tcBorders>
                    <w:left w:val="single" w:color="auto" w:sz="4" w:space="0"/>
                    <w:right w:val="single" w:color="auto" w:sz="4" w:space="0"/>
                  </w:tcBorders>
                  <w:noWrap w:val="0"/>
                  <w:vAlign w:val="center"/>
                </w:tcPr>
                <w:p w14:paraId="348BA5F3">
                  <w:pPr>
                    <w:keepNext w:val="0"/>
                    <w:keepLines w:val="0"/>
                    <w:suppressLineNumbers w:val="0"/>
                    <w:tabs>
                      <w:tab w:val="left" w:pos="3230"/>
                    </w:tabs>
                    <w:adjustRightInd w:val="0"/>
                    <w:snapToGrid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hAnsi="宋体"/>
                      <w:b/>
                      <w:color w:val="000000" w:themeColor="text1"/>
                      <w:sz w:val="21"/>
                      <w:szCs w:val="21"/>
                      <w14:textFill>
                        <w14:solidFill>
                          <w14:schemeClr w14:val="tx1"/>
                        </w14:solidFill>
                      </w14:textFill>
                    </w:rPr>
                    <w:t>环境保护目标</w:t>
                  </w:r>
                </w:p>
              </w:tc>
              <w:tc>
                <w:tcPr>
                  <w:tcW w:w="975" w:type="dxa"/>
                  <w:tcBorders>
                    <w:left w:val="single" w:color="auto" w:sz="4" w:space="0"/>
                    <w:right w:val="single" w:color="auto" w:sz="4" w:space="0"/>
                  </w:tcBorders>
                  <w:noWrap w:val="0"/>
                  <w:vAlign w:val="center"/>
                </w:tcPr>
                <w:p w14:paraId="57E06959">
                  <w:pPr>
                    <w:keepNext w:val="0"/>
                    <w:keepLines w:val="0"/>
                    <w:suppressLineNumbers w:val="0"/>
                    <w:tabs>
                      <w:tab w:val="left" w:pos="3230"/>
                    </w:tabs>
                    <w:adjustRightInd w:val="0"/>
                    <w:snapToGrid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hAnsi="宋体"/>
                      <w:b/>
                      <w:color w:val="000000" w:themeColor="text1"/>
                      <w:sz w:val="21"/>
                      <w:szCs w:val="21"/>
                      <w14:textFill>
                        <w14:solidFill>
                          <w14:schemeClr w14:val="tx1"/>
                        </w14:solidFill>
                      </w14:textFill>
                    </w:rPr>
                    <w:t>方向</w:t>
                  </w:r>
                </w:p>
              </w:tc>
              <w:tc>
                <w:tcPr>
                  <w:tcW w:w="2175" w:type="dxa"/>
                  <w:tcBorders>
                    <w:left w:val="single" w:color="auto" w:sz="4" w:space="0"/>
                    <w:right w:val="single" w:color="auto" w:sz="4" w:space="0"/>
                  </w:tcBorders>
                  <w:noWrap w:val="0"/>
                  <w:vAlign w:val="center"/>
                </w:tcPr>
                <w:p w14:paraId="4750F66D">
                  <w:pPr>
                    <w:keepNext w:val="0"/>
                    <w:keepLines w:val="0"/>
                    <w:suppressLineNumbers w:val="0"/>
                    <w:tabs>
                      <w:tab w:val="left" w:pos="3230"/>
                    </w:tabs>
                    <w:adjustRightInd w:val="0"/>
                    <w:snapToGrid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hAnsi="宋体"/>
                      <w:b/>
                      <w:color w:val="000000" w:themeColor="text1"/>
                      <w:sz w:val="21"/>
                      <w:szCs w:val="21"/>
                      <w14:textFill>
                        <w14:solidFill>
                          <w14:schemeClr w14:val="tx1"/>
                        </w14:solidFill>
                      </w14:textFill>
                    </w:rPr>
                    <w:t>距</w:t>
                  </w:r>
                  <w:r>
                    <w:rPr>
                      <w:rFonts w:hint="default"/>
                      <w:b/>
                      <w:color w:val="000000" w:themeColor="text1"/>
                      <w:sz w:val="21"/>
                      <w:szCs w:val="21"/>
                      <w14:textFill>
                        <w14:solidFill>
                          <w14:schemeClr w14:val="tx1"/>
                        </w14:solidFill>
                      </w14:textFill>
                    </w:rPr>
                    <w:t xml:space="preserve"> </w:t>
                  </w:r>
                  <w:r>
                    <w:rPr>
                      <w:rFonts w:hint="default" w:hAnsi="宋体"/>
                      <w:b/>
                      <w:color w:val="000000" w:themeColor="text1"/>
                      <w:sz w:val="21"/>
                      <w:szCs w:val="21"/>
                      <w14:textFill>
                        <w14:solidFill>
                          <w14:schemeClr w14:val="tx1"/>
                        </w14:solidFill>
                      </w14:textFill>
                    </w:rPr>
                    <w:t>离</w:t>
                  </w:r>
                </w:p>
              </w:tc>
              <w:tc>
                <w:tcPr>
                  <w:tcW w:w="2573" w:type="dxa"/>
                  <w:tcBorders>
                    <w:left w:val="single" w:color="auto" w:sz="4" w:space="0"/>
                  </w:tcBorders>
                  <w:noWrap w:val="0"/>
                  <w:vAlign w:val="center"/>
                </w:tcPr>
                <w:p w14:paraId="1B78260E">
                  <w:pPr>
                    <w:keepNext w:val="0"/>
                    <w:keepLines w:val="0"/>
                    <w:suppressLineNumbers w:val="0"/>
                    <w:tabs>
                      <w:tab w:val="left" w:pos="3230"/>
                    </w:tabs>
                    <w:adjustRightInd w:val="0"/>
                    <w:snapToGrid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hAnsi="宋体"/>
                      <w:b/>
                      <w:color w:val="000000" w:themeColor="text1"/>
                      <w:sz w:val="21"/>
                      <w:szCs w:val="21"/>
                      <w14:textFill>
                        <w14:solidFill>
                          <w14:schemeClr w14:val="tx1"/>
                        </w14:solidFill>
                      </w14:textFill>
                    </w:rPr>
                    <w:t>保护级别</w:t>
                  </w:r>
                </w:p>
              </w:tc>
            </w:tr>
            <w:tr w14:paraId="68C77B79">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65" w:type="dxa"/>
                  <w:vMerge w:val="restart"/>
                  <w:tcBorders>
                    <w:bottom w:val="single" w:color="auto" w:sz="4" w:space="0"/>
                    <w:right w:val="single" w:color="auto" w:sz="4" w:space="0"/>
                  </w:tcBorders>
                  <w:noWrap w:val="0"/>
                  <w:vAlign w:val="center"/>
                </w:tcPr>
                <w:p w14:paraId="7784BE6F">
                  <w:pPr>
                    <w:keepNext w:val="0"/>
                    <w:keepLines w:val="0"/>
                    <w:suppressLineNumbers w:val="0"/>
                    <w:tabs>
                      <w:tab w:val="left" w:pos="3230"/>
                    </w:tabs>
                    <w:adjustRightInd w:val="0"/>
                    <w:snapToGrid w:val="0"/>
                    <w:spacing w:before="0" w:beforeAutospacing="0" w:after="0" w:afterAutospacing="0"/>
                    <w:ind w:left="0" w:right="0"/>
                    <w:jc w:val="center"/>
                    <w:rPr>
                      <w:rFonts w:hint="eastAsia"/>
                      <w:color w:val="000000" w:themeColor="text1"/>
                      <w:sz w:val="21"/>
                      <w:szCs w:val="21"/>
                      <w14:textFill>
                        <w14:solidFill>
                          <w14:schemeClr w14:val="tx1"/>
                        </w14:solidFill>
                      </w14:textFill>
                    </w:rPr>
                  </w:pPr>
                  <w:r>
                    <w:rPr>
                      <w:rFonts w:hint="default" w:hAnsi="宋体"/>
                      <w:color w:val="000000" w:themeColor="text1"/>
                      <w:sz w:val="21"/>
                      <w:szCs w:val="21"/>
                      <w14:textFill>
                        <w14:solidFill>
                          <w14:schemeClr w14:val="tx1"/>
                        </w14:solidFill>
                      </w14:textFill>
                    </w:rPr>
                    <w:t>环境空气</w:t>
                  </w:r>
                </w:p>
              </w:tc>
              <w:tc>
                <w:tcPr>
                  <w:tcW w:w="1574" w:type="dxa"/>
                  <w:tcBorders>
                    <w:left w:val="single" w:color="auto" w:sz="4" w:space="0"/>
                    <w:bottom w:val="single" w:color="auto" w:sz="4" w:space="0"/>
                    <w:right w:val="single" w:color="auto" w:sz="4" w:space="0"/>
                  </w:tcBorders>
                  <w:noWrap w:val="0"/>
                  <w:vAlign w:val="center"/>
                </w:tcPr>
                <w:p w14:paraId="57541ECF">
                  <w:pPr>
                    <w:keepNext w:val="0"/>
                    <w:keepLines w:val="0"/>
                    <w:suppressLineNumbers w:val="0"/>
                    <w:adjustRightInd w:val="0"/>
                    <w:snapToGrid w:val="0"/>
                    <w:spacing w:before="0" w:beforeAutospacing="0" w:after="0" w:afterAutospacing="0"/>
                    <w:ind w:left="0" w:right="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西大阳</w:t>
                  </w:r>
                </w:p>
              </w:tc>
              <w:tc>
                <w:tcPr>
                  <w:tcW w:w="975" w:type="dxa"/>
                  <w:tcBorders>
                    <w:left w:val="single" w:color="auto" w:sz="4" w:space="0"/>
                    <w:bottom w:val="single" w:color="auto" w:sz="4" w:space="0"/>
                    <w:right w:val="single" w:color="auto" w:sz="4" w:space="0"/>
                  </w:tcBorders>
                  <w:noWrap w:val="0"/>
                  <w:vAlign w:val="center"/>
                </w:tcPr>
                <w:p w14:paraId="53901EF1">
                  <w:pPr>
                    <w:keepNext w:val="0"/>
                    <w:keepLines w:val="0"/>
                    <w:suppressLineNumbers w:val="0"/>
                    <w:adjustRightInd w:val="0"/>
                    <w:snapToGrid w:val="0"/>
                    <w:spacing w:before="0" w:beforeAutospacing="0" w:after="0" w:afterAutospacing="0"/>
                    <w:ind w:left="0" w:right="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西北</w:t>
                  </w:r>
                </w:p>
              </w:tc>
              <w:tc>
                <w:tcPr>
                  <w:tcW w:w="2175" w:type="dxa"/>
                  <w:tcBorders>
                    <w:left w:val="single" w:color="auto" w:sz="4" w:space="0"/>
                    <w:bottom w:val="single" w:color="auto" w:sz="4" w:space="0"/>
                    <w:right w:val="single" w:color="auto" w:sz="4" w:space="0"/>
                  </w:tcBorders>
                  <w:noWrap w:val="0"/>
                  <w:vAlign w:val="center"/>
                </w:tcPr>
                <w:p w14:paraId="4795BB46">
                  <w:pPr>
                    <w:keepNext w:val="0"/>
                    <w:keepLines w:val="0"/>
                    <w:suppressLineNumbers w:val="0"/>
                    <w:adjustRightInd w:val="0"/>
                    <w:snapToGrid w:val="0"/>
                    <w:spacing w:before="0" w:beforeAutospacing="0" w:after="0" w:afterAutospacing="0"/>
                    <w:ind w:left="0" w:right="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319m</w:t>
                  </w:r>
                </w:p>
              </w:tc>
              <w:tc>
                <w:tcPr>
                  <w:tcW w:w="2573" w:type="dxa"/>
                  <w:vMerge w:val="restart"/>
                  <w:tcBorders>
                    <w:left w:val="single" w:color="auto" w:sz="4" w:space="0"/>
                    <w:bottom w:val="single" w:color="auto" w:sz="4" w:space="0"/>
                  </w:tcBorders>
                  <w:noWrap w:val="0"/>
                  <w:vAlign w:val="center"/>
                </w:tcPr>
                <w:p w14:paraId="18825A60">
                  <w:pPr>
                    <w:keepNext w:val="0"/>
                    <w:keepLines w:val="0"/>
                    <w:suppressLineNumbers w:val="0"/>
                    <w:tabs>
                      <w:tab w:val="left" w:pos="3230"/>
                    </w:tabs>
                    <w:adjustRightInd w:val="0"/>
                    <w:snapToGrid w:val="0"/>
                    <w:spacing w:before="0" w:beforeAutospacing="0" w:after="0" w:afterAutospacing="0"/>
                    <w:ind w:left="0" w:right="0"/>
                    <w:jc w:val="center"/>
                    <w:rPr>
                      <w:rFonts w:hint="default"/>
                      <w:color w:val="000000" w:themeColor="text1"/>
                      <w:sz w:val="21"/>
                      <w:szCs w:val="21"/>
                      <w:lang w:val="en-US" w:eastAsia="zh-CN"/>
                      <w14:textFill>
                        <w14:solidFill>
                          <w14:schemeClr w14:val="tx1"/>
                        </w14:solidFill>
                      </w14:textFill>
                    </w:rPr>
                  </w:pPr>
                  <w:r>
                    <w:rPr>
                      <w:rFonts w:hint="default"/>
                      <w:color w:val="000000" w:themeColor="text1"/>
                      <w:sz w:val="21"/>
                      <w:szCs w:val="21"/>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环境空气质量标准</w:t>
                  </w:r>
                  <w:r>
                    <w:rPr>
                      <w:rFonts w:hint="default"/>
                      <w:color w:val="000000" w:themeColor="text1"/>
                      <w:sz w:val="21"/>
                      <w:szCs w:val="21"/>
                      <w14:textFill>
                        <w14:solidFill>
                          <w14:schemeClr w14:val="tx1"/>
                        </w14:solidFill>
                      </w14:textFill>
                    </w:rPr>
                    <w:t>》（GB</w:t>
                  </w:r>
                  <w:r>
                    <w:rPr>
                      <w:rFonts w:hint="eastAsia"/>
                      <w:color w:val="000000" w:themeColor="text1"/>
                      <w:sz w:val="21"/>
                      <w:szCs w:val="21"/>
                      <w:lang w:val="en-US" w:eastAsia="zh-CN"/>
                      <w14:textFill>
                        <w14:solidFill>
                          <w14:schemeClr w14:val="tx1"/>
                        </w14:solidFill>
                      </w14:textFill>
                    </w:rPr>
                    <w:t>3096</w:t>
                  </w:r>
                  <w:r>
                    <w:rPr>
                      <w:rFonts w:hint="default"/>
                      <w:color w:val="000000" w:themeColor="text1"/>
                      <w:sz w:val="21"/>
                      <w:szCs w:val="21"/>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2026</w:t>
                  </w:r>
                  <w:r>
                    <w:rPr>
                      <w:rFonts w:hint="default"/>
                      <w:color w:val="000000" w:themeColor="text1"/>
                      <w:sz w:val="21"/>
                      <w:szCs w:val="21"/>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二级</w:t>
                  </w:r>
                </w:p>
              </w:tc>
            </w:tr>
            <w:tr w14:paraId="1FA82D4B">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65" w:type="dxa"/>
                  <w:vMerge w:val="continue"/>
                  <w:tcBorders>
                    <w:top w:val="single" w:color="auto" w:sz="4" w:space="0"/>
                    <w:bottom w:val="single" w:color="auto" w:sz="4" w:space="0"/>
                    <w:right w:val="single" w:color="auto" w:sz="4" w:space="0"/>
                  </w:tcBorders>
                  <w:noWrap w:val="0"/>
                  <w:vAlign w:val="center"/>
                </w:tcPr>
                <w:p w14:paraId="44458584">
                  <w:pPr>
                    <w:keepNext w:val="0"/>
                    <w:keepLines w:val="0"/>
                    <w:suppressLineNumbers w:val="0"/>
                    <w:tabs>
                      <w:tab w:val="left" w:pos="3230"/>
                    </w:tabs>
                    <w:adjustRightInd w:val="0"/>
                    <w:snapToGrid w:val="0"/>
                    <w:spacing w:before="0" w:beforeAutospacing="0" w:after="0" w:afterAutospacing="0"/>
                    <w:ind w:left="0" w:right="0"/>
                    <w:jc w:val="center"/>
                    <w:rPr>
                      <w:rFonts w:hint="default" w:hAnsi="宋体"/>
                      <w:color w:val="000000" w:themeColor="text1"/>
                      <w:sz w:val="21"/>
                      <w:szCs w:val="21"/>
                      <w14:textFill>
                        <w14:solidFill>
                          <w14:schemeClr w14:val="tx1"/>
                        </w14:solidFill>
                      </w14:textFill>
                    </w:rPr>
                  </w:pPr>
                </w:p>
              </w:tc>
              <w:tc>
                <w:tcPr>
                  <w:tcW w:w="1574" w:type="dxa"/>
                  <w:tcBorders>
                    <w:top w:val="single" w:color="auto" w:sz="4" w:space="0"/>
                    <w:left w:val="single" w:color="auto" w:sz="4" w:space="0"/>
                    <w:bottom w:val="single" w:color="auto" w:sz="4" w:space="0"/>
                    <w:right w:val="single" w:color="auto" w:sz="4" w:space="0"/>
                  </w:tcBorders>
                  <w:noWrap w:val="0"/>
                  <w:vAlign w:val="center"/>
                </w:tcPr>
                <w:p w14:paraId="2BF18F8F">
                  <w:pPr>
                    <w:keepNext w:val="0"/>
                    <w:keepLines w:val="0"/>
                    <w:suppressLineNumbers w:val="0"/>
                    <w:adjustRightInd w:val="0"/>
                    <w:snapToGrid w:val="0"/>
                    <w:spacing w:before="0" w:beforeAutospacing="0" w:after="0" w:afterAutospacing="0"/>
                    <w:ind w:left="0" w:right="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聂庄</w:t>
                  </w:r>
                </w:p>
              </w:tc>
              <w:tc>
                <w:tcPr>
                  <w:tcW w:w="975" w:type="dxa"/>
                  <w:tcBorders>
                    <w:top w:val="single" w:color="auto" w:sz="4" w:space="0"/>
                    <w:left w:val="single" w:color="auto" w:sz="4" w:space="0"/>
                    <w:bottom w:val="single" w:color="auto" w:sz="4" w:space="0"/>
                    <w:right w:val="single" w:color="auto" w:sz="4" w:space="0"/>
                  </w:tcBorders>
                  <w:noWrap w:val="0"/>
                  <w:vAlign w:val="center"/>
                </w:tcPr>
                <w:p w14:paraId="6A6D940C">
                  <w:pPr>
                    <w:keepNext w:val="0"/>
                    <w:keepLines w:val="0"/>
                    <w:suppressLineNumbers w:val="0"/>
                    <w:adjustRightInd w:val="0"/>
                    <w:snapToGrid w:val="0"/>
                    <w:spacing w:before="0" w:beforeAutospacing="0" w:after="0" w:afterAutospacing="0"/>
                    <w:ind w:left="0" w:right="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西南</w:t>
                  </w:r>
                </w:p>
              </w:tc>
              <w:tc>
                <w:tcPr>
                  <w:tcW w:w="2175" w:type="dxa"/>
                  <w:tcBorders>
                    <w:top w:val="single" w:color="auto" w:sz="4" w:space="0"/>
                    <w:left w:val="single" w:color="auto" w:sz="4" w:space="0"/>
                    <w:bottom w:val="single" w:color="auto" w:sz="4" w:space="0"/>
                    <w:right w:val="single" w:color="auto" w:sz="4" w:space="0"/>
                  </w:tcBorders>
                  <w:noWrap w:val="0"/>
                  <w:vAlign w:val="center"/>
                </w:tcPr>
                <w:p w14:paraId="481392B8">
                  <w:pPr>
                    <w:keepNext w:val="0"/>
                    <w:keepLines w:val="0"/>
                    <w:suppressLineNumbers w:val="0"/>
                    <w:adjustRightInd w:val="0"/>
                    <w:snapToGrid w:val="0"/>
                    <w:spacing w:before="0" w:beforeAutospacing="0" w:after="0" w:afterAutospacing="0"/>
                    <w:ind w:left="0" w:right="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340m</w:t>
                  </w:r>
                </w:p>
              </w:tc>
              <w:tc>
                <w:tcPr>
                  <w:tcW w:w="2573" w:type="dxa"/>
                  <w:vMerge w:val="continue"/>
                  <w:tcBorders>
                    <w:top w:val="single" w:color="auto" w:sz="4" w:space="0"/>
                    <w:left w:val="single" w:color="auto" w:sz="4" w:space="0"/>
                    <w:bottom w:val="single" w:color="auto" w:sz="4" w:space="0"/>
                  </w:tcBorders>
                  <w:noWrap w:val="0"/>
                  <w:vAlign w:val="center"/>
                </w:tcPr>
                <w:p w14:paraId="36923893">
                  <w:pPr>
                    <w:keepNext w:val="0"/>
                    <w:keepLines w:val="0"/>
                    <w:suppressLineNumbers w:val="0"/>
                    <w:tabs>
                      <w:tab w:val="left" w:pos="3230"/>
                    </w:tabs>
                    <w:adjustRightInd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r>
            <w:tr w14:paraId="10D77088">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65" w:type="dxa"/>
                  <w:vMerge w:val="continue"/>
                  <w:tcBorders>
                    <w:top w:val="single" w:color="auto" w:sz="4" w:space="0"/>
                    <w:bottom w:val="single" w:color="auto" w:sz="4" w:space="0"/>
                    <w:right w:val="single" w:color="auto" w:sz="4" w:space="0"/>
                  </w:tcBorders>
                  <w:noWrap w:val="0"/>
                  <w:vAlign w:val="center"/>
                </w:tcPr>
                <w:p w14:paraId="3D8F490E">
                  <w:pPr>
                    <w:keepNext w:val="0"/>
                    <w:keepLines w:val="0"/>
                    <w:suppressLineNumbers w:val="0"/>
                    <w:tabs>
                      <w:tab w:val="left" w:pos="3230"/>
                    </w:tabs>
                    <w:adjustRightInd w:val="0"/>
                    <w:snapToGrid w:val="0"/>
                    <w:spacing w:before="0" w:beforeAutospacing="0" w:after="0" w:afterAutospacing="0"/>
                    <w:ind w:left="0" w:right="0"/>
                    <w:jc w:val="center"/>
                    <w:rPr>
                      <w:rFonts w:hint="default" w:hAnsi="宋体"/>
                      <w:color w:val="000000" w:themeColor="text1"/>
                      <w:sz w:val="21"/>
                      <w:szCs w:val="21"/>
                      <w14:textFill>
                        <w14:solidFill>
                          <w14:schemeClr w14:val="tx1"/>
                        </w14:solidFill>
                      </w14:textFill>
                    </w:rPr>
                  </w:pPr>
                </w:p>
              </w:tc>
              <w:tc>
                <w:tcPr>
                  <w:tcW w:w="1574" w:type="dxa"/>
                  <w:tcBorders>
                    <w:top w:val="single" w:color="auto" w:sz="4" w:space="0"/>
                    <w:left w:val="single" w:color="auto" w:sz="4" w:space="0"/>
                    <w:bottom w:val="single" w:color="auto" w:sz="4" w:space="0"/>
                    <w:right w:val="single" w:color="auto" w:sz="4" w:space="0"/>
                  </w:tcBorders>
                  <w:noWrap w:val="0"/>
                  <w:vAlign w:val="center"/>
                </w:tcPr>
                <w:p w14:paraId="4F07F570">
                  <w:pPr>
                    <w:keepNext w:val="0"/>
                    <w:keepLines w:val="0"/>
                    <w:suppressLineNumbers w:val="0"/>
                    <w:adjustRightInd w:val="0"/>
                    <w:snapToGrid w:val="0"/>
                    <w:spacing w:before="0" w:beforeAutospacing="0" w:after="0" w:afterAutospacing="0"/>
                    <w:ind w:left="0" w:right="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娄村</w:t>
                  </w:r>
                </w:p>
              </w:tc>
              <w:tc>
                <w:tcPr>
                  <w:tcW w:w="975" w:type="dxa"/>
                  <w:tcBorders>
                    <w:top w:val="single" w:color="auto" w:sz="4" w:space="0"/>
                    <w:left w:val="single" w:color="auto" w:sz="4" w:space="0"/>
                    <w:bottom w:val="single" w:color="auto" w:sz="4" w:space="0"/>
                    <w:right w:val="single" w:color="auto" w:sz="4" w:space="0"/>
                  </w:tcBorders>
                  <w:noWrap w:val="0"/>
                  <w:vAlign w:val="center"/>
                </w:tcPr>
                <w:p w14:paraId="4796F06D">
                  <w:pPr>
                    <w:keepNext w:val="0"/>
                    <w:keepLines w:val="0"/>
                    <w:suppressLineNumbers w:val="0"/>
                    <w:adjustRightInd w:val="0"/>
                    <w:snapToGrid w:val="0"/>
                    <w:spacing w:before="0" w:beforeAutospacing="0" w:after="0" w:afterAutospacing="0"/>
                    <w:ind w:left="0" w:right="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东</w:t>
                  </w:r>
                </w:p>
              </w:tc>
              <w:tc>
                <w:tcPr>
                  <w:tcW w:w="2175" w:type="dxa"/>
                  <w:tcBorders>
                    <w:top w:val="single" w:color="auto" w:sz="4" w:space="0"/>
                    <w:left w:val="single" w:color="auto" w:sz="4" w:space="0"/>
                    <w:bottom w:val="single" w:color="auto" w:sz="4" w:space="0"/>
                    <w:right w:val="single" w:color="auto" w:sz="4" w:space="0"/>
                  </w:tcBorders>
                  <w:noWrap w:val="0"/>
                  <w:vAlign w:val="center"/>
                </w:tcPr>
                <w:p w14:paraId="6309E96D">
                  <w:pPr>
                    <w:keepNext w:val="0"/>
                    <w:keepLines w:val="0"/>
                    <w:suppressLineNumbers w:val="0"/>
                    <w:adjustRightInd w:val="0"/>
                    <w:snapToGrid w:val="0"/>
                    <w:spacing w:before="0" w:beforeAutospacing="0" w:after="0" w:afterAutospacing="0"/>
                    <w:ind w:left="0" w:right="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395m</w:t>
                  </w:r>
                </w:p>
              </w:tc>
              <w:tc>
                <w:tcPr>
                  <w:tcW w:w="2573" w:type="dxa"/>
                  <w:vMerge w:val="continue"/>
                  <w:tcBorders>
                    <w:top w:val="single" w:color="auto" w:sz="4" w:space="0"/>
                    <w:left w:val="single" w:color="auto" w:sz="4" w:space="0"/>
                    <w:bottom w:val="single" w:color="auto" w:sz="4" w:space="0"/>
                  </w:tcBorders>
                  <w:noWrap w:val="0"/>
                  <w:vAlign w:val="center"/>
                </w:tcPr>
                <w:p w14:paraId="159023E7">
                  <w:pPr>
                    <w:keepNext w:val="0"/>
                    <w:keepLines w:val="0"/>
                    <w:suppressLineNumbers w:val="0"/>
                    <w:tabs>
                      <w:tab w:val="left" w:pos="3230"/>
                    </w:tabs>
                    <w:adjustRightInd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r>
            <w:tr w14:paraId="33409E68">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65" w:type="dxa"/>
                  <w:tcBorders>
                    <w:top w:val="single" w:color="auto" w:sz="4" w:space="0"/>
                    <w:bottom w:val="single" w:color="auto" w:sz="4" w:space="0"/>
                    <w:right w:val="single" w:color="auto" w:sz="4" w:space="0"/>
                  </w:tcBorders>
                  <w:noWrap w:val="0"/>
                  <w:vAlign w:val="center"/>
                </w:tcPr>
                <w:p w14:paraId="02E72B22">
                  <w:pPr>
                    <w:keepNext w:val="0"/>
                    <w:keepLines w:val="0"/>
                    <w:suppressLineNumbers w:val="0"/>
                    <w:tabs>
                      <w:tab w:val="left" w:pos="3230"/>
                    </w:tabs>
                    <w:adjustRightInd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环境噪声</w:t>
                  </w:r>
                </w:p>
              </w:tc>
              <w:tc>
                <w:tcPr>
                  <w:tcW w:w="4724" w:type="dxa"/>
                  <w:gridSpan w:val="3"/>
                  <w:tcBorders>
                    <w:top w:val="single" w:color="auto" w:sz="4" w:space="0"/>
                    <w:left w:val="single" w:color="auto" w:sz="4" w:space="0"/>
                    <w:bottom w:val="single" w:color="auto" w:sz="4" w:space="0"/>
                    <w:right w:val="single" w:color="auto" w:sz="4" w:space="0"/>
                  </w:tcBorders>
                  <w:noWrap w:val="0"/>
                  <w:vAlign w:val="center"/>
                </w:tcPr>
                <w:p w14:paraId="3BD2BF35">
                  <w:pPr>
                    <w:keepNext w:val="0"/>
                    <w:keepLines w:val="0"/>
                    <w:suppressLineNumbers w:val="0"/>
                    <w:tabs>
                      <w:tab w:val="left" w:pos="3230"/>
                    </w:tabs>
                    <w:adjustRightInd w:val="0"/>
                    <w:snapToGrid w:val="0"/>
                    <w:spacing w:before="0" w:beforeAutospacing="0" w:after="0" w:afterAutospacing="0"/>
                    <w:ind w:left="0" w:right="0"/>
                    <w:jc w:val="center"/>
                    <w:rPr>
                      <w:rFonts w:hint="default"/>
                      <w:color w:val="000000" w:themeColor="text1"/>
                      <w:sz w:val="21"/>
                      <w:szCs w:val="21"/>
                      <w:lang w:val="en-US" w:eastAsia="zh-CN"/>
                      <w14:textFill>
                        <w14:solidFill>
                          <w14:schemeClr w14:val="tx1"/>
                        </w14:solidFill>
                      </w14:textFill>
                    </w:rPr>
                  </w:pPr>
                  <w:r>
                    <w:rPr>
                      <w:rFonts w:hint="eastAsia"/>
                      <w:color w:val="auto"/>
                      <w:sz w:val="21"/>
                      <w:szCs w:val="21"/>
                      <w:lang w:val="en-US" w:eastAsia="zh-CN"/>
                    </w:rPr>
                    <w:t>本项目</w:t>
                  </w:r>
                  <w:r>
                    <w:rPr>
                      <w:rFonts w:hint="eastAsia"/>
                      <w:color w:val="auto"/>
                      <w:sz w:val="21"/>
                      <w:szCs w:val="21"/>
                    </w:rPr>
                    <w:t>周边50米范围内</w:t>
                  </w:r>
                  <w:r>
                    <w:rPr>
                      <w:rFonts w:hint="eastAsia"/>
                      <w:color w:val="auto"/>
                      <w:sz w:val="21"/>
                      <w:szCs w:val="21"/>
                      <w:lang w:val="en-US" w:eastAsia="zh-CN"/>
                    </w:rPr>
                    <w:t>无</w:t>
                  </w:r>
                  <w:r>
                    <w:rPr>
                      <w:rFonts w:hint="eastAsia"/>
                      <w:color w:val="auto"/>
                      <w:sz w:val="21"/>
                      <w:szCs w:val="21"/>
                    </w:rPr>
                    <w:t>声环境保护目标</w:t>
                  </w:r>
                </w:p>
              </w:tc>
              <w:tc>
                <w:tcPr>
                  <w:tcW w:w="2573" w:type="dxa"/>
                  <w:tcBorders>
                    <w:top w:val="single" w:color="auto" w:sz="4" w:space="0"/>
                    <w:left w:val="single" w:color="auto" w:sz="4" w:space="0"/>
                    <w:bottom w:val="single" w:color="auto" w:sz="4" w:space="0"/>
                  </w:tcBorders>
                  <w:noWrap w:val="0"/>
                  <w:vAlign w:val="center"/>
                </w:tcPr>
                <w:p w14:paraId="02BB6521">
                  <w:pPr>
                    <w:keepNext w:val="0"/>
                    <w:keepLines w:val="0"/>
                    <w:suppressLineNumbers w:val="0"/>
                    <w:tabs>
                      <w:tab w:val="left" w:pos="3230"/>
                    </w:tabs>
                    <w:adjustRightInd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auto"/>
                      <w:sz w:val="21"/>
                      <w:szCs w:val="21"/>
                      <w:lang w:val="en-US" w:eastAsia="zh-CN"/>
                    </w:rPr>
                    <w:t>/</w:t>
                  </w:r>
                </w:p>
              </w:tc>
            </w:tr>
            <w:tr w14:paraId="52CDFE97">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65" w:type="dxa"/>
                  <w:tcBorders>
                    <w:top w:val="single" w:color="auto" w:sz="4" w:space="0"/>
                    <w:bottom w:val="single" w:color="auto" w:sz="4" w:space="0"/>
                    <w:right w:val="single" w:color="auto" w:sz="4" w:space="0"/>
                  </w:tcBorders>
                  <w:noWrap w:val="0"/>
                  <w:vAlign w:val="center"/>
                </w:tcPr>
                <w:p w14:paraId="3A081477">
                  <w:pPr>
                    <w:keepNext w:val="0"/>
                    <w:keepLines w:val="0"/>
                    <w:suppressLineNumbers w:val="0"/>
                    <w:tabs>
                      <w:tab w:val="left" w:pos="3230"/>
                    </w:tabs>
                    <w:adjustRightInd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hAnsi="宋体"/>
                      <w:color w:val="000000" w:themeColor="text1"/>
                      <w:sz w:val="21"/>
                      <w:szCs w:val="21"/>
                      <w14:textFill>
                        <w14:solidFill>
                          <w14:schemeClr w14:val="tx1"/>
                        </w14:solidFill>
                      </w14:textFill>
                    </w:rPr>
                    <w:t>生态环境</w:t>
                  </w:r>
                </w:p>
              </w:tc>
              <w:tc>
                <w:tcPr>
                  <w:tcW w:w="4724" w:type="dxa"/>
                  <w:gridSpan w:val="3"/>
                  <w:tcBorders>
                    <w:top w:val="single" w:color="auto" w:sz="4" w:space="0"/>
                    <w:left w:val="single" w:color="auto" w:sz="4" w:space="0"/>
                    <w:bottom w:val="single" w:color="auto" w:sz="4" w:space="0"/>
                    <w:right w:val="single" w:color="auto" w:sz="4" w:space="0"/>
                  </w:tcBorders>
                  <w:noWrap w:val="0"/>
                  <w:vAlign w:val="center"/>
                </w:tcPr>
                <w:p w14:paraId="690D9304">
                  <w:pPr>
                    <w:keepNext w:val="0"/>
                    <w:keepLines w:val="0"/>
                    <w:suppressLineNumbers w:val="0"/>
                    <w:tabs>
                      <w:tab w:val="left" w:pos="3230"/>
                    </w:tabs>
                    <w:adjustRightInd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本项目</w:t>
                  </w:r>
                  <w:r>
                    <w:rPr>
                      <w:rFonts w:hint="eastAsia"/>
                      <w:color w:val="000000" w:themeColor="text1"/>
                      <w:sz w:val="21"/>
                      <w:szCs w:val="21"/>
                      <w14:textFill>
                        <w14:solidFill>
                          <w14:schemeClr w14:val="tx1"/>
                        </w14:solidFill>
                      </w14:textFill>
                    </w:rPr>
                    <w:t>周边50</w:t>
                  </w:r>
                  <w:r>
                    <w:rPr>
                      <w:rFonts w:hint="eastAsia"/>
                      <w:color w:val="000000" w:themeColor="text1"/>
                      <w:sz w:val="21"/>
                      <w:szCs w:val="21"/>
                      <w:lang w:val="en-US" w:eastAsia="zh-CN"/>
                      <w14:textFill>
                        <w14:solidFill>
                          <w14:schemeClr w14:val="tx1"/>
                        </w14:solidFill>
                      </w14:textFill>
                    </w:rPr>
                    <w:t>0</w:t>
                  </w:r>
                  <w:r>
                    <w:rPr>
                      <w:rFonts w:hint="eastAsia"/>
                      <w:color w:val="000000" w:themeColor="text1"/>
                      <w:sz w:val="21"/>
                      <w:szCs w:val="21"/>
                      <w14:textFill>
                        <w14:solidFill>
                          <w14:schemeClr w14:val="tx1"/>
                        </w14:solidFill>
                      </w14:textFill>
                    </w:rPr>
                    <w:t>米范围内</w:t>
                  </w:r>
                  <w:r>
                    <w:rPr>
                      <w:rFonts w:hint="eastAsia"/>
                      <w:color w:val="000000" w:themeColor="text1"/>
                      <w:sz w:val="21"/>
                      <w:szCs w:val="21"/>
                      <w:lang w:val="en-US" w:eastAsia="zh-CN"/>
                      <w14:textFill>
                        <w14:solidFill>
                          <w14:schemeClr w14:val="tx1"/>
                        </w14:solidFill>
                      </w14:textFill>
                    </w:rPr>
                    <w:t>无生态</w:t>
                  </w:r>
                  <w:r>
                    <w:rPr>
                      <w:rFonts w:hint="eastAsia"/>
                      <w:color w:val="000000" w:themeColor="text1"/>
                      <w:sz w:val="21"/>
                      <w:szCs w:val="21"/>
                      <w14:textFill>
                        <w14:solidFill>
                          <w14:schemeClr w14:val="tx1"/>
                        </w14:solidFill>
                      </w14:textFill>
                    </w:rPr>
                    <w:t>保护目标</w:t>
                  </w:r>
                </w:p>
              </w:tc>
              <w:tc>
                <w:tcPr>
                  <w:tcW w:w="2573" w:type="dxa"/>
                  <w:tcBorders>
                    <w:top w:val="single" w:color="auto" w:sz="4" w:space="0"/>
                    <w:left w:val="single" w:color="auto" w:sz="4" w:space="0"/>
                    <w:bottom w:val="single" w:color="auto" w:sz="4" w:space="0"/>
                  </w:tcBorders>
                  <w:noWrap w:val="0"/>
                  <w:vAlign w:val="center"/>
                </w:tcPr>
                <w:p w14:paraId="1A221C4C">
                  <w:pPr>
                    <w:keepNext w:val="0"/>
                    <w:keepLines w:val="0"/>
                    <w:suppressLineNumbers w:val="0"/>
                    <w:tabs>
                      <w:tab w:val="left" w:pos="3230"/>
                    </w:tabs>
                    <w:adjustRightInd w:val="0"/>
                    <w:snapToGrid w:val="0"/>
                    <w:spacing w:before="0" w:beforeAutospacing="0" w:after="0" w:afterAutospacing="0"/>
                    <w:ind w:left="0" w:right="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r>
            <w:tr w14:paraId="4F194BB7">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65" w:type="dxa"/>
                  <w:tcBorders>
                    <w:top w:val="single" w:color="auto" w:sz="4" w:space="0"/>
                    <w:bottom w:val="single" w:color="auto" w:sz="8" w:space="0"/>
                    <w:right w:val="single" w:color="auto" w:sz="4" w:space="0"/>
                  </w:tcBorders>
                  <w:noWrap w:val="0"/>
                  <w:vAlign w:val="center"/>
                </w:tcPr>
                <w:p w14:paraId="74DC5B05">
                  <w:pPr>
                    <w:keepNext w:val="0"/>
                    <w:keepLines w:val="0"/>
                    <w:suppressLineNumbers w:val="0"/>
                    <w:tabs>
                      <w:tab w:val="left" w:pos="3230"/>
                    </w:tabs>
                    <w:adjustRightInd w:val="0"/>
                    <w:snapToGrid w:val="0"/>
                    <w:spacing w:before="0" w:beforeAutospacing="0" w:after="0" w:afterAutospacing="0"/>
                    <w:ind w:left="0" w:leftChars="0" w:right="0" w:rightChars="0"/>
                    <w:jc w:val="center"/>
                    <w:rPr>
                      <w:rFonts w:hint="default" w:hAnsi="宋体"/>
                      <w:color w:val="000000" w:themeColor="text1"/>
                      <w:sz w:val="21"/>
                      <w:szCs w:val="21"/>
                      <w14:textFill>
                        <w14:solidFill>
                          <w14:schemeClr w14:val="tx1"/>
                        </w14:solidFill>
                      </w14:textFill>
                    </w:rPr>
                  </w:pPr>
                  <w:r>
                    <w:rPr>
                      <w:rFonts w:hint="eastAsia" w:hAnsi="宋体"/>
                      <w:color w:val="auto"/>
                      <w:sz w:val="21"/>
                      <w:szCs w:val="21"/>
                      <w:lang w:val="en-US" w:eastAsia="zh-CN"/>
                    </w:rPr>
                    <w:t>地下水环境</w:t>
                  </w:r>
                </w:p>
              </w:tc>
              <w:tc>
                <w:tcPr>
                  <w:tcW w:w="4724" w:type="dxa"/>
                  <w:gridSpan w:val="3"/>
                  <w:tcBorders>
                    <w:top w:val="single" w:color="auto" w:sz="4" w:space="0"/>
                    <w:left w:val="single" w:color="auto" w:sz="4" w:space="0"/>
                    <w:bottom w:val="single" w:color="auto" w:sz="8" w:space="0"/>
                    <w:right w:val="single" w:color="auto" w:sz="4" w:space="0"/>
                  </w:tcBorders>
                  <w:noWrap w:val="0"/>
                  <w:vAlign w:val="center"/>
                </w:tcPr>
                <w:p w14:paraId="41BD6218">
                  <w:pPr>
                    <w:keepNext w:val="0"/>
                    <w:keepLines w:val="0"/>
                    <w:suppressLineNumbers w:val="0"/>
                    <w:tabs>
                      <w:tab w:val="left" w:pos="3230"/>
                    </w:tabs>
                    <w:adjustRightInd w:val="0"/>
                    <w:snapToGrid w:val="0"/>
                    <w:spacing w:before="0" w:beforeAutospacing="0" w:after="0" w:afterAutospacing="0"/>
                    <w:ind w:left="0" w:right="0"/>
                    <w:jc w:val="center"/>
                    <w:rPr>
                      <w:rFonts w:hint="eastAsia"/>
                      <w:sz w:val="21"/>
                      <w:szCs w:val="21"/>
                      <w:lang w:val="en-US" w:eastAsia="zh-CN"/>
                    </w:rPr>
                  </w:pPr>
                  <w:r>
                    <w:rPr>
                      <w:rFonts w:hint="eastAsia"/>
                      <w:sz w:val="21"/>
                      <w:szCs w:val="21"/>
                      <w:lang w:val="en-US" w:eastAsia="zh-CN"/>
                    </w:rPr>
                    <w:t>本项目周边500米范围内无地下水集中式饮用水</w:t>
                  </w:r>
                </w:p>
                <w:p w14:paraId="4685A794">
                  <w:pPr>
                    <w:keepNext w:val="0"/>
                    <w:keepLines w:val="0"/>
                    <w:suppressLineNumbers w:val="0"/>
                    <w:tabs>
                      <w:tab w:val="left" w:pos="3230"/>
                    </w:tabs>
                    <w:adjustRightInd w:val="0"/>
                    <w:snapToGrid w:val="0"/>
                    <w:spacing w:before="0" w:beforeAutospacing="0" w:after="0" w:afterAutospacing="0"/>
                    <w:ind w:left="0" w:right="0"/>
                    <w:jc w:val="center"/>
                    <w:rPr>
                      <w:rFonts w:hint="eastAsia"/>
                      <w:color w:val="000000" w:themeColor="text1"/>
                      <w:sz w:val="21"/>
                      <w:szCs w:val="21"/>
                      <w:lang w:val="en-US" w:eastAsia="zh-CN"/>
                      <w14:textFill>
                        <w14:solidFill>
                          <w14:schemeClr w14:val="tx1"/>
                        </w14:solidFill>
                      </w14:textFill>
                    </w:rPr>
                  </w:pPr>
                  <w:r>
                    <w:rPr>
                      <w:rFonts w:hint="eastAsia"/>
                      <w:sz w:val="21"/>
                      <w:szCs w:val="21"/>
                      <w:lang w:val="en-US" w:eastAsia="zh-CN"/>
                    </w:rPr>
                    <w:t>水源和热水、矿泉水、温泉等特殊地下水资源</w:t>
                  </w:r>
                </w:p>
              </w:tc>
              <w:tc>
                <w:tcPr>
                  <w:tcW w:w="2573" w:type="dxa"/>
                  <w:tcBorders>
                    <w:top w:val="single" w:color="auto" w:sz="4" w:space="0"/>
                    <w:left w:val="single" w:color="auto" w:sz="4" w:space="0"/>
                    <w:bottom w:val="single" w:color="auto" w:sz="8" w:space="0"/>
                  </w:tcBorders>
                  <w:noWrap w:val="0"/>
                  <w:vAlign w:val="center"/>
                </w:tcPr>
                <w:p w14:paraId="6A66D31F">
                  <w:pPr>
                    <w:keepNext w:val="0"/>
                    <w:keepLines w:val="0"/>
                    <w:suppressLineNumbers w:val="0"/>
                    <w:tabs>
                      <w:tab w:val="left" w:pos="3230"/>
                    </w:tabs>
                    <w:adjustRightInd w:val="0"/>
                    <w:snapToGrid w:val="0"/>
                    <w:spacing w:before="0" w:beforeAutospacing="0" w:after="0" w:afterAutospacing="0"/>
                    <w:ind w:left="0" w:leftChars="0" w:right="0" w:rightChars="0"/>
                    <w:jc w:val="center"/>
                    <w:rPr>
                      <w:rFonts w:hint="eastAsia"/>
                      <w:color w:val="000000" w:themeColor="text1"/>
                      <w:sz w:val="21"/>
                      <w:szCs w:val="21"/>
                      <w:lang w:val="en-US" w:eastAsia="zh-CN"/>
                      <w14:textFill>
                        <w14:solidFill>
                          <w14:schemeClr w14:val="tx1"/>
                        </w14:solidFill>
                      </w14:textFill>
                    </w:rPr>
                  </w:pPr>
                  <w:r>
                    <w:rPr>
                      <w:rFonts w:hint="eastAsia"/>
                      <w:color w:val="auto"/>
                      <w:sz w:val="21"/>
                      <w:szCs w:val="21"/>
                      <w:lang w:val="en-US" w:eastAsia="zh-CN"/>
                    </w:rPr>
                    <w:t>/</w:t>
                  </w:r>
                </w:p>
              </w:tc>
            </w:tr>
          </w:tbl>
          <w:p w14:paraId="2084BA2D">
            <w:pPr>
              <w:keepNext w:val="0"/>
              <w:keepLines w:val="0"/>
              <w:suppressLineNumbers w:val="0"/>
              <w:tabs>
                <w:tab w:val="left" w:pos="3230"/>
              </w:tabs>
              <w:adjustRightInd w:val="0"/>
              <w:snapToGrid w:val="0"/>
              <w:spacing w:before="0" w:beforeAutospacing="0" w:after="0" w:afterAutospacing="0" w:line="440" w:lineRule="exact"/>
              <w:ind w:left="0" w:right="0"/>
              <w:rPr>
                <w:rFonts w:hint="eastAsia" w:eastAsia="宋体"/>
                <w:sz w:val="24"/>
                <w:lang w:val="en-US" w:eastAsia="zh-CN"/>
              </w:rPr>
            </w:pPr>
          </w:p>
        </w:tc>
      </w:tr>
      <w:tr w14:paraId="37B9E0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858" w:type="dxa"/>
            <w:noWrap w:val="0"/>
            <w:vAlign w:val="center"/>
          </w:tcPr>
          <w:p w14:paraId="0EE4018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 w:val="24"/>
                <w:szCs w:val="24"/>
              </w:rPr>
            </w:pPr>
            <w:r>
              <w:rPr>
                <w:rFonts w:hint="default" w:hAnsi="宋体"/>
                <w:kern w:val="0"/>
                <w:sz w:val="24"/>
                <w:szCs w:val="24"/>
              </w:rPr>
              <w:t>污染</w:t>
            </w:r>
          </w:p>
          <w:p w14:paraId="38229A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 w:val="24"/>
                <w:szCs w:val="24"/>
              </w:rPr>
            </w:pPr>
            <w:r>
              <w:rPr>
                <w:rFonts w:hint="default" w:hAnsi="宋体"/>
                <w:kern w:val="0"/>
                <w:sz w:val="24"/>
                <w:szCs w:val="24"/>
              </w:rPr>
              <w:t>物排</w:t>
            </w:r>
          </w:p>
          <w:p w14:paraId="3901C33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 w:val="24"/>
                <w:szCs w:val="24"/>
              </w:rPr>
            </w:pPr>
            <w:r>
              <w:rPr>
                <w:rFonts w:hint="default" w:hAnsi="宋体"/>
                <w:kern w:val="0"/>
                <w:sz w:val="24"/>
                <w:szCs w:val="24"/>
              </w:rPr>
              <w:t>放控</w:t>
            </w:r>
          </w:p>
          <w:p w14:paraId="654FC43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 w:val="24"/>
                <w:szCs w:val="24"/>
              </w:rPr>
            </w:pPr>
            <w:r>
              <w:rPr>
                <w:rFonts w:hint="default" w:hAnsi="宋体"/>
                <w:kern w:val="0"/>
                <w:sz w:val="24"/>
                <w:szCs w:val="24"/>
              </w:rPr>
              <w:t>制标</w:t>
            </w:r>
          </w:p>
          <w:p w14:paraId="471E4E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hAnsi="宋体"/>
                <w:kern w:val="0"/>
                <w:sz w:val="24"/>
                <w:szCs w:val="24"/>
              </w:rPr>
            </w:pPr>
            <w:r>
              <w:rPr>
                <w:rFonts w:hint="default" w:hAnsi="宋体"/>
                <w:kern w:val="0"/>
                <w:sz w:val="24"/>
                <w:szCs w:val="24"/>
              </w:rPr>
              <w:t>准</w:t>
            </w:r>
          </w:p>
        </w:tc>
        <w:tc>
          <w:tcPr>
            <w:tcW w:w="8781" w:type="dxa"/>
            <w:noWrap w:val="0"/>
            <w:vAlign w:val="top"/>
          </w:tcPr>
          <w:p w14:paraId="3AE44D85">
            <w:pPr>
              <w:keepNext w:val="0"/>
              <w:keepLines w:val="0"/>
              <w:suppressLineNumbers w:val="0"/>
              <w:adjustRightInd w:val="0"/>
              <w:snapToGrid w:val="0"/>
              <w:spacing w:before="0" w:beforeAutospacing="0" w:after="0" w:afterAutospacing="0" w:line="440" w:lineRule="exact"/>
              <w:ind w:left="0" w:right="0" w:firstLine="482" w:firstLineChars="200"/>
              <w:textAlignment w:val="baseline"/>
              <w:rPr>
                <w:rFonts w:hint="default"/>
                <w:b/>
                <w:color w:val="000000" w:themeColor="text1"/>
                <w:sz w:val="24"/>
                <w:highlight w:val="none"/>
                <w14:textFill>
                  <w14:solidFill>
                    <w14:schemeClr w14:val="tx1"/>
                  </w14:solidFill>
                </w14:textFill>
              </w:rPr>
            </w:pPr>
            <w:r>
              <w:rPr>
                <w:rFonts w:hint="eastAsia"/>
                <w:b/>
                <w:color w:val="000000" w:themeColor="text1"/>
                <w:sz w:val="24"/>
                <w14:textFill>
                  <w14:solidFill>
                    <w14:schemeClr w14:val="tx1"/>
                  </w14:solidFill>
                </w14:textFill>
              </w:rPr>
              <w:t>1、废气</w:t>
            </w:r>
          </w:p>
          <w:p w14:paraId="140003AF">
            <w:pPr>
              <w:keepNext w:val="0"/>
              <w:keepLines w:val="0"/>
              <w:suppressLineNumbers w:val="0"/>
              <w:spacing w:before="0" w:beforeAutospacing="0" w:after="0" w:afterAutospacing="0" w:line="440" w:lineRule="exact"/>
              <w:ind w:left="0" w:right="0"/>
              <w:jc w:val="center"/>
              <w:rPr>
                <w:rFonts w:hint="default" w:ascii="宋体" w:hAnsi="宋体"/>
                <w:b/>
                <w:color w:val="000000" w:themeColor="text1"/>
                <w:sz w:val="24"/>
                <w:highlight w:val="none"/>
                <w14:textFill>
                  <w14:solidFill>
                    <w14:schemeClr w14:val="tx1"/>
                  </w14:solidFill>
                </w14:textFill>
              </w:rPr>
            </w:pPr>
            <w:r>
              <w:rPr>
                <w:rFonts w:hint="default" w:ascii="宋体" w:hAnsi="宋体"/>
                <w:b/>
                <w:color w:val="000000" w:themeColor="text1"/>
                <w:sz w:val="24"/>
                <w:highlight w:val="none"/>
                <w14:textFill>
                  <w14:solidFill>
                    <w14:schemeClr w14:val="tx1"/>
                  </w14:solidFill>
                </w14:textFill>
              </w:rPr>
              <w:t>表</w:t>
            </w:r>
            <w:r>
              <w:rPr>
                <w:rFonts w:hint="eastAsia" w:cs="Times New Roman"/>
                <w:b/>
                <w:color w:val="000000" w:themeColor="text1"/>
                <w:sz w:val="24"/>
                <w:highlight w:val="none"/>
                <w:lang w:val="en-US" w:eastAsia="zh-CN"/>
                <w14:textFill>
                  <w14:solidFill>
                    <w14:schemeClr w14:val="tx1"/>
                  </w14:solidFill>
                </w14:textFill>
              </w:rPr>
              <w:t>26</w:t>
            </w:r>
            <w:r>
              <w:rPr>
                <w:rFonts w:hint="eastAsia" w:ascii="宋体" w:hAnsi="宋体"/>
                <w:b/>
                <w:color w:val="000000" w:themeColor="text1"/>
                <w:sz w:val="24"/>
                <w:highlight w:val="none"/>
                <w:lang w:val="en-US" w:eastAsia="zh-CN"/>
                <w14:textFill>
                  <w14:solidFill>
                    <w14:schemeClr w14:val="tx1"/>
                  </w14:solidFill>
                </w14:textFill>
              </w:rPr>
              <w:t xml:space="preserve"> </w:t>
            </w:r>
            <w:r>
              <w:rPr>
                <w:rFonts w:hint="default" w:ascii="宋体" w:hAnsi="宋体"/>
                <w:b/>
                <w:color w:val="000000" w:themeColor="text1"/>
                <w:sz w:val="24"/>
                <w:highlight w:val="none"/>
                <w14:textFill>
                  <w14:solidFill>
                    <w14:schemeClr w14:val="tx1"/>
                  </w14:solidFill>
                </w14:textFill>
              </w:rPr>
              <w:t>废气排放限值一览表</w:t>
            </w:r>
          </w:p>
          <w:tbl>
            <w:tblPr>
              <w:tblStyle w:val="23"/>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1"/>
              <w:gridCol w:w="3465"/>
              <w:gridCol w:w="930"/>
              <w:gridCol w:w="3489"/>
            </w:tblGrid>
            <w:tr w14:paraId="2ECA2A0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dxa"/>
                  <w:tcBorders>
                    <w:bottom w:val="single" w:color="auto" w:sz="8" w:space="0"/>
                  </w:tcBorders>
                  <w:noWrap w:val="0"/>
                  <w:vAlign w:val="center"/>
                </w:tcPr>
                <w:p w14:paraId="301BA6CE">
                  <w:pPr>
                    <w:keepNext w:val="0"/>
                    <w:keepLines w:val="0"/>
                    <w:suppressLineNumbers w:val="0"/>
                    <w:adjustRightInd w:val="0"/>
                    <w:snapToGrid w:val="0"/>
                    <w:spacing w:before="0" w:beforeAutospacing="0" w:after="0" w:afterAutospacing="0"/>
                    <w:ind w:left="0" w:right="0"/>
                    <w:jc w:val="center"/>
                    <w:rPr>
                      <w:rFonts w:hint="default"/>
                      <w:b/>
                      <w:color w:val="auto"/>
                      <w:sz w:val="21"/>
                      <w:szCs w:val="21"/>
                    </w:rPr>
                  </w:pPr>
                  <w:r>
                    <w:rPr>
                      <w:rFonts w:hint="default" w:hAnsi="宋体"/>
                      <w:b/>
                      <w:color w:val="auto"/>
                      <w:sz w:val="21"/>
                      <w:szCs w:val="21"/>
                    </w:rPr>
                    <w:t>污染类别</w:t>
                  </w:r>
                </w:p>
              </w:tc>
              <w:tc>
                <w:tcPr>
                  <w:tcW w:w="3465" w:type="dxa"/>
                  <w:tcBorders>
                    <w:bottom w:val="single" w:color="auto" w:sz="8" w:space="0"/>
                  </w:tcBorders>
                  <w:noWrap w:val="0"/>
                  <w:vAlign w:val="center"/>
                </w:tcPr>
                <w:p w14:paraId="0BCC1533">
                  <w:pPr>
                    <w:keepNext w:val="0"/>
                    <w:keepLines w:val="0"/>
                    <w:suppressLineNumbers w:val="0"/>
                    <w:adjustRightInd w:val="0"/>
                    <w:snapToGrid w:val="0"/>
                    <w:spacing w:before="0" w:beforeAutospacing="0" w:after="0" w:afterAutospacing="0"/>
                    <w:ind w:left="0" w:right="0"/>
                    <w:jc w:val="center"/>
                    <w:rPr>
                      <w:rFonts w:hint="default"/>
                      <w:b/>
                      <w:color w:val="auto"/>
                      <w:sz w:val="21"/>
                      <w:szCs w:val="21"/>
                    </w:rPr>
                  </w:pPr>
                  <w:r>
                    <w:rPr>
                      <w:rFonts w:hint="default" w:hAnsi="宋体"/>
                      <w:b/>
                      <w:color w:val="auto"/>
                      <w:sz w:val="21"/>
                      <w:szCs w:val="21"/>
                    </w:rPr>
                    <w:t>标准名称及级（类）别</w:t>
                  </w:r>
                </w:p>
              </w:tc>
              <w:tc>
                <w:tcPr>
                  <w:tcW w:w="930" w:type="dxa"/>
                  <w:tcBorders>
                    <w:bottom w:val="single" w:color="auto" w:sz="8" w:space="0"/>
                  </w:tcBorders>
                  <w:noWrap w:val="0"/>
                  <w:vAlign w:val="center"/>
                </w:tcPr>
                <w:p w14:paraId="632F74AD">
                  <w:pPr>
                    <w:keepNext w:val="0"/>
                    <w:keepLines w:val="0"/>
                    <w:suppressLineNumbers w:val="0"/>
                    <w:adjustRightInd w:val="0"/>
                    <w:snapToGrid w:val="0"/>
                    <w:spacing w:before="0" w:beforeAutospacing="0" w:after="0" w:afterAutospacing="0"/>
                    <w:ind w:left="0" w:right="0"/>
                    <w:jc w:val="center"/>
                    <w:rPr>
                      <w:rFonts w:hint="default" w:hAnsi="宋体"/>
                      <w:b/>
                      <w:color w:val="auto"/>
                      <w:sz w:val="21"/>
                      <w:szCs w:val="21"/>
                    </w:rPr>
                  </w:pPr>
                  <w:r>
                    <w:rPr>
                      <w:rFonts w:hint="default" w:hAnsi="宋体"/>
                      <w:b/>
                      <w:color w:val="auto"/>
                      <w:sz w:val="21"/>
                      <w:szCs w:val="21"/>
                    </w:rPr>
                    <w:t>污染</w:t>
                  </w:r>
                </w:p>
                <w:p w14:paraId="401F81A4">
                  <w:pPr>
                    <w:keepNext w:val="0"/>
                    <w:keepLines w:val="0"/>
                    <w:suppressLineNumbers w:val="0"/>
                    <w:adjustRightInd w:val="0"/>
                    <w:snapToGrid w:val="0"/>
                    <w:spacing w:before="0" w:beforeAutospacing="0" w:after="0" w:afterAutospacing="0"/>
                    <w:ind w:left="0" w:right="0"/>
                    <w:jc w:val="center"/>
                    <w:rPr>
                      <w:rFonts w:hint="default"/>
                      <w:b/>
                      <w:color w:val="auto"/>
                      <w:sz w:val="21"/>
                      <w:szCs w:val="21"/>
                    </w:rPr>
                  </w:pPr>
                  <w:r>
                    <w:rPr>
                      <w:rFonts w:hint="default" w:hAnsi="宋体"/>
                      <w:b/>
                      <w:color w:val="auto"/>
                      <w:sz w:val="21"/>
                      <w:szCs w:val="21"/>
                    </w:rPr>
                    <w:t>因子</w:t>
                  </w:r>
                </w:p>
              </w:tc>
              <w:tc>
                <w:tcPr>
                  <w:tcW w:w="3489" w:type="dxa"/>
                  <w:tcBorders>
                    <w:bottom w:val="single" w:color="auto" w:sz="8" w:space="0"/>
                  </w:tcBorders>
                  <w:noWrap w:val="0"/>
                  <w:vAlign w:val="center"/>
                </w:tcPr>
                <w:p w14:paraId="198D5765">
                  <w:pPr>
                    <w:keepNext w:val="0"/>
                    <w:keepLines w:val="0"/>
                    <w:suppressLineNumbers w:val="0"/>
                    <w:adjustRightInd w:val="0"/>
                    <w:snapToGrid w:val="0"/>
                    <w:spacing w:before="0" w:beforeAutospacing="0" w:after="0" w:afterAutospacing="0"/>
                    <w:ind w:left="0" w:right="0"/>
                    <w:jc w:val="center"/>
                    <w:rPr>
                      <w:rFonts w:hint="default"/>
                      <w:b/>
                      <w:color w:val="auto"/>
                      <w:sz w:val="21"/>
                      <w:szCs w:val="21"/>
                    </w:rPr>
                  </w:pPr>
                  <w:r>
                    <w:rPr>
                      <w:rFonts w:hint="default" w:hAnsi="宋体"/>
                      <w:b/>
                      <w:color w:val="auto"/>
                      <w:sz w:val="21"/>
                      <w:szCs w:val="21"/>
                    </w:rPr>
                    <w:t>标准限值</w:t>
                  </w:r>
                </w:p>
              </w:tc>
            </w:tr>
            <w:tr w14:paraId="6634B9A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dxa"/>
                  <w:vMerge w:val="restart"/>
                  <w:tcBorders>
                    <w:top w:val="single" w:color="auto" w:sz="8" w:space="0"/>
                    <w:tl2br w:val="nil"/>
                    <w:tr2bl w:val="nil"/>
                  </w:tcBorders>
                  <w:noWrap w:val="0"/>
                  <w:vAlign w:val="center"/>
                </w:tcPr>
                <w:p w14:paraId="170B3A6A">
                  <w:pPr>
                    <w:keepNext w:val="0"/>
                    <w:keepLines w:val="0"/>
                    <w:suppressLineNumbers w:val="0"/>
                    <w:adjustRightInd w:val="0"/>
                    <w:snapToGrid w:val="0"/>
                    <w:spacing w:before="0" w:beforeAutospacing="0" w:after="0" w:afterAutospacing="0"/>
                    <w:ind w:left="0" w:right="0"/>
                    <w:jc w:val="center"/>
                    <w:rPr>
                      <w:rFonts w:hint="default" w:hAnsi="宋体"/>
                      <w:color w:val="auto"/>
                      <w:sz w:val="21"/>
                      <w:szCs w:val="21"/>
                      <w:lang w:val="en-US" w:eastAsia="zh-CN"/>
                    </w:rPr>
                  </w:pPr>
                  <w:r>
                    <w:rPr>
                      <w:rFonts w:hint="eastAsia" w:hAnsi="宋体"/>
                      <w:color w:val="auto"/>
                      <w:sz w:val="21"/>
                      <w:szCs w:val="21"/>
                      <w:lang w:val="en-US" w:eastAsia="zh-CN"/>
                    </w:rPr>
                    <w:t>废气</w:t>
                  </w:r>
                </w:p>
              </w:tc>
              <w:tc>
                <w:tcPr>
                  <w:tcW w:w="3465" w:type="dxa"/>
                  <w:vMerge w:val="restart"/>
                  <w:tcBorders>
                    <w:top w:val="single" w:color="auto" w:sz="8" w:space="0"/>
                    <w:tl2br w:val="nil"/>
                    <w:tr2bl w:val="nil"/>
                  </w:tcBorders>
                  <w:shd w:val="clear" w:color="auto" w:fill="auto"/>
                  <w:noWrap w:val="0"/>
                  <w:vAlign w:val="center"/>
                </w:tcPr>
                <w:p w14:paraId="4BD5BAF4">
                  <w:pPr>
                    <w:keepNext w:val="0"/>
                    <w:keepLines w:val="0"/>
                    <w:suppressLineNumbers w:val="0"/>
                    <w:adjustRightInd w:val="0"/>
                    <w:snapToGrid w:val="0"/>
                    <w:spacing w:before="0" w:beforeAutospacing="0" w:after="0" w:afterAutospacing="0" w:line="240" w:lineRule="auto"/>
                    <w:ind w:left="0" w:leftChars="0" w:right="0" w:rightChars="0"/>
                    <w:jc w:val="both"/>
                    <w:rPr>
                      <w:rFonts w:hint="default" w:ascii="Times New Roman" w:hAnsi="Times New Roman" w:eastAsia="宋体" w:cs="Times New Roman"/>
                      <w:color w:val="000000"/>
                      <w:kern w:val="2"/>
                      <w:sz w:val="21"/>
                      <w:szCs w:val="21"/>
                      <w:highlight w:val="none"/>
                      <w:lang w:val="en-US" w:eastAsia="zh-CN" w:bidi="ar-SA"/>
                    </w:rPr>
                  </w:pPr>
                  <w:r>
                    <w:rPr>
                      <w:rFonts w:hint="default" w:hAnsi="宋体"/>
                      <w:color w:val="000000"/>
                      <w:kern w:val="0"/>
                      <w:sz w:val="21"/>
                      <w:szCs w:val="21"/>
                      <w:highlight w:val="none"/>
                      <w:vertAlign w:val="baseline"/>
                      <w:lang w:val="en-US" w:eastAsia="zh-CN"/>
                    </w:rPr>
                    <w:t>《</w:t>
                  </w:r>
                  <w:r>
                    <w:rPr>
                      <w:rFonts w:hint="eastAsia" w:hAnsi="宋体"/>
                      <w:color w:val="000000"/>
                      <w:kern w:val="0"/>
                      <w:sz w:val="21"/>
                      <w:szCs w:val="21"/>
                      <w:highlight w:val="none"/>
                      <w:vertAlign w:val="baseline"/>
                      <w:lang w:val="en-US" w:eastAsia="zh-CN"/>
                    </w:rPr>
                    <w:t>电池工业污染物排放标准</w:t>
                  </w:r>
                  <w:r>
                    <w:rPr>
                      <w:rFonts w:hint="default" w:hAnsi="宋体"/>
                      <w:color w:val="000000"/>
                      <w:kern w:val="0"/>
                      <w:sz w:val="21"/>
                      <w:szCs w:val="21"/>
                      <w:highlight w:val="none"/>
                      <w:vertAlign w:val="baseline"/>
                      <w:lang w:val="en-US" w:eastAsia="zh-CN"/>
                    </w:rPr>
                    <w:t>》</w:t>
                  </w:r>
                  <w:r>
                    <w:rPr>
                      <w:rFonts w:hint="eastAsia"/>
                      <w:color w:val="auto"/>
                      <w:sz w:val="21"/>
                      <w:szCs w:val="21"/>
                      <w:highlight w:val="none"/>
                      <w:lang w:val="en-US" w:eastAsia="zh-CN"/>
                    </w:rPr>
                    <w:t>（GB30484-2013）</w:t>
                  </w:r>
                </w:p>
              </w:tc>
              <w:tc>
                <w:tcPr>
                  <w:tcW w:w="930" w:type="dxa"/>
                  <w:tcBorders>
                    <w:top w:val="single" w:color="auto" w:sz="8" w:space="0"/>
                    <w:tl2br w:val="nil"/>
                    <w:tr2bl w:val="nil"/>
                  </w:tcBorders>
                  <w:noWrap w:val="0"/>
                  <w:vAlign w:val="center"/>
                </w:tcPr>
                <w:p w14:paraId="28FC9A7F">
                  <w:pPr>
                    <w:keepNext w:val="0"/>
                    <w:keepLines w:val="0"/>
                    <w:suppressLineNumbers w:val="0"/>
                    <w:adjustRightInd w:val="0"/>
                    <w:snapToGrid w:val="0"/>
                    <w:spacing w:before="0" w:beforeAutospacing="0" w:after="0" w:afterAutospacing="0"/>
                    <w:ind w:left="0" w:right="0"/>
                    <w:jc w:val="center"/>
                    <w:rPr>
                      <w:rFonts w:hint="default" w:hAnsi="宋体"/>
                      <w:b w:val="0"/>
                      <w:bCs/>
                      <w:color w:val="auto"/>
                      <w:sz w:val="21"/>
                      <w:szCs w:val="21"/>
                      <w:lang w:val="en-US" w:eastAsia="zh-CN"/>
                    </w:rPr>
                  </w:pPr>
                  <w:r>
                    <w:rPr>
                      <w:rFonts w:hint="eastAsia" w:hAnsi="宋体"/>
                      <w:b w:val="0"/>
                      <w:bCs/>
                      <w:color w:val="auto"/>
                      <w:sz w:val="21"/>
                      <w:szCs w:val="21"/>
                      <w:lang w:val="en-US" w:eastAsia="zh-CN"/>
                    </w:rPr>
                    <w:t>非甲烷总烃</w:t>
                  </w:r>
                </w:p>
              </w:tc>
              <w:tc>
                <w:tcPr>
                  <w:tcW w:w="3489" w:type="dxa"/>
                  <w:tcBorders>
                    <w:top w:val="single" w:color="auto" w:sz="8" w:space="0"/>
                    <w:tl2br w:val="nil"/>
                    <w:tr2bl w:val="nil"/>
                  </w:tcBorders>
                  <w:noWrap w:val="0"/>
                  <w:vAlign w:val="center"/>
                </w:tcPr>
                <w:p w14:paraId="7BBA7427">
                  <w:pPr>
                    <w:keepNext w:val="0"/>
                    <w:keepLines w:val="0"/>
                    <w:suppressLineNumbers w:val="0"/>
                    <w:spacing w:before="0" w:beforeAutospacing="0" w:after="0" w:afterAutospacing="0"/>
                    <w:ind w:left="0" w:leftChars="0" w:right="0" w:rightChars="0"/>
                    <w:jc w:val="center"/>
                    <w:rPr>
                      <w:rFonts w:hint="default"/>
                      <w:sz w:val="21"/>
                      <w:szCs w:val="21"/>
                      <w:vertAlign w:val="baseline"/>
                      <w:lang w:val="en-US" w:eastAsia="zh-CN"/>
                    </w:rPr>
                  </w:pPr>
                  <w:r>
                    <w:rPr>
                      <w:rFonts w:hint="eastAsia" w:cs="宋体"/>
                      <w:color w:val="000000"/>
                      <w:sz w:val="21"/>
                      <w:szCs w:val="21"/>
                      <w:lang w:val="en-US" w:eastAsia="zh-CN" w:bidi="ar"/>
                    </w:rPr>
                    <w:t>有组织</w:t>
                  </w:r>
                  <w:r>
                    <w:rPr>
                      <w:rFonts w:hint="eastAsia" w:cs="宋体"/>
                      <w:color w:val="000000"/>
                      <w:sz w:val="21"/>
                      <w:szCs w:val="21"/>
                      <w:lang w:bidi="ar"/>
                    </w:rPr>
                    <w:t>排放浓度</w:t>
                  </w:r>
                  <w:r>
                    <w:rPr>
                      <w:rFonts w:hint="eastAsia"/>
                      <w:color w:val="000000"/>
                      <w:sz w:val="21"/>
                      <w:szCs w:val="21"/>
                      <w:lang w:val="en-US" w:eastAsia="zh-CN" w:bidi="ar"/>
                    </w:rPr>
                    <w:t>5</w:t>
                  </w:r>
                  <w:r>
                    <w:rPr>
                      <w:rFonts w:hint="default"/>
                      <w:color w:val="000000"/>
                      <w:sz w:val="21"/>
                      <w:szCs w:val="21"/>
                      <w:lang w:bidi="ar"/>
                    </w:rPr>
                    <w:t>0mg/m</w:t>
                  </w:r>
                  <w:r>
                    <w:rPr>
                      <w:rFonts w:hint="default"/>
                      <w:color w:val="000000"/>
                      <w:sz w:val="21"/>
                      <w:szCs w:val="21"/>
                      <w:vertAlign w:val="superscript"/>
                      <w:lang w:bidi="ar"/>
                    </w:rPr>
                    <w:t>3</w:t>
                  </w:r>
                  <w:r>
                    <w:rPr>
                      <w:rFonts w:hint="eastAsia"/>
                      <w:color w:val="000000"/>
                      <w:sz w:val="21"/>
                      <w:szCs w:val="21"/>
                      <w:vertAlign w:val="baseline"/>
                      <w:lang w:val="en-US" w:eastAsia="zh-CN" w:bidi="ar"/>
                    </w:rPr>
                    <w:t>，厂界最高浓度限值2.0</w:t>
                  </w:r>
                  <w:r>
                    <w:rPr>
                      <w:rFonts w:hint="default"/>
                      <w:color w:val="000000"/>
                      <w:sz w:val="21"/>
                      <w:szCs w:val="21"/>
                      <w:lang w:bidi="ar"/>
                    </w:rPr>
                    <w:t>mg/m</w:t>
                  </w:r>
                  <w:r>
                    <w:rPr>
                      <w:rFonts w:hint="default"/>
                      <w:color w:val="000000"/>
                      <w:sz w:val="21"/>
                      <w:szCs w:val="21"/>
                      <w:vertAlign w:val="superscript"/>
                      <w:lang w:bidi="ar"/>
                    </w:rPr>
                    <w:t>3</w:t>
                  </w:r>
                </w:p>
              </w:tc>
            </w:tr>
            <w:tr w14:paraId="48573E5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dxa"/>
                  <w:vMerge w:val="continue"/>
                  <w:tcBorders>
                    <w:tl2br w:val="nil"/>
                    <w:tr2bl w:val="nil"/>
                  </w:tcBorders>
                  <w:noWrap w:val="0"/>
                  <w:vAlign w:val="center"/>
                </w:tcPr>
                <w:p w14:paraId="79DC168C">
                  <w:pPr>
                    <w:keepNext w:val="0"/>
                    <w:keepLines w:val="0"/>
                    <w:suppressLineNumbers w:val="0"/>
                    <w:adjustRightInd w:val="0"/>
                    <w:snapToGrid w:val="0"/>
                    <w:spacing w:before="0" w:beforeAutospacing="0" w:after="0" w:afterAutospacing="0"/>
                    <w:ind w:left="0" w:right="0"/>
                    <w:jc w:val="center"/>
                    <w:rPr>
                      <w:rFonts w:hint="eastAsia" w:hAnsi="宋体"/>
                      <w:color w:val="auto"/>
                      <w:sz w:val="21"/>
                      <w:szCs w:val="21"/>
                      <w:lang w:val="en-US" w:eastAsia="zh-CN"/>
                    </w:rPr>
                  </w:pPr>
                </w:p>
              </w:tc>
              <w:tc>
                <w:tcPr>
                  <w:tcW w:w="3465" w:type="dxa"/>
                  <w:vMerge w:val="continue"/>
                  <w:tcBorders>
                    <w:tl2br w:val="nil"/>
                    <w:tr2bl w:val="nil"/>
                  </w:tcBorders>
                  <w:shd w:val="clear" w:color="auto" w:fill="auto"/>
                  <w:noWrap w:val="0"/>
                  <w:vAlign w:val="center"/>
                </w:tcPr>
                <w:p w14:paraId="1F6B5456">
                  <w:pPr>
                    <w:keepNext w:val="0"/>
                    <w:keepLines w:val="0"/>
                    <w:suppressLineNumbers w:val="0"/>
                    <w:adjustRightInd w:val="0"/>
                    <w:snapToGrid w:val="0"/>
                    <w:spacing w:before="0" w:beforeAutospacing="0" w:after="0" w:afterAutospacing="0" w:line="240" w:lineRule="auto"/>
                    <w:ind w:left="0" w:leftChars="0" w:right="0" w:rightChars="0"/>
                    <w:jc w:val="both"/>
                    <w:rPr>
                      <w:rFonts w:hint="default" w:hAnsi="宋体"/>
                      <w:color w:val="000000"/>
                      <w:kern w:val="0"/>
                      <w:sz w:val="21"/>
                      <w:szCs w:val="21"/>
                      <w:highlight w:val="none"/>
                      <w:vertAlign w:val="baseline"/>
                      <w:lang w:val="en-US" w:eastAsia="zh-CN"/>
                    </w:rPr>
                  </w:pPr>
                </w:p>
              </w:tc>
              <w:tc>
                <w:tcPr>
                  <w:tcW w:w="930" w:type="dxa"/>
                  <w:tcBorders>
                    <w:tl2br w:val="nil"/>
                    <w:tr2bl w:val="nil"/>
                  </w:tcBorders>
                  <w:noWrap w:val="0"/>
                  <w:vAlign w:val="center"/>
                </w:tcPr>
                <w:p w14:paraId="5D085BBF">
                  <w:pPr>
                    <w:keepNext w:val="0"/>
                    <w:keepLines w:val="0"/>
                    <w:suppressLineNumbers w:val="0"/>
                    <w:adjustRightInd w:val="0"/>
                    <w:snapToGrid w:val="0"/>
                    <w:spacing w:before="0" w:beforeAutospacing="0" w:after="0" w:afterAutospacing="0"/>
                    <w:ind w:left="0" w:right="0"/>
                    <w:jc w:val="center"/>
                    <w:rPr>
                      <w:rFonts w:hint="default" w:hAnsi="宋体"/>
                      <w:b w:val="0"/>
                      <w:bCs/>
                      <w:color w:val="auto"/>
                      <w:sz w:val="21"/>
                      <w:szCs w:val="21"/>
                      <w:lang w:val="en-US" w:eastAsia="zh-CN"/>
                    </w:rPr>
                  </w:pPr>
                  <w:r>
                    <w:rPr>
                      <w:rFonts w:hint="eastAsia" w:hAnsi="宋体"/>
                      <w:b w:val="0"/>
                      <w:bCs/>
                      <w:color w:val="auto"/>
                      <w:sz w:val="21"/>
                      <w:szCs w:val="21"/>
                      <w:lang w:val="en-US" w:eastAsia="zh-CN"/>
                    </w:rPr>
                    <w:t>颗粒物</w:t>
                  </w:r>
                </w:p>
              </w:tc>
              <w:tc>
                <w:tcPr>
                  <w:tcW w:w="3489" w:type="dxa"/>
                  <w:tcBorders>
                    <w:tl2br w:val="nil"/>
                    <w:tr2bl w:val="nil"/>
                  </w:tcBorders>
                  <w:noWrap w:val="0"/>
                  <w:vAlign w:val="center"/>
                </w:tcPr>
                <w:p w14:paraId="7CCDA6CF">
                  <w:pPr>
                    <w:keepNext w:val="0"/>
                    <w:keepLines w:val="0"/>
                    <w:suppressLineNumbers w:val="0"/>
                    <w:spacing w:before="0" w:beforeAutospacing="0" w:after="0" w:afterAutospacing="0"/>
                    <w:ind w:left="0" w:leftChars="0" w:right="0" w:rightChars="0"/>
                    <w:jc w:val="center"/>
                    <w:rPr>
                      <w:rFonts w:hint="eastAsia" w:eastAsia="宋体"/>
                      <w:sz w:val="21"/>
                      <w:szCs w:val="21"/>
                      <w:lang w:val="en-US" w:eastAsia="zh-CN"/>
                    </w:rPr>
                  </w:pPr>
                  <w:r>
                    <w:rPr>
                      <w:rFonts w:hint="eastAsia" w:cs="宋体"/>
                      <w:color w:val="000000"/>
                      <w:sz w:val="21"/>
                      <w:szCs w:val="21"/>
                      <w:lang w:val="en-US" w:eastAsia="zh-CN" w:bidi="ar"/>
                    </w:rPr>
                    <w:t>有组织</w:t>
                  </w:r>
                  <w:r>
                    <w:rPr>
                      <w:rFonts w:hint="eastAsia" w:cs="宋体"/>
                      <w:color w:val="000000"/>
                      <w:sz w:val="21"/>
                      <w:szCs w:val="21"/>
                      <w:lang w:bidi="ar"/>
                    </w:rPr>
                    <w:t>排放浓度</w:t>
                  </w:r>
                  <w:r>
                    <w:rPr>
                      <w:rFonts w:hint="eastAsia"/>
                      <w:color w:val="000000"/>
                      <w:sz w:val="21"/>
                      <w:szCs w:val="21"/>
                      <w:lang w:val="en-US" w:eastAsia="zh-CN" w:bidi="ar"/>
                    </w:rPr>
                    <w:t>30</w:t>
                  </w:r>
                  <w:r>
                    <w:rPr>
                      <w:rFonts w:hint="default"/>
                      <w:color w:val="000000"/>
                      <w:sz w:val="21"/>
                      <w:szCs w:val="21"/>
                      <w:lang w:bidi="ar"/>
                    </w:rPr>
                    <w:t>mg/m</w:t>
                  </w:r>
                  <w:r>
                    <w:rPr>
                      <w:rFonts w:hint="default"/>
                      <w:color w:val="000000"/>
                      <w:sz w:val="21"/>
                      <w:szCs w:val="21"/>
                      <w:vertAlign w:val="superscript"/>
                      <w:lang w:bidi="ar"/>
                    </w:rPr>
                    <w:t>3</w:t>
                  </w:r>
                  <w:r>
                    <w:rPr>
                      <w:rFonts w:hint="eastAsia"/>
                      <w:color w:val="000000"/>
                      <w:sz w:val="21"/>
                      <w:szCs w:val="21"/>
                      <w:vertAlign w:val="baseline"/>
                      <w:lang w:eastAsia="zh-CN" w:bidi="ar"/>
                    </w:rPr>
                    <w:t>，</w:t>
                  </w:r>
                  <w:r>
                    <w:rPr>
                      <w:rFonts w:hint="eastAsia"/>
                      <w:color w:val="000000"/>
                      <w:sz w:val="21"/>
                      <w:szCs w:val="21"/>
                      <w:vertAlign w:val="baseline"/>
                      <w:lang w:val="en-US" w:eastAsia="zh-CN" w:bidi="ar"/>
                    </w:rPr>
                    <w:t>厂界最高浓度限值0.3</w:t>
                  </w:r>
                  <w:r>
                    <w:rPr>
                      <w:rFonts w:hint="default"/>
                      <w:color w:val="000000"/>
                      <w:sz w:val="21"/>
                      <w:szCs w:val="21"/>
                      <w:lang w:bidi="ar"/>
                    </w:rPr>
                    <w:t>mg/m</w:t>
                  </w:r>
                  <w:r>
                    <w:rPr>
                      <w:rFonts w:hint="default"/>
                      <w:color w:val="000000"/>
                      <w:sz w:val="21"/>
                      <w:szCs w:val="21"/>
                      <w:vertAlign w:val="superscript"/>
                      <w:lang w:bidi="ar"/>
                    </w:rPr>
                    <w:t>3</w:t>
                  </w:r>
                </w:p>
              </w:tc>
            </w:tr>
            <w:tr w14:paraId="78F4DF6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dxa"/>
                  <w:vMerge w:val="continue"/>
                  <w:tcBorders>
                    <w:tl2br w:val="nil"/>
                    <w:tr2bl w:val="nil"/>
                  </w:tcBorders>
                  <w:noWrap w:val="0"/>
                  <w:vAlign w:val="center"/>
                </w:tcPr>
                <w:p w14:paraId="0EFCBCEB">
                  <w:pPr>
                    <w:keepNext w:val="0"/>
                    <w:keepLines w:val="0"/>
                    <w:suppressLineNumbers w:val="0"/>
                    <w:adjustRightInd w:val="0"/>
                    <w:snapToGrid w:val="0"/>
                    <w:spacing w:before="0" w:beforeAutospacing="0" w:after="0" w:afterAutospacing="0"/>
                    <w:ind w:left="0" w:right="0"/>
                    <w:jc w:val="center"/>
                    <w:rPr>
                      <w:rFonts w:hint="eastAsia" w:hAnsi="宋体"/>
                      <w:color w:val="auto"/>
                      <w:sz w:val="21"/>
                      <w:szCs w:val="21"/>
                      <w:lang w:val="en-US" w:eastAsia="zh-CN"/>
                    </w:rPr>
                  </w:pPr>
                </w:p>
              </w:tc>
              <w:tc>
                <w:tcPr>
                  <w:tcW w:w="3465" w:type="dxa"/>
                  <w:vMerge w:val="restart"/>
                  <w:tcBorders>
                    <w:tl2br w:val="nil"/>
                    <w:tr2bl w:val="nil"/>
                  </w:tcBorders>
                  <w:shd w:val="clear" w:color="auto" w:fill="auto"/>
                  <w:noWrap w:val="0"/>
                  <w:vAlign w:val="center"/>
                </w:tcPr>
                <w:p w14:paraId="2364A9F8">
                  <w:pPr>
                    <w:keepNext w:val="0"/>
                    <w:keepLines w:val="0"/>
                    <w:suppressLineNumbers w:val="0"/>
                    <w:adjustRightInd w:val="0"/>
                    <w:snapToGrid w:val="0"/>
                    <w:spacing w:before="0" w:beforeAutospacing="0" w:after="0" w:afterAutospacing="0" w:line="240" w:lineRule="auto"/>
                    <w:ind w:left="0" w:leftChars="0" w:right="0" w:rightChars="0"/>
                    <w:jc w:val="both"/>
                    <w:rPr>
                      <w:rFonts w:hint="default" w:hAnsi="宋体"/>
                      <w:color w:val="000000"/>
                      <w:kern w:val="0"/>
                      <w:sz w:val="21"/>
                      <w:szCs w:val="21"/>
                      <w:highlight w:val="none"/>
                      <w:vertAlign w:val="baseline"/>
                      <w:lang w:val="en-US" w:eastAsia="zh-CN"/>
                    </w:rPr>
                  </w:pPr>
                  <w:r>
                    <w:rPr>
                      <w:rFonts w:hint="eastAsia" w:hAnsi="宋体"/>
                      <w:color w:val="000000"/>
                      <w:kern w:val="0"/>
                      <w:sz w:val="21"/>
                      <w:szCs w:val="21"/>
                      <w:highlight w:val="none"/>
                      <w:vertAlign w:val="baseline"/>
                      <w:lang w:val="en-US" w:eastAsia="zh-CN"/>
                    </w:rPr>
                    <w:t>《大气综合排放标准》（GB16297-1996）</w:t>
                  </w:r>
                </w:p>
              </w:tc>
              <w:tc>
                <w:tcPr>
                  <w:tcW w:w="930" w:type="dxa"/>
                  <w:tcBorders>
                    <w:tl2br w:val="nil"/>
                    <w:tr2bl w:val="nil"/>
                  </w:tcBorders>
                  <w:noWrap w:val="0"/>
                  <w:vAlign w:val="center"/>
                </w:tcPr>
                <w:p w14:paraId="6565EC04">
                  <w:pPr>
                    <w:keepNext w:val="0"/>
                    <w:keepLines w:val="0"/>
                    <w:suppressLineNumbers w:val="0"/>
                    <w:adjustRightInd w:val="0"/>
                    <w:snapToGrid w:val="0"/>
                    <w:spacing w:before="0" w:beforeAutospacing="0" w:after="0" w:afterAutospacing="0"/>
                    <w:ind w:left="0" w:leftChars="0" w:right="0" w:rightChars="0"/>
                    <w:jc w:val="center"/>
                    <w:rPr>
                      <w:rFonts w:hint="eastAsia" w:hAnsi="宋体"/>
                      <w:b w:val="0"/>
                      <w:bCs/>
                      <w:color w:val="auto"/>
                      <w:sz w:val="21"/>
                      <w:szCs w:val="21"/>
                      <w:lang w:val="en-US" w:eastAsia="zh-CN"/>
                    </w:rPr>
                  </w:pPr>
                  <w:r>
                    <w:rPr>
                      <w:rFonts w:hint="eastAsia"/>
                      <w:color w:val="auto"/>
                      <w:sz w:val="21"/>
                      <w:szCs w:val="21"/>
                      <w:shd w:val="clear" w:color="auto" w:fill="FFFFFF"/>
                      <w:lang w:val="en-US" w:eastAsia="zh-CN"/>
                    </w:rPr>
                    <w:t>非甲烷总烃</w:t>
                  </w:r>
                </w:p>
              </w:tc>
              <w:tc>
                <w:tcPr>
                  <w:tcW w:w="3489" w:type="dxa"/>
                  <w:tcBorders>
                    <w:tl2br w:val="nil"/>
                    <w:tr2bl w:val="nil"/>
                  </w:tcBorders>
                  <w:noWrap w:val="0"/>
                  <w:vAlign w:val="center"/>
                </w:tcPr>
                <w:p w14:paraId="2E24B0A2">
                  <w:pPr>
                    <w:keepNext w:val="0"/>
                    <w:keepLines w:val="0"/>
                    <w:suppressLineNumbers w:val="0"/>
                    <w:adjustRightInd w:val="0"/>
                    <w:snapToGrid w:val="0"/>
                    <w:spacing w:before="0" w:beforeAutospacing="0" w:after="0" w:afterAutospacing="0"/>
                    <w:ind w:left="0" w:right="0"/>
                    <w:jc w:val="center"/>
                    <w:rPr>
                      <w:rFonts w:hint="eastAsia"/>
                      <w:sz w:val="21"/>
                      <w:szCs w:val="21"/>
                      <w:lang w:eastAsia="zh-CN"/>
                    </w:rPr>
                  </w:pPr>
                  <w:r>
                    <w:rPr>
                      <w:rFonts w:hint="default"/>
                      <w:sz w:val="21"/>
                      <w:szCs w:val="21"/>
                      <w:highlight w:val="none"/>
                    </w:rPr>
                    <w:t>排放</w:t>
                  </w:r>
                  <w:r>
                    <w:rPr>
                      <w:rFonts w:hint="default"/>
                      <w:sz w:val="21"/>
                      <w:szCs w:val="21"/>
                    </w:rPr>
                    <w:t>速率</w:t>
                  </w:r>
                  <w:r>
                    <w:rPr>
                      <w:rFonts w:hint="eastAsia"/>
                      <w:sz w:val="21"/>
                      <w:szCs w:val="21"/>
                      <w:lang w:val="en-US" w:eastAsia="zh-CN"/>
                    </w:rPr>
                    <w:t>10</w:t>
                  </w:r>
                  <w:r>
                    <w:rPr>
                      <w:rFonts w:hint="default"/>
                      <w:sz w:val="21"/>
                      <w:szCs w:val="21"/>
                    </w:rPr>
                    <w:t>kg/h</w:t>
                  </w:r>
                  <w:r>
                    <w:rPr>
                      <w:rFonts w:hint="eastAsia"/>
                      <w:sz w:val="21"/>
                      <w:szCs w:val="21"/>
                      <w:lang w:eastAsia="zh-CN"/>
                    </w:rPr>
                    <w:t>，</w:t>
                  </w:r>
                </w:p>
                <w:p w14:paraId="4E33A7DB">
                  <w:pPr>
                    <w:keepNext w:val="0"/>
                    <w:keepLines w:val="0"/>
                    <w:suppressLineNumbers w:val="0"/>
                    <w:adjustRightInd w:val="0"/>
                    <w:snapToGrid w:val="0"/>
                    <w:spacing w:before="0" w:beforeAutospacing="0" w:after="0" w:afterAutospacing="0"/>
                    <w:ind w:left="0" w:leftChars="0" w:right="0" w:rightChars="0"/>
                    <w:jc w:val="center"/>
                    <w:rPr>
                      <w:rFonts w:hint="eastAsia" w:cs="宋体"/>
                      <w:color w:val="000000"/>
                      <w:sz w:val="21"/>
                      <w:szCs w:val="21"/>
                      <w:lang w:val="en-US" w:eastAsia="zh-CN" w:bidi="ar"/>
                    </w:rPr>
                  </w:pPr>
                  <w:r>
                    <w:rPr>
                      <w:rFonts w:hint="eastAsia"/>
                      <w:sz w:val="21"/>
                      <w:szCs w:val="21"/>
                      <w:lang w:val="en-US" w:eastAsia="zh-CN"/>
                    </w:rPr>
                    <w:t>厂界处浓度4.0mg/m</w:t>
                  </w:r>
                  <w:r>
                    <w:rPr>
                      <w:rFonts w:hint="eastAsia"/>
                      <w:sz w:val="21"/>
                      <w:szCs w:val="21"/>
                      <w:vertAlign w:val="superscript"/>
                      <w:lang w:val="en-US" w:eastAsia="zh-CN"/>
                    </w:rPr>
                    <w:t>3</w:t>
                  </w:r>
                </w:p>
              </w:tc>
            </w:tr>
            <w:tr w14:paraId="29F6F16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dxa"/>
                  <w:vMerge w:val="continue"/>
                  <w:tcBorders>
                    <w:tl2br w:val="nil"/>
                    <w:tr2bl w:val="nil"/>
                  </w:tcBorders>
                  <w:noWrap w:val="0"/>
                  <w:vAlign w:val="center"/>
                </w:tcPr>
                <w:p w14:paraId="3E80AAED">
                  <w:pPr>
                    <w:keepNext w:val="0"/>
                    <w:keepLines w:val="0"/>
                    <w:suppressLineNumbers w:val="0"/>
                    <w:adjustRightInd w:val="0"/>
                    <w:snapToGrid w:val="0"/>
                    <w:spacing w:before="0" w:beforeAutospacing="0" w:after="0" w:afterAutospacing="0"/>
                    <w:ind w:left="0" w:right="0"/>
                    <w:jc w:val="center"/>
                    <w:rPr>
                      <w:rFonts w:hint="eastAsia" w:hAnsi="宋体"/>
                      <w:color w:val="auto"/>
                      <w:sz w:val="21"/>
                      <w:szCs w:val="21"/>
                      <w:lang w:val="en-US" w:eastAsia="zh-CN"/>
                    </w:rPr>
                  </w:pPr>
                </w:p>
              </w:tc>
              <w:tc>
                <w:tcPr>
                  <w:tcW w:w="3465" w:type="dxa"/>
                  <w:vMerge w:val="continue"/>
                  <w:tcBorders>
                    <w:tl2br w:val="nil"/>
                    <w:tr2bl w:val="nil"/>
                  </w:tcBorders>
                  <w:shd w:val="clear" w:color="auto" w:fill="auto"/>
                  <w:noWrap w:val="0"/>
                  <w:vAlign w:val="center"/>
                </w:tcPr>
                <w:p w14:paraId="5FC273FF">
                  <w:pPr>
                    <w:keepNext w:val="0"/>
                    <w:keepLines w:val="0"/>
                    <w:suppressLineNumbers w:val="0"/>
                    <w:adjustRightInd w:val="0"/>
                    <w:snapToGrid w:val="0"/>
                    <w:spacing w:before="0" w:beforeAutospacing="0" w:after="0" w:afterAutospacing="0" w:line="240" w:lineRule="auto"/>
                    <w:ind w:left="0" w:leftChars="0" w:right="0" w:rightChars="0"/>
                    <w:jc w:val="both"/>
                    <w:rPr>
                      <w:rFonts w:hint="eastAsia" w:hAnsi="宋体"/>
                      <w:color w:val="000000"/>
                      <w:kern w:val="0"/>
                      <w:sz w:val="21"/>
                      <w:szCs w:val="21"/>
                      <w:highlight w:val="none"/>
                      <w:vertAlign w:val="baseline"/>
                      <w:lang w:val="en-US" w:eastAsia="zh-CN"/>
                    </w:rPr>
                  </w:pPr>
                </w:p>
              </w:tc>
              <w:tc>
                <w:tcPr>
                  <w:tcW w:w="930" w:type="dxa"/>
                  <w:tcBorders>
                    <w:tl2br w:val="nil"/>
                    <w:tr2bl w:val="nil"/>
                  </w:tcBorders>
                  <w:noWrap w:val="0"/>
                  <w:vAlign w:val="center"/>
                </w:tcPr>
                <w:p w14:paraId="721A705F">
                  <w:pPr>
                    <w:keepNext w:val="0"/>
                    <w:keepLines w:val="0"/>
                    <w:suppressLineNumbers w:val="0"/>
                    <w:adjustRightInd w:val="0"/>
                    <w:snapToGrid w:val="0"/>
                    <w:spacing w:before="0" w:beforeAutospacing="0" w:after="0" w:afterAutospacing="0"/>
                    <w:ind w:left="0" w:leftChars="0" w:right="0" w:rightChars="0"/>
                    <w:jc w:val="center"/>
                    <w:rPr>
                      <w:rFonts w:hint="eastAsia" w:hAnsi="宋体"/>
                      <w:b w:val="0"/>
                      <w:bCs/>
                      <w:color w:val="auto"/>
                      <w:sz w:val="21"/>
                      <w:szCs w:val="21"/>
                      <w:lang w:val="en-US" w:eastAsia="zh-CN"/>
                    </w:rPr>
                  </w:pPr>
                  <w:r>
                    <w:rPr>
                      <w:rFonts w:hint="eastAsia"/>
                      <w:color w:val="auto"/>
                      <w:sz w:val="21"/>
                      <w:szCs w:val="21"/>
                      <w:shd w:val="clear" w:color="auto" w:fill="FFFFFF"/>
                      <w:lang w:val="en-US" w:eastAsia="zh-CN"/>
                    </w:rPr>
                    <w:t>颗粒物</w:t>
                  </w:r>
                </w:p>
              </w:tc>
              <w:tc>
                <w:tcPr>
                  <w:tcW w:w="3489" w:type="dxa"/>
                  <w:tcBorders>
                    <w:tl2br w:val="nil"/>
                    <w:tr2bl w:val="nil"/>
                  </w:tcBorders>
                  <w:noWrap w:val="0"/>
                  <w:vAlign w:val="center"/>
                </w:tcPr>
                <w:p w14:paraId="5595461B">
                  <w:pPr>
                    <w:keepNext w:val="0"/>
                    <w:keepLines w:val="0"/>
                    <w:suppressLineNumbers w:val="0"/>
                    <w:adjustRightInd w:val="0"/>
                    <w:snapToGrid w:val="0"/>
                    <w:spacing w:before="0" w:beforeAutospacing="0" w:after="0" w:afterAutospacing="0"/>
                    <w:ind w:left="0" w:right="0"/>
                    <w:jc w:val="center"/>
                    <w:rPr>
                      <w:rFonts w:hint="eastAsia"/>
                      <w:sz w:val="21"/>
                      <w:szCs w:val="21"/>
                      <w:lang w:eastAsia="zh-CN"/>
                    </w:rPr>
                  </w:pPr>
                  <w:r>
                    <w:rPr>
                      <w:rFonts w:hint="default"/>
                      <w:sz w:val="21"/>
                      <w:szCs w:val="21"/>
                      <w:highlight w:val="none"/>
                    </w:rPr>
                    <w:t>排放</w:t>
                  </w:r>
                  <w:r>
                    <w:rPr>
                      <w:rFonts w:hint="default"/>
                      <w:sz w:val="21"/>
                      <w:szCs w:val="21"/>
                    </w:rPr>
                    <w:t>速率</w:t>
                  </w:r>
                  <w:r>
                    <w:rPr>
                      <w:rFonts w:hint="eastAsia"/>
                      <w:sz w:val="21"/>
                      <w:szCs w:val="21"/>
                      <w:lang w:val="en-US" w:eastAsia="zh-CN"/>
                    </w:rPr>
                    <w:t>3.5</w:t>
                  </w:r>
                  <w:r>
                    <w:rPr>
                      <w:rFonts w:hint="default"/>
                      <w:sz w:val="21"/>
                      <w:szCs w:val="21"/>
                    </w:rPr>
                    <w:t>kg/h</w:t>
                  </w:r>
                  <w:r>
                    <w:rPr>
                      <w:rFonts w:hint="eastAsia"/>
                      <w:sz w:val="21"/>
                      <w:szCs w:val="21"/>
                      <w:lang w:eastAsia="zh-CN"/>
                    </w:rPr>
                    <w:t>，</w:t>
                  </w:r>
                </w:p>
                <w:p w14:paraId="5311837A">
                  <w:pPr>
                    <w:keepNext w:val="0"/>
                    <w:keepLines w:val="0"/>
                    <w:suppressLineNumbers w:val="0"/>
                    <w:adjustRightInd w:val="0"/>
                    <w:snapToGrid w:val="0"/>
                    <w:spacing w:before="0" w:beforeAutospacing="0" w:after="0" w:afterAutospacing="0"/>
                    <w:ind w:left="0" w:leftChars="0" w:right="0" w:rightChars="0"/>
                    <w:jc w:val="center"/>
                    <w:rPr>
                      <w:rFonts w:hint="eastAsia" w:cs="宋体"/>
                      <w:color w:val="000000"/>
                      <w:sz w:val="21"/>
                      <w:szCs w:val="21"/>
                      <w:lang w:val="en-US" w:eastAsia="zh-CN" w:bidi="ar"/>
                    </w:rPr>
                  </w:pPr>
                  <w:r>
                    <w:rPr>
                      <w:rFonts w:hint="eastAsia"/>
                      <w:sz w:val="21"/>
                      <w:szCs w:val="21"/>
                      <w:lang w:val="en-US" w:eastAsia="zh-CN"/>
                    </w:rPr>
                    <w:t>厂界处浓度1.0mg/m</w:t>
                  </w:r>
                  <w:r>
                    <w:rPr>
                      <w:rFonts w:hint="eastAsia"/>
                      <w:sz w:val="21"/>
                      <w:szCs w:val="21"/>
                      <w:vertAlign w:val="superscript"/>
                      <w:lang w:val="en-US" w:eastAsia="zh-CN"/>
                    </w:rPr>
                    <w:t>3</w:t>
                  </w:r>
                </w:p>
              </w:tc>
            </w:tr>
            <w:tr w14:paraId="7ACBC87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dxa"/>
                  <w:vMerge w:val="continue"/>
                  <w:tcBorders>
                    <w:tl2br w:val="nil"/>
                    <w:tr2bl w:val="nil"/>
                  </w:tcBorders>
                  <w:noWrap w:val="0"/>
                  <w:vAlign w:val="center"/>
                </w:tcPr>
                <w:p w14:paraId="74AF489A">
                  <w:pPr>
                    <w:keepNext w:val="0"/>
                    <w:keepLines w:val="0"/>
                    <w:suppressLineNumbers w:val="0"/>
                    <w:adjustRightInd w:val="0"/>
                    <w:snapToGrid w:val="0"/>
                    <w:spacing w:before="0" w:beforeAutospacing="0" w:after="0" w:afterAutospacing="0"/>
                    <w:ind w:left="0" w:right="0"/>
                    <w:jc w:val="center"/>
                    <w:rPr>
                      <w:rFonts w:hint="eastAsia" w:hAnsi="宋体"/>
                      <w:color w:val="auto"/>
                      <w:sz w:val="21"/>
                      <w:szCs w:val="21"/>
                      <w:lang w:val="en-US" w:eastAsia="zh-CN"/>
                    </w:rPr>
                  </w:pPr>
                </w:p>
              </w:tc>
              <w:tc>
                <w:tcPr>
                  <w:tcW w:w="3465" w:type="dxa"/>
                  <w:tcBorders>
                    <w:tl2br w:val="nil"/>
                    <w:tr2bl w:val="nil"/>
                  </w:tcBorders>
                  <w:shd w:val="clear" w:color="auto" w:fill="auto"/>
                  <w:noWrap w:val="0"/>
                  <w:vAlign w:val="center"/>
                </w:tcPr>
                <w:p w14:paraId="66C21FE6">
                  <w:pPr>
                    <w:keepNext w:val="0"/>
                    <w:keepLines w:val="0"/>
                    <w:suppressLineNumbers w:val="0"/>
                    <w:adjustRightInd w:val="0"/>
                    <w:snapToGrid w:val="0"/>
                    <w:spacing w:before="0" w:beforeAutospacing="0" w:after="0" w:afterAutospacing="0" w:line="240" w:lineRule="auto"/>
                    <w:ind w:left="0" w:leftChars="0" w:right="0" w:rightChars="0"/>
                    <w:jc w:val="both"/>
                    <w:rPr>
                      <w:rFonts w:hint="default" w:hAnsi="宋体"/>
                      <w:color w:val="000000"/>
                      <w:kern w:val="0"/>
                      <w:sz w:val="21"/>
                      <w:szCs w:val="21"/>
                      <w:highlight w:val="none"/>
                      <w:vertAlign w:val="baseline"/>
                      <w:lang w:val="en-US" w:eastAsia="zh-CN"/>
                    </w:rPr>
                  </w:pPr>
                  <w:r>
                    <w:rPr>
                      <w:rFonts w:hint="eastAsia" w:hAnsi="宋体"/>
                      <w:color w:val="000000"/>
                      <w:kern w:val="0"/>
                      <w:sz w:val="21"/>
                      <w:szCs w:val="21"/>
                      <w:highlight w:val="none"/>
                      <w:vertAlign w:val="baseline"/>
                      <w:lang w:val="en-US" w:eastAsia="zh-CN"/>
                    </w:rPr>
                    <w:t>新乡市生态环境局关于进一步规范工业企业颗粒物排放限值的通知</w:t>
                  </w:r>
                </w:p>
              </w:tc>
              <w:tc>
                <w:tcPr>
                  <w:tcW w:w="930" w:type="dxa"/>
                  <w:tcBorders>
                    <w:tl2br w:val="nil"/>
                    <w:tr2bl w:val="nil"/>
                  </w:tcBorders>
                  <w:noWrap w:val="0"/>
                  <w:vAlign w:val="center"/>
                </w:tcPr>
                <w:p w14:paraId="16BAE297">
                  <w:pPr>
                    <w:keepNext w:val="0"/>
                    <w:keepLines w:val="0"/>
                    <w:suppressLineNumbers w:val="0"/>
                    <w:adjustRightInd w:val="0"/>
                    <w:snapToGrid w:val="0"/>
                    <w:spacing w:before="0" w:beforeAutospacing="0" w:after="0" w:afterAutospacing="0"/>
                    <w:ind w:left="0" w:right="0"/>
                    <w:jc w:val="center"/>
                    <w:rPr>
                      <w:rFonts w:hint="default" w:hAnsi="宋体"/>
                      <w:b w:val="0"/>
                      <w:bCs/>
                      <w:color w:val="auto"/>
                      <w:sz w:val="21"/>
                      <w:szCs w:val="21"/>
                      <w:lang w:val="en-US" w:eastAsia="zh-CN"/>
                    </w:rPr>
                  </w:pPr>
                  <w:r>
                    <w:rPr>
                      <w:rFonts w:hint="eastAsia" w:hAnsi="宋体"/>
                      <w:b w:val="0"/>
                      <w:bCs/>
                      <w:color w:val="auto"/>
                      <w:sz w:val="21"/>
                      <w:szCs w:val="21"/>
                      <w:lang w:val="en-US" w:eastAsia="zh-CN"/>
                    </w:rPr>
                    <w:t>颗粒物</w:t>
                  </w:r>
                </w:p>
              </w:tc>
              <w:tc>
                <w:tcPr>
                  <w:tcW w:w="3489" w:type="dxa"/>
                  <w:tcBorders>
                    <w:tl2br w:val="nil"/>
                    <w:tr2bl w:val="nil"/>
                  </w:tcBorders>
                  <w:noWrap w:val="0"/>
                  <w:vAlign w:val="center"/>
                </w:tcPr>
                <w:p w14:paraId="42976942">
                  <w:pPr>
                    <w:keepNext w:val="0"/>
                    <w:keepLines w:val="0"/>
                    <w:suppressLineNumbers w:val="0"/>
                    <w:spacing w:before="0" w:beforeAutospacing="0" w:after="0" w:afterAutospacing="0"/>
                    <w:ind w:left="0" w:leftChars="0" w:right="0" w:rightChars="0"/>
                    <w:jc w:val="center"/>
                    <w:rPr>
                      <w:rFonts w:hint="eastAsia" w:cs="宋体"/>
                      <w:color w:val="000000"/>
                      <w:sz w:val="21"/>
                      <w:szCs w:val="21"/>
                      <w:lang w:val="en-US" w:eastAsia="zh-CN" w:bidi="ar"/>
                    </w:rPr>
                  </w:pPr>
                  <w:r>
                    <w:rPr>
                      <w:rFonts w:hint="eastAsia" w:cs="宋体"/>
                      <w:color w:val="000000"/>
                      <w:sz w:val="21"/>
                      <w:szCs w:val="21"/>
                      <w:lang w:val="en-US" w:eastAsia="zh-CN" w:bidi="ar"/>
                    </w:rPr>
                    <w:t>有组织</w:t>
                  </w:r>
                  <w:r>
                    <w:rPr>
                      <w:rFonts w:hint="eastAsia" w:cs="宋体"/>
                      <w:color w:val="000000"/>
                      <w:sz w:val="21"/>
                      <w:szCs w:val="21"/>
                      <w:lang w:bidi="ar"/>
                    </w:rPr>
                    <w:t>排放浓度</w:t>
                  </w:r>
                  <w:r>
                    <w:rPr>
                      <w:rFonts w:hint="eastAsia"/>
                      <w:color w:val="000000"/>
                      <w:sz w:val="21"/>
                      <w:szCs w:val="21"/>
                      <w:lang w:val="en-US" w:eastAsia="zh-CN" w:bidi="ar"/>
                    </w:rPr>
                    <w:t>10</w:t>
                  </w:r>
                  <w:r>
                    <w:rPr>
                      <w:rFonts w:hint="default"/>
                      <w:color w:val="000000"/>
                      <w:sz w:val="21"/>
                      <w:szCs w:val="21"/>
                      <w:lang w:bidi="ar"/>
                    </w:rPr>
                    <w:t>mg/m</w:t>
                  </w:r>
                  <w:r>
                    <w:rPr>
                      <w:rFonts w:hint="default"/>
                      <w:color w:val="000000"/>
                      <w:sz w:val="21"/>
                      <w:szCs w:val="21"/>
                      <w:vertAlign w:val="superscript"/>
                      <w:lang w:bidi="ar"/>
                    </w:rPr>
                    <w:t>3</w:t>
                  </w:r>
                  <w:r>
                    <w:rPr>
                      <w:rFonts w:hint="eastAsia"/>
                      <w:color w:val="000000"/>
                      <w:sz w:val="21"/>
                      <w:szCs w:val="21"/>
                      <w:vertAlign w:val="baseline"/>
                      <w:lang w:val="en-US" w:eastAsia="zh-CN" w:bidi="ar"/>
                    </w:rPr>
                    <w:t>，厂界最高浓度限值0.5</w:t>
                  </w:r>
                  <w:r>
                    <w:rPr>
                      <w:rFonts w:hint="default"/>
                      <w:color w:val="000000"/>
                      <w:sz w:val="21"/>
                      <w:szCs w:val="21"/>
                      <w:lang w:bidi="ar"/>
                    </w:rPr>
                    <w:t>mg/m</w:t>
                  </w:r>
                  <w:r>
                    <w:rPr>
                      <w:rFonts w:hint="default"/>
                      <w:color w:val="000000"/>
                      <w:sz w:val="21"/>
                      <w:szCs w:val="21"/>
                      <w:vertAlign w:val="superscript"/>
                      <w:lang w:bidi="ar"/>
                    </w:rPr>
                    <w:t>3</w:t>
                  </w:r>
                </w:p>
              </w:tc>
            </w:tr>
            <w:tr w14:paraId="6C6E11C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dxa"/>
                  <w:vMerge w:val="continue"/>
                  <w:tcBorders>
                    <w:tl2br w:val="nil"/>
                    <w:tr2bl w:val="nil"/>
                  </w:tcBorders>
                  <w:noWrap w:val="0"/>
                  <w:vAlign w:val="center"/>
                </w:tcPr>
                <w:p w14:paraId="35ED0129">
                  <w:pPr>
                    <w:keepNext w:val="0"/>
                    <w:keepLines w:val="0"/>
                    <w:suppressLineNumbers w:val="0"/>
                    <w:adjustRightInd w:val="0"/>
                    <w:snapToGrid w:val="0"/>
                    <w:spacing w:before="0" w:beforeAutospacing="0" w:after="0" w:afterAutospacing="0"/>
                    <w:ind w:left="0" w:right="0"/>
                    <w:jc w:val="center"/>
                    <w:rPr>
                      <w:rFonts w:hint="eastAsia" w:hAnsi="宋体"/>
                      <w:color w:val="auto"/>
                      <w:sz w:val="21"/>
                      <w:szCs w:val="21"/>
                      <w:lang w:val="en-US" w:eastAsia="zh-CN"/>
                    </w:rPr>
                  </w:pPr>
                </w:p>
              </w:tc>
              <w:tc>
                <w:tcPr>
                  <w:tcW w:w="3465" w:type="dxa"/>
                  <w:tcBorders>
                    <w:tl2br w:val="nil"/>
                    <w:tr2bl w:val="nil"/>
                  </w:tcBorders>
                  <w:shd w:val="clear" w:color="auto" w:fill="auto"/>
                  <w:noWrap w:val="0"/>
                  <w:vAlign w:val="center"/>
                </w:tcPr>
                <w:p w14:paraId="16A2E12C">
                  <w:pPr>
                    <w:keepNext w:val="0"/>
                    <w:keepLines w:val="0"/>
                    <w:suppressLineNumbers w:val="0"/>
                    <w:adjustRightInd w:val="0"/>
                    <w:snapToGrid w:val="0"/>
                    <w:spacing w:before="0" w:beforeAutospacing="0" w:after="0" w:afterAutospacing="0" w:line="240" w:lineRule="auto"/>
                    <w:ind w:left="0" w:leftChars="0" w:right="0" w:rightChars="0"/>
                    <w:jc w:val="both"/>
                    <w:rPr>
                      <w:rFonts w:hint="eastAsia" w:hAnsi="宋体"/>
                      <w:color w:val="000000"/>
                      <w:kern w:val="0"/>
                      <w:sz w:val="21"/>
                      <w:szCs w:val="21"/>
                      <w:highlight w:val="none"/>
                      <w:vertAlign w:val="baseline"/>
                      <w:lang w:val="en-US" w:eastAsia="zh-CN"/>
                    </w:rPr>
                  </w:pPr>
                  <w:r>
                    <w:rPr>
                      <w:rFonts w:hint="default"/>
                      <w:sz w:val="21"/>
                      <w:szCs w:val="21"/>
                      <w:lang w:val="en-US" w:eastAsia="zh-CN"/>
                    </w:rPr>
                    <w:t>《关于全省开展工业企业挥发性有机物专项治理工作中排放建议值的通知》（豫环攻坚办[2017]162号）</w:t>
                  </w:r>
                </w:p>
              </w:tc>
              <w:tc>
                <w:tcPr>
                  <w:tcW w:w="930" w:type="dxa"/>
                  <w:tcBorders>
                    <w:tl2br w:val="nil"/>
                    <w:tr2bl w:val="nil"/>
                  </w:tcBorders>
                  <w:noWrap w:val="0"/>
                  <w:vAlign w:val="center"/>
                </w:tcPr>
                <w:p w14:paraId="2D27F16F">
                  <w:pPr>
                    <w:keepNext w:val="0"/>
                    <w:keepLines w:val="0"/>
                    <w:suppressLineNumbers w:val="0"/>
                    <w:adjustRightInd w:val="0"/>
                    <w:snapToGrid w:val="0"/>
                    <w:spacing w:before="0" w:beforeAutospacing="0" w:after="0" w:afterAutospacing="0"/>
                    <w:ind w:left="0" w:right="0"/>
                    <w:jc w:val="center"/>
                    <w:rPr>
                      <w:rFonts w:hint="default" w:hAnsi="宋体"/>
                      <w:b w:val="0"/>
                      <w:bCs/>
                      <w:color w:val="auto"/>
                      <w:sz w:val="21"/>
                      <w:szCs w:val="21"/>
                      <w:lang w:val="en-US" w:eastAsia="zh-CN"/>
                    </w:rPr>
                  </w:pPr>
                  <w:r>
                    <w:rPr>
                      <w:rFonts w:hint="eastAsia" w:hAnsi="宋体"/>
                      <w:b w:val="0"/>
                      <w:bCs/>
                      <w:color w:val="auto"/>
                      <w:sz w:val="21"/>
                      <w:szCs w:val="21"/>
                      <w:lang w:val="en-US" w:eastAsia="zh-CN"/>
                    </w:rPr>
                    <w:t>非甲烷总烃</w:t>
                  </w:r>
                </w:p>
              </w:tc>
              <w:tc>
                <w:tcPr>
                  <w:tcW w:w="3489" w:type="dxa"/>
                  <w:tcBorders>
                    <w:tl2br w:val="nil"/>
                    <w:tr2bl w:val="nil"/>
                  </w:tcBorders>
                  <w:noWrap w:val="0"/>
                  <w:vAlign w:val="center"/>
                </w:tcPr>
                <w:p w14:paraId="578CBD99">
                  <w:pPr>
                    <w:keepNext w:val="0"/>
                    <w:keepLines w:val="0"/>
                    <w:suppressLineNumbers w:val="0"/>
                    <w:spacing w:before="0" w:beforeAutospacing="0" w:after="0" w:afterAutospacing="0"/>
                    <w:ind w:left="0" w:leftChars="0" w:right="0" w:rightChars="0"/>
                    <w:jc w:val="center"/>
                    <w:rPr>
                      <w:rFonts w:hint="default" w:eastAsia="宋体" w:cs="宋体"/>
                      <w:color w:val="000000"/>
                      <w:sz w:val="21"/>
                      <w:szCs w:val="21"/>
                      <w:vertAlign w:val="baseline"/>
                      <w:lang w:val="en-US" w:eastAsia="zh-CN" w:bidi="ar"/>
                    </w:rPr>
                  </w:pPr>
                  <w:r>
                    <w:rPr>
                      <w:rFonts w:hint="eastAsia" w:cs="宋体"/>
                      <w:color w:val="000000"/>
                      <w:sz w:val="21"/>
                      <w:szCs w:val="21"/>
                      <w:lang w:val="en-US" w:eastAsia="zh-CN" w:bidi="ar"/>
                    </w:rPr>
                    <w:t>有组织排放浓度80</w:t>
                  </w:r>
                  <w:r>
                    <w:rPr>
                      <w:rFonts w:hint="default"/>
                      <w:color w:val="000000"/>
                      <w:sz w:val="21"/>
                      <w:szCs w:val="21"/>
                      <w:lang w:bidi="ar"/>
                    </w:rPr>
                    <w:t>mg/m</w:t>
                  </w:r>
                  <w:r>
                    <w:rPr>
                      <w:rFonts w:hint="default"/>
                      <w:color w:val="000000"/>
                      <w:sz w:val="21"/>
                      <w:szCs w:val="21"/>
                      <w:vertAlign w:val="superscript"/>
                      <w:lang w:bidi="ar"/>
                    </w:rPr>
                    <w:t>3</w:t>
                  </w:r>
                  <w:r>
                    <w:rPr>
                      <w:rFonts w:hint="eastAsia"/>
                      <w:color w:val="000000"/>
                      <w:sz w:val="21"/>
                      <w:szCs w:val="21"/>
                      <w:vertAlign w:val="baseline"/>
                      <w:lang w:eastAsia="zh-CN" w:bidi="ar"/>
                    </w:rPr>
                    <w:t>，</w:t>
                  </w:r>
                  <w:r>
                    <w:rPr>
                      <w:rFonts w:hint="eastAsia"/>
                      <w:color w:val="000000"/>
                      <w:sz w:val="21"/>
                      <w:szCs w:val="21"/>
                      <w:vertAlign w:val="baseline"/>
                      <w:lang w:val="en-US" w:eastAsia="zh-CN" w:bidi="ar"/>
                    </w:rPr>
                    <w:t>建议去除效率70%</w:t>
                  </w:r>
                </w:p>
              </w:tc>
            </w:tr>
            <w:tr w14:paraId="5A4A5C5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681" w:type="dxa"/>
                  <w:vMerge w:val="continue"/>
                  <w:tcBorders>
                    <w:tl2br w:val="nil"/>
                    <w:tr2bl w:val="nil"/>
                  </w:tcBorders>
                  <w:noWrap w:val="0"/>
                  <w:vAlign w:val="center"/>
                </w:tcPr>
                <w:p w14:paraId="76D342D3">
                  <w:pPr>
                    <w:keepNext w:val="0"/>
                    <w:keepLines w:val="0"/>
                    <w:suppressLineNumbers w:val="0"/>
                    <w:adjustRightInd w:val="0"/>
                    <w:snapToGrid w:val="0"/>
                    <w:spacing w:before="0" w:beforeAutospacing="0" w:after="0" w:afterAutospacing="0"/>
                    <w:ind w:left="0" w:right="0"/>
                    <w:jc w:val="center"/>
                    <w:rPr>
                      <w:rFonts w:hint="eastAsia" w:hAnsi="宋体"/>
                      <w:color w:val="auto"/>
                      <w:sz w:val="21"/>
                      <w:szCs w:val="21"/>
                      <w:lang w:val="en-US" w:eastAsia="zh-CN"/>
                    </w:rPr>
                  </w:pPr>
                </w:p>
              </w:tc>
              <w:tc>
                <w:tcPr>
                  <w:tcW w:w="3465" w:type="dxa"/>
                  <w:vMerge w:val="restart"/>
                  <w:tcBorders>
                    <w:tl2br w:val="nil"/>
                    <w:tr2bl w:val="nil"/>
                  </w:tcBorders>
                  <w:shd w:val="clear" w:color="auto" w:fill="auto"/>
                  <w:noWrap w:val="0"/>
                  <w:vAlign w:val="center"/>
                </w:tcPr>
                <w:p w14:paraId="2637C6E6">
                  <w:pPr>
                    <w:keepNext w:val="0"/>
                    <w:keepLines w:val="0"/>
                    <w:suppressLineNumbers w:val="0"/>
                    <w:adjustRightInd w:val="0"/>
                    <w:snapToGrid w:val="0"/>
                    <w:spacing w:before="0" w:beforeAutospacing="0" w:after="0" w:afterAutospacing="0"/>
                    <w:ind w:left="0" w:leftChars="0" w:right="0" w:rightChars="0"/>
                    <w:jc w:val="center"/>
                    <w:rPr>
                      <w:rFonts w:hint="eastAsia"/>
                      <w:color w:val="000000" w:themeColor="text1"/>
                      <w:sz w:val="21"/>
                      <w:szCs w:val="21"/>
                      <w:highlight w:val="none"/>
                      <w14:textFill>
                        <w14:solidFill>
                          <w14:schemeClr w14:val="tx1"/>
                        </w14:solidFill>
                      </w14:textFill>
                    </w:rPr>
                  </w:pPr>
                  <w:r>
                    <w:rPr>
                      <w:rFonts w:hint="eastAsia"/>
                      <w:sz w:val="21"/>
                      <w:szCs w:val="21"/>
                      <w:lang w:val="en-US" w:eastAsia="zh-CN"/>
                    </w:rPr>
                    <w:t>《河南省重污染天气重点行业应急减排措施制定技术指南》（2024年修订版）电池制造A级要求</w:t>
                  </w:r>
                </w:p>
              </w:tc>
              <w:tc>
                <w:tcPr>
                  <w:tcW w:w="930" w:type="dxa"/>
                  <w:tcBorders>
                    <w:tl2br w:val="nil"/>
                    <w:tr2bl w:val="nil"/>
                  </w:tcBorders>
                  <w:noWrap w:val="0"/>
                  <w:vAlign w:val="center"/>
                </w:tcPr>
                <w:p w14:paraId="079D7958">
                  <w:pPr>
                    <w:keepNext w:val="0"/>
                    <w:keepLines w:val="0"/>
                    <w:suppressLineNumbers w:val="0"/>
                    <w:adjustRightInd w:val="0"/>
                    <w:snapToGrid w:val="0"/>
                    <w:spacing w:before="0" w:beforeAutospacing="0" w:after="0" w:afterAutospacing="0"/>
                    <w:ind w:left="0" w:leftChars="0" w:right="0" w:rightChars="0"/>
                    <w:jc w:val="center"/>
                    <w:rPr>
                      <w:rFonts w:hint="default" w:hAnsi="宋体"/>
                      <w:b w:val="0"/>
                      <w:bCs/>
                      <w:color w:val="auto"/>
                      <w:sz w:val="21"/>
                      <w:szCs w:val="21"/>
                      <w:lang w:val="en-US" w:eastAsia="zh-CN"/>
                    </w:rPr>
                  </w:pPr>
                  <w:r>
                    <w:rPr>
                      <w:rFonts w:hint="eastAsia"/>
                      <w:color w:val="auto"/>
                      <w:sz w:val="21"/>
                      <w:szCs w:val="21"/>
                      <w:highlight w:val="none"/>
                      <w:shd w:val="clear" w:color="auto" w:fill="FFFFFF"/>
                      <w:lang w:val="en-US" w:eastAsia="zh-CN"/>
                    </w:rPr>
                    <w:t>非甲烷总烃</w:t>
                  </w:r>
                </w:p>
              </w:tc>
              <w:tc>
                <w:tcPr>
                  <w:tcW w:w="3489" w:type="dxa"/>
                  <w:tcBorders>
                    <w:tl2br w:val="nil"/>
                    <w:tr2bl w:val="nil"/>
                  </w:tcBorders>
                  <w:noWrap w:val="0"/>
                  <w:vAlign w:val="center"/>
                </w:tcPr>
                <w:p w14:paraId="766197C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sz w:val="21"/>
                      <w:szCs w:val="21"/>
                      <w:vertAlign w:val="baseline"/>
                      <w:lang w:val="en-US" w:eastAsia="zh-CN"/>
                    </w:rPr>
                  </w:pPr>
                  <w:r>
                    <w:rPr>
                      <w:rFonts w:hint="eastAsia" w:ascii="Times New Roman" w:hAnsi="宋体" w:cs="Times New Roman"/>
                      <w:color w:val="auto"/>
                      <w:sz w:val="21"/>
                      <w:szCs w:val="21"/>
                      <w:lang w:val="en-US" w:eastAsia="zh-CN"/>
                    </w:rPr>
                    <w:t>NMHC有组织排放浓度不高于30mg/m</w:t>
                  </w:r>
                  <w:r>
                    <w:rPr>
                      <w:rFonts w:hint="eastAsia" w:ascii="Times New Roman" w:hAnsi="宋体" w:cs="Times New Roman"/>
                      <w:color w:val="auto"/>
                      <w:sz w:val="21"/>
                      <w:szCs w:val="21"/>
                      <w:vertAlign w:val="superscript"/>
                      <w:lang w:val="en-US" w:eastAsia="zh-CN"/>
                    </w:rPr>
                    <w:t>3</w:t>
                  </w:r>
                  <w:r>
                    <w:rPr>
                      <w:rFonts w:hint="eastAsia" w:ascii="Times New Roman" w:hAnsi="宋体" w:cs="Times New Roman"/>
                      <w:color w:val="auto"/>
                      <w:sz w:val="21"/>
                      <w:szCs w:val="21"/>
                      <w:lang w:val="en-US" w:eastAsia="zh-CN"/>
                    </w:rPr>
                    <w:t>。</w:t>
                  </w:r>
                </w:p>
              </w:tc>
            </w:tr>
            <w:tr w14:paraId="6C2CEB6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681" w:type="dxa"/>
                  <w:vMerge w:val="continue"/>
                  <w:tcBorders>
                    <w:tl2br w:val="nil"/>
                    <w:tr2bl w:val="nil"/>
                  </w:tcBorders>
                  <w:noWrap w:val="0"/>
                  <w:vAlign w:val="center"/>
                </w:tcPr>
                <w:p w14:paraId="6A817928">
                  <w:pPr>
                    <w:keepNext w:val="0"/>
                    <w:keepLines w:val="0"/>
                    <w:suppressLineNumbers w:val="0"/>
                    <w:adjustRightInd w:val="0"/>
                    <w:snapToGrid w:val="0"/>
                    <w:spacing w:before="0" w:beforeAutospacing="0" w:after="0" w:afterAutospacing="0"/>
                    <w:ind w:left="0" w:leftChars="0" w:right="0" w:rightChars="0"/>
                    <w:jc w:val="center"/>
                    <w:rPr>
                      <w:rFonts w:hint="default"/>
                    </w:rPr>
                  </w:pPr>
                </w:p>
              </w:tc>
              <w:tc>
                <w:tcPr>
                  <w:tcW w:w="3465" w:type="dxa"/>
                  <w:vMerge w:val="continue"/>
                  <w:tcBorders>
                    <w:tl2br w:val="nil"/>
                    <w:tr2bl w:val="nil"/>
                  </w:tcBorders>
                  <w:shd w:val="clear" w:color="auto" w:fill="auto"/>
                  <w:noWrap w:val="0"/>
                  <w:vAlign w:val="center"/>
                </w:tcPr>
                <w:p w14:paraId="7F875D6E">
                  <w:pPr>
                    <w:keepNext w:val="0"/>
                    <w:keepLines w:val="0"/>
                    <w:suppressLineNumbers w:val="0"/>
                    <w:adjustRightInd w:val="0"/>
                    <w:snapToGrid w:val="0"/>
                    <w:spacing w:before="0" w:beforeAutospacing="0" w:after="0" w:afterAutospacing="0"/>
                    <w:ind w:left="0" w:leftChars="0" w:right="0" w:rightChars="0"/>
                    <w:jc w:val="center"/>
                    <w:rPr>
                      <w:rFonts w:hint="default"/>
                    </w:rPr>
                  </w:pPr>
                </w:p>
              </w:tc>
              <w:tc>
                <w:tcPr>
                  <w:tcW w:w="930" w:type="dxa"/>
                  <w:tcBorders>
                    <w:tl2br w:val="nil"/>
                    <w:tr2bl w:val="nil"/>
                  </w:tcBorders>
                  <w:noWrap w:val="0"/>
                  <w:vAlign w:val="center"/>
                </w:tcPr>
                <w:p w14:paraId="6B89E801">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highlight w:val="none"/>
                      <w:shd w:val="clear" w:color="auto" w:fill="FFFFFF"/>
                      <w:lang w:val="en-US" w:eastAsia="zh-CN"/>
                    </w:rPr>
                  </w:pPr>
                  <w:r>
                    <w:rPr>
                      <w:rFonts w:hint="eastAsia"/>
                      <w:color w:val="auto"/>
                      <w:sz w:val="21"/>
                      <w:szCs w:val="21"/>
                      <w:highlight w:val="none"/>
                      <w:shd w:val="clear" w:color="auto" w:fill="FFFFFF"/>
                      <w:lang w:val="en-US" w:eastAsia="zh-CN"/>
                    </w:rPr>
                    <w:t>颗粒物</w:t>
                  </w:r>
                </w:p>
              </w:tc>
              <w:tc>
                <w:tcPr>
                  <w:tcW w:w="3489" w:type="dxa"/>
                  <w:tcBorders>
                    <w:tl2br w:val="nil"/>
                    <w:tr2bl w:val="nil"/>
                  </w:tcBorders>
                  <w:noWrap w:val="0"/>
                  <w:vAlign w:val="center"/>
                </w:tcPr>
                <w:p w14:paraId="18B7C262">
                  <w:pPr>
                    <w:keepNext w:val="0"/>
                    <w:keepLines w:val="0"/>
                    <w:suppressLineNumbers w:val="0"/>
                    <w:adjustRightInd w:val="0"/>
                    <w:snapToGrid w:val="0"/>
                    <w:spacing w:before="0" w:beforeAutospacing="0" w:after="0" w:afterAutospacing="0"/>
                    <w:ind w:left="0" w:leftChars="0" w:right="0" w:rightChars="0"/>
                    <w:jc w:val="center"/>
                    <w:rPr>
                      <w:rFonts w:hint="eastAsia"/>
                      <w:color w:val="auto"/>
                      <w:sz w:val="21"/>
                      <w:szCs w:val="21"/>
                      <w:highlight w:val="none"/>
                      <w:shd w:val="clear" w:color="auto" w:fill="FFFFFF"/>
                      <w:lang w:val="en-US" w:eastAsia="zh-CN"/>
                    </w:rPr>
                  </w:pPr>
                  <w:r>
                    <w:rPr>
                      <w:rFonts w:hint="eastAsia" w:ascii="Times New Roman" w:hAnsi="宋体" w:cs="Times New Roman"/>
                      <w:color w:val="auto"/>
                      <w:sz w:val="21"/>
                      <w:szCs w:val="21"/>
                      <w:lang w:val="en-US" w:eastAsia="zh-CN"/>
                    </w:rPr>
                    <w:t>PM有组织排放浓度10mg/m</w:t>
                  </w:r>
                  <w:r>
                    <w:rPr>
                      <w:rFonts w:hint="eastAsia" w:ascii="Times New Roman" w:hAnsi="宋体" w:cs="Times New Roman"/>
                      <w:color w:val="auto"/>
                      <w:sz w:val="21"/>
                      <w:szCs w:val="21"/>
                      <w:vertAlign w:val="superscript"/>
                      <w:lang w:val="en-US" w:eastAsia="zh-CN"/>
                    </w:rPr>
                    <w:t>3</w:t>
                  </w:r>
                </w:p>
              </w:tc>
            </w:tr>
          </w:tbl>
          <w:p w14:paraId="1310E7A8">
            <w:pPr>
              <w:keepNext w:val="0"/>
              <w:keepLines w:val="0"/>
              <w:suppressLineNumbers w:val="0"/>
              <w:adjustRightInd w:val="0"/>
              <w:snapToGrid w:val="0"/>
              <w:spacing w:before="0" w:beforeAutospacing="0" w:after="0" w:afterAutospacing="0" w:line="440" w:lineRule="exact"/>
              <w:ind w:left="0" w:right="0" w:firstLine="482" w:firstLineChars="200"/>
              <w:textAlignment w:val="baseline"/>
              <w:rPr>
                <w:rFonts w:hint="eastAsia"/>
                <w:b/>
                <w:sz w:val="24"/>
                <w:highlight w:val="none"/>
                <w:lang w:val="en-US" w:eastAsia="zh-CN"/>
              </w:rPr>
            </w:pPr>
            <w:r>
              <w:rPr>
                <w:rFonts w:hint="eastAsia"/>
                <w:b/>
                <w:sz w:val="24"/>
                <w:highlight w:val="none"/>
                <w:lang w:val="en-US" w:eastAsia="zh-CN"/>
              </w:rPr>
              <w:t>注:本项目废气执行以上标准文件中的严值。</w:t>
            </w:r>
          </w:p>
          <w:p w14:paraId="3FA4C9C4">
            <w:pPr>
              <w:keepNext w:val="0"/>
              <w:keepLines w:val="0"/>
              <w:numPr>
                <w:ilvl w:val="0"/>
                <w:numId w:val="9"/>
              </w:numPr>
              <w:suppressLineNumbers w:val="0"/>
              <w:adjustRightInd w:val="0"/>
              <w:snapToGrid w:val="0"/>
              <w:spacing w:before="0" w:beforeAutospacing="0" w:after="0" w:afterAutospacing="0" w:line="440" w:lineRule="exact"/>
              <w:ind w:left="0" w:right="0" w:firstLine="482" w:firstLineChars="200"/>
              <w:textAlignment w:val="baseline"/>
              <w:rPr>
                <w:rFonts w:hint="eastAsia"/>
                <w:b/>
                <w:sz w:val="24"/>
                <w:highlight w:val="none"/>
                <w:lang w:val="en-US" w:eastAsia="zh-CN"/>
              </w:rPr>
            </w:pPr>
            <w:r>
              <w:rPr>
                <w:rFonts w:hint="eastAsia"/>
                <w:b/>
                <w:sz w:val="24"/>
                <w:highlight w:val="none"/>
                <w:lang w:val="en-US" w:eastAsia="zh-CN"/>
              </w:rPr>
              <w:t>废水</w:t>
            </w:r>
          </w:p>
          <w:p w14:paraId="6A58EA45">
            <w:pPr>
              <w:keepNext w:val="0"/>
              <w:keepLines w:val="0"/>
              <w:suppressLineNumbers w:val="0"/>
              <w:spacing w:before="0" w:beforeAutospacing="0" w:after="0" w:afterAutospacing="0" w:line="440" w:lineRule="exact"/>
              <w:ind w:left="0" w:right="0"/>
              <w:jc w:val="center"/>
              <w:rPr>
                <w:rFonts w:hint="eastAsia"/>
                <w:b/>
                <w:sz w:val="24"/>
                <w:highlight w:val="none"/>
                <w:lang w:val="en-US" w:eastAsia="zh-CN"/>
              </w:rPr>
            </w:pPr>
            <w:r>
              <w:rPr>
                <w:rFonts w:hint="default" w:ascii="宋体" w:hAnsi="宋体"/>
                <w:b/>
                <w:color w:val="000000" w:themeColor="text1"/>
                <w:sz w:val="24"/>
                <w:highlight w:val="none"/>
                <w14:textFill>
                  <w14:solidFill>
                    <w14:schemeClr w14:val="tx1"/>
                  </w14:solidFill>
                </w14:textFill>
              </w:rPr>
              <w:t>表</w:t>
            </w:r>
            <w:r>
              <w:rPr>
                <w:rFonts w:hint="eastAsia" w:cs="Times New Roman"/>
                <w:b/>
                <w:color w:val="000000" w:themeColor="text1"/>
                <w:sz w:val="24"/>
                <w:highlight w:val="none"/>
                <w:lang w:val="en-US" w:eastAsia="zh-CN"/>
                <w14:textFill>
                  <w14:solidFill>
                    <w14:schemeClr w14:val="tx1"/>
                  </w14:solidFill>
                </w14:textFill>
              </w:rPr>
              <w:t>27</w:t>
            </w:r>
            <w:r>
              <w:rPr>
                <w:rFonts w:hint="eastAsia" w:ascii="宋体" w:hAnsi="宋体"/>
                <w:b/>
                <w:color w:val="000000" w:themeColor="text1"/>
                <w:sz w:val="24"/>
                <w:highlight w:val="none"/>
                <w:lang w:val="en-US" w:eastAsia="zh-CN"/>
                <w14:textFill>
                  <w14:solidFill>
                    <w14:schemeClr w14:val="tx1"/>
                  </w14:solidFill>
                </w14:textFill>
              </w:rPr>
              <w:t xml:space="preserve"> </w:t>
            </w:r>
            <w:r>
              <w:rPr>
                <w:rFonts w:hint="default" w:ascii="宋体" w:hAnsi="宋体"/>
                <w:b/>
                <w:color w:val="000000" w:themeColor="text1"/>
                <w:sz w:val="24"/>
                <w:highlight w:val="none"/>
                <w14:textFill>
                  <w14:solidFill>
                    <w14:schemeClr w14:val="tx1"/>
                  </w14:solidFill>
                </w14:textFill>
              </w:rPr>
              <w:t>废</w:t>
            </w:r>
            <w:r>
              <w:rPr>
                <w:rFonts w:hint="eastAsia" w:ascii="宋体" w:hAnsi="宋体"/>
                <w:b/>
                <w:color w:val="000000" w:themeColor="text1"/>
                <w:sz w:val="24"/>
                <w:highlight w:val="none"/>
                <w:lang w:val="en-US" w:eastAsia="zh-CN"/>
                <w14:textFill>
                  <w14:solidFill>
                    <w14:schemeClr w14:val="tx1"/>
                  </w14:solidFill>
                </w14:textFill>
              </w:rPr>
              <w:t>水</w:t>
            </w:r>
            <w:r>
              <w:rPr>
                <w:rFonts w:hint="default" w:ascii="宋体" w:hAnsi="宋体"/>
                <w:b/>
                <w:color w:val="000000" w:themeColor="text1"/>
                <w:sz w:val="24"/>
                <w:highlight w:val="none"/>
                <w14:textFill>
                  <w14:solidFill>
                    <w14:schemeClr w14:val="tx1"/>
                  </w14:solidFill>
                </w14:textFill>
              </w:rPr>
              <w:t>排放限值一览表</w:t>
            </w:r>
          </w:p>
          <w:tbl>
            <w:tblPr>
              <w:tblStyle w:val="23"/>
              <w:tblW w:w="5000" w:type="pct"/>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830"/>
              <w:gridCol w:w="3014"/>
              <w:gridCol w:w="1979"/>
              <w:gridCol w:w="1742"/>
            </w:tblGrid>
            <w:tr w14:paraId="43856A32">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68" w:type="pct"/>
                  <w:vMerge w:val="restart"/>
                  <w:vAlign w:val="center"/>
                </w:tcPr>
                <w:p w14:paraId="74F86965">
                  <w:pPr>
                    <w:pStyle w:val="51"/>
                    <w:keepNext w:val="0"/>
                    <w:keepLines w:val="0"/>
                    <w:suppressLineNumbers w:val="0"/>
                    <w:wordWrap w:val="0"/>
                    <w:spacing w:before="0" w:beforeAutospacing="0" w:after="0" w:afterAutospacing="0"/>
                    <w:ind w:left="0" w:right="0"/>
                    <w:jc w:val="both"/>
                    <w:rPr>
                      <w:rFonts w:hint="default" w:ascii="Times New Roman" w:hAnsi="Times New Roman" w:cs="Times New Roman"/>
                      <w:sz w:val="21"/>
                      <w:szCs w:val="21"/>
                    </w:rPr>
                  </w:pPr>
                  <w:r>
                    <w:rPr>
                      <w:rFonts w:hint="default" w:ascii="Times New Roman" w:hAnsi="Times New Roman" w:cs="Times New Roman"/>
                      <w:sz w:val="21"/>
                      <w:szCs w:val="21"/>
                    </w:rPr>
                    <w:t>《电池工业污染物排放标准》（GB30484-2013）表2间接排放标准</w:t>
                  </w:r>
                </w:p>
              </w:tc>
              <w:tc>
                <w:tcPr>
                  <w:tcW w:w="1759" w:type="pct"/>
                  <w:vAlign w:val="center"/>
                </w:tcPr>
                <w:p w14:paraId="6A331227">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pH</w:t>
                  </w:r>
                </w:p>
              </w:tc>
              <w:tc>
                <w:tcPr>
                  <w:tcW w:w="1155" w:type="pct"/>
                  <w:vAlign w:val="center"/>
                </w:tcPr>
                <w:p w14:paraId="5F56A5B2">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w:t>
                  </w:r>
                </w:p>
              </w:tc>
              <w:tc>
                <w:tcPr>
                  <w:tcW w:w="1016" w:type="pct"/>
                  <w:vAlign w:val="center"/>
                </w:tcPr>
                <w:p w14:paraId="0934EDBA">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6-9</w:t>
                  </w:r>
                </w:p>
              </w:tc>
            </w:tr>
            <w:tr w14:paraId="7E8B1D4F">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68" w:type="pct"/>
                  <w:vMerge w:val="continue"/>
                  <w:vAlign w:val="center"/>
                </w:tcPr>
                <w:p w14:paraId="4B6990AD">
                  <w:pPr>
                    <w:pStyle w:val="51"/>
                    <w:keepNext w:val="0"/>
                    <w:keepLines w:val="0"/>
                    <w:suppressLineNumbers w:val="0"/>
                    <w:spacing w:before="0" w:beforeAutospacing="0" w:after="0" w:afterAutospacing="0"/>
                    <w:ind w:left="0" w:right="0"/>
                    <w:jc w:val="both"/>
                    <w:rPr>
                      <w:rFonts w:hint="default" w:ascii="Times New Roman" w:hAnsi="Times New Roman" w:cs="Times New Roman"/>
                      <w:sz w:val="21"/>
                      <w:szCs w:val="21"/>
                    </w:rPr>
                  </w:pPr>
                </w:p>
              </w:tc>
              <w:tc>
                <w:tcPr>
                  <w:tcW w:w="1759" w:type="pct"/>
                  <w:vAlign w:val="center"/>
                </w:tcPr>
                <w:p w14:paraId="7E9C477D">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COD</w:t>
                  </w:r>
                </w:p>
              </w:tc>
              <w:tc>
                <w:tcPr>
                  <w:tcW w:w="1155" w:type="pct"/>
                  <w:vAlign w:val="center"/>
                </w:tcPr>
                <w:p w14:paraId="78B0C269">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mg/L</w:t>
                  </w:r>
                </w:p>
              </w:tc>
              <w:tc>
                <w:tcPr>
                  <w:tcW w:w="1016" w:type="pct"/>
                  <w:vAlign w:val="center"/>
                </w:tcPr>
                <w:p w14:paraId="18F956ED">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150</w:t>
                  </w:r>
                </w:p>
              </w:tc>
            </w:tr>
            <w:tr w14:paraId="0CE116A7">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68" w:type="pct"/>
                  <w:vMerge w:val="continue"/>
                  <w:vAlign w:val="center"/>
                </w:tcPr>
                <w:p w14:paraId="14D047EB">
                  <w:pPr>
                    <w:pStyle w:val="51"/>
                    <w:keepNext w:val="0"/>
                    <w:keepLines w:val="0"/>
                    <w:suppressLineNumbers w:val="0"/>
                    <w:spacing w:before="0" w:beforeAutospacing="0" w:after="0" w:afterAutospacing="0"/>
                    <w:ind w:left="0" w:right="0"/>
                    <w:jc w:val="both"/>
                    <w:rPr>
                      <w:rFonts w:hint="default" w:ascii="Times New Roman" w:hAnsi="Times New Roman" w:cs="Times New Roman"/>
                      <w:sz w:val="21"/>
                      <w:szCs w:val="21"/>
                    </w:rPr>
                  </w:pPr>
                </w:p>
              </w:tc>
              <w:tc>
                <w:tcPr>
                  <w:tcW w:w="1759" w:type="pct"/>
                  <w:vAlign w:val="center"/>
                </w:tcPr>
                <w:p w14:paraId="62590407">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SS</w:t>
                  </w:r>
                </w:p>
              </w:tc>
              <w:tc>
                <w:tcPr>
                  <w:tcW w:w="1155" w:type="pct"/>
                  <w:vAlign w:val="center"/>
                </w:tcPr>
                <w:p w14:paraId="6A35D285">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mg/L</w:t>
                  </w:r>
                </w:p>
              </w:tc>
              <w:tc>
                <w:tcPr>
                  <w:tcW w:w="1016" w:type="pct"/>
                  <w:vAlign w:val="center"/>
                </w:tcPr>
                <w:p w14:paraId="63AF0D10">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140</w:t>
                  </w:r>
                </w:p>
              </w:tc>
            </w:tr>
            <w:tr w14:paraId="24657139">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68" w:type="pct"/>
                  <w:vMerge w:val="continue"/>
                  <w:vAlign w:val="center"/>
                </w:tcPr>
                <w:p w14:paraId="15B7930B">
                  <w:pPr>
                    <w:pStyle w:val="51"/>
                    <w:keepNext w:val="0"/>
                    <w:keepLines w:val="0"/>
                    <w:suppressLineNumbers w:val="0"/>
                    <w:spacing w:before="0" w:beforeAutospacing="0" w:after="0" w:afterAutospacing="0"/>
                    <w:ind w:left="0" w:right="0"/>
                    <w:jc w:val="both"/>
                    <w:rPr>
                      <w:rFonts w:hint="default" w:ascii="Times New Roman" w:hAnsi="Times New Roman" w:cs="Times New Roman"/>
                      <w:sz w:val="21"/>
                      <w:szCs w:val="21"/>
                    </w:rPr>
                  </w:pPr>
                </w:p>
              </w:tc>
              <w:tc>
                <w:tcPr>
                  <w:tcW w:w="1759" w:type="pct"/>
                  <w:vAlign w:val="center"/>
                </w:tcPr>
                <w:p w14:paraId="321FFDAB">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NH</w:t>
                  </w:r>
                  <w:r>
                    <w:rPr>
                      <w:rFonts w:hint="default" w:ascii="Times New Roman" w:hAnsi="Times New Roman" w:cs="Times New Roman"/>
                      <w:sz w:val="21"/>
                      <w:szCs w:val="21"/>
                      <w:vertAlign w:val="subscript"/>
                    </w:rPr>
                    <w:t>3</w:t>
                  </w:r>
                  <w:r>
                    <w:rPr>
                      <w:rFonts w:hint="default" w:ascii="Times New Roman" w:hAnsi="Times New Roman" w:cs="Times New Roman"/>
                      <w:sz w:val="21"/>
                      <w:szCs w:val="21"/>
                    </w:rPr>
                    <w:t>-N</w:t>
                  </w:r>
                </w:p>
              </w:tc>
              <w:tc>
                <w:tcPr>
                  <w:tcW w:w="1155" w:type="pct"/>
                  <w:vAlign w:val="center"/>
                </w:tcPr>
                <w:p w14:paraId="745BF187">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mg/L</w:t>
                  </w:r>
                </w:p>
              </w:tc>
              <w:tc>
                <w:tcPr>
                  <w:tcW w:w="1016" w:type="pct"/>
                  <w:vAlign w:val="center"/>
                </w:tcPr>
                <w:p w14:paraId="659263CB">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30</w:t>
                  </w:r>
                </w:p>
              </w:tc>
            </w:tr>
            <w:tr w14:paraId="44459B9C">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68" w:type="pct"/>
                  <w:vMerge w:val="continue"/>
                  <w:vAlign w:val="center"/>
                </w:tcPr>
                <w:p w14:paraId="4049C4A4">
                  <w:pPr>
                    <w:pStyle w:val="51"/>
                    <w:keepNext w:val="0"/>
                    <w:keepLines w:val="0"/>
                    <w:suppressLineNumbers w:val="0"/>
                    <w:spacing w:before="0" w:beforeAutospacing="0" w:after="0" w:afterAutospacing="0"/>
                    <w:ind w:left="0" w:right="0"/>
                    <w:jc w:val="both"/>
                    <w:rPr>
                      <w:rFonts w:hint="default" w:ascii="Times New Roman" w:hAnsi="Times New Roman" w:cs="Times New Roman"/>
                      <w:sz w:val="21"/>
                      <w:szCs w:val="21"/>
                    </w:rPr>
                  </w:pPr>
                </w:p>
              </w:tc>
              <w:tc>
                <w:tcPr>
                  <w:tcW w:w="1759" w:type="pct"/>
                  <w:vAlign w:val="center"/>
                </w:tcPr>
                <w:p w14:paraId="78D0CDCF">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TN</w:t>
                  </w:r>
                </w:p>
              </w:tc>
              <w:tc>
                <w:tcPr>
                  <w:tcW w:w="1155" w:type="pct"/>
                  <w:vAlign w:val="center"/>
                </w:tcPr>
                <w:p w14:paraId="76E53271">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mg/L</w:t>
                  </w:r>
                </w:p>
              </w:tc>
              <w:tc>
                <w:tcPr>
                  <w:tcW w:w="1016" w:type="pct"/>
                  <w:vAlign w:val="center"/>
                </w:tcPr>
                <w:p w14:paraId="39599761">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40</w:t>
                  </w:r>
                </w:p>
              </w:tc>
            </w:tr>
            <w:tr w14:paraId="48E9638E">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68" w:type="pct"/>
                  <w:vMerge w:val="continue"/>
                  <w:vAlign w:val="center"/>
                </w:tcPr>
                <w:p w14:paraId="05F60888">
                  <w:pPr>
                    <w:pStyle w:val="51"/>
                    <w:keepNext w:val="0"/>
                    <w:keepLines w:val="0"/>
                    <w:suppressLineNumbers w:val="0"/>
                    <w:spacing w:before="0" w:beforeAutospacing="0" w:after="0" w:afterAutospacing="0"/>
                    <w:ind w:left="0" w:right="0"/>
                    <w:jc w:val="both"/>
                    <w:rPr>
                      <w:rFonts w:hint="default" w:ascii="Times New Roman" w:hAnsi="Times New Roman" w:cs="Times New Roman"/>
                      <w:sz w:val="21"/>
                      <w:szCs w:val="21"/>
                    </w:rPr>
                  </w:pPr>
                </w:p>
              </w:tc>
              <w:tc>
                <w:tcPr>
                  <w:tcW w:w="1759" w:type="pct"/>
                  <w:vAlign w:val="center"/>
                </w:tcPr>
                <w:p w14:paraId="53E4F3B5">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TP</w:t>
                  </w:r>
                </w:p>
              </w:tc>
              <w:tc>
                <w:tcPr>
                  <w:tcW w:w="1155" w:type="pct"/>
                  <w:vAlign w:val="center"/>
                </w:tcPr>
                <w:p w14:paraId="45DAA2CD">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mg/L</w:t>
                  </w:r>
                </w:p>
              </w:tc>
              <w:tc>
                <w:tcPr>
                  <w:tcW w:w="1016" w:type="pct"/>
                  <w:vAlign w:val="center"/>
                </w:tcPr>
                <w:p w14:paraId="13DC37C0">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2.0</w:t>
                  </w:r>
                </w:p>
              </w:tc>
            </w:tr>
            <w:tr w14:paraId="40A279B3">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68" w:type="pct"/>
                  <w:vMerge w:val="continue"/>
                  <w:vAlign w:val="center"/>
                </w:tcPr>
                <w:p w14:paraId="47608D9B">
                  <w:pPr>
                    <w:pStyle w:val="51"/>
                    <w:keepNext w:val="0"/>
                    <w:keepLines w:val="0"/>
                    <w:suppressLineNumbers w:val="0"/>
                    <w:spacing w:before="0" w:beforeAutospacing="0" w:after="0" w:afterAutospacing="0"/>
                    <w:ind w:left="0" w:right="0"/>
                    <w:jc w:val="both"/>
                    <w:rPr>
                      <w:rFonts w:hint="default" w:ascii="Times New Roman" w:hAnsi="Times New Roman" w:cs="Times New Roman"/>
                      <w:sz w:val="21"/>
                      <w:szCs w:val="21"/>
                    </w:rPr>
                  </w:pPr>
                </w:p>
              </w:tc>
              <w:tc>
                <w:tcPr>
                  <w:tcW w:w="1759" w:type="pct"/>
                  <w:vAlign w:val="center"/>
                </w:tcPr>
                <w:p w14:paraId="4410B34B">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排水量（锂离子电池企业）</w:t>
                  </w:r>
                </w:p>
              </w:tc>
              <w:tc>
                <w:tcPr>
                  <w:tcW w:w="1155" w:type="pct"/>
                  <w:vAlign w:val="center"/>
                </w:tcPr>
                <w:p w14:paraId="69E82568">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3</w:t>
                  </w:r>
                  <w:r>
                    <w:rPr>
                      <w:rFonts w:hint="default" w:ascii="Times New Roman" w:hAnsi="Times New Roman" w:cs="Times New Roman"/>
                      <w:sz w:val="21"/>
                      <w:szCs w:val="21"/>
                    </w:rPr>
                    <w:t>/（万只）</w:t>
                  </w:r>
                </w:p>
              </w:tc>
              <w:tc>
                <w:tcPr>
                  <w:tcW w:w="1016" w:type="pct"/>
                  <w:vAlign w:val="center"/>
                </w:tcPr>
                <w:p w14:paraId="4A1CB6B6">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0.8</w:t>
                  </w:r>
                </w:p>
              </w:tc>
            </w:tr>
            <w:tr w14:paraId="4AE1F01F">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68" w:type="pct"/>
                  <w:vMerge w:val="restart"/>
                  <w:vAlign w:val="center"/>
                </w:tcPr>
                <w:p w14:paraId="72A79B52">
                  <w:pPr>
                    <w:pStyle w:val="51"/>
                    <w:keepNext w:val="0"/>
                    <w:keepLines w:val="0"/>
                    <w:suppressLineNumbers w:val="0"/>
                    <w:spacing w:before="0" w:beforeAutospacing="0" w:after="0" w:afterAutospacing="0"/>
                    <w:ind w:left="0" w:right="0"/>
                    <w:jc w:val="both"/>
                    <w:rPr>
                      <w:rFonts w:hint="default" w:ascii="Times New Roman" w:hAnsi="Times New Roman" w:cs="Times New Roman"/>
                      <w:sz w:val="21"/>
                      <w:szCs w:val="21"/>
                    </w:rPr>
                  </w:pPr>
                  <w:r>
                    <w:rPr>
                      <w:rFonts w:hint="default" w:ascii="Times New Roman" w:hAnsi="Times New Roman" w:cs="Times New Roman"/>
                      <w:sz w:val="21"/>
                      <w:szCs w:val="21"/>
                    </w:rPr>
                    <w:t>新乡县综合污水处理厂进水水质标准</w:t>
                  </w:r>
                </w:p>
              </w:tc>
              <w:tc>
                <w:tcPr>
                  <w:tcW w:w="1759" w:type="pct"/>
                  <w:vAlign w:val="center"/>
                </w:tcPr>
                <w:p w14:paraId="165CE0BD">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pH</w:t>
                  </w:r>
                </w:p>
              </w:tc>
              <w:tc>
                <w:tcPr>
                  <w:tcW w:w="1155" w:type="pct"/>
                  <w:vAlign w:val="center"/>
                </w:tcPr>
                <w:p w14:paraId="4C82691B">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w:t>
                  </w:r>
                </w:p>
              </w:tc>
              <w:tc>
                <w:tcPr>
                  <w:tcW w:w="1016" w:type="pct"/>
                  <w:vAlign w:val="center"/>
                </w:tcPr>
                <w:p w14:paraId="6AF3EC1D">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6-9</w:t>
                  </w:r>
                </w:p>
              </w:tc>
            </w:tr>
            <w:tr w14:paraId="66471A4F">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68" w:type="pct"/>
                  <w:vMerge w:val="continue"/>
                  <w:vAlign w:val="center"/>
                </w:tcPr>
                <w:p w14:paraId="68E00768">
                  <w:pPr>
                    <w:pStyle w:val="51"/>
                    <w:keepNext w:val="0"/>
                    <w:keepLines w:val="0"/>
                    <w:suppressLineNumbers w:val="0"/>
                    <w:spacing w:before="0" w:beforeAutospacing="0" w:after="0" w:afterAutospacing="0"/>
                    <w:ind w:left="0" w:right="0" w:firstLine="480"/>
                    <w:rPr>
                      <w:rFonts w:hint="default" w:ascii="Times New Roman" w:hAnsi="Times New Roman" w:cs="Times New Roman"/>
                      <w:sz w:val="21"/>
                      <w:szCs w:val="21"/>
                    </w:rPr>
                  </w:pPr>
                </w:p>
              </w:tc>
              <w:tc>
                <w:tcPr>
                  <w:tcW w:w="1759" w:type="pct"/>
                  <w:vAlign w:val="center"/>
                </w:tcPr>
                <w:p w14:paraId="2A098968">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COD</w:t>
                  </w:r>
                </w:p>
              </w:tc>
              <w:tc>
                <w:tcPr>
                  <w:tcW w:w="1155" w:type="pct"/>
                  <w:vAlign w:val="center"/>
                </w:tcPr>
                <w:p w14:paraId="595990C2">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mg/L</w:t>
                  </w:r>
                </w:p>
              </w:tc>
              <w:tc>
                <w:tcPr>
                  <w:tcW w:w="1016" w:type="pct"/>
                  <w:vAlign w:val="center"/>
                </w:tcPr>
                <w:p w14:paraId="2BA2CC5C">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400</w:t>
                  </w:r>
                </w:p>
              </w:tc>
            </w:tr>
            <w:tr w14:paraId="6D421995">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68" w:type="pct"/>
                  <w:vMerge w:val="continue"/>
                  <w:vAlign w:val="center"/>
                </w:tcPr>
                <w:p w14:paraId="51B9F1EE">
                  <w:pPr>
                    <w:pStyle w:val="51"/>
                    <w:keepNext w:val="0"/>
                    <w:keepLines w:val="0"/>
                    <w:suppressLineNumbers w:val="0"/>
                    <w:spacing w:before="0" w:beforeAutospacing="0" w:after="0" w:afterAutospacing="0"/>
                    <w:ind w:left="0" w:right="0" w:firstLine="480"/>
                    <w:rPr>
                      <w:rFonts w:hint="default" w:ascii="Times New Roman" w:hAnsi="Times New Roman" w:cs="Times New Roman"/>
                      <w:sz w:val="21"/>
                      <w:szCs w:val="21"/>
                    </w:rPr>
                  </w:pPr>
                </w:p>
              </w:tc>
              <w:tc>
                <w:tcPr>
                  <w:tcW w:w="1759" w:type="pct"/>
                  <w:vAlign w:val="center"/>
                </w:tcPr>
                <w:p w14:paraId="56E0060B">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SS</w:t>
                  </w:r>
                </w:p>
              </w:tc>
              <w:tc>
                <w:tcPr>
                  <w:tcW w:w="1155" w:type="pct"/>
                  <w:vAlign w:val="center"/>
                </w:tcPr>
                <w:p w14:paraId="4E1DAFDF">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mg/L</w:t>
                  </w:r>
                </w:p>
              </w:tc>
              <w:tc>
                <w:tcPr>
                  <w:tcW w:w="1016" w:type="pct"/>
                  <w:vAlign w:val="center"/>
                </w:tcPr>
                <w:p w14:paraId="51777C80">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180</w:t>
                  </w:r>
                </w:p>
              </w:tc>
            </w:tr>
            <w:tr w14:paraId="038FF6B5">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68" w:type="pct"/>
                  <w:vMerge w:val="continue"/>
                  <w:vAlign w:val="center"/>
                </w:tcPr>
                <w:p w14:paraId="2700E9DB">
                  <w:pPr>
                    <w:pStyle w:val="51"/>
                    <w:keepNext w:val="0"/>
                    <w:keepLines w:val="0"/>
                    <w:suppressLineNumbers w:val="0"/>
                    <w:spacing w:before="0" w:beforeAutospacing="0" w:after="0" w:afterAutospacing="0"/>
                    <w:ind w:left="0" w:right="0" w:firstLine="480"/>
                    <w:rPr>
                      <w:rFonts w:hint="default" w:ascii="Times New Roman" w:hAnsi="Times New Roman" w:cs="Times New Roman"/>
                      <w:sz w:val="21"/>
                      <w:szCs w:val="21"/>
                    </w:rPr>
                  </w:pPr>
                </w:p>
              </w:tc>
              <w:tc>
                <w:tcPr>
                  <w:tcW w:w="1759" w:type="pct"/>
                  <w:vAlign w:val="center"/>
                </w:tcPr>
                <w:p w14:paraId="308C5F2D">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NH</w:t>
                  </w:r>
                  <w:r>
                    <w:rPr>
                      <w:rFonts w:hint="default" w:ascii="Times New Roman" w:hAnsi="Times New Roman" w:cs="Times New Roman"/>
                      <w:sz w:val="21"/>
                      <w:szCs w:val="21"/>
                      <w:vertAlign w:val="subscript"/>
                    </w:rPr>
                    <w:t>3</w:t>
                  </w:r>
                  <w:r>
                    <w:rPr>
                      <w:rFonts w:hint="default" w:ascii="Times New Roman" w:hAnsi="Times New Roman" w:cs="Times New Roman"/>
                      <w:sz w:val="21"/>
                      <w:szCs w:val="21"/>
                    </w:rPr>
                    <w:t>-N</w:t>
                  </w:r>
                </w:p>
              </w:tc>
              <w:tc>
                <w:tcPr>
                  <w:tcW w:w="1155" w:type="pct"/>
                  <w:vAlign w:val="center"/>
                </w:tcPr>
                <w:p w14:paraId="455AB7FA">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mg/L</w:t>
                  </w:r>
                </w:p>
              </w:tc>
              <w:tc>
                <w:tcPr>
                  <w:tcW w:w="1016" w:type="pct"/>
                  <w:vAlign w:val="center"/>
                </w:tcPr>
                <w:p w14:paraId="29881503">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59</w:t>
                  </w:r>
                </w:p>
              </w:tc>
            </w:tr>
            <w:tr w14:paraId="24CC7420">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68" w:type="pct"/>
                  <w:vMerge w:val="continue"/>
                  <w:vAlign w:val="center"/>
                </w:tcPr>
                <w:p w14:paraId="721434EC">
                  <w:pPr>
                    <w:pStyle w:val="51"/>
                    <w:keepNext w:val="0"/>
                    <w:keepLines w:val="0"/>
                    <w:suppressLineNumbers w:val="0"/>
                    <w:spacing w:before="0" w:beforeAutospacing="0" w:after="0" w:afterAutospacing="0"/>
                    <w:ind w:left="0" w:right="0" w:firstLine="480"/>
                    <w:rPr>
                      <w:rFonts w:hint="default" w:ascii="Times New Roman" w:hAnsi="Times New Roman" w:cs="Times New Roman"/>
                      <w:sz w:val="21"/>
                      <w:szCs w:val="21"/>
                    </w:rPr>
                  </w:pPr>
                </w:p>
              </w:tc>
              <w:tc>
                <w:tcPr>
                  <w:tcW w:w="1759" w:type="pct"/>
                  <w:vAlign w:val="center"/>
                </w:tcPr>
                <w:p w14:paraId="1DE5C9EC">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TN</w:t>
                  </w:r>
                </w:p>
              </w:tc>
              <w:tc>
                <w:tcPr>
                  <w:tcW w:w="1155" w:type="pct"/>
                  <w:vAlign w:val="center"/>
                </w:tcPr>
                <w:p w14:paraId="0DDDA353">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mg/L</w:t>
                  </w:r>
                </w:p>
              </w:tc>
              <w:tc>
                <w:tcPr>
                  <w:tcW w:w="1016" w:type="pct"/>
                  <w:vAlign w:val="center"/>
                </w:tcPr>
                <w:p w14:paraId="0D2A24FD">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70</w:t>
                  </w:r>
                </w:p>
              </w:tc>
            </w:tr>
            <w:tr w14:paraId="28093344">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68" w:type="pct"/>
                  <w:vMerge w:val="continue"/>
                  <w:vAlign w:val="center"/>
                </w:tcPr>
                <w:p w14:paraId="1936E711">
                  <w:pPr>
                    <w:pStyle w:val="51"/>
                    <w:keepNext w:val="0"/>
                    <w:keepLines w:val="0"/>
                    <w:suppressLineNumbers w:val="0"/>
                    <w:spacing w:before="0" w:beforeAutospacing="0" w:after="0" w:afterAutospacing="0"/>
                    <w:ind w:left="0" w:right="0" w:firstLine="480"/>
                    <w:rPr>
                      <w:rFonts w:hint="default" w:ascii="Times New Roman" w:hAnsi="Times New Roman" w:cs="Times New Roman"/>
                      <w:sz w:val="21"/>
                      <w:szCs w:val="21"/>
                    </w:rPr>
                  </w:pPr>
                </w:p>
              </w:tc>
              <w:tc>
                <w:tcPr>
                  <w:tcW w:w="1759" w:type="pct"/>
                  <w:vAlign w:val="center"/>
                </w:tcPr>
                <w:p w14:paraId="50588DDB">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TP</w:t>
                  </w:r>
                </w:p>
              </w:tc>
              <w:tc>
                <w:tcPr>
                  <w:tcW w:w="1155" w:type="pct"/>
                  <w:vAlign w:val="center"/>
                </w:tcPr>
                <w:p w14:paraId="20B8AE7C">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mg/L</w:t>
                  </w:r>
                </w:p>
              </w:tc>
              <w:tc>
                <w:tcPr>
                  <w:tcW w:w="1016" w:type="pct"/>
                  <w:vAlign w:val="center"/>
                </w:tcPr>
                <w:p w14:paraId="271C8E58">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4</w:t>
                  </w:r>
                </w:p>
              </w:tc>
            </w:tr>
          </w:tbl>
          <w:p w14:paraId="4C6CD23A">
            <w:pPr>
              <w:keepNext w:val="0"/>
              <w:keepLines w:val="0"/>
              <w:suppressLineNumbers w:val="0"/>
              <w:adjustRightInd w:val="0"/>
              <w:snapToGrid w:val="0"/>
              <w:spacing w:before="0" w:beforeAutospacing="0" w:after="0" w:afterAutospacing="0" w:line="440" w:lineRule="exact"/>
              <w:ind w:left="0" w:right="0" w:firstLine="482" w:firstLineChars="200"/>
              <w:textAlignment w:val="baseline"/>
              <w:rPr>
                <w:rFonts w:hint="eastAsia" w:eastAsia="宋体"/>
                <w:b/>
                <w:sz w:val="24"/>
                <w:highlight w:val="none"/>
                <w:lang w:val="en-US" w:eastAsia="zh-CN"/>
              </w:rPr>
            </w:pPr>
            <w:r>
              <w:rPr>
                <w:rFonts w:hint="eastAsia"/>
                <w:b/>
                <w:sz w:val="24"/>
                <w:highlight w:val="none"/>
                <w:lang w:val="en-US" w:eastAsia="zh-CN"/>
              </w:rPr>
              <w:t>2</w:t>
            </w:r>
            <w:r>
              <w:rPr>
                <w:rFonts w:hint="eastAsia"/>
                <w:b/>
                <w:sz w:val="24"/>
                <w:highlight w:val="none"/>
              </w:rPr>
              <w:t>、</w:t>
            </w:r>
            <w:r>
              <w:rPr>
                <w:rFonts w:hint="default"/>
                <w:b/>
                <w:sz w:val="24"/>
                <w:highlight w:val="none"/>
              </w:rPr>
              <w:t>噪声</w:t>
            </w:r>
          </w:p>
          <w:p w14:paraId="66ABF9D0">
            <w:pPr>
              <w:keepNext w:val="0"/>
              <w:keepLines w:val="0"/>
              <w:suppressLineNumbers w:val="0"/>
              <w:adjustRightInd w:val="0"/>
              <w:snapToGrid w:val="0"/>
              <w:spacing w:before="0" w:beforeAutospacing="0" w:after="0" w:afterAutospacing="0" w:line="440" w:lineRule="exact"/>
              <w:ind w:left="0" w:right="0" w:firstLine="480" w:firstLineChars="200"/>
              <w:rPr>
                <w:rFonts w:hint="default" w:ascii="宋体" w:hAnsi="宋体"/>
                <w:b/>
                <w:color w:val="auto"/>
                <w:sz w:val="24"/>
                <w:highlight w:val="none"/>
              </w:rPr>
            </w:pPr>
            <w:r>
              <w:rPr>
                <w:rFonts w:hint="eastAsia"/>
                <w:color w:val="auto"/>
                <w:sz w:val="24"/>
                <w:highlight w:val="none"/>
              </w:rPr>
              <w:t>运营期各厂界噪声执行《工业企业厂界环境噪声排放标准》（</w:t>
            </w:r>
            <w:r>
              <w:rPr>
                <w:rFonts w:hint="default"/>
                <w:color w:val="auto"/>
                <w:sz w:val="24"/>
                <w:highlight w:val="none"/>
              </w:rPr>
              <w:t>GB12348-2008</w:t>
            </w:r>
            <w:r>
              <w:rPr>
                <w:rFonts w:hint="eastAsia"/>
                <w:color w:val="auto"/>
                <w:sz w:val="24"/>
                <w:highlight w:val="none"/>
              </w:rPr>
              <w:t>）</w:t>
            </w:r>
            <w:r>
              <w:rPr>
                <w:rFonts w:hint="eastAsia"/>
                <w:color w:val="auto"/>
                <w:sz w:val="24"/>
                <w:highlight w:val="none"/>
                <w:lang w:val="en-US" w:eastAsia="zh-CN"/>
              </w:rPr>
              <w:t>3</w:t>
            </w:r>
            <w:r>
              <w:rPr>
                <w:rFonts w:hint="eastAsia"/>
                <w:color w:val="auto"/>
                <w:sz w:val="24"/>
                <w:highlight w:val="none"/>
              </w:rPr>
              <w:t>类标准，具体标准值见下表。</w:t>
            </w:r>
            <w:bookmarkStart w:id="5" w:name="_Ref308191224"/>
          </w:p>
          <w:p w14:paraId="266E8D33">
            <w:pPr>
              <w:keepNext w:val="0"/>
              <w:keepLines w:val="0"/>
              <w:suppressLineNumbers w:val="0"/>
              <w:adjustRightInd w:val="0"/>
              <w:snapToGrid w:val="0"/>
              <w:spacing w:before="0" w:beforeAutospacing="0" w:after="0" w:afterAutospacing="0" w:line="440" w:lineRule="exact"/>
              <w:ind w:left="0" w:right="0"/>
              <w:jc w:val="center"/>
              <w:rPr>
                <w:rFonts w:hint="default" w:hAnsi="黑体" w:eastAsia="黑体"/>
                <w:color w:val="000000" w:themeColor="text1"/>
                <w:sz w:val="24"/>
                <w:szCs w:val="20"/>
                <w:highlight w:val="none"/>
                <w14:textFill>
                  <w14:solidFill>
                    <w14:schemeClr w14:val="tx1"/>
                  </w14:solidFill>
                </w14:textFill>
              </w:rPr>
            </w:pPr>
            <w:r>
              <w:rPr>
                <w:rFonts w:hint="default" w:ascii="宋体" w:hAnsi="宋体"/>
                <w:b/>
                <w:color w:val="000000" w:themeColor="text1"/>
                <w:sz w:val="24"/>
                <w:highlight w:val="none"/>
                <w14:textFill>
                  <w14:solidFill>
                    <w14:schemeClr w14:val="tx1"/>
                  </w14:solidFill>
                </w14:textFill>
              </w:rPr>
              <w:t>表</w:t>
            </w:r>
            <w:bookmarkEnd w:id="5"/>
            <w:r>
              <w:rPr>
                <w:rFonts w:hint="eastAsia" w:cs="Times New Roman"/>
                <w:b/>
                <w:color w:val="000000" w:themeColor="text1"/>
                <w:sz w:val="24"/>
                <w:highlight w:val="none"/>
                <w:lang w:val="en-US" w:eastAsia="zh-CN"/>
                <w14:textFill>
                  <w14:solidFill>
                    <w14:schemeClr w14:val="tx1"/>
                  </w14:solidFill>
                </w14:textFill>
              </w:rPr>
              <w:t>28</w:t>
            </w:r>
            <w:r>
              <w:rPr>
                <w:rFonts w:hint="eastAsia" w:ascii="宋体" w:hAnsi="宋体"/>
                <w:b/>
                <w:color w:val="000000" w:themeColor="text1"/>
                <w:sz w:val="24"/>
                <w:highlight w:val="none"/>
                <w:lang w:val="en-US" w:eastAsia="zh-CN"/>
                <w14:textFill>
                  <w14:solidFill>
                    <w14:schemeClr w14:val="tx1"/>
                  </w14:solidFill>
                </w14:textFill>
              </w:rPr>
              <w:t xml:space="preserve">  </w:t>
            </w:r>
            <w:r>
              <w:rPr>
                <w:rFonts w:hint="default" w:ascii="宋体" w:hAnsi="宋体"/>
                <w:b/>
                <w:color w:val="000000" w:themeColor="text1"/>
                <w:sz w:val="24"/>
                <w:highlight w:val="none"/>
                <w14:textFill>
                  <w14:solidFill>
                    <w14:schemeClr w14:val="tx1"/>
                  </w14:solidFill>
                </w14:textFill>
              </w:rPr>
              <w:t>工业企业厂界环境噪声排放标准</w:t>
            </w:r>
            <w:r>
              <w:rPr>
                <w:rFonts w:hint="eastAsia" w:ascii="宋体" w:hAnsi="宋体"/>
                <w:b/>
                <w:color w:val="000000" w:themeColor="text1"/>
                <w:sz w:val="24"/>
                <w:highlight w:val="none"/>
                <w:lang w:val="en-US" w:eastAsia="zh-CN"/>
                <w14:textFill>
                  <w14:solidFill>
                    <w14:schemeClr w14:val="tx1"/>
                  </w14:solidFill>
                </w14:textFill>
              </w:rPr>
              <w:t xml:space="preserve">  </w:t>
            </w:r>
            <w:r>
              <w:rPr>
                <w:rFonts w:hint="default" w:ascii="宋体" w:hAnsi="宋体"/>
                <w:b/>
                <w:color w:val="000000" w:themeColor="text1"/>
                <w:sz w:val="24"/>
                <w:highlight w:val="none"/>
                <w14:textFill>
                  <w14:solidFill>
                    <w14:schemeClr w14:val="tx1"/>
                  </w14:solidFill>
                </w14:textFill>
              </w:rPr>
              <w:t>单位：</w:t>
            </w:r>
            <w:r>
              <w:rPr>
                <w:rFonts w:hint="default" w:ascii="Times New Roman" w:hAnsi="Times New Roman" w:cs="Times New Roman"/>
                <w:b/>
                <w:color w:val="000000" w:themeColor="text1"/>
                <w:sz w:val="24"/>
                <w:highlight w:val="none"/>
                <w14:textFill>
                  <w14:solidFill>
                    <w14:schemeClr w14:val="tx1"/>
                  </w14:solidFill>
                </w14:textFill>
              </w:rPr>
              <w:t>dB（A</w:t>
            </w:r>
            <w:r>
              <w:rPr>
                <w:rFonts w:hint="default" w:ascii="Times New Roman" w:hAnsi="Times New Roman" w:eastAsia="黑体" w:cs="Times New Roman"/>
                <w:color w:val="000000" w:themeColor="text1"/>
                <w:sz w:val="24"/>
                <w:szCs w:val="20"/>
                <w:highlight w:val="none"/>
                <w14:textFill>
                  <w14:solidFill>
                    <w14:schemeClr w14:val="tx1"/>
                  </w14:solidFill>
                </w14:textFill>
              </w:rPr>
              <w:t>）</w:t>
            </w:r>
          </w:p>
          <w:tbl>
            <w:tblPr>
              <w:tblStyle w:val="23"/>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830"/>
              <w:gridCol w:w="2366"/>
              <w:gridCol w:w="2366"/>
            </w:tblGrid>
            <w:tr w14:paraId="2FC39F5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36" w:type="pct"/>
                  <w:tcBorders>
                    <w:top w:val="single" w:color="auto" w:sz="8" w:space="0"/>
                    <w:bottom w:val="single" w:color="auto" w:sz="8" w:space="0"/>
                    <w:right w:val="single" w:color="auto" w:sz="4" w:space="0"/>
                  </w:tcBorders>
                  <w:noWrap w:val="0"/>
                  <w:vAlign w:val="center"/>
                </w:tcPr>
                <w:p w14:paraId="7FC8A448">
                  <w:pPr>
                    <w:keepNext w:val="0"/>
                    <w:keepLines w:val="0"/>
                    <w:suppressLineNumbers w:val="0"/>
                    <w:adjustRightInd w:val="0"/>
                    <w:snapToGrid w:val="0"/>
                    <w:spacing w:before="0" w:beforeAutospacing="0" w:after="0" w:afterAutospacing="0"/>
                    <w:ind w:left="0" w:right="0"/>
                    <w:jc w:val="center"/>
                    <w:rPr>
                      <w:rFonts w:hint="default"/>
                      <w:b/>
                      <w:color w:val="auto"/>
                      <w:sz w:val="21"/>
                      <w:szCs w:val="21"/>
                      <w:highlight w:val="none"/>
                    </w:rPr>
                  </w:pPr>
                  <w:r>
                    <w:rPr>
                      <w:rFonts w:hint="eastAsia"/>
                      <w:b/>
                      <w:color w:val="auto"/>
                      <w:sz w:val="21"/>
                      <w:szCs w:val="21"/>
                      <w:highlight w:val="none"/>
                    </w:rPr>
                    <w:t>类别</w:t>
                  </w:r>
                </w:p>
              </w:tc>
              <w:tc>
                <w:tcPr>
                  <w:tcW w:w="1381" w:type="pct"/>
                  <w:tcBorders>
                    <w:top w:val="single" w:color="auto" w:sz="8" w:space="0"/>
                    <w:left w:val="single" w:color="auto" w:sz="4" w:space="0"/>
                    <w:bottom w:val="single" w:color="auto" w:sz="8" w:space="0"/>
                  </w:tcBorders>
                  <w:noWrap w:val="0"/>
                  <w:vAlign w:val="center"/>
                </w:tcPr>
                <w:p w14:paraId="5F5E69AF">
                  <w:pPr>
                    <w:keepNext w:val="0"/>
                    <w:keepLines w:val="0"/>
                    <w:suppressLineNumbers w:val="0"/>
                    <w:adjustRightInd w:val="0"/>
                    <w:snapToGrid w:val="0"/>
                    <w:spacing w:before="0" w:beforeAutospacing="0" w:after="0" w:afterAutospacing="0"/>
                    <w:ind w:left="0" w:right="0"/>
                    <w:jc w:val="center"/>
                    <w:rPr>
                      <w:rFonts w:hint="default"/>
                      <w:b/>
                      <w:color w:val="auto"/>
                      <w:sz w:val="21"/>
                      <w:szCs w:val="21"/>
                      <w:highlight w:val="none"/>
                    </w:rPr>
                  </w:pPr>
                  <w:r>
                    <w:rPr>
                      <w:rFonts w:hint="eastAsia"/>
                      <w:b/>
                      <w:color w:val="auto"/>
                      <w:sz w:val="21"/>
                      <w:szCs w:val="21"/>
                      <w:highlight w:val="none"/>
                    </w:rPr>
                    <w:t>昼间</w:t>
                  </w:r>
                </w:p>
              </w:tc>
              <w:tc>
                <w:tcPr>
                  <w:tcW w:w="1381" w:type="pct"/>
                  <w:tcBorders>
                    <w:top w:val="single" w:color="auto" w:sz="8" w:space="0"/>
                    <w:left w:val="single" w:color="auto" w:sz="4" w:space="0"/>
                    <w:bottom w:val="single" w:color="auto" w:sz="8" w:space="0"/>
                  </w:tcBorders>
                  <w:noWrap w:val="0"/>
                  <w:vAlign w:val="center"/>
                </w:tcPr>
                <w:p w14:paraId="1A4A4648">
                  <w:pPr>
                    <w:keepNext w:val="0"/>
                    <w:keepLines w:val="0"/>
                    <w:suppressLineNumbers w:val="0"/>
                    <w:adjustRightInd w:val="0"/>
                    <w:snapToGrid w:val="0"/>
                    <w:spacing w:before="0" w:beforeAutospacing="0" w:after="0" w:afterAutospacing="0"/>
                    <w:ind w:left="0" w:right="0"/>
                    <w:jc w:val="center"/>
                    <w:rPr>
                      <w:rFonts w:hint="eastAsia" w:eastAsia="宋体"/>
                      <w:b/>
                      <w:color w:val="auto"/>
                      <w:sz w:val="21"/>
                      <w:szCs w:val="21"/>
                      <w:highlight w:val="none"/>
                      <w:lang w:val="en-US" w:eastAsia="zh-CN"/>
                    </w:rPr>
                  </w:pPr>
                  <w:r>
                    <w:rPr>
                      <w:rFonts w:hint="eastAsia"/>
                      <w:b/>
                      <w:color w:val="auto"/>
                      <w:sz w:val="21"/>
                      <w:szCs w:val="21"/>
                      <w:highlight w:val="none"/>
                      <w:lang w:val="en-US" w:eastAsia="zh-CN"/>
                    </w:rPr>
                    <w:t>夜间</w:t>
                  </w:r>
                </w:p>
              </w:tc>
            </w:tr>
            <w:tr w14:paraId="2DB0150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36" w:type="pct"/>
                  <w:tcBorders>
                    <w:top w:val="single" w:color="auto" w:sz="8" w:space="0"/>
                  </w:tcBorders>
                  <w:noWrap w:val="0"/>
                  <w:vAlign w:val="center"/>
                </w:tcPr>
                <w:p w14:paraId="7A0DC0B2">
                  <w:pPr>
                    <w:keepNext w:val="0"/>
                    <w:keepLines w:val="0"/>
                    <w:suppressLineNumbers w:val="0"/>
                    <w:adjustRightInd w:val="0"/>
                    <w:snapToGrid w:val="0"/>
                    <w:spacing w:before="0" w:beforeAutospacing="0" w:after="0" w:afterAutospacing="0"/>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3</w:t>
                  </w:r>
                  <w:r>
                    <w:rPr>
                      <w:rFonts w:hint="eastAsia"/>
                      <w:color w:val="auto"/>
                      <w:sz w:val="21"/>
                      <w:szCs w:val="21"/>
                      <w:highlight w:val="none"/>
                    </w:rPr>
                    <w:t>类</w:t>
                  </w:r>
                </w:p>
              </w:tc>
              <w:tc>
                <w:tcPr>
                  <w:tcW w:w="1381" w:type="pct"/>
                  <w:tcBorders>
                    <w:top w:val="single" w:color="auto" w:sz="8" w:space="0"/>
                  </w:tcBorders>
                  <w:noWrap w:val="0"/>
                  <w:vAlign w:val="center"/>
                </w:tcPr>
                <w:p w14:paraId="449F6B6C">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lang w:val="en-US" w:eastAsia="zh-CN"/>
                    </w:rPr>
                  </w:pPr>
                  <w:r>
                    <w:rPr>
                      <w:rFonts w:hint="eastAsia"/>
                      <w:color w:val="auto"/>
                      <w:sz w:val="21"/>
                      <w:szCs w:val="21"/>
                      <w:highlight w:val="none"/>
                      <w:lang w:val="en-US" w:eastAsia="zh-CN"/>
                    </w:rPr>
                    <w:t>65</w:t>
                  </w:r>
                </w:p>
              </w:tc>
              <w:tc>
                <w:tcPr>
                  <w:tcW w:w="1381" w:type="pct"/>
                  <w:tcBorders>
                    <w:top w:val="single" w:color="auto" w:sz="8" w:space="0"/>
                  </w:tcBorders>
                  <w:noWrap w:val="0"/>
                  <w:vAlign w:val="center"/>
                </w:tcPr>
                <w:p w14:paraId="56374E56">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lang w:val="en-US" w:eastAsia="zh-CN"/>
                    </w:rPr>
                  </w:pPr>
                  <w:r>
                    <w:rPr>
                      <w:rFonts w:hint="eastAsia"/>
                      <w:color w:val="auto"/>
                      <w:sz w:val="21"/>
                      <w:szCs w:val="21"/>
                      <w:highlight w:val="none"/>
                      <w:lang w:val="en-US" w:eastAsia="zh-CN"/>
                    </w:rPr>
                    <w:t>55</w:t>
                  </w:r>
                </w:p>
              </w:tc>
            </w:tr>
          </w:tbl>
          <w:p w14:paraId="33D38F4E">
            <w:pPr>
              <w:keepNext w:val="0"/>
              <w:keepLines w:val="0"/>
              <w:suppressLineNumbers w:val="0"/>
              <w:adjustRightInd w:val="0"/>
              <w:snapToGrid w:val="0"/>
              <w:spacing w:before="0" w:beforeAutospacing="0" w:after="0" w:afterAutospacing="0" w:line="440" w:lineRule="exact"/>
              <w:ind w:left="0" w:right="0" w:firstLine="482" w:firstLineChars="200"/>
              <w:rPr>
                <w:rFonts w:hint="default"/>
                <w:b/>
                <w:sz w:val="24"/>
                <w:highlight w:val="none"/>
              </w:rPr>
            </w:pPr>
            <w:r>
              <w:rPr>
                <w:rFonts w:hint="eastAsia"/>
                <w:b/>
                <w:sz w:val="24"/>
                <w:highlight w:val="none"/>
                <w:lang w:val="en-US" w:eastAsia="zh-CN"/>
              </w:rPr>
              <w:t>3</w:t>
            </w:r>
            <w:r>
              <w:rPr>
                <w:rFonts w:hint="eastAsia"/>
                <w:b/>
                <w:sz w:val="24"/>
                <w:highlight w:val="none"/>
              </w:rPr>
              <w:t>、固废</w:t>
            </w:r>
          </w:p>
          <w:p w14:paraId="5E07E87C">
            <w:pPr>
              <w:keepNext w:val="0"/>
              <w:keepLines w:val="0"/>
              <w:suppressLineNumbers w:val="0"/>
              <w:tabs>
                <w:tab w:val="left" w:pos="3230"/>
              </w:tabs>
              <w:adjustRightInd w:val="0"/>
              <w:snapToGrid w:val="0"/>
              <w:spacing w:before="0" w:beforeAutospacing="0" w:after="0" w:afterAutospacing="0" w:line="440" w:lineRule="exact"/>
              <w:ind w:left="0" w:right="0" w:firstLine="480" w:firstLineChars="200"/>
              <w:jc w:val="both"/>
              <w:rPr>
                <w:rFonts w:hint="eastAsia" w:eastAsia="宋体"/>
                <w:sz w:val="24"/>
                <w:highlight w:val="none"/>
                <w:lang w:eastAsia="zh-CN"/>
              </w:rPr>
            </w:pPr>
            <w:r>
              <w:rPr>
                <w:rFonts w:hint="default"/>
                <w:sz w:val="24"/>
                <w:highlight w:val="none"/>
              </w:rPr>
              <w:t>一般固体废物贮存、处置按照《</w:t>
            </w:r>
            <w:r>
              <w:rPr>
                <w:rFonts w:hint="eastAsia"/>
                <w:sz w:val="24"/>
                <w:highlight w:val="none"/>
              </w:rPr>
              <w:t>一般工业固体废物贮存和填埋污染控制标准</w:t>
            </w:r>
            <w:r>
              <w:rPr>
                <w:rFonts w:hint="default"/>
                <w:sz w:val="24"/>
                <w:highlight w:val="none"/>
              </w:rPr>
              <w:t>》（GB18599-20</w:t>
            </w:r>
            <w:r>
              <w:rPr>
                <w:rFonts w:hint="eastAsia"/>
                <w:sz w:val="24"/>
                <w:highlight w:val="none"/>
              </w:rPr>
              <w:t>20</w:t>
            </w:r>
            <w:r>
              <w:rPr>
                <w:rFonts w:hint="default"/>
                <w:sz w:val="24"/>
                <w:highlight w:val="none"/>
              </w:rPr>
              <w:t>）</w:t>
            </w:r>
            <w:r>
              <w:rPr>
                <w:rFonts w:hint="eastAsia"/>
                <w:sz w:val="24"/>
                <w:highlight w:val="none"/>
              </w:rPr>
              <w:t>要求执行</w:t>
            </w:r>
            <w:r>
              <w:rPr>
                <w:rFonts w:hint="eastAsia"/>
                <w:sz w:val="24"/>
                <w:highlight w:val="none"/>
                <w:lang w:eastAsia="zh-CN"/>
              </w:rPr>
              <w:t>。</w:t>
            </w:r>
          </w:p>
          <w:p w14:paraId="1928D51C">
            <w:pPr>
              <w:keepNext w:val="0"/>
              <w:keepLines w:val="0"/>
              <w:suppressLineNumbers w:val="0"/>
              <w:tabs>
                <w:tab w:val="left" w:pos="3230"/>
              </w:tabs>
              <w:adjustRightInd w:val="0"/>
              <w:snapToGrid w:val="0"/>
              <w:spacing w:before="0" w:beforeAutospacing="0" w:after="0" w:afterAutospacing="0" w:line="440" w:lineRule="exact"/>
              <w:ind w:left="0" w:right="0" w:firstLine="480" w:firstLineChars="200"/>
              <w:jc w:val="both"/>
              <w:rPr>
                <w:rFonts w:hint="eastAsia" w:eastAsia="宋体"/>
                <w:sz w:val="24"/>
                <w:lang w:val="en-US" w:eastAsia="zh-CN"/>
              </w:rPr>
            </w:pPr>
            <w:r>
              <w:rPr>
                <w:rFonts w:hint="default"/>
                <w:sz w:val="24"/>
              </w:rPr>
              <w:t>危险废物贮存、处置执行《危险废物贮存污染控制标准》</w:t>
            </w:r>
            <w:r>
              <w:rPr>
                <w:rFonts w:hint="eastAsia"/>
                <w:sz w:val="24"/>
              </w:rPr>
              <w:t>（</w:t>
            </w:r>
            <w:r>
              <w:rPr>
                <w:rFonts w:hint="default"/>
                <w:sz w:val="24"/>
              </w:rPr>
              <w:t>GB18597-20</w:t>
            </w:r>
            <w:r>
              <w:rPr>
                <w:rFonts w:hint="eastAsia"/>
                <w:sz w:val="24"/>
              </w:rPr>
              <w:t>23）</w:t>
            </w:r>
            <w:r>
              <w:rPr>
                <w:rFonts w:hint="default"/>
                <w:sz w:val="24"/>
              </w:rPr>
              <w:t>中的有关规定</w:t>
            </w:r>
            <w:r>
              <w:rPr>
                <w:rFonts w:hint="eastAsia"/>
                <w:sz w:val="24"/>
                <w:highlight w:val="none"/>
                <w:lang w:eastAsia="zh-CN"/>
              </w:rPr>
              <w:t>。</w:t>
            </w:r>
          </w:p>
        </w:tc>
      </w:tr>
      <w:tr w14:paraId="0BC9C8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8" w:type="dxa"/>
            <w:noWrap w:val="0"/>
            <w:vAlign w:val="center"/>
          </w:tcPr>
          <w:p w14:paraId="05330D8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 w:val="24"/>
                <w:szCs w:val="24"/>
              </w:rPr>
            </w:pPr>
            <w:r>
              <w:rPr>
                <w:rFonts w:hint="default" w:hAnsi="宋体"/>
                <w:kern w:val="0"/>
                <w:sz w:val="24"/>
                <w:szCs w:val="24"/>
              </w:rPr>
              <w:t>总量</w:t>
            </w:r>
          </w:p>
          <w:p w14:paraId="6C349B8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 w:val="24"/>
                <w:szCs w:val="24"/>
              </w:rPr>
            </w:pPr>
            <w:r>
              <w:rPr>
                <w:rFonts w:hint="default" w:hAnsi="宋体"/>
                <w:kern w:val="0"/>
                <w:sz w:val="24"/>
                <w:szCs w:val="24"/>
              </w:rPr>
              <w:t>控制</w:t>
            </w:r>
          </w:p>
          <w:p w14:paraId="40AC753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Cs w:val="21"/>
              </w:rPr>
            </w:pPr>
            <w:r>
              <w:rPr>
                <w:rFonts w:hint="default" w:hAnsi="宋体"/>
                <w:kern w:val="0"/>
                <w:sz w:val="24"/>
                <w:szCs w:val="24"/>
              </w:rPr>
              <w:t>指标</w:t>
            </w:r>
          </w:p>
        </w:tc>
        <w:tc>
          <w:tcPr>
            <w:tcW w:w="8781" w:type="dxa"/>
            <w:noWrap w:val="0"/>
            <w:vAlign w:val="center"/>
          </w:tcPr>
          <w:p w14:paraId="1C5DEC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color w:val="FF0000"/>
                <w:highlight w:val="none"/>
                <w:u w:val="none" w:color="auto"/>
              </w:rPr>
            </w:pPr>
            <w:r>
              <w:rPr>
                <w:rFonts w:hint="eastAsia"/>
                <w:color w:val="auto"/>
                <w:highlight w:val="none"/>
                <w:u w:val="none" w:color="auto"/>
              </w:rPr>
              <w:t>根据新乡市生态环境局关于转发《河南省生态环境厅关于引印发建设项目主要污染物排放总量指标管理工作内部规程的通知》和《新乡市建设项目新增总量指标替代管理指导意见（试行）》的要求，污染物排放量实施区域内双倍替代。</w:t>
            </w:r>
          </w:p>
          <w:p w14:paraId="3E17A235">
            <w:pPr>
              <w:keepNext w:val="0"/>
              <w:keepLines w:val="0"/>
              <w:pageBreakBefore w:val="0"/>
              <w:widowControl w:val="0"/>
              <w:suppressLineNumbers w:val="0"/>
              <w:kinsoku/>
              <w:wordWrap/>
              <w:topLinePunct w:val="0"/>
              <w:autoSpaceDE/>
              <w:autoSpaceDN/>
              <w:bidi w:val="0"/>
              <w:adjustRightInd w:val="0"/>
              <w:snapToGrid w:val="0"/>
              <w:spacing w:before="0" w:beforeAutospacing="0" w:after="0" w:afterAutospacing="0" w:line="440" w:lineRule="exact"/>
              <w:ind w:left="0" w:right="0" w:firstLine="480" w:firstLineChars="200"/>
              <w:jc w:val="both"/>
              <w:textAlignment w:val="auto"/>
              <w:outlineLvl w:val="9"/>
              <w:rPr>
                <w:rFonts w:hint="eastAsia"/>
                <w:color w:val="auto"/>
                <w:highlight w:val="yellow"/>
                <w:u w:val="none" w:color="auto"/>
                <w:lang w:val="en-US" w:eastAsia="zh-CN"/>
              </w:rPr>
            </w:pPr>
            <w:r>
              <w:rPr>
                <w:rFonts w:hint="eastAsia" w:cs="Times New Roman"/>
                <w:b w:val="0"/>
                <w:bCs w:val="0"/>
                <w:color w:val="auto"/>
                <w:sz w:val="24"/>
                <w:szCs w:val="32"/>
                <w:highlight w:val="none"/>
                <w:u w:val="none" w:color="auto"/>
                <w:lang w:val="en-US" w:eastAsia="zh-CN"/>
              </w:rPr>
              <w:t>现有工程实际排放量为</w:t>
            </w:r>
            <w:r>
              <w:rPr>
                <w:rFonts w:hint="default" w:ascii="Times New Roman" w:hAnsi="Times New Roman" w:cs="Times New Roman"/>
                <w:b w:val="0"/>
                <w:bCs w:val="0"/>
                <w:color w:val="auto"/>
                <w:sz w:val="24"/>
                <w:szCs w:val="32"/>
                <w:highlight w:val="none"/>
                <w:u w:val="none" w:color="auto"/>
              </w:rPr>
              <w:t>非甲烷总烃</w:t>
            </w:r>
            <w:r>
              <w:rPr>
                <w:rFonts w:hint="eastAsia" w:cs="Times New Roman"/>
                <w:b w:val="0"/>
                <w:bCs w:val="0"/>
                <w:color w:val="auto"/>
                <w:sz w:val="24"/>
                <w:szCs w:val="32"/>
                <w:highlight w:val="none"/>
                <w:u w:val="none" w:color="auto"/>
                <w:lang w:val="en-US" w:eastAsia="zh-CN"/>
              </w:rPr>
              <w:t>3.3880</w:t>
            </w:r>
            <w:r>
              <w:rPr>
                <w:rFonts w:hint="default" w:ascii="Times New Roman" w:hAnsi="Times New Roman" w:cs="Times New Roman"/>
                <w:b w:val="0"/>
                <w:bCs w:val="0"/>
                <w:color w:val="auto"/>
                <w:sz w:val="24"/>
                <w:szCs w:val="32"/>
                <w:highlight w:val="none"/>
                <w:u w:val="none" w:color="auto"/>
                <w:lang w:val="en-US" w:eastAsia="zh-CN"/>
              </w:rPr>
              <w:t>t</w:t>
            </w:r>
            <w:r>
              <w:rPr>
                <w:rFonts w:hint="default" w:ascii="Times New Roman" w:hAnsi="Times New Roman" w:cs="Times New Roman"/>
                <w:b w:val="0"/>
                <w:bCs w:val="0"/>
                <w:color w:val="auto"/>
                <w:sz w:val="24"/>
                <w:szCs w:val="32"/>
                <w:highlight w:val="none"/>
                <w:u w:val="none" w:color="auto"/>
              </w:rPr>
              <w:t>/</w:t>
            </w:r>
            <w:r>
              <w:rPr>
                <w:rFonts w:hint="eastAsia" w:cs="Times New Roman"/>
                <w:b w:val="0"/>
                <w:bCs w:val="0"/>
                <w:color w:val="auto"/>
                <w:sz w:val="24"/>
                <w:szCs w:val="32"/>
                <w:highlight w:val="none"/>
                <w:u w:val="none" w:color="auto"/>
                <w:lang w:val="en-US" w:eastAsia="zh-CN"/>
              </w:rPr>
              <w:t>a、颗粒物0.4400t/a、</w:t>
            </w:r>
            <w:r>
              <w:rPr>
                <w:rFonts w:hint="eastAsia"/>
                <w:b w:val="0"/>
                <w:bCs w:val="0"/>
                <w:color w:val="auto"/>
                <w:sz w:val="24"/>
                <w:szCs w:val="32"/>
                <w:highlight w:val="none"/>
                <w:u w:val="none" w:color="auto"/>
              </w:rPr>
              <w:t>COD</w:t>
            </w:r>
            <w:r>
              <w:rPr>
                <w:rFonts w:hint="eastAsia" w:eastAsia="宋体"/>
                <w:b w:val="0"/>
                <w:bCs w:val="0"/>
                <w:color w:val="auto"/>
                <w:sz w:val="24"/>
                <w:szCs w:val="32"/>
                <w:highlight w:val="none"/>
                <w:u w:val="none" w:color="auto"/>
                <w:lang w:val="en-US" w:eastAsia="zh-CN"/>
              </w:rPr>
              <w:t>4.2768</w:t>
            </w:r>
            <w:r>
              <w:rPr>
                <w:rFonts w:hint="eastAsia"/>
                <w:b w:val="0"/>
                <w:bCs w:val="0"/>
                <w:color w:val="auto"/>
                <w:sz w:val="24"/>
                <w:szCs w:val="32"/>
                <w:highlight w:val="none"/>
                <w:u w:val="none" w:color="auto"/>
              </w:rPr>
              <w:t>t/a、NH</w:t>
            </w:r>
            <w:r>
              <w:rPr>
                <w:rFonts w:hint="eastAsia"/>
                <w:b w:val="0"/>
                <w:bCs w:val="0"/>
                <w:color w:val="auto"/>
                <w:sz w:val="24"/>
                <w:szCs w:val="32"/>
                <w:highlight w:val="none"/>
                <w:u w:val="none" w:color="auto"/>
                <w:vertAlign w:val="subscript"/>
              </w:rPr>
              <w:t>3</w:t>
            </w:r>
            <w:r>
              <w:rPr>
                <w:rFonts w:hint="eastAsia"/>
                <w:b w:val="0"/>
                <w:bCs w:val="0"/>
                <w:color w:val="auto"/>
                <w:sz w:val="24"/>
                <w:szCs w:val="32"/>
                <w:highlight w:val="none"/>
                <w:u w:val="none" w:color="auto"/>
              </w:rPr>
              <w:t>-N</w:t>
            </w:r>
            <w:r>
              <w:rPr>
                <w:rFonts w:hint="eastAsia"/>
                <w:b w:val="0"/>
                <w:bCs w:val="0"/>
                <w:color w:val="auto"/>
                <w:sz w:val="24"/>
                <w:szCs w:val="32"/>
                <w:highlight w:val="none"/>
                <w:u w:val="none" w:color="auto"/>
                <w:lang w:val="en-US" w:eastAsia="zh-CN"/>
              </w:rPr>
              <w:t>0.4158</w:t>
            </w:r>
            <w:r>
              <w:rPr>
                <w:rFonts w:hint="eastAsia"/>
                <w:b w:val="0"/>
                <w:bCs w:val="0"/>
                <w:color w:val="auto"/>
                <w:sz w:val="24"/>
                <w:szCs w:val="32"/>
                <w:highlight w:val="none"/>
                <w:u w:val="none" w:color="auto"/>
              </w:rPr>
              <w:t>t/a。</w:t>
            </w:r>
          </w:p>
          <w:p w14:paraId="23AFB8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ascii="Times New Roman" w:hAnsi="Times New Roman" w:eastAsia="宋体" w:cs="Times New Roman"/>
                <w:bCs/>
                <w:color w:val="auto"/>
                <w:sz w:val="24"/>
                <w:szCs w:val="24"/>
                <w:highlight w:val="none"/>
                <w:u w:val="none" w:color="auto"/>
                <w:lang w:val="en-US" w:eastAsia="zh-CN"/>
              </w:rPr>
            </w:pPr>
            <w:r>
              <w:rPr>
                <w:rFonts w:hint="eastAsia"/>
                <w:color w:val="auto"/>
                <w:highlight w:val="none"/>
                <w:u w:val="none" w:color="auto"/>
                <w:lang w:val="en-US" w:eastAsia="zh-CN"/>
              </w:rPr>
              <w:t>本项目为改建项目，以新带老削减量为</w:t>
            </w:r>
            <w:r>
              <w:rPr>
                <w:rFonts w:hint="eastAsia"/>
                <w:b w:val="0"/>
                <w:bCs w:val="0"/>
                <w:color w:val="000000" w:themeColor="text1"/>
                <w:sz w:val="24"/>
                <w:szCs w:val="32"/>
                <w:highlight w:val="none"/>
                <w:u w:val="none" w:color="auto"/>
                <w14:textFill>
                  <w14:solidFill>
                    <w14:schemeClr w14:val="tx1"/>
                  </w14:solidFill>
                </w14:textFill>
              </w:rPr>
              <w:t>COD</w:t>
            </w:r>
            <w:r>
              <w:rPr>
                <w:rFonts w:hint="eastAsia"/>
                <w:b w:val="0"/>
                <w:bCs w:val="0"/>
                <w:color w:val="000000" w:themeColor="text1"/>
                <w:sz w:val="24"/>
                <w:szCs w:val="32"/>
                <w:highlight w:val="none"/>
                <w:u w:val="none" w:color="auto"/>
                <w:lang w:val="en-US" w:eastAsia="zh-CN"/>
                <w14:textFill>
                  <w14:solidFill>
                    <w14:schemeClr w14:val="tx1"/>
                  </w14:solidFill>
                </w14:textFill>
              </w:rPr>
              <w:t>0.0158</w:t>
            </w:r>
            <w:r>
              <w:rPr>
                <w:rFonts w:hint="eastAsia"/>
                <w:b w:val="0"/>
                <w:bCs w:val="0"/>
                <w:color w:val="000000" w:themeColor="text1"/>
                <w:sz w:val="24"/>
                <w:szCs w:val="32"/>
                <w:highlight w:val="none"/>
                <w:u w:val="none" w:color="auto"/>
                <w14:textFill>
                  <w14:solidFill>
                    <w14:schemeClr w14:val="tx1"/>
                  </w14:solidFill>
                </w14:textFill>
              </w:rPr>
              <w:t>t/a、NH</w:t>
            </w:r>
            <w:r>
              <w:rPr>
                <w:rFonts w:hint="eastAsia"/>
                <w:b w:val="0"/>
                <w:bCs w:val="0"/>
                <w:color w:val="000000" w:themeColor="text1"/>
                <w:sz w:val="24"/>
                <w:szCs w:val="32"/>
                <w:highlight w:val="none"/>
                <w:u w:val="none" w:color="auto"/>
                <w:vertAlign w:val="subscript"/>
                <w14:textFill>
                  <w14:solidFill>
                    <w14:schemeClr w14:val="tx1"/>
                  </w14:solidFill>
                </w14:textFill>
              </w:rPr>
              <w:t>3</w:t>
            </w:r>
            <w:r>
              <w:rPr>
                <w:rFonts w:hint="eastAsia"/>
                <w:b w:val="0"/>
                <w:bCs w:val="0"/>
                <w:color w:val="000000" w:themeColor="text1"/>
                <w:sz w:val="24"/>
                <w:szCs w:val="32"/>
                <w:highlight w:val="none"/>
                <w:u w:val="none" w:color="auto"/>
                <w14:textFill>
                  <w14:solidFill>
                    <w14:schemeClr w14:val="tx1"/>
                  </w14:solidFill>
                </w14:textFill>
              </w:rPr>
              <w:t>-N</w:t>
            </w:r>
            <w:r>
              <w:rPr>
                <w:rFonts w:hint="eastAsia"/>
                <w:b w:val="0"/>
                <w:bCs w:val="0"/>
                <w:color w:val="000000" w:themeColor="text1"/>
                <w:sz w:val="24"/>
                <w:szCs w:val="32"/>
                <w:highlight w:val="none"/>
                <w:u w:val="none" w:color="auto"/>
                <w:lang w:val="en-US" w:eastAsia="zh-CN"/>
                <w14:textFill>
                  <w14:solidFill>
                    <w14:schemeClr w14:val="tx1"/>
                  </w14:solidFill>
                </w14:textFill>
              </w:rPr>
              <w:t>0.004</w:t>
            </w:r>
            <w:r>
              <w:rPr>
                <w:rFonts w:hint="eastAsia"/>
                <w:b w:val="0"/>
                <w:bCs w:val="0"/>
                <w:color w:val="000000" w:themeColor="text1"/>
                <w:sz w:val="24"/>
                <w:szCs w:val="32"/>
                <w:highlight w:val="none"/>
                <w:u w:val="none" w:color="auto"/>
                <w14:textFill>
                  <w14:solidFill>
                    <w14:schemeClr w14:val="tx1"/>
                  </w14:solidFill>
                </w14:textFill>
              </w:rPr>
              <w:t>t/a</w:t>
            </w:r>
            <w:r>
              <w:rPr>
                <w:rFonts w:hint="eastAsia"/>
                <w:color w:val="000000" w:themeColor="text1"/>
                <w:highlight w:val="none"/>
                <w:u w:val="none" w:color="auto"/>
                <w:lang w:val="en-US" w:eastAsia="zh-CN"/>
                <w14:textFill>
                  <w14:solidFill>
                    <w14:schemeClr w14:val="tx1"/>
                  </w14:solidFill>
                </w14:textFill>
              </w:rPr>
              <w:t>。</w:t>
            </w:r>
            <w:r>
              <w:rPr>
                <w:rFonts w:hint="eastAsia" w:ascii="Times New Roman" w:hAnsi="Times New Roman" w:eastAsia="宋体" w:cs="Times New Roman"/>
                <w:b w:val="0"/>
                <w:bCs w:val="0"/>
                <w:color w:val="auto"/>
                <w:kern w:val="2"/>
                <w:sz w:val="24"/>
                <w:szCs w:val="32"/>
                <w:highlight w:val="none"/>
                <w:u w:val="none" w:color="auto"/>
                <w:lang w:val="en-US" w:eastAsia="zh-CN" w:bidi="ar-SA"/>
              </w:rPr>
              <w:t>本项目</w:t>
            </w:r>
            <w:r>
              <w:rPr>
                <w:rFonts w:hint="eastAsia" w:ascii="Times New Roman" w:hAnsi="Times New Roman" w:eastAsia="宋体" w:cs="Times New Roman"/>
                <w:b w:val="0"/>
                <w:bCs w:val="0"/>
                <w:color w:val="auto"/>
                <w:sz w:val="24"/>
                <w:szCs w:val="32"/>
                <w:highlight w:val="none"/>
                <w:u w:val="none" w:color="auto"/>
                <w:lang w:val="en-US" w:eastAsia="zh-CN"/>
              </w:rPr>
              <w:t>不新增重点污染物总量控制指标，无需进行重点污染物削减替代。</w:t>
            </w:r>
            <w:r>
              <w:rPr>
                <w:rFonts w:hint="eastAsia"/>
                <w:color w:val="000000" w:themeColor="text1"/>
                <w:sz w:val="24"/>
                <w:highlight w:val="none"/>
                <w:u w:val="none" w:color="auto"/>
                <w:lang w:val="en-US" w:eastAsia="zh-CN"/>
                <w14:textFill>
                  <w14:solidFill>
                    <w14:schemeClr w14:val="tx1"/>
                  </w14:solidFill>
                </w14:textFill>
              </w:rPr>
              <w:t>本项目建成后全厂污染物排放量为非甲烷总烃3.3880</w:t>
            </w:r>
            <w:r>
              <w:rPr>
                <w:rFonts w:hint="default"/>
                <w:color w:val="000000" w:themeColor="text1"/>
                <w:sz w:val="24"/>
                <w:highlight w:val="none"/>
                <w:u w:val="none" w:color="auto"/>
                <w:lang w:val="en-US" w:eastAsia="zh-CN"/>
                <w14:textFill>
                  <w14:solidFill>
                    <w14:schemeClr w14:val="tx1"/>
                  </w14:solidFill>
                </w14:textFill>
              </w:rPr>
              <w:t>t/a</w:t>
            </w:r>
            <w:r>
              <w:rPr>
                <w:rFonts w:hint="eastAsia"/>
                <w:color w:val="000000" w:themeColor="text1"/>
                <w:sz w:val="24"/>
                <w:highlight w:val="none"/>
                <w:u w:val="none" w:color="auto"/>
                <w:lang w:val="en-US" w:eastAsia="zh-CN"/>
                <w14:textFill>
                  <w14:solidFill>
                    <w14:schemeClr w14:val="tx1"/>
                  </w14:solidFill>
                </w14:textFill>
              </w:rPr>
              <w:t>、颗粒物0.4400t/a、</w:t>
            </w:r>
            <w:r>
              <w:rPr>
                <w:rFonts w:hint="eastAsia"/>
                <w:highlight w:val="none"/>
                <w:u w:val="none" w:color="auto"/>
                <w:lang w:val="en-US" w:eastAsia="zh-CN"/>
              </w:rPr>
              <w:t>COD4.2610t/a、NH</w:t>
            </w:r>
            <w:r>
              <w:rPr>
                <w:rFonts w:hint="eastAsia"/>
                <w:highlight w:val="none"/>
                <w:u w:val="none" w:color="auto"/>
                <w:vertAlign w:val="subscript"/>
                <w:lang w:val="en-US" w:eastAsia="zh-CN"/>
              </w:rPr>
              <w:t>3</w:t>
            </w:r>
            <w:r>
              <w:rPr>
                <w:rFonts w:hint="eastAsia"/>
                <w:highlight w:val="none"/>
                <w:u w:val="none" w:color="auto"/>
                <w:lang w:val="en-US" w:eastAsia="zh-CN"/>
              </w:rPr>
              <w:t>-N0.4118t/a</w:t>
            </w:r>
            <w:r>
              <w:rPr>
                <w:rFonts w:hint="eastAsia"/>
                <w:color w:val="auto"/>
                <w:highlight w:val="none"/>
                <w:u w:val="none" w:color="auto"/>
                <w:lang w:val="en-US" w:eastAsia="zh-CN"/>
              </w:rPr>
              <w:t>。</w:t>
            </w:r>
          </w:p>
          <w:p w14:paraId="3352D5A2">
            <w:pPr>
              <w:keepNext w:val="0"/>
              <w:keepLines w:val="0"/>
              <w:suppressLineNumbers w:val="0"/>
              <w:spacing w:before="0" w:beforeAutospacing="0" w:after="0" w:afterAutospacing="0" w:line="440" w:lineRule="exact"/>
              <w:ind w:left="0" w:right="0"/>
              <w:jc w:val="center"/>
              <w:rPr>
                <w:rFonts w:hint="default"/>
                <w:sz w:val="24"/>
                <w:u w:val="none" w:color="auto"/>
                <w:lang w:val="en-US"/>
              </w:rPr>
            </w:pPr>
            <w:r>
              <w:rPr>
                <w:rFonts w:hint="eastAsia" w:ascii="Times New Roman" w:hAnsi="Times New Roman" w:cs="Times New Roman"/>
                <w:b/>
                <w:bCs/>
                <w:color w:val="auto"/>
                <w:sz w:val="24"/>
                <w:szCs w:val="24"/>
                <w:u w:val="none" w:color="auto"/>
                <w:lang w:val="en-US" w:eastAsia="zh-CN"/>
              </w:rPr>
              <w:t>表</w:t>
            </w:r>
            <w:r>
              <w:rPr>
                <w:rFonts w:hint="eastAsia" w:cs="Times New Roman"/>
                <w:b/>
                <w:bCs/>
                <w:color w:val="auto"/>
                <w:sz w:val="24"/>
                <w:szCs w:val="24"/>
                <w:u w:val="none" w:color="auto"/>
                <w:lang w:val="en-US" w:eastAsia="zh-CN"/>
              </w:rPr>
              <w:t>29</w:t>
            </w:r>
            <w:r>
              <w:rPr>
                <w:rFonts w:hint="eastAsia" w:hAnsi="宋体" w:cs="Times New Roman"/>
                <w:b/>
                <w:bCs/>
                <w:color w:val="000000"/>
                <w:sz w:val="24"/>
                <w:szCs w:val="24"/>
                <w:u w:val="none" w:color="auto"/>
                <w:lang w:val="en-US" w:eastAsia="zh-CN"/>
              </w:rPr>
              <w:t xml:space="preserve"> 本项目建成后全厂大气污染物排放一览表  </w:t>
            </w:r>
            <w:r>
              <w:rPr>
                <w:rFonts w:hint="default" w:ascii="Times New Roman" w:hAnsi="Times New Roman" w:eastAsia="宋体" w:cs="Times New Roman"/>
                <w:b/>
                <w:bCs/>
                <w:sz w:val="24"/>
                <w:highlight w:val="none"/>
                <w:u w:val="none" w:color="auto"/>
              </w:rPr>
              <w:t>单位：t/a</w:t>
            </w:r>
          </w:p>
          <w:tbl>
            <w:tblPr>
              <w:tblStyle w:val="23"/>
              <w:tblW w:w="4997"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56"/>
              <w:gridCol w:w="1651"/>
              <w:gridCol w:w="1281"/>
              <w:gridCol w:w="1528"/>
              <w:gridCol w:w="1530"/>
              <w:gridCol w:w="1414"/>
            </w:tblGrid>
            <w:tr w14:paraId="08B6A6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pct"/>
                  <w:tcBorders>
                    <w:top w:val="single" w:color="auto" w:sz="8" w:space="0"/>
                    <w:bottom w:val="single" w:color="auto" w:sz="8" w:space="0"/>
                  </w:tcBorders>
                  <w:noWrap w:val="0"/>
                  <w:vAlign w:val="center"/>
                </w:tcPr>
                <w:p w14:paraId="63E7030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污染</w:t>
                  </w:r>
                  <w:r>
                    <w:rPr>
                      <w:rFonts w:hint="default" w:ascii="Times New Roman" w:hAnsi="Times New Roman" w:eastAsia="宋体" w:cs="Times New Roman"/>
                      <w:b/>
                      <w:bCs/>
                      <w:sz w:val="21"/>
                      <w:szCs w:val="21"/>
                      <w:u w:val="none" w:color="auto"/>
                      <w:lang w:eastAsia="zh-CN"/>
                    </w:rPr>
                    <w:t>因子</w:t>
                  </w:r>
                </w:p>
              </w:tc>
              <w:tc>
                <w:tcPr>
                  <w:tcW w:w="964" w:type="pct"/>
                  <w:tcBorders>
                    <w:top w:val="single" w:color="auto" w:sz="8" w:space="0"/>
                    <w:bottom w:val="single" w:color="auto" w:sz="8" w:space="0"/>
                  </w:tcBorders>
                  <w:noWrap w:val="0"/>
                  <w:vAlign w:val="center"/>
                </w:tcPr>
                <w:p w14:paraId="3C040366">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sz w:val="21"/>
                      <w:szCs w:val="21"/>
                      <w:u w:val="none" w:color="auto"/>
                      <w:lang w:val="en-US" w:eastAsia="zh-CN"/>
                    </w:rPr>
                  </w:pPr>
                  <w:r>
                    <w:rPr>
                      <w:rFonts w:hint="eastAsia" w:cs="Times New Roman"/>
                      <w:b/>
                      <w:bCs/>
                      <w:sz w:val="21"/>
                      <w:szCs w:val="21"/>
                      <w:u w:val="none" w:color="auto"/>
                      <w:lang w:val="en-US" w:eastAsia="zh-CN"/>
                    </w:rPr>
                    <w:t>改建</w:t>
                  </w:r>
                  <w:r>
                    <w:rPr>
                      <w:rFonts w:hint="eastAsia" w:ascii="Times New Roman" w:hAnsi="Times New Roman" w:eastAsia="宋体" w:cs="Times New Roman"/>
                      <w:b/>
                      <w:bCs/>
                      <w:sz w:val="21"/>
                      <w:szCs w:val="21"/>
                      <w:u w:val="none" w:color="auto"/>
                      <w:lang w:val="en-US" w:eastAsia="zh-CN"/>
                    </w:rPr>
                    <w:t>前</w:t>
                  </w:r>
                  <w:r>
                    <w:rPr>
                      <w:rFonts w:hint="eastAsia" w:cs="Times New Roman"/>
                      <w:b/>
                      <w:bCs/>
                      <w:sz w:val="21"/>
                      <w:szCs w:val="21"/>
                      <w:u w:val="none" w:color="auto"/>
                      <w:lang w:val="en-US" w:eastAsia="zh-CN"/>
                    </w:rPr>
                    <w:t>实际</w:t>
                  </w:r>
                  <w:r>
                    <w:rPr>
                      <w:rFonts w:hint="default" w:ascii="Times New Roman" w:hAnsi="Times New Roman" w:eastAsia="宋体" w:cs="Times New Roman"/>
                      <w:b/>
                      <w:bCs/>
                      <w:sz w:val="21"/>
                      <w:szCs w:val="21"/>
                      <w:u w:val="none" w:color="auto"/>
                    </w:rPr>
                    <w:t>排放量</w:t>
                  </w:r>
                </w:p>
              </w:tc>
              <w:tc>
                <w:tcPr>
                  <w:tcW w:w="748" w:type="pct"/>
                  <w:tcBorders>
                    <w:top w:val="single" w:color="auto" w:sz="8" w:space="0"/>
                    <w:bottom w:val="single" w:color="auto" w:sz="8" w:space="0"/>
                  </w:tcBorders>
                  <w:noWrap w:val="0"/>
                  <w:vAlign w:val="center"/>
                </w:tcPr>
                <w:p w14:paraId="07E147B2">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sz w:val="21"/>
                      <w:szCs w:val="21"/>
                      <w:u w:val="none" w:color="auto"/>
                      <w:lang w:val="en-US" w:eastAsia="zh-CN"/>
                    </w:rPr>
                  </w:pPr>
                  <w:r>
                    <w:rPr>
                      <w:rFonts w:hint="eastAsia" w:cs="Times New Roman"/>
                      <w:b/>
                      <w:bCs/>
                      <w:sz w:val="21"/>
                      <w:szCs w:val="21"/>
                      <w:u w:val="none" w:color="auto"/>
                      <w:lang w:val="en-US" w:eastAsia="zh-CN"/>
                    </w:rPr>
                    <w:t>改建前环评批复量</w:t>
                  </w:r>
                </w:p>
              </w:tc>
              <w:tc>
                <w:tcPr>
                  <w:tcW w:w="892" w:type="pct"/>
                  <w:tcBorders>
                    <w:top w:val="single" w:color="auto" w:sz="8" w:space="0"/>
                    <w:bottom w:val="single" w:color="auto" w:sz="8" w:space="0"/>
                  </w:tcBorders>
                  <w:noWrap w:val="0"/>
                  <w:vAlign w:val="center"/>
                </w:tcPr>
                <w:p w14:paraId="23DADA0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sz w:val="21"/>
                      <w:szCs w:val="21"/>
                      <w:u w:val="none" w:color="auto"/>
                    </w:rPr>
                  </w:pPr>
                  <w:r>
                    <w:rPr>
                      <w:rFonts w:hint="eastAsia" w:cs="Times New Roman"/>
                      <w:b/>
                      <w:bCs/>
                      <w:sz w:val="21"/>
                      <w:szCs w:val="21"/>
                      <w:u w:val="none" w:color="auto"/>
                      <w:lang w:val="en-US" w:eastAsia="zh-CN"/>
                    </w:rPr>
                    <w:t>改建后</w:t>
                  </w:r>
                  <w:r>
                    <w:rPr>
                      <w:rFonts w:hint="default" w:ascii="Times New Roman" w:hAnsi="Times New Roman" w:eastAsia="宋体" w:cs="Times New Roman"/>
                      <w:b/>
                      <w:bCs/>
                      <w:sz w:val="21"/>
                      <w:szCs w:val="21"/>
                      <w:u w:val="none" w:color="auto"/>
                    </w:rPr>
                    <w:t>排放量</w:t>
                  </w:r>
                </w:p>
              </w:tc>
              <w:tc>
                <w:tcPr>
                  <w:tcW w:w="893" w:type="pct"/>
                  <w:tcBorders>
                    <w:top w:val="single" w:color="auto" w:sz="8" w:space="0"/>
                    <w:bottom w:val="single" w:color="auto" w:sz="8" w:space="0"/>
                  </w:tcBorders>
                  <w:noWrap w:val="0"/>
                  <w:vAlign w:val="center"/>
                </w:tcPr>
                <w:p w14:paraId="12EEBB30">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bCs/>
                      <w:sz w:val="21"/>
                      <w:szCs w:val="21"/>
                      <w:u w:val="none" w:color="auto"/>
                      <w:lang w:eastAsia="zh-CN"/>
                    </w:rPr>
                  </w:pPr>
                  <w:r>
                    <w:rPr>
                      <w:rFonts w:hint="eastAsia" w:cs="Times New Roman"/>
                      <w:b/>
                      <w:bCs/>
                      <w:sz w:val="21"/>
                      <w:szCs w:val="21"/>
                      <w:u w:val="none" w:color="auto"/>
                      <w:lang w:eastAsia="zh-CN"/>
                    </w:rPr>
                    <w:t>以新带老削减量</w:t>
                  </w:r>
                </w:p>
              </w:tc>
              <w:tc>
                <w:tcPr>
                  <w:tcW w:w="825" w:type="pct"/>
                  <w:tcBorders>
                    <w:top w:val="single" w:color="auto" w:sz="8" w:space="0"/>
                    <w:bottom w:val="single" w:color="auto" w:sz="8" w:space="0"/>
                  </w:tcBorders>
                  <w:noWrap w:val="0"/>
                  <w:vAlign w:val="center"/>
                </w:tcPr>
                <w:p w14:paraId="4C7693A9">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sz w:val="21"/>
                      <w:szCs w:val="21"/>
                      <w:u w:val="none" w:color="auto"/>
                    </w:rPr>
                  </w:pPr>
                  <w:r>
                    <w:rPr>
                      <w:rFonts w:hint="eastAsia" w:cs="Times New Roman"/>
                      <w:b/>
                      <w:bCs/>
                      <w:sz w:val="21"/>
                      <w:szCs w:val="21"/>
                      <w:u w:val="none" w:color="auto"/>
                      <w:lang w:val="en-US" w:eastAsia="zh-CN"/>
                    </w:rPr>
                    <w:t>新</w:t>
                  </w:r>
                  <w:r>
                    <w:rPr>
                      <w:rFonts w:hint="default" w:ascii="Times New Roman" w:hAnsi="Times New Roman" w:eastAsia="宋体" w:cs="Times New Roman"/>
                      <w:b/>
                      <w:bCs/>
                      <w:sz w:val="21"/>
                      <w:szCs w:val="21"/>
                      <w:u w:val="none" w:color="auto"/>
                    </w:rPr>
                    <w:t>增减量</w:t>
                  </w:r>
                </w:p>
              </w:tc>
            </w:tr>
            <w:tr w14:paraId="1EC42E1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56" w:type="dxa"/>
                  <w:tcBorders>
                    <w:top w:val="single" w:color="auto" w:sz="4" w:space="0"/>
                    <w:bottom w:val="single" w:color="auto" w:sz="4" w:space="0"/>
                  </w:tcBorders>
                  <w:noWrap w:val="0"/>
                  <w:vAlign w:val="center"/>
                </w:tcPr>
                <w:p w14:paraId="37ECDD47">
                  <w:pPr>
                    <w:keepNext w:val="0"/>
                    <w:keepLines w:val="0"/>
                    <w:widowControl/>
                    <w:suppressLineNumbers w:val="0"/>
                    <w:adjustRightInd w:val="0"/>
                    <w:snapToGrid w:val="0"/>
                    <w:spacing w:before="0" w:beforeAutospacing="0" w:after="0" w:afterAutospacing="0"/>
                    <w:ind w:left="0" w:leftChars="0" w:right="0" w:rightChars="0"/>
                    <w:jc w:val="center"/>
                    <w:rPr>
                      <w:rFonts w:hint="eastAsia" w:cs="Times New Roman"/>
                      <w:sz w:val="21"/>
                      <w:szCs w:val="21"/>
                      <w:u w:val="none" w:color="auto"/>
                      <w:lang w:val="en-US" w:eastAsia="zh-CN"/>
                    </w:rPr>
                  </w:pPr>
                  <w:r>
                    <w:rPr>
                      <w:rFonts w:hint="eastAsia" w:cs="Times New Roman"/>
                      <w:sz w:val="21"/>
                      <w:szCs w:val="21"/>
                      <w:highlight w:val="none"/>
                      <w:u w:val="none" w:color="auto"/>
                      <w:lang w:val="en-US" w:eastAsia="zh-CN"/>
                    </w:rPr>
                    <w:t>颗粒物</w:t>
                  </w:r>
                </w:p>
              </w:tc>
              <w:tc>
                <w:tcPr>
                  <w:tcW w:w="1651" w:type="dxa"/>
                  <w:tcBorders>
                    <w:top w:val="single" w:color="auto" w:sz="4" w:space="0"/>
                    <w:bottom w:val="single" w:color="auto" w:sz="4" w:space="0"/>
                  </w:tcBorders>
                  <w:noWrap w:val="0"/>
                  <w:vAlign w:val="center"/>
                </w:tcPr>
                <w:p w14:paraId="5C4776F7">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sz w:val="21"/>
                      <w:szCs w:val="21"/>
                      <w:highlight w:val="none"/>
                      <w:u w:val="none" w:color="auto"/>
                    </w:rPr>
                    <w:t>0.4</w:t>
                  </w:r>
                  <w:r>
                    <w:rPr>
                      <w:rFonts w:hint="eastAsia" w:cs="Times New Roman"/>
                      <w:sz w:val="21"/>
                      <w:szCs w:val="21"/>
                      <w:highlight w:val="none"/>
                      <w:u w:val="none" w:color="auto"/>
                      <w:lang w:val="en-US" w:eastAsia="zh-CN"/>
                    </w:rPr>
                    <w:t>400</w:t>
                  </w:r>
                </w:p>
              </w:tc>
              <w:tc>
                <w:tcPr>
                  <w:tcW w:w="1281" w:type="dxa"/>
                  <w:tcBorders>
                    <w:top w:val="single" w:color="auto" w:sz="4" w:space="0"/>
                    <w:bottom w:val="single" w:color="auto" w:sz="4" w:space="0"/>
                  </w:tcBorders>
                  <w:noWrap w:val="0"/>
                  <w:vAlign w:val="center"/>
                </w:tcPr>
                <w:p w14:paraId="51F2C8C2">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sz w:val="21"/>
                      <w:szCs w:val="21"/>
                      <w:u w:val="none" w:color="auto"/>
                    </w:rPr>
                    <w:t>0.4524</w:t>
                  </w:r>
                </w:p>
              </w:tc>
              <w:tc>
                <w:tcPr>
                  <w:tcW w:w="1528" w:type="dxa"/>
                  <w:tcBorders>
                    <w:top w:val="single" w:color="auto" w:sz="4" w:space="0"/>
                    <w:bottom w:val="single" w:color="auto" w:sz="4" w:space="0"/>
                  </w:tcBorders>
                  <w:noWrap w:val="0"/>
                  <w:vAlign w:val="center"/>
                </w:tcPr>
                <w:p w14:paraId="6F31DA28">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cs="Times New Roman" w:eastAsiaTheme="minorEastAsia"/>
                      <w:b w:val="0"/>
                      <w:bCs w:val="0"/>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sz w:val="21"/>
                      <w:szCs w:val="21"/>
                      <w:highlight w:val="none"/>
                      <w:u w:val="none" w:color="auto"/>
                    </w:rPr>
                    <w:t>0.4</w:t>
                  </w:r>
                  <w:r>
                    <w:rPr>
                      <w:rFonts w:hint="eastAsia" w:cs="Times New Roman"/>
                      <w:sz w:val="21"/>
                      <w:szCs w:val="21"/>
                      <w:highlight w:val="none"/>
                      <w:u w:val="none" w:color="auto"/>
                      <w:lang w:val="en-US" w:eastAsia="zh-CN"/>
                    </w:rPr>
                    <w:t>400</w:t>
                  </w:r>
                </w:p>
              </w:tc>
              <w:tc>
                <w:tcPr>
                  <w:tcW w:w="1530" w:type="dxa"/>
                  <w:tcBorders>
                    <w:top w:val="single" w:color="auto" w:sz="4" w:space="0"/>
                    <w:bottom w:val="single" w:color="auto" w:sz="4" w:space="0"/>
                  </w:tcBorders>
                  <w:noWrap w:val="0"/>
                  <w:vAlign w:val="center"/>
                </w:tcPr>
                <w:p w14:paraId="50727E56">
                  <w:pPr>
                    <w:keepNext w:val="0"/>
                    <w:keepLines w:val="0"/>
                    <w:suppressLineNumbers w:val="0"/>
                    <w:spacing w:before="0" w:beforeAutospacing="0" w:after="0" w:afterAutospacing="0"/>
                    <w:ind w:left="0" w:leftChars="0" w:right="0" w:rightChars="0"/>
                    <w:jc w:val="center"/>
                    <w:rPr>
                      <w:rFonts w:hint="eastAsia"/>
                      <w:color w:val="000000" w:themeColor="text1"/>
                      <w:sz w:val="21"/>
                      <w:szCs w:val="21"/>
                      <w:highlight w:val="none"/>
                      <w:u w:val="none" w:color="auto"/>
                      <w:lang w:val="en-US" w:eastAsia="zh-CN"/>
                      <w14:textFill>
                        <w14:solidFill>
                          <w14:schemeClr w14:val="tx1"/>
                        </w14:solidFill>
                      </w14:textFill>
                    </w:rPr>
                  </w:pPr>
                  <w:r>
                    <w:rPr>
                      <w:rFonts w:hint="eastAsia" w:cs="Times New Roman"/>
                      <w:sz w:val="21"/>
                      <w:szCs w:val="21"/>
                      <w:highlight w:val="none"/>
                      <w:u w:val="none" w:color="auto"/>
                      <w:lang w:val="en-US" w:eastAsia="zh-CN"/>
                    </w:rPr>
                    <w:t>0</w:t>
                  </w:r>
                </w:p>
              </w:tc>
              <w:tc>
                <w:tcPr>
                  <w:tcW w:w="825" w:type="pct"/>
                  <w:tcBorders>
                    <w:top w:val="single" w:color="auto" w:sz="4" w:space="0"/>
                    <w:bottom w:val="single" w:color="auto" w:sz="4" w:space="0"/>
                  </w:tcBorders>
                  <w:noWrap w:val="0"/>
                  <w:vAlign w:val="center"/>
                </w:tcPr>
                <w:p w14:paraId="3D18C29D">
                  <w:pPr>
                    <w:keepNext w:val="0"/>
                    <w:keepLines w:val="0"/>
                    <w:suppressLineNumbers w:val="0"/>
                    <w:spacing w:before="0" w:beforeAutospacing="0" w:after="0" w:afterAutospacing="0"/>
                    <w:ind w:left="0" w:right="0"/>
                    <w:jc w:val="center"/>
                    <w:rPr>
                      <w:rFonts w:hint="default"/>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highlight w:val="none"/>
                      <w:u w:val="none" w:color="auto"/>
                      <w:lang w:val="en-US" w:eastAsia="zh-CN"/>
                      <w14:textFill>
                        <w14:solidFill>
                          <w14:schemeClr w14:val="tx1"/>
                        </w14:solidFill>
                      </w14:textFill>
                    </w:rPr>
                    <w:t>0</w:t>
                  </w:r>
                </w:p>
              </w:tc>
            </w:tr>
            <w:tr w14:paraId="36403F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56" w:type="dxa"/>
                  <w:tcBorders>
                    <w:top w:val="single" w:color="auto" w:sz="4" w:space="0"/>
                    <w:bottom w:val="single" w:color="auto" w:sz="4" w:space="0"/>
                  </w:tcBorders>
                  <w:noWrap w:val="0"/>
                  <w:vAlign w:val="center"/>
                </w:tcPr>
                <w:p w14:paraId="7D9CFD5B">
                  <w:pPr>
                    <w:keepNext w:val="0"/>
                    <w:keepLines w:val="0"/>
                    <w:widowControl/>
                    <w:suppressLineNumbers w:val="0"/>
                    <w:adjustRightInd w:val="0"/>
                    <w:snapToGrid w:val="0"/>
                    <w:spacing w:before="0" w:beforeAutospacing="0" w:after="0" w:afterAutospacing="0"/>
                    <w:ind w:left="0" w:leftChars="0" w:right="0" w:rightChars="0"/>
                    <w:jc w:val="center"/>
                    <w:rPr>
                      <w:rFonts w:hint="default" w:cs="Times New Roman"/>
                      <w:sz w:val="21"/>
                      <w:szCs w:val="21"/>
                      <w:u w:val="none" w:color="auto"/>
                      <w:lang w:val="en-US" w:eastAsia="zh-CN"/>
                    </w:rPr>
                  </w:pPr>
                  <w:r>
                    <w:rPr>
                      <w:rFonts w:hint="eastAsia" w:cs="Times New Roman"/>
                      <w:sz w:val="21"/>
                      <w:szCs w:val="21"/>
                      <w:highlight w:val="none"/>
                      <w:u w:val="none" w:color="auto"/>
                      <w:lang w:val="en-US" w:eastAsia="zh-CN"/>
                    </w:rPr>
                    <w:t>非甲烷总烃</w:t>
                  </w:r>
                </w:p>
              </w:tc>
              <w:tc>
                <w:tcPr>
                  <w:tcW w:w="1651" w:type="dxa"/>
                  <w:tcBorders>
                    <w:top w:val="single" w:color="auto" w:sz="4" w:space="0"/>
                    <w:bottom w:val="single" w:color="auto" w:sz="4" w:space="0"/>
                  </w:tcBorders>
                  <w:noWrap w:val="0"/>
                  <w:vAlign w:val="center"/>
                </w:tcPr>
                <w:p w14:paraId="5F6537FE">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cs="Times New Roman"/>
                      <w:sz w:val="21"/>
                      <w:szCs w:val="21"/>
                      <w:u w:val="none" w:color="auto"/>
                      <w:lang w:val="en-US" w:eastAsia="zh-CN"/>
                    </w:rPr>
                  </w:pPr>
                  <w:r>
                    <w:rPr>
                      <w:rFonts w:hint="eastAsia"/>
                      <w:color w:val="000000" w:themeColor="text1"/>
                      <w:sz w:val="21"/>
                      <w:szCs w:val="21"/>
                      <w:highlight w:val="none"/>
                      <w:u w:val="none" w:color="auto"/>
                      <w:lang w:val="en-US" w:eastAsia="zh-CN"/>
                      <w14:textFill>
                        <w14:solidFill>
                          <w14:schemeClr w14:val="tx1"/>
                        </w14:solidFill>
                      </w14:textFill>
                    </w:rPr>
                    <w:t>3.3880</w:t>
                  </w:r>
                </w:p>
              </w:tc>
              <w:tc>
                <w:tcPr>
                  <w:tcW w:w="1281" w:type="dxa"/>
                  <w:tcBorders>
                    <w:top w:val="single" w:color="auto" w:sz="4" w:space="0"/>
                    <w:bottom w:val="single" w:color="auto" w:sz="4" w:space="0"/>
                  </w:tcBorders>
                  <w:noWrap w:val="0"/>
                  <w:vAlign w:val="center"/>
                </w:tcPr>
                <w:p w14:paraId="79CCDF46">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snapToGrid w:val="0"/>
                      <w:color w:val="000000"/>
                      <w:kern w:val="21"/>
                      <w:sz w:val="21"/>
                      <w:szCs w:val="21"/>
                      <w:u w:val="none" w:color="auto"/>
                      <w:lang w:val="en-US" w:eastAsia="zh-CN"/>
                    </w:rPr>
                  </w:pPr>
                  <w:r>
                    <w:rPr>
                      <w:rFonts w:hint="default" w:ascii="Times New Roman" w:hAnsi="Times New Roman" w:cs="Times New Roman"/>
                      <w:sz w:val="21"/>
                      <w:szCs w:val="21"/>
                      <w:u w:val="none" w:color="auto"/>
                    </w:rPr>
                    <w:t>3.4426</w:t>
                  </w:r>
                </w:p>
              </w:tc>
              <w:tc>
                <w:tcPr>
                  <w:tcW w:w="1528" w:type="dxa"/>
                  <w:tcBorders>
                    <w:top w:val="single" w:color="auto" w:sz="4" w:space="0"/>
                    <w:bottom w:val="single" w:color="auto" w:sz="4" w:space="0"/>
                  </w:tcBorders>
                  <w:noWrap w:val="0"/>
                  <w:vAlign w:val="center"/>
                </w:tcPr>
                <w:p w14:paraId="4B0B855B">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cs="Times New Roman"/>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highlight w:val="none"/>
                      <w:u w:val="none" w:color="auto"/>
                      <w:lang w:val="en-US" w:eastAsia="zh-CN"/>
                      <w14:textFill>
                        <w14:solidFill>
                          <w14:schemeClr w14:val="tx1"/>
                        </w14:solidFill>
                      </w14:textFill>
                    </w:rPr>
                    <w:t>3.3880</w:t>
                  </w:r>
                </w:p>
              </w:tc>
              <w:tc>
                <w:tcPr>
                  <w:tcW w:w="1530" w:type="dxa"/>
                  <w:tcBorders>
                    <w:top w:val="single" w:color="auto" w:sz="4" w:space="0"/>
                    <w:bottom w:val="single" w:color="auto" w:sz="4" w:space="0"/>
                  </w:tcBorders>
                  <w:noWrap w:val="0"/>
                  <w:vAlign w:val="center"/>
                </w:tcPr>
                <w:p w14:paraId="78723081">
                  <w:pPr>
                    <w:keepNext w:val="0"/>
                    <w:keepLines w:val="0"/>
                    <w:suppressLineNumbers w:val="0"/>
                    <w:spacing w:before="0" w:beforeAutospacing="0" w:after="0" w:afterAutospacing="0"/>
                    <w:ind w:left="0" w:leftChars="0" w:right="0" w:rightChars="0"/>
                    <w:jc w:val="center"/>
                    <w:rPr>
                      <w:rFonts w:hint="default" w:cs="Times New Roman"/>
                      <w:sz w:val="21"/>
                      <w:szCs w:val="21"/>
                      <w:highlight w:val="none"/>
                      <w:u w:val="none" w:color="auto"/>
                      <w:lang w:val="en-US" w:eastAsia="zh-CN"/>
                    </w:rPr>
                  </w:pPr>
                  <w:r>
                    <w:rPr>
                      <w:rFonts w:hint="eastAsia" w:cs="Times New Roman"/>
                      <w:sz w:val="21"/>
                      <w:szCs w:val="21"/>
                      <w:highlight w:val="none"/>
                      <w:u w:val="none" w:color="auto"/>
                      <w:lang w:val="en-US" w:eastAsia="zh-CN"/>
                    </w:rPr>
                    <w:t>0</w:t>
                  </w:r>
                </w:p>
              </w:tc>
              <w:tc>
                <w:tcPr>
                  <w:tcW w:w="825" w:type="pct"/>
                  <w:tcBorders>
                    <w:top w:val="single" w:color="auto" w:sz="4" w:space="0"/>
                    <w:bottom w:val="single" w:color="auto" w:sz="4" w:space="0"/>
                  </w:tcBorders>
                  <w:noWrap w:val="0"/>
                  <w:vAlign w:val="center"/>
                </w:tcPr>
                <w:p w14:paraId="4391614F">
                  <w:pPr>
                    <w:keepNext w:val="0"/>
                    <w:keepLines w:val="0"/>
                    <w:suppressLineNumbers w:val="0"/>
                    <w:spacing w:before="0" w:beforeAutospacing="0" w:after="0" w:afterAutospacing="0"/>
                    <w:ind w:left="0" w:right="0"/>
                    <w:jc w:val="center"/>
                    <w:rPr>
                      <w:rFonts w:hint="default"/>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highlight w:val="none"/>
                      <w:u w:val="none" w:color="auto"/>
                      <w:lang w:val="en-US" w:eastAsia="zh-CN"/>
                      <w14:textFill>
                        <w14:solidFill>
                          <w14:schemeClr w14:val="tx1"/>
                        </w14:solidFill>
                      </w14:textFill>
                    </w:rPr>
                    <w:t>0</w:t>
                  </w:r>
                </w:p>
              </w:tc>
            </w:tr>
            <w:tr w14:paraId="16899D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56" w:type="dxa"/>
                  <w:tcBorders>
                    <w:top w:val="single" w:color="auto" w:sz="4" w:space="0"/>
                    <w:bottom w:val="single" w:color="auto" w:sz="4" w:space="0"/>
                  </w:tcBorders>
                  <w:noWrap w:val="0"/>
                  <w:vAlign w:val="center"/>
                </w:tcPr>
                <w:p w14:paraId="553524EF">
                  <w:pPr>
                    <w:pStyle w:val="51"/>
                    <w:keepNext w:val="0"/>
                    <w:keepLines w:val="0"/>
                    <w:suppressLineNumbers w:val="0"/>
                    <w:spacing w:before="0" w:beforeLines="0" w:beforeAutospacing="0" w:after="0" w:afterLines="0" w:afterAutospacing="0" w:line="240" w:lineRule="auto"/>
                    <w:ind w:left="0" w:leftChars="0" w:right="0" w:rightChars="0"/>
                    <w:rPr>
                      <w:rFonts w:hint="default" w:cs="Times New Roman"/>
                      <w:sz w:val="21"/>
                      <w:szCs w:val="21"/>
                      <w:u w:val="none" w:color="auto"/>
                      <w:lang w:val="en-US" w:eastAsia="zh-CN"/>
                    </w:rPr>
                  </w:pPr>
                  <w:r>
                    <w:rPr>
                      <w:rFonts w:hint="eastAsia" w:ascii="Times New Roman" w:hAnsi="宋体"/>
                      <w:snapToGrid w:val="0"/>
                      <w:color w:val="000000"/>
                      <w:kern w:val="21"/>
                      <w:sz w:val="21"/>
                      <w:szCs w:val="21"/>
                      <w:highlight w:val="none"/>
                      <w:u w:val="none" w:color="auto"/>
                      <w:lang w:val="en-US" w:eastAsia="zh-CN"/>
                    </w:rPr>
                    <w:t>COD</w:t>
                  </w:r>
                </w:p>
              </w:tc>
              <w:tc>
                <w:tcPr>
                  <w:tcW w:w="1651" w:type="dxa"/>
                  <w:tcBorders>
                    <w:top w:val="single" w:color="auto" w:sz="4" w:space="0"/>
                    <w:bottom w:val="single" w:color="auto" w:sz="4" w:space="0"/>
                  </w:tcBorders>
                  <w:noWrap w:val="0"/>
                  <w:vAlign w:val="center"/>
                </w:tcPr>
                <w:p w14:paraId="6D89BF67">
                  <w:pPr>
                    <w:pStyle w:val="51"/>
                    <w:keepNext w:val="0"/>
                    <w:keepLines w:val="0"/>
                    <w:suppressLineNumbers w:val="0"/>
                    <w:spacing w:before="0" w:beforeAutospacing="0" w:after="0" w:afterAutospacing="0"/>
                    <w:ind w:left="0" w:leftChars="0" w:right="0" w:rightChars="0"/>
                    <w:jc w:val="center"/>
                    <w:rPr>
                      <w:rFonts w:hint="default" w:ascii="Times New Roman"/>
                      <w:snapToGrid w:val="0"/>
                      <w:color w:val="000000"/>
                      <w:kern w:val="21"/>
                      <w:sz w:val="21"/>
                      <w:szCs w:val="21"/>
                      <w:highlight w:val="none"/>
                      <w:u w:val="none" w:color="auto"/>
                      <w:lang w:val="en-US" w:eastAsia="zh-CN"/>
                    </w:rPr>
                  </w:pPr>
                  <w:r>
                    <w:rPr>
                      <w:rFonts w:hint="eastAsia" w:ascii="Times New Roman" w:cs="Times New Roman"/>
                      <w:sz w:val="21"/>
                      <w:szCs w:val="21"/>
                      <w:highlight w:val="none"/>
                      <w:u w:val="none" w:color="auto"/>
                      <w:lang w:val="en-US" w:eastAsia="zh-CN"/>
                    </w:rPr>
                    <w:t>4.2768</w:t>
                  </w:r>
                </w:p>
              </w:tc>
              <w:tc>
                <w:tcPr>
                  <w:tcW w:w="1281" w:type="dxa"/>
                  <w:tcBorders>
                    <w:top w:val="single" w:color="auto" w:sz="4" w:space="0"/>
                    <w:bottom w:val="single" w:color="auto" w:sz="4" w:space="0"/>
                  </w:tcBorders>
                  <w:noWrap w:val="0"/>
                  <w:vAlign w:val="center"/>
                </w:tcPr>
                <w:p w14:paraId="25790C17">
                  <w:pPr>
                    <w:pStyle w:val="51"/>
                    <w:keepNext w:val="0"/>
                    <w:keepLines w:val="0"/>
                    <w:suppressLineNumbers w:val="0"/>
                    <w:spacing w:before="0" w:beforeAutospacing="0" w:after="0" w:afterAutospacing="0"/>
                    <w:ind w:left="0" w:leftChars="0" w:right="0" w:rightChars="0"/>
                    <w:jc w:val="center"/>
                    <w:rPr>
                      <w:rFonts w:hint="default" w:ascii="Times New Roman"/>
                      <w:snapToGrid w:val="0"/>
                      <w:color w:val="000000"/>
                      <w:kern w:val="21"/>
                      <w:sz w:val="21"/>
                      <w:szCs w:val="21"/>
                      <w:highlight w:val="none"/>
                      <w:u w:val="none" w:color="auto"/>
                      <w:lang w:val="en-US" w:eastAsia="zh-CN"/>
                    </w:rPr>
                  </w:pPr>
                  <w:r>
                    <w:rPr>
                      <w:rFonts w:hint="default" w:ascii="Times New Roman" w:hAnsi="Times New Roman" w:cs="Times New Roman"/>
                      <w:sz w:val="21"/>
                      <w:szCs w:val="21"/>
                      <w:u w:val="none" w:color="auto"/>
                    </w:rPr>
                    <w:t>4.3711</w:t>
                  </w:r>
                </w:p>
              </w:tc>
              <w:tc>
                <w:tcPr>
                  <w:tcW w:w="1528" w:type="dxa"/>
                  <w:tcBorders>
                    <w:top w:val="single" w:color="auto" w:sz="4" w:space="0"/>
                    <w:bottom w:val="single" w:color="auto" w:sz="4" w:space="0"/>
                  </w:tcBorders>
                  <w:noWrap w:val="0"/>
                  <w:vAlign w:val="center"/>
                </w:tcPr>
                <w:p w14:paraId="53D71C91">
                  <w:pPr>
                    <w:pStyle w:val="51"/>
                    <w:keepNext w:val="0"/>
                    <w:keepLines w:val="0"/>
                    <w:suppressLineNumbers w:val="0"/>
                    <w:spacing w:before="0" w:beforeAutospacing="0" w:after="0" w:afterAutospacing="0"/>
                    <w:ind w:left="0" w:leftChars="0" w:right="0" w:rightChars="0"/>
                    <w:jc w:val="center"/>
                    <w:rPr>
                      <w:rFonts w:hint="default"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cs="Times New Roman"/>
                      <w:sz w:val="21"/>
                      <w:szCs w:val="21"/>
                      <w:highlight w:val="none"/>
                      <w:u w:val="none" w:color="auto"/>
                      <w:lang w:val="en-US" w:eastAsia="zh-CN"/>
                    </w:rPr>
                    <w:t>4.2610</w:t>
                  </w:r>
                </w:p>
              </w:tc>
              <w:tc>
                <w:tcPr>
                  <w:tcW w:w="1530" w:type="dxa"/>
                  <w:tcBorders>
                    <w:top w:val="single" w:color="auto" w:sz="4" w:space="0"/>
                    <w:bottom w:val="single" w:color="auto" w:sz="4" w:space="0"/>
                  </w:tcBorders>
                  <w:noWrap w:val="0"/>
                  <w:vAlign w:val="center"/>
                </w:tcPr>
                <w:p w14:paraId="53A697E9">
                  <w:pPr>
                    <w:keepNext w:val="0"/>
                    <w:keepLines w:val="0"/>
                    <w:suppressLineNumbers w:val="0"/>
                    <w:spacing w:before="0" w:beforeAutospacing="0" w:after="0" w:afterAutospacing="0"/>
                    <w:ind w:left="0" w:leftChars="0" w:right="0" w:rightChars="0"/>
                    <w:jc w:val="center"/>
                    <w:rPr>
                      <w:rFonts w:hint="default" w:cs="Times New Roman"/>
                      <w:sz w:val="21"/>
                      <w:szCs w:val="21"/>
                      <w:highlight w:val="none"/>
                      <w:u w:val="none" w:color="auto"/>
                      <w:lang w:val="en-US" w:eastAsia="zh-CN"/>
                    </w:rPr>
                  </w:pP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0.0158</w:t>
                  </w:r>
                </w:p>
              </w:tc>
              <w:tc>
                <w:tcPr>
                  <w:tcW w:w="1414" w:type="dxa"/>
                  <w:tcBorders>
                    <w:top w:val="single" w:color="auto" w:sz="4" w:space="0"/>
                    <w:bottom w:val="single" w:color="auto" w:sz="4" w:space="0"/>
                  </w:tcBorders>
                  <w:noWrap w:val="0"/>
                  <w:vAlign w:val="center"/>
                </w:tcPr>
                <w:p w14:paraId="6A8138F2">
                  <w:pPr>
                    <w:keepNext w:val="0"/>
                    <w:keepLines w:val="0"/>
                    <w:suppressLineNumbers w:val="0"/>
                    <w:spacing w:before="0" w:beforeAutospacing="0" w:after="0" w:afterAutospacing="0"/>
                    <w:ind w:left="0" w:leftChars="0" w:right="0" w:rightChars="0"/>
                    <w:jc w:val="center"/>
                    <w:rPr>
                      <w:rFonts w:hint="default"/>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0.0158</w:t>
                  </w:r>
                </w:p>
              </w:tc>
            </w:tr>
            <w:tr w14:paraId="0718E1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56" w:type="dxa"/>
                  <w:tcBorders>
                    <w:top w:val="single" w:color="auto" w:sz="4" w:space="0"/>
                    <w:bottom w:val="single" w:color="auto" w:sz="8" w:space="0"/>
                  </w:tcBorders>
                  <w:noWrap w:val="0"/>
                  <w:vAlign w:val="center"/>
                </w:tcPr>
                <w:p w14:paraId="447B8523">
                  <w:pPr>
                    <w:keepNext w:val="0"/>
                    <w:keepLines w:val="0"/>
                    <w:widowControl/>
                    <w:suppressLineNumbers w:val="0"/>
                    <w:adjustRightInd w:val="0"/>
                    <w:snapToGrid w:val="0"/>
                    <w:spacing w:before="0" w:beforeAutospacing="0" w:after="0" w:afterAutospacing="0"/>
                    <w:ind w:left="0" w:leftChars="0" w:right="0" w:rightChars="0"/>
                    <w:jc w:val="center"/>
                    <w:rPr>
                      <w:rFonts w:hint="eastAsia" w:cs="Times New Roman"/>
                      <w:sz w:val="21"/>
                      <w:szCs w:val="21"/>
                      <w:u w:val="none" w:color="auto"/>
                      <w:lang w:val="en-US" w:eastAsia="zh-CN"/>
                    </w:rPr>
                  </w:pPr>
                  <w:r>
                    <w:rPr>
                      <w:rFonts w:hint="default"/>
                      <w:sz w:val="21"/>
                      <w:szCs w:val="21"/>
                      <w:highlight w:val="none"/>
                      <w:u w:val="none" w:color="auto"/>
                      <w:lang w:bidi="ar"/>
                    </w:rPr>
                    <w:t>NH</w:t>
                  </w:r>
                  <w:r>
                    <w:rPr>
                      <w:rFonts w:hint="default"/>
                      <w:sz w:val="21"/>
                      <w:szCs w:val="21"/>
                      <w:highlight w:val="none"/>
                      <w:u w:val="none" w:color="auto"/>
                      <w:vertAlign w:val="subscript"/>
                      <w:lang w:bidi="ar"/>
                    </w:rPr>
                    <w:t>3</w:t>
                  </w:r>
                  <w:r>
                    <w:rPr>
                      <w:rFonts w:hint="default"/>
                      <w:sz w:val="21"/>
                      <w:szCs w:val="21"/>
                      <w:highlight w:val="none"/>
                      <w:u w:val="none" w:color="auto"/>
                      <w:lang w:bidi="ar"/>
                    </w:rPr>
                    <w:t>-N</w:t>
                  </w:r>
                </w:p>
              </w:tc>
              <w:tc>
                <w:tcPr>
                  <w:tcW w:w="1651" w:type="dxa"/>
                  <w:tcBorders>
                    <w:top w:val="single" w:color="auto" w:sz="4" w:space="0"/>
                    <w:bottom w:val="single" w:color="auto" w:sz="8" w:space="0"/>
                  </w:tcBorders>
                  <w:noWrap w:val="0"/>
                  <w:vAlign w:val="center"/>
                </w:tcPr>
                <w:p w14:paraId="75A1E3DD">
                  <w:pPr>
                    <w:pStyle w:val="51"/>
                    <w:keepNext w:val="0"/>
                    <w:keepLines w:val="0"/>
                    <w:suppressLineNumbers w:val="0"/>
                    <w:spacing w:before="0" w:beforeAutospacing="0" w:after="0" w:afterAutospacing="0"/>
                    <w:ind w:left="0" w:leftChars="0" w:right="0" w:rightChars="0"/>
                    <w:jc w:val="center"/>
                    <w:rPr>
                      <w:rFonts w:hint="default"/>
                      <w:sz w:val="21"/>
                      <w:szCs w:val="21"/>
                      <w:highlight w:val="none"/>
                      <w:u w:val="none" w:color="auto"/>
                      <w:lang w:val="en-US" w:eastAsia="zh-CN"/>
                    </w:rPr>
                  </w:pPr>
                  <w:r>
                    <w:rPr>
                      <w:rFonts w:hint="eastAsia" w:ascii="Times New Roman" w:cs="Times New Roman"/>
                      <w:snapToGrid w:val="0"/>
                      <w:color w:val="000000"/>
                      <w:kern w:val="21"/>
                      <w:sz w:val="21"/>
                      <w:szCs w:val="21"/>
                      <w:highlight w:val="none"/>
                      <w:u w:val="none" w:color="auto"/>
                      <w:lang w:val="en-US" w:eastAsia="zh-CN"/>
                    </w:rPr>
                    <w:t>0.4158</w:t>
                  </w:r>
                </w:p>
              </w:tc>
              <w:tc>
                <w:tcPr>
                  <w:tcW w:w="1281" w:type="dxa"/>
                  <w:tcBorders>
                    <w:top w:val="single" w:color="auto" w:sz="4" w:space="0"/>
                    <w:bottom w:val="single" w:color="auto" w:sz="8" w:space="0"/>
                  </w:tcBorders>
                  <w:noWrap w:val="0"/>
                  <w:vAlign w:val="center"/>
                </w:tcPr>
                <w:p w14:paraId="397B67D6">
                  <w:pPr>
                    <w:pStyle w:val="51"/>
                    <w:keepNext w:val="0"/>
                    <w:keepLines w:val="0"/>
                    <w:suppressLineNumbers w:val="0"/>
                    <w:spacing w:before="0" w:beforeAutospacing="0" w:after="0" w:afterAutospacing="0"/>
                    <w:ind w:left="0" w:leftChars="0" w:right="0" w:rightChars="0"/>
                    <w:jc w:val="center"/>
                    <w:rPr>
                      <w:rFonts w:hint="default" w:ascii="Times New Roman"/>
                      <w:snapToGrid w:val="0"/>
                      <w:color w:val="000000"/>
                      <w:kern w:val="21"/>
                      <w:sz w:val="21"/>
                      <w:szCs w:val="21"/>
                      <w:u w:val="none" w:color="auto"/>
                      <w:lang w:val="en-US" w:eastAsia="zh-CN"/>
                    </w:rPr>
                  </w:pPr>
                  <w:r>
                    <w:rPr>
                      <w:rFonts w:hint="default" w:ascii="Times New Roman" w:hAnsi="Times New Roman" w:cs="Times New Roman"/>
                      <w:snapToGrid w:val="0"/>
                      <w:color w:val="000000"/>
                      <w:kern w:val="21"/>
                      <w:sz w:val="21"/>
                      <w:szCs w:val="21"/>
                      <w:u w:val="none" w:color="auto"/>
                    </w:rPr>
                    <w:t>0.4302</w:t>
                  </w:r>
                </w:p>
              </w:tc>
              <w:tc>
                <w:tcPr>
                  <w:tcW w:w="1528" w:type="dxa"/>
                  <w:tcBorders>
                    <w:top w:val="single" w:color="auto" w:sz="4" w:space="0"/>
                    <w:bottom w:val="single" w:color="auto" w:sz="8" w:space="0"/>
                  </w:tcBorders>
                  <w:noWrap w:val="0"/>
                  <w:vAlign w:val="center"/>
                </w:tcPr>
                <w:p w14:paraId="0DE44B97">
                  <w:pPr>
                    <w:pStyle w:val="51"/>
                    <w:keepNext w:val="0"/>
                    <w:keepLines w:val="0"/>
                    <w:suppressLineNumbers w:val="0"/>
                    <w:spacing w:before="0" w:beforeAutospacing="0" w:after="0" w:afterAutospacing="0"/>
                    <w:ind w:left="0" w:leftChars="0" w:right="0" w:rightChars="0"/>
                    <w:jc w:val="center"/>
                    <w:rPr>
                      <w:rFonts w:hint="default"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cs="Times New Roman"/>
                      <w:snapToGrid w:val="0"/>
                      <w:color w:val="000000"/>
                      <w:kern w:val="21"/>
                      <w:sz w:val="21"/>
                      <w:szCs w:val="21"/>
                      <w:highlight w:val="none"/>
                      <w:u w:val="none" w:color="auto"/>
                      <w:lang w:val="en-US" w:eastAsia="zh-CN"/>
                    </w:rPr>
                    <w:t>0.4118</w:t>
                  </w:r>
                </w:p>
              </w:tc>
              <w:tc>
                <w:tcPr>
                  <w:tcW w:w="1530" w:type="dxa"/>
                  <w:tcBorders>
                    <w:top w:val="single" w:color="auto" w:sz="4" w:space="0"/>
                    <w:bottom w:val="single" w:color="auto" w:sz="8" w:space="0"/>
                  </w:tcBorders>
                  <w:noWrap w:val="0"/>
                  <w:vAlign w:val="center"/>
                </w:tcPr>
                <w:p w14:paraId="7C2FC3BE">
                  <w:pPr>
                    <w:pStyle w:val="51"/>
                    <w:keepNext w:val="0"/>
                    <w:keepLines w:val="0"/>
                    <w:suppressLineNumbers w:val="0"/>
                    <w:spacing w:before="0" w:beforeLines="0" w:beforeAutospacing="0" w:after="0" w:afterLines="0" w:afterAutospacing="0" w:line="240" w:lineRule="auto"/>
                    <w:ind w:left="0" w:leftChars="0" w:right="0" w:rightChars="0"/>
                    <w:rPr>
                      <w:rFonts w:hint="default" w:cs="Times New Roman"/>
                      <w:sz w:val="21"/>
                      <w:szCs w:val="21"/>
                      <w:u w:val="none" w:color="auto"/>
                      <w:lang w:val="en-US" w:eastAsia="zh-CN"/>
                    </w:rPr>
                  </w:pP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0.004</w:t>
                  </w:r>
                </w:p>
              </w:tc>
              <w:tc>
                <w:tcPr>
                  <w:tcW w:w="1414" w:type="dxa"/>
                  <w:tcBorders>
                    <w:top w:val="single" w:color="auto" w:sz="4" w:space="0"/>
                    <w:bottom w:val="single" w:color="auto" w:sz="8" w:space="0"/>
                  </w:tcBorders>
                  <w:noWrap w:val="0"/>
                  <w:vAlign w:val="center"/>
                </w:tcPr>
                <w:p w14:paraId="3268A4A8">
                  <w:pPr>
                    <w:pStyle w:val="51"/>
                    <w:keepNext w:val="0"/>
                    <w:keepLines w:val="0"/>
                    <w:suppressLineNumbers w:val="0"/>
                    <w:spacing w:before="0" w:beforeLines="0" w:beforeAutospacing="0" w:after="0" w:afterLines="0" w:afterAutospacing="0" w:line="240" w:lineRule="auto"/>
                    <w:ind w:left="0" w:leftChars="0" w:right="0" w:rightChars="0"/>
                    <w:rPr>
                      <w:rFonts w:hint="default" w:cs="Times New Roman"/>
                      <w:color w:val="000000" w:themeColor="text1"/>
                      <w:sz w:val="21"/>
                      <w:szCs w:val="21"/>
                      <w:u w:val="none" w:color="auto"/>
                      <w:lang w:val="en-US" w:eastAsia="zh-CN"/>
                      <w14:textFill>
                        <w14:solidFill>
                          <w14:schemeClr w14:val="tx1"/>
                        </w14:solidFill>
                      </w14:textFill>
                    </w:rPr>
                  </w:pPr>
                  <w:r>
                    <w:rPr>
                      <w:rFonts w:hint="eastAsia" w:ascii="Times New Roman" w:cs="Times New Roman"/>
                      <w:color w:val="000000" w:themeColor="text1"/>
                      <w:sz w:val="21"/>
                      <w:szCs w:val="21"/>
                      <w:highlight w:val="none"/>
                      <w:u w:val="none" w:color="auto"/>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0.004</w:t>
                  </w:r>
                </w:p>
              </w:tc>
            </w:tr>
          </w:tbl>
          <w:p w14:paraId="6284BE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ascii="Times New Roman" w:hAnsi="Times New Roman" w:eastAsia="宋体" w:cs="Times New Roman"/>
                <w:bCs/>
                <w:color w:val="auto"/>
                <w:sz w:val="24"/>
                <w:szCs w:val="24"/>
                <w:highlight w:val="yellow"/>
                <w:lang w:val="en-US" w:eastAsia="zh-CN"/>
              </w:rPr>
            </w:pPr>
          </w:p>
          <w:p w14:paraId="1D1890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color w:val="0000FF"/>
                <w:highlight w:val="none"/>
                <w:lang w:val="en-US" w:eastAsia="zh-CN"/>
              </w:rPr>
            </w:pPr>
          </w:p>
          <w:p w14:paraId="037625C6">
            <w:pPr>
              <w:keepNext w:val="0"/>
              <w:keepLines w:val="0"/>
              <w:suppressLineNumbers w:val="0"/>
              <w:spacing w:before="0" w:beforeAutospacing="0" w:after="0" w:afterAutospacing="0"/>
              <w:ind w:left="0" w:right="0"/>
              <w:rPr>
                <w:rFonts w:hint="eastAsia"/>
                <w:lang w:val="en-US" w:eastAsia="zh-CN"/>
              </w:rPr>
            </w:pPr>
          </w:p>
        </w:tc>
      </w:tr>
    </w:tbl>
    <w:p w14:paraId="31D1C604">
      <w:pPr>
        <w:pStyle w:val="19"/>
        <w:jc w:val="center"/>
        <w:outlineLvl w:val="0"/>
        <w:rPr>
          <w:rFonts w:hint="eastAsia" w:ascii="黑体" w:hAnsi="黑体" w:eastAsia="黑体" w:cs="黑体"/>
          <w:b w:val="0"/>
          <w:bCs w:val="0"/>
          <w:snapToGrid w:val="0"/>
          <w:sz w:val="30"/>
          <w:szCs w:val="30"/>
        </w:rPr>
      </w:pPr>
      <w:r>
        <w:rPr>
          <w:rFonts w:ascii="黑体" w:hAnsi="黑体" w:eastAsia="黑体"/>
          <w:snapToGrid w:val="0"/>
          <w:sz w:val="36"/>
          <w:szCs w:val="36"/>
        </w:rPr>
        <w:br w:type="page"/>
      </w:r>
      <w:r>
        <w:rPr>
          <w:rFonts w:hint="eastAsia" w:ascii="黑体" w:hAnsi="黑体" w:eastAsia="黑体" w:cs="黑体"/>
          <w:b w:val="0"/>
          <w:bCs w:val="0"/>
          <w:snapToGrid w:val="0"/>
          <w:sz w:val="30"/>
          <w:szCs w:val="30"/>
        </w:rPr>
        <w:t>四、主要环境影响和保护措施</w:t>
      </w:r>
    </w:p>
    <w:tbl>
      <w:tblPr>
        <w:tblStyle w:val="23"/>
        <w:tblW w:w="963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7"/>
        <w:gridCol w:w="8832"/>
      </w:tblGrid>
      <w:tr w14:paraId="1ECF0D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10" w:hRule="atLeast"/>
          <w:jc w:val="center"/>
        </w:trPr>
        <w:tc>
          <w:tcPr>
            <w:tcW w:w="807" w:type="dxa"/>
            <w:noWrap w:val="0"/>
            <w:tcMar>
              <w:left w:w="28" w:type="dxa"/>
              <w:right w:w="28" w:type="dxa"/>
            </w:tcMar>
            <w:vAlign w:val="center"/>
          </w:tcPr>
          <w:p w14:paraId="08A3B783">
            <w:pPr>
              <w:pStyle w:val="1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kern w:val="2"/>
                <w:sz w:val="24"/>
                <w:szCs w:val="24"/>
                <w:lang w:val="en-US" w:eastAsia="zh-CN"/>
              </w:rPr>
            </w:pPr>
            <w:r>
              <w:rPr>
                <w:rFonts w:hint="default" w:ascii="Times New Roman" w:hAnsi="Times New Roman"/>
                <w:kern w:val="2"/>
                <w:sz w:val="24"/>
                <w:szCs w:val="24"/>
                <w:lang w:val="en-US" w:eastAsia="zh-CN"/>
              </w:rPr>
              <w:t>施工</w:t>
            </w:r>
          </w:p>
          <w:p w14:paraId="49A1B860">
            <w:pPr>
              <w:pStyle w:val="1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kern w:val="2"/>
                <w:sz w:val="24"/>
                <w:szCs w:val="24"/>
                <w:lang w:val="en-US" w:eastAsia="zh-CN"/>
              </w:rPr>
            </w:pPr>
            <w:r>
              <w:rPr>
                <w:rFonts w:hint="default" w:ascii="Times New Roman" w:hAnsi="Times New Roman"/>
                <w:kern w:val="2"/>
                <w:sz w:val="24"/>
                <w:szCs w:val="24"/>
                <w:lang w:val="en-US" w:eastAsia="zh-CN"/>
              </w:rPr>
              <w:t>期环</w:t>
            </w:r>
          </w:p>
          <w:p w14:paraId="12ADE1DC">
            <w:pPr>
              <w:pStyle w:val="1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kern w:val="2"/>
                <w:sz w:val="24"/>
                <w:szCs w:val="24"/>
                <w:lang w:val="en-US" w:eastAsia="zh-CN"/>
              </w:rPr>
            </w:pPr>
            <w:r>
              <w:rPr>
                <w:rFonts w:hint="default" w:ascii="Times New Roman" w:hAnsi="Times New Roman"/>
                <w:kern w:val="2"/>
                <w:sz w:val="24"/>
                <w:szCs w:val="24"/>
                <w:lang w:val="en-US" w:eastAsia="zh-CN"/>
              </w:rPr>
              <w:t>境保</w:t>
            </w:r>
          </w:p>
          <w:p w14:paraId="57D4DC60">
            <w:pPr>
              <w:pStyle w:val="1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kern w:val="2"/>
                <w:sz w:val="24"/>
                <w:szCs w:val="24"/>
                <w:lang w:val="en-US" w:eastAsia="zh-CN"/>
              </w:rPr>
            </w:pPr>
            <w:r>
              <w:rPr>
                <w:rFonts w:hint="default" w:ascii="Times New Roman" w:hAnsi="Times New Roman"/>
                <w:kern w:val="2"/>
                <w:sz w:val="24"/>
                <w:szCs w:val="24"/>
                <w:lang w:val="en-US" w:eastAsia="zh-CN"/>
              </w:rPr>
              <w:t>护措</w:t>
            </w:r>
          </w:p>
          <w:p w14:paraId="79B7E891">
            <w:pPr>
              <w:pStyle w:val="1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bCs/>
                <w:kern w:val="2"/>
                <w:sz w:val="21"/>
                <w:szCs w:val="21"/>
                <w:lang w:val="en-US" w:eastAsia="zh-CN"/>
              </w:rPr>
            </w:pPr>
            <w:r>
              <w:rPr>
                <w:rFonts w:hint="default" w:ascii="Times New Roman" w:hAnsi="Times New Roman"/>
                <w:kern w:val="2"/>
                <w:sz w:val="24"/>
                <w:szCs w:val="24"/>
                <w:lang w:val="en-US" w:eastAsia="zh-CN"/>
              </w:rPr>
              <w:t>施</w:t>
            </w:r>
          </w:p>
        </w:tc>
        <w:tc>
          <w:tcPr>
            <w:tcW w:w="8832" w:type="dxa"/>
            <w:noWrap w:val="0"/>
            <w:vAlign w:val="center"/>
          </w:tcPr>
          <w:p w14:paraId="527381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ascii="宋体" w:hAnsi="宋体" w:eastAsia="宋体" w:cs="宋体"/>
                <w:bCs/>
                <w:spacing w:val="-10"/>
                <w:sz w:val="24"/>
                <w:szCs w:val="24"/>
                <w:highlight w:val="none"/>
                <w:lang w:val="en-US" w:eastAsia="zh-CN"/>
              </w:rPr>
            </w:pPr>
            <w:r>
              <w:rPr>
                <w:rFonts w:hint="default" w:hAnsi="宋体"/>
                <w:bCs/>
                <w:kern w:val="0"/>
              </w:rPr>
              <w:t>本项目</w:t>
            </w:r>
            <w:r>
              <w:rPr>
                <w:rFonts w:hint="eastAsia" w:hAnsi="宋体"/>
                <w:bCs/>
                <w:kern w:val="0"/>
              </w:rPr>
              <w:t>利用现有</w:t>
            </w:r>
            <w:r>
              <w:rPr>
                <w:rFonts w:hint="default" w:hAnsi="宋体"/>
                <w:bCs/>
                <w:kern w:val="0"/>
              </w:rPr>
              <w:t>厂房组织生产，</w:t>
            </w:r>
            <w:r>
              <w:rPr>
                <w:rFonts w:hint="default" w:hAnsi="宋体"/>
              </w:rPr>
              <w:t>不需要新建其他构筑物，施工期仅为室内装修和设备安装，工程量较小，本次评价不再对施工期环境影响进行分析</w:t>
            </w:r>
            <w:r>
              <w:rPr>
                <w:rFonts w:hint="default" w:hAnsi="宋体"/>
                <w:bCs/>
              </w:rPr>
              <w:t>。</w:t>
            </w:r>
          </w:p>
        </w:tc>
      </w:tr>
      <w:tr w14:paraId="751888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10" w:hRule="atLeast"/>
          <w:jc w:val="center"/>
        </w:trPr>
        <w:tc>
          <w:tcPr>
            <w:tcW w:w="807" w:type="dxa"/>
            <w:noWrap w:val="0"/>
            <w:tcMar>
              <w:left w:w="28" w:type="dxa"/>
              <w:right w:w="28" w:type="dxa"/>
            </w:tcMar>
            <w:vAlign w:val="center"/>
          </w:tcPr>
          <w:p w14:paraId="48EE0E2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bCs/>
                <w:sz w:val="24"/>
                <w:szCs w:val="24"/>
              </w:rPr>
            </w:pPr>
            <w:r>
              <w:rPr>
                <w:rFonts w:hint="default"/>
                <w:bCs/>
                <w:sz w:val="24"/>
                <w:szCs w:val="24"/>
              </w:rPr>
              <w:t>运营</w:t>
            </w:r>
          </w:p>
          <w:p w14:paraId="2C5B81A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bCs/>
                <w:sz w:val="24"/>
                <w:szCs w:val="24"/>
              </w:rPr>
            </w:pPr>
            <w:r>
              <w:rPr>
                <w:rFonts w:hint="default"/>
                <w:bCs/>
                <w:sz w:val="24"/>
                <w:szCs w:val="24"/>
              </w:rPr>
              <w:t>期环</w:t>
            </w:r>
          </w:p>
          <w:p w14:paraId="1F745A7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bCs/>
                <w:sz w:val="24"/>
                <w:szCs w:val="24"/>
              </w:rPr>
            </w:pPr>
            <w:r>
              <w:rPr>
                <w:rFonts w:hint="default"/>
                <w:bCs/>
                <w:sz w:val="24"/>
                <w:szCs w:val="24"/>
              </w:rPr>
              <w:t>境影</w:t>
            </w:r>
          </w:p>
          <w:p w14:paraId="743D9F3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bCs/>
                <w:sz w:val="24"/>
                <w:szCs w:val="24"/>
              </w:rPr>
            </w:pPr>
            <w:r>
              <w:rPr>
                <w:rFonts w:hint="default"/>
                <w:bCs/>
                <w:sz w:val="24"/>
                <w:szCs w:val="24"/>
              </w:rPr>
              <w:t>响和</w:t>
            </w:r>
          </w:p>
          <w:p w14:paraId="4913F50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bCs/>
                <w:sz w:val="24"/>
                <w:szCs w:val="24"/>
              </w:rPr>
            </w:pPr>
            <w:r>
              <w:rPr>
                <w:rFonts w:hint="default"/>
                <w:bCs/>
                <w:sz w:val="24"/>
                <w:szCs w:val="24"/>
              </w:rPr>
              <w:t>保护</w:t>
            </w:r>
          </w:p>
          <w:p w14:paraId="63EC6C1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leftChars="0" w:right="0" w:rightChars="0"/>
              <w:jc w:val="center"/>
              <w:textAlignment w:val="auto"/>
              <w:rPr>
                <w:rFonts w:hint="default" w:ascii="Times New Roman" w:hAnsi="Times New Roman"/>
                <w:kern w:val="2"/>
                <w:sz w:val="24"/>
                <w:szCs w:val="24"/>
                <w:lang w:val="en-US" w:eastAsia="zh-CN"/>
              </w:rPr>
            </w:pPr>
            <w:r>
              <w:rPr>
                <w:rFonts w:hint="default"/>
                <w:bCs/>
                <w:sz w:val="24"/>
                <w:szCs w:val="24"/>
              </w:rPr>
              <w:t>措施</w:t>
            </w:r>
          </w:p>
        </w:tc>
        <w:tc>
          <w:tcPr>
            <w:tcW w:w="8832" w:type="dxa"/>
            <w:noWrap w:val="0"/>
            <w:vAlign w:val="top"/>
          </w:tcPr>
          <w:p w14:paraId="551CA9B7">
            <w:pPr>
              <w:keepNext w:val="0"/>
              <w:keepLines w:val="0"/>
              <w:suppressLineNumbers w:val="0"/>
              <w:adjustRightInd w:val="0"/>
              <w:snapToGrid w:val="0"/>
              <w:spacing w:before="0" w:beforeAutospacing="0" w:after="0" w:afterAutospacing="0" w:line="440" w:lineRule="exact"/>
              <w:ind w:left="0" w:right="0" w:firstLine="480" w:firstLineChars="200"/>
              <w:rPr>
                <w:rFonts w:hint="default" w:ascii="宋体" w:hAnsi="宋体"/>
                <w:color w:val="auto"/>
                <w:sz w:val="24"/>
                <w:highlight w:val="none"/>
              </w:rPr>
            </w:pPr>
            <w:r>
              <w:rPr>
                <w:rFonts w:hint="eastAsia" w:ascii="宋体" w:hAnsi="宋体"/>
                <w:color w:val="auto"/>
                <w:sz w:val="24"/>
                <w:highlight w:val="none"/>
              </w:rPr>
              <w:t>该项目生产过程中主要污染因素为废气、</w:t>
            </w:r>
            <w:r>
              <w:rPr>
                <w:rFonts w:hint="eastAsia" w:ascii="宋体" w:hAnsi="宋体"/>
                <w:color w:val="auto"/>
                <w:sz w:val="24"/>
                <w:highlight w:val="none"/>
                <w:lang w:val="en-US" w:eastAsia="zh-CN"/>
              </w:rPr>
              <w:t>废水、</w:t>
            </w:r>
            <w:r>
              <w:rPr>
                <w:rFonts w:hint="eastAsia" w:ascii="宋体" w:hAnsi="宋体"/>
                <w:color w:val="auto"/>
                <w:sz w:val="24"/>
                <w:highlight w:val="none"/>
              </w:rPr>
              <w:t>噪声和固废。</w:t>
            </w:r>
          </w:p>
          <w:p w14:paraId="163320F3">
            <w:pPr>
              <w:keepNext w:val="0"/>
              <w:keepLines w:val="0"/>
              <w:suppressLineNumbers w:val="0"/>
              <w:adjustRightInd w:val="0"/>
              <w:snapToGrid w:val="0"/>
              <w:spacing w:before="0" w:beforeAutospacing="0" w:after="0" w:afterAutospacing="0" w:line="440" w:lineRule="exact"/>
              <w:ind w:left="0" w:right="0" w:firstLine="482" w:firstLineChars="200"/>
              <w:rPr>
                <w:rFonts w:hint="eastAsia" w:ascii="宋体" w:hAnsi="宋体" w:eastAsia="宋体"/>
                <w:b/>
                <w:color w:val="auto"/>
                <w:sz w:val="24"/>
                <w:lang w:eastAsia="zh-CN"/>
              </w:rPr>
            </w:pPr>
            <w:r>
              <w:rPr>
                <w:rFonts w:hint="eastAsia" w:ascii="宋体" w:hAnsi="宋体"/>
                <w:b/>
                <w:color w:val="auto"/>
                <w:sz w:val="24"/>
              </w:rPr>
              <w:t>一、废气</w:t>
            </w:r>
          </w:p>
          <w:p w14:paraId="446FBC42">
            <w:pPr>
              <w:keepNext w:val="0"/>
              <w:keepLines w:val="0"/>
              <w:suppressLineNumbers w:val="0"/>
              <w:adjustRightInd w:val="0"/>
              <w:snapToGrid w:val="0"/>
              <w:spacing w:before="0" w:beforeAutospacing="0" w:after="0" w:afterAutospacing="0" w:line="440" w:lineRule="exact"/>
              <w:ind w:left="0" w:right="0" w:firstLine="480" w:firstLineChars="200"/>
              <w:jc w:val="both"/>
              <w:rPr>
                <w:rFonts w:hint="default" w:hAnsi="宋体"/>
                <w:b w:val="0"/>
                <w:bCs w:val="0"/>
                <w:color w:val="auto"/>
                <w:sz w:val="24"/>
                <w:lang w:val="en-US" w:eastAsia="zh-CN"/>
              </w:rPr>
            </w:pPr>
            <w:r>
              <w:rPr>
                <w:rFonts w:hint="eastAsia" w:hAnsi="宋体"/>
                <w:b w:val="0"/>
                <w:bCs w:val="0"/>
                <w:color w:val="auto"/>
                <w:sz w:val="24"/>
                <w:lang w:val="en-US" w:eastAsia="zh-CN"/>
              </w:rPr>
              <w:t>本项目对设备进行升级改造，不新增产品产能。新增设备为全自动制片机、回馈式针床化成检测设备、自动上料机、自动装盒机（单通道）、自动装盒机（双通道）等，均不产生废气，不新增废气污染物。故本项目不进行废气污染物分析。</w:t>
            </w:r>
          </w:p>
          <w:p w14:paraId="2196156E">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2" w:firstLineChars="200"/>
              <w:rPr>
                <w:rFonts w:hint="eastAsia" w:hAnsi="宋体"/>
                <w:b/>
                <w:color w:val="000000" w:themeColor="text1"/>
                <w:sz w:val="24"/>
                <w:highlight w:val="none"/>
                <w14:textFill>
                  <w14:solidFill>
                    <w14:schemeClr w14:val="tx1"/>
                  </w14:solidFill>
                </w14:textFill>
              </w:rPr>
            </w:pPr>
            <w:r>
              <w:rPr>
                <w:rFonts w:hint="default" w:hAnsi="宋体"/>
                <w:b/>
                <w:color w:val="000000" w:themeColor="text1"/>
                <w:sz w:val="24"/>
                <w:highlight w:val="none"/>
                <w14:textFill>
                  <w14:solidFill>
                    <w14:schemeClr w14:val="tx1"/>
                  </w14:solidFill>
                </w14:textFill>
              </w:rPr>
              <w:t>二、废水</w:t>
            </w:r>
          </w:p>
          <w:p w14:paraId="3554780C">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440" w:lineRule="exact"/>
              <w:ind w:left="0" w:right="0" w:firstLine="470" w:firstLineChars="196"/>
              <w:jc w:val="both"/>
              <w:rPr>
                <w:rFonts w:hint="eastAsia"/>
                <w:color w:val="000000" w:themeColor="text1"/>
                <w:sz w:val="24"/>
                <w:highlight w:val="none"/>
                <w:lang w:eastAsia="zh-CN"/>
                <w14:textFill>
                  <w14:solidFill>
                    <w14:schemeClr w14:val="tx1"/>
                  </w14:solidFill>
                </w14:textFill>
              </w:rPr>
            </w:pPr>
            <w:r>
              <w:rPr>
                <w:rFonts w:hint="eastAsia"/>
                <w:bCs/>
                <w:color w:val="000000" w:themeColor="text1"/>
                <w:sz w:val="24"/>
                <w:highlight w:val="none"/>
                <w14:textFill>
                  <w14:solidFill>
                    <w14:schemeClr w14:val="tx1"/>
                  </w14:solidFill>
                </w14:textFill>
              </w:rPr>
              <w:t>本项目</w:t>
            </w:r>
            <w:r>
              <w:rPr>
                <w:rFonts w:hint="eastAsia" w:hAnsi="宋体"/>
                <w:b w:val="0"/>
                <w:bCs w:val="0"/>
                <w:color w:val="auto"/>
                <w:sz w:val="24"/>
                <w:lang w:val="en-US" w:eastAsia="zh-CN"/>
              </w:rPr>
              <w:t>对设备进行升级改造，不新增产品产能。新增设备为全自动制片机、回馈式针床化成检测设备、自动上料机、自动装盒机（单通道）、自动装盒机（双通道）等，均不产生废水，不新增废水污染物。设备升级改造后，拟减少员工50人</w:t>
            </w:r>
            <w:r>
              <w:rPr>
                <w:rFonts w:hint="eastAsia"/>
                <w:bCs/>
                <w:color w:val="000000" w:themeColor="text1"/>
                <w:sz w:val="24"/>
                <w:highlight w:val="none"/>
                <w:lang w:eastAsia="zh-CN"/>
                <w14:textFill>
                  <w14:solidFill>
                    <w14:schemeClr w14:val="tx1"/>
                  </w14:solidFill>
                </w14:textFill>
              </w:rPr>
              <w:t>。</w:t>
            </w:r>
          </w:p>
          <w:p w14:paraId="7B6D28B8">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440" w:lineRule="exact"/>
              <w:ind w:left="0" w:right="0" w:firstLine="470" w:firstLineChars="196"/>
              <w:jc w:val="both"/>
              <w:rPr>
                <w:rFonts w:hint="eastAsia"/>
                <w:color w:val="000000"/>
                <w:sz w:val="24"/>
                <w:lang w:val="en-US" w:eastAsia="zh-CN"/>
              </w:rPr>
            </w:pPr>
            <w:r>
              <w:rPr>
                <w:rFonts w:hint="eastAsia"/>
                <w:lang w:val="en-US" w:eastAsia="zh-CN"/>
              </w:rPr>
              <w:t>员工用水量按每人每天30L计，则减少生活用水量为</w:t>
            </w:r>
            <w:r>
              <w:rPr>
                <w:rFonts w:hint="eastAsia"/>
                <w:highlight w:val="none"/>
                <w:lang w:val="en-US" w:eastAsia="zh-CN"/>
              </w:rPr>
              <w:t>1.5m</w:t>
            </w:r>
            <w:r>
              <w:rPr>
                <w:rFonts w:hint="eastAsia"/>
                <w:highlight w:val="none"/>
                <w:vertAlign w:val="superscript"/>
                <w:lang w:val="en-US" w:eastAsia="zh-CN"/>
              </w:rPr>
              <w:t>3</w:t>
            </w:r>
            <w:r>
              <w:rPr>
                <w:rFonts w:hint="eastAsia"/>
                <w:highlight w:val="none"/>
                <w:lang w:val="en-US" w:eastAsia="zh-CN"/>
              </w:rPr>
              <w:t>/d（495m</w:t>
            </w:r>
            <w:r>
              <w:rPr>
                <w:rFonts w:hint="eastAsia"/>
                <w:highlight w:val="none"/>
                <w:vertAlign w:val="superscript"/>
                <w:lang w:val="en-US" w:eastAsia="zh-CN"/>
              </w:rPr>
              <w:t>3</w:t>
            </w:r>
            <w:r>
              <w:rPr>
                <w:rFonts w:hint="eastAsia"/>
                <w:highlight w:val="none"/>
                <w:lang w:val="en-US" w:eastAsia="zh-CN"/>
              </w:rPr>
              <w:t>/a），产污系数按0.8计，则生活污水排放量为1.2m</w:t>
            </w:r>
            <w:r>
              <w:rPr>
                <w:rFonts w:hint="eastAsia"/>
                <w:highlight w:val="none"/>
                <w:vertAlign w:val="superscript"/>
                <w:lang w:val="en-US" w:eastAsia="zh-CN"/>
              </w:rPr>
              <w:t>3</w:t>
            </w:r>
            <w:r>
              <w:rPr>
                <w:rFonts w:hint="eastAsia"/>
                <w:highlight w:val="none"/>
                <w:lang w:val="en-US" w:eastAsia="zh-CN"/>
              </w:rPr>
              <w:t>/d（396m</w:t>
            </w:r>
            <w:r>
              <w:rPr>
                <w:rFonts w:hint="eastAsia"/>
                <w:highlight w:val="none"/>
                <w:vertAlign w:val="superscript"/>
                <w:lang w:val="en-US" w:eastAsia="zh-CN"/>
              </w:rPr>
              <w:t>3</w:t>
            </w:r>
            <w:r>
              <w:rPr>
                <w:rFonts w:hint="eastAsia"/>
                <w:highlight w:val="none"/>
                <w:lang w:val="en-US" w:eastAsia="zh-CN"/>
              </w:rPr>
              <w:t>/a）</w:t>
            </w:r>
            <w:r>
              <w:rPr>
                <w:rFonts w:hint="eastAsia"/>
                <w:lang w:val="en-US" w:eastAsia="zh-CN"/>
              </w:rPr>
              <w:t>。生活污水经厂区污水处理站处理后排至新乡县综合污水处理厂进一步处理。新乡县综合污水处理厂排放限值为COD40ml/L、NH</w:t>
            </w:r>
            <w:r>
              <w:rPr>
                <w:rFonts w:hint="eastAsia"/>
                <w:vertAlign w:val="subscript"/>
                <w:lang w:val="en-US" w:eastAsia="zh-CN"/>
              </w:rPr>
              <w:t>3</w:t>
            </w:r>
            <w:r>
              <w:rPr>
                <w:rFonts w:hint="eastAsia"/>
                <w:lang w:val="en-US" w:eastAsia="zh-CN"/>
              </w:rPr>
              <w:t>-N10ml/L，本项目将生活污水减排量纳入本次以新带老削减量中，则废水以新带老削减量为COD0.0158t/a、NH</w:t>
            </w:r>
            <w:r>
              <w:rPr>
                <w:rFonts w:hint="eastAsia"/>
                <w:vertAlign w:val="subscript"/>
                <w:lang w:val="en-US" w:eastAsia="zh-CN"/>
              </w:rPr>
              <w:t>3</w:t>
            </w:r>
            <w:r>
              <w:rPr>
                <w:rFonts w:hint="eastAsia"/>
                <w:lang w:val="en-US" w:eastAsia="zh-CN"/>
              </w:rPr>
              <w:t>-N0.004t/a</w:t>
            </w:r>
            <w:r>
              <w:rPr>
                <w:rFonts w:hint="eastAsia"/>
                <w:color w:val="000000"/>
                <w:sz w:val="24"/>
                <w:lang w:val="en-US" w:eastAsia="zh-CN"/>
              </w:rPr>
              <w:t>。</w:t>
            </w:r>
          </w:p>
          <w:p w14:paraId="01C436DD">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2" w:firstLineChars="200"/>
              <w:rPr>
                <w:rFonts w:hint="default"/>
                <w:bCs/>
                <w:sz w:val="24"/>
                <w:highlight w:val="none"/>
              </w:rPr>
            </w:pPr>
            <w:r>
              <w:rPr>
                <w:rFonts w:hint="eastAsia" w:hAnsi="宋体"/>
                <w:b/>
                <w:sz w:val="24"/>
                <w:highlight w:val="none"/>
              </w:rPr>
              <w:t>三、噪声</w:t>
            </w:r>
          </w:p>
          <w:p w14:paraId="60F214B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rPr>
                <w:rFonts w:hint="default" w:ascii="Times New Roman" w:hAnsi="Times New Roman" w:eastAsia="宋体" w:cs="Times New Roman"/>
                <w:b/>
                <w:bCs/>
                <w:sz w:val="24"/>
                <w:lang w:val="en-US" w:eastAsia="zh-CN"/>
              </w:rPr>
            </w:pPr>
            <w:r>
              <w:rPr>
                <w:rFonts w:hint="default" w:ascii="Times New Roman" w:hAnsi="Times New Roman" w:eastAsia="宋体" w:cs="Times New Roman"/>
                <w:b/>
                <w:bCs/>
                <w:sz w:val="24"/>
                <w:lang w:val="en-US" w:eastAsia="zh-CN"/>
              </w:rPr>
              <w:t>1、源强</w:t>
            </w:r>
            <w:r>
              <w:rPr>
                <w:rFonts w:hint="eastAsia" w:ascii="Times New Roman" w:hAnsi="Times New Roman" w:eastAsia="宋体" w:cs="Times New Roman"/>
                <w:b/>
                <w:bCs/>
                <w:sz w:val="24"/>
                <w:lang w:val="en-US" w:eastAsia="zh-CN"/>
              </w:rPr>
              <w:t>源调查</w:t>
            </w:r>
          </w:p>
          <w:p w14:paraId="144DF52A">
            <w:pPr>
              <w:keepNext w:val="0"/>
              <w:keepLines w:val="0"/>
              <w:suppressLineNumbers w:val="0"/>
              <w:spacing w:before="0" w:beforeAutospacing="0" w:after="0" w:afterAutospacing="0" w:line="440" w:lineRule="exact"/>
              <w:ind w:left="0" w:right="0" w:firstLine="480" w:firstLineChars="200"/>
              <w:jc w:val="left"/>
              <w:rPr>
                <w:rFonts w:hint="default" w:hAnsi="宋体"/>
                <w:sz w:val="24"/>
                <w:highlight w:val="none"/>
              </w:rPr>
            </w:pPr>
            <w:r>
              <w:rPr>
                <w:rFonts w:hint="eastAsia"/>
                <w:snapToGrid w:val="0"/>
                <w:color w:val="000000"/>
                <w:sz w:val="24"/>
                <w:szCs w:val="24"/>
                <w:highlight w:val="none"/>
              </w:rPr>
              <w:t>本项目高噪声设备主</w:t>
            </w:r>
            <w:r>
              <w:rPr>
                <w:rFonts w:hint="eastAsia"/>
                <w:snapToGrid w:val="0"/>
                <w:color w:val="auto"/>
                <w:sz w:val="24"/>
                <w:szCs w:val="24"/>
                <w:highlight w:val="none"/>
              </w:rPr>
              <w:t>要为</w:t>
            </w:r>
            <w:r>
              <w:rPr>
                <w:rFonts w:hint="eastAsia"/>
                <w:snapToGrid w:val="0"/>
                <w:color w:val="auto"/>
                <w:sz w:val="24"/>
                <w:szCs w:val="24"/>
                <w:highlight w:val="none"/>
                <w:lang w:val="en-US" w:eastAsia="zh-CN"/>
              </w:rPr>
              <w:t>全自动制片机、自动上料机、自动装盒机</w:t>
            </w:r>
            <w:r>
              <w:rPr>
                <w:rFonts w:hint="eastAsia"/>
                <w:snapToGrid w:val="0"/>
                <w:color w:val="auto"/>
                <w:sz w:val="24"/>
                <w:szCs w:val="24"/>
                <w:highlight w:val="none"/>
              </w:rPr>
              <w:t>等设</w:t>
            </w:r>
            <w:r>
              <w:rPr>
                <w:rFonts w:hint="eastAsia"/>
                <w:snapToGrid w:val="0"/>
                <w:color w:val="000000"/>
                <w:sz w:val="24"/>
                <w:szCs w:val="24"/>
                <w:highlight w:val="none"/>
              </w:rPr>
              <w:t>备产生的噪声，其运行过程中</w:t>
            </w:r>
            <w:r>
              <w:rPr>
                <w:rFonts w:hint="default"/>
                <w:sz w:val="24"/>
                <w:szCs w:val="24"/>
                <w:highlight w:val="none"/>
              </w:rPr>
              <w:t>噪声约在</w:t>
            </w:r>
            <w:r>
              <w:rPr>
                <w:rFonts w:hint="eastAsia"/>
                <w:color w:val="000000" w:themeColor="text1"/>
                <w:sz w:val="24"/>
                <w:szCs w:val="24"/>
                <w:highlight w:val="none"/>
                <w14:textFill>
                  <w14:solidFill>
                    <w14:schemeClr w14:val="tx1"/>
                  </w14:solidFill>
                </w14:textFill>
              </w:rPr>
              <w:t>70</w:t>
            </w:r>
            <w:r>
              <w:rPr>
                <w:rFonts w:hint="default"/>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80</w:t>
            </w:r>
            <w:r>
              <w:rPr>
                <w:rFonts w:hint="default"/>
                <w:color w:val="000000" w:themeColor="text1"/>
                <w:sz w:val="24"/>
                <w:szCs w:val="24"/>
                <w:highlight w:val="none"/>
                <w14:textFill>
                  <w14:solidFill>
                    <w14:schemeClr w14:val="tx1"/>
                  </w14:solidFill>
                </w14:textFill>
              </w:rPr>
              <w:t>dB(A)之</w:t>
            </w:r>
            <w:r>
              <w:rPr>
                <w:rFonts w:hint="default"/>
                <w:sz w:val="24"/>
                <w:szCs w:val="24"/>
                <w:highlight w:val="none"/>
              </w:rPr>
              <w:t>间，</w:t>
            </w:r>
            <w:r>
              <w:rPr>
                <w:rFonts w:hint="default" w:hAnsi="宋体"/>
                <w:sz w:val="24"/>
                <w:highlight w:val="none"/>
              </w:rPr>
              <w:t>根据《环境影响评价技术导则</w:t>
            </w:r>
            <w:r>
              <w:rPr>
                <w:rFonts w:hint="eastAsia" w:hAnsi="宋体"/>
                <w:sz w:val="24"/>
                <w:highlight w:val="none"/>
              </w:rPr>
              <w:t>—</w:t>
            </w:r>
            <w:r>
              <w:rPr>
                <w:rFonts w:hint="default" w:hAnsi="宋体"/>
                <w:sz w:val="24"/>
                <w:highlight w:val="none"/>
              </w:rPr>
              <w:t>声环境》（HJ2.4-2021），工业声源应按照室内</w:t>
            </w:r>
            <w:r>
              <w:rPr>
                <w:rFonts w:hint="eastAsia" w:hAnsi="宋体"/>
                <w:sz w:val="24"/>
                <w:highlight w:val="none"/>
                <w:lang w:val="en-US" w:eastAsia="zh-CN"/>
              </w:rPr>
              <w:t>声源</w:t>
            </w:r>
            <w:r>
              <w:rPr>
                <w:rFonts w:hint="default" w:hAnsi="宋体"/>
                <w:sz w:val="24"/>
                <w:highlight w:val="none"/>
              </w:rPr>
              <w:t>计算。</w:t>
            </w:r>
          </w:p>
          <w:p w14:paraId="7737E825">
            <w:pPr>
              <w:keepNext w:val="0"/>
              <w:keepLines w:val="0"/>
              <w:suppressLineNumbers w:val="0"/>
              <w:tabs>
                <w:tab w:val="left" w:pos="3620"/>
              </w:tabs>
              <w:adjustRightInd w:val="0"/>
              <w:snapToGrid w:val="0"/>
              <w:spacing w:before="0" w:beforeAutospacing="0" w:after="0" w:afterAutospacing="0" w:line="440" w:lineRule="exact"/>
              <w:ind w:left="0" w:right="0" w:firstLine="482" w:firstLineChars="200"/>
              <w:rPr>
                <w:rFonts w:hint="default" w:hAnsi="宋体"/>
                <w:b/>
                <w:bCs/>
                <w:sz w:val="24"/>
                <w:highlight w:val="none"/>
                <w:lang w:val="en-US" w:eastAsia="zh-CN"/>
              </w:rPr>
            </w:pPr>
            <w:r>
              <w:rPr>
                <w:rFonts w:hint="eastAsia" w:hAnsi="宋体"/>
                <w:b/>
                <w:bCs/>
                <w:sz w:val="24"/>
                <w:highlight w:val="none"/>
                <w:lang w:val="en-US" w:eastAsia="zh-CN"/>
              </w:rPr>
              <w:t>（1）室内</w:t>
            </w:r>
            <w:r>
              <w:rPr>
                <w:rFonts w:hint="default" w:hAnsi="宋体"/>
                <w:b/>
                <w:bCs/>
                <w:sz w:val="24"/>
                <w:highlight w:val="none"/>
                <w:lang w:val="en-US" w:eastAsia="zh-CN"/>
              </w:rPr>
              <w:t>声源等效室外声源声功率级计算</w:t>
            </w:r>
          </w:p>
          <w:p w14:paraId="49EE1248">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default" w:hAnsi="宋体"/>
                <w:sz w:val="24"/>
                <w:highlight w:val="none"/>
              </w:rPr>
            </w:pPr>
            <w:r>
              <w:rPr>
                <w:rFonts w:hint="default" w:hAnsi="宋体"/>
                <w:sz w:val="24"/>
                <w:highlight w:val="none"/>
              </w:rPr>
              <w:t>声源位于室内，室内声源可采用等效室外声源声功率级法进行计算。设靠近开口处（或窗户）室内、室外某倍频带的声压级或A声级分别为L</w:t>
            </w:r>
            <w:r>
              <w:rPr>
                <w:rFonts w:hint="default" w:hAnsi="宋体"/>
                <w:sz w:val="24"/>
                <w:highlight w:val="none"/>
                <w:vertAlign w:val="subscript"/>
              </w:rPr>
              <w:t>p1</w:t>
            </w:r>
            <w:r>
              <w:rPr>
                <w:rFonts w:hint="default" w:hAnsi="宋体"/>
                <w:sz w:val="24"/>
                <w:highlight w:val="none"/>
              </w:rPr>
              <w:t>和L</w:t>
            </w:r>
            <w:r>
              <w:rPr>
                <w:rFonts w:hint="default" w:hAnsi="宋体"/>
                <w:sz w:val="24"/>
                <w:highlight w:val="none"/>
                <w:vertAlign w:val="subscript"/>
              </w:rPr>
              <w:t>p2</w:t>
            </w:r>
            <w:r>
              <w:rPr>
                <w:rFonts w:hint="default" w:hAnsi="宋体"/>
                <w:sz w:val="24"/>
                <w:highlight w:val="none"/>
              </w:rPr>
              <w:t>。</w:t>
            </w:r>
          </w:p>
          <w:p w14:paraId="7BB1AEB7">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eastAsia" w:hAnsi="宋体"/>
                <w:sz w:val="24"/>
              </w:rPr>
            </w:pPr>
            <w:r>
              <w:rPr>
                <w:rFonts w:hint="default" w:hAnsi="宋体"/>
                <w:sz w:val="24"/>
                <w:highlight w:val="none"/>
              </w:rPr>
              <w:t>计算某一室内声源靠近围护结构处产生的倍频带声压级或A声级公式如下：</w:t>
            </w:r>
          </w:p>
          <w:p w14:paraId="49DE42FB">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default" w:hAnsi="宋体"/>
                <w:sz w:val="24"/>
              </w:rPr>
            </w:pPr>
          </w:p>
          <w:p w14:paraId="4C5D0D1F">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default" w:hAnsi="宋体"/>
                <w:sz w:val="24"/>
              </w:rPr>
            </w:pPr>
            <w:r>
              <w:rPr>
                <w:rFonts w:hint="default" w:hAnsi="宋体"/>
                <w:sz w:val="24"/>
              </w:rPr>
              <w:drawing>
                <wp:anchor distT="0" distB="0" distL="114300" distR="114300" simplePos="0" relativeHeight="251660288" behindDoc="1" locked="0" layoutInCell="1" allowOverlap="1">
                  <wp:simplePos x="0" y="0"/>
                  <wp:positionH relativeFrom="column">
                    <wp:posOffset>1604010</wp:posOffset>
                  </wp:positionH>
                  <wp:positionV relativeFrom="paragraph">
                    <wp:posOffset>43180</wp:posOffset>
                  </wp:positionV>
                  <wp:extent cx="2187575" cy="396875"/>
                  <wp:effectExtent l="0" t="0" r="0" b="2540"/>
                  <wp:wrapNone/>
                  <wp:docPr id="76" name="图片 1"/>
                  <wp:cNvGraphicFramePr/>
                  <a:graphic xmlns:a="http://schemas.openxmlformats.org/drawingml/2006/main">
                    <a:graphicData uri="http://schemas.openxmlformats.org/drawingml/2006/picture">
                      <pic:pic xmlns:pic="http://schemas.openxmlformats.org/drawingml/2006/picture">
                        <pic:nvPicPr>
                          <pic:cNvPr id="76" name="图片 1"/>
                          <pic:cNvPicPr/>
                        </pic:nvPicPr>
                        <pic:blipFill>
                          <a:blip r:embed="rId16"/>
                          <a:stretch>
                            <a:fillRect/>
                          </a:stretch>
                        </pic:blipFill>
                        <pic:spPr>
                          <a:xfrm>
                            <a:off x="0" y="0"/>
                            <a:ext cx="2187575" cy="396875"/>
                          </a:xfrm>
                          <a:prstGeom prst="rect">
                            <a:avLst/>
                          </a:prstGeom>
                          <a:noFill/>
                          <a:ln>
                            <a:noFill/>
                          </a:ln>
                        </pic:spPr>
                      </pic:pic>
                    </a:graphicData>
                  </a:graphic>
                </wp:anchor>
              </w:drawing>
            </w:r>
          </w:p>
          <w:p w14:paraId="61784A64">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default" w:hAnsi="宋体"/>
                <w:sz w:val="24"/>
              </w:rPr>
            </w:pPr>
          </w:p>
          <w:p w14:paraId="6BAFF238">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default" w:hAnsi="宋体"/>
                <w:sz w:val="24"/>
              </w:rPr>
            </w:pPr>
            <w:r>
              <w:rPr>
                <w:rFonts w:hint="default" w:hAnsi="宋体"/>
                <w:sz w:val="24"/>
              </w:rPr>
              <w:t>式中：L</w:t>
            </w:r>
            <w:r>
              <w:rPr>
                <w:rFonts w:hint="default" w:hAnsi="宋体"/>
                <w:sz w:val="24"/>
                <w:vertAlign w:val="subscript"/>
              </w:rPr>
              <w:t>p1——</w:t>
            </w:r>
            <w:r>
              <w:rPr>
                <w:rFonts w:hint="default" w:hAnsi="宋体"/>
                <w:sz w:val="24"/>
              </w:rPr>
              <w:t>靠近开口处（或窗户）室内某倍频带的声压级或A声级，dB；</w:t>
            </w:r>
          </w:p>
          <w:p w14:paraId="603A7531">
            <w:pPr>
              <w:keepNext w:val="0"/>
              <w:keepLines w:val="0"/>
              <w:suppressLineNumbers w:val="0"/>
              <w:tabs>
                <w:tab w:val="left" w:pos="3620"/>
              </w:tabs>
              <w:adjustRightInd w:val="0"/>
              <w:snapToGrid w:val="0"/>
              <w:spacing w:before="0" w:beforeAutospacing="0" w:after="0" w:afterAutospacing="0" w:line="440" w:lineRule="exact"/>
              <w:ind w:left="0" w:right="0" w:firstLine="960" w:firstLineChars="400"/>
              <w:rPr>
                <w:rFonts w:hint="default" w:hAnsi="宋体"/>
                <w:sz w:val="24"/>
              </w:rPr>
            </w:pPr>
            <w:r>
              <w:rPr>
                <w:rFonts w:hint="eastAsia" w:hAnsi="宋体"/>
                <w:sz w:val="24"/>
              </w:rPr>
              <w:t xml:space="preserve">  </w:t>
            </w:r>
            <w:r>
              <w:rPr>
                <w:rFonts w:hint="default" w:hAnsi="宋体"/>
                <w:sz w:val="24"/>
              </w:rPr>
              <w:t>L</w:t>
            </w:r>
            <w:r>
              <w:rPr>
                <w:rFonts w:hint="default" w:hAnsi="宋体"/>
                <w:sz w:val="24"/>
                <w:vertAlign w:val="subscript"/>
              </w:rPr>
              <w:t>w1</w:t>
            </w:r>
            <w:r>
              <w:rPr>
                <w:rFonts w:hint="default" w:hAnsi="宋体"/>
                <w:sz w:val="24"/>
              </w:rPr>
              <w:t>—点声源声功率级（A计权或倍频带），dB；</w:t>
            </w:r>
          </w:p>
          <w:p w14:paraId="67B7BEBD">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default" w:hAnsi="宋体"/>
                <w:sz w:val="24"/>
              </w:rPr>
            </w:pPr>
            <w:r>
              <w:rPr>
                <w:rFonts w:hint="default" w:hAnsi="宋体"/>
                <w:sz w:val="24"/>
              </w:rPr>
              <w:t xml:space="preserve"> </w:t>
            </w:r>
            <w:r>
              <w:rPr>
                <w:rFonts w:hint="eastAsia" w:hAnsi="宋体"/>
                <w:sz w:val="24"/>
              </w:rPr>
              <w:t xml:space="preserve">     </w:t>
            </w:r>
            <w:r>
              <w:rPr>
                <w:rFonts w:hint="default" w:hAnsi="宋体"/>
                <w:sz w:val="24"/>
              </w:rPr>
              <w:t>Q—指向性因数；通常对无指向性声源，当声源放在房间中心时，Q=1；当放在一面墙的中心时，Q=2；当放在两面墙夹角处时，Q=4；当放在三面墙夹角处时，Q=8；本项目</w:t>
            </w:r>
            <w:r>
              <w:rPr>
                <w:rFonts w:hint="eastAsia" w:hAnsi="宋体"/>
                <w:sz w:val="24"/>
              </w:rPr>
              <w:t>Q值取</w:t>
            </w:r>
            <w:r>
              <w:rPr>
                <w:rFonts w:hint="eastAsia" w:hAnsi="宋体"/>
                <w:sz w:val="24"/>
                <w:lang w:val="en-US" w:eastAsia="zh-CN"/>
              </w:rPr>
              <w:t>4</w:t>
            </w:r>
            <w:r>
              <w:rPr>
                <w:rFonts w:hint="eastAsia" w:hAnsi="宋体"/>
                <w:sz w:val="24"/>
              </w:rPr>
              <w:t>。</w:t>
            </w:r>
          </w:p>
          <w:p w14:paraId="5B6E58C1">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auto"/>
              <w:rPr>
                <w:rFonts w:hint="default" w:hAnsi="宋体"/>
                <w:color w:val="auto"/>
                <w:sz w:val="24"/>
                <w:highlight w:val="none"/>
                <w:lang w:val="en-US"/>
              </w:rPr>
            </w:pPr>
            <w:r>
              <w:rPr>
                <w:rFonts w:hint="eastAsia" w:hAnsi="宋体"/>
                <w:sz w:val="24"/>
              </w:rPr>
              <w:t xml:space="preserve">      </w:t>
            </w:r>
            <w:r>
              <w:rPr>
                <w:rFonts w:hint="default" w:hAnsi="宋体"/>
                <w:sz w:val="24"/>
              </w:rPr>
              <w:t>R——房间常数</w:t>
            </w:r>
            <w:r>
              <w:rPr>
                <w:rFonts w:hint="default" w:hAnsi="宋体"/>
                <w:sz w:val="24"/>
                <w:highlight w:val="none"/>
              </w:rPr>
              <w:t>；R=Sα/（1-α），S为房间内表面面积，m</w:t>
            </w:r>
            <w:r>
              <w:rPr>
                <w:rFonts w:hint="default" w:hAnsi="宋体"/>
                <w:sz w:val="24"/>
                <w:highlight w:val="none"/>
                <w:vertAlign w:val="superscript"/>
              </w:rPr>
              <w:t>2</w:t>
            </w:r>
            <w:r>
              <w:rPr>
                <w:rFonts w:hint="default" w:hAnsi="宋体"/>
                <w:sz w:val="24"/>
                <w:highlight w:val="none"/>
              </w:rPr>
              <w:t>；α为平均吸声系数，取平均吸声系数0.</w:t>
            </w:r>
            <w:r>
              <w:rPr>
                <w:rFonts w:hint="eastAsia" w:hAnsi="宋体"/>
                <w:sz w:val="24"/>
                <w:highlight w:val="none"/>
              </w:rPr>
              <w:t>4</w:t>
            </w:r>
            <w:r>
              <w:rPr>
                <w:rFonts w:hint="default" w:hAnsi="宋体"/>
                <w:sz w:val="24"/>
                <w:highlight w:val="none"/>
              </w:rPr>
              <w:t>；</w:t>
            </w:r>
            <w:r>
              <w:rPr>
                <w:rFonts w:hint="eastAsia" w:hAnsi="宋体"/>
                <w:sz w:val="24"/>
                <w:highlight w:val="none"/>
                <w:lang w:val="en-US" w:eastAsia="zh-CN"/>
              </w:rPr>
              <w:t>1#</w:t>
            </w:r>
            <w:r>
              <w:rPr>
                <w:rFonts w:hint="eastAsia" w:hAnsi="宋体"/>
                <w:color w:val="auto"/>
                <w:sz w:val="24"/>
                <w:highlight w:val="none"/>
              </w:rPr>
              <w:t>车间</w:t>
            </w:r>
            <w:r>
              <w:rPr>
                <w:rFonts w:hint="default" w:hAnsi="宋体"/>
                <w:color w:val="auto"/>
                <w:sz w:val="24"/>
                <w:highlight w:val="none"/>
              </w:rPr>
              <w:t>内表面积</w:t>
            </w:r>
            <w:r>
              <w:rPr>
                <w:rFonts w:hint="eastAsia" w:hAnsi="宋体"/>
                <w:color w:val="auto"/>
                <w:sz w:val="24"/>
                <w:highlight w:val="none"/>
              </w:rPr>
              <w:t>为</w:t>
            </w:r>
            <w:r>
              <w:rPr>
                <w:rFonts w:hint="eastAsia" w:hAnsi="宋体"/>
                <w:color w:val="000000" w:themeColor="text1"/>
                <w:sz w:val="24"/>
                <w:highlight w:val="none"/>
                <w:lang w:val="en-US" w:eastAsia="zh-CN"/>
                <w14:textFill>
                  <w14:solidFill>
                    <w14:schemeClr w14:val="tx1"/>
                  </w14:solidFill>
                </w14:textFill>
              </w:rPr>
              <w:t>8600</w:t>
            </w:r>
            <w:r>
              <w:rPr>
                <w:rFonts w:hint="default" w:hAnsi="宋体"/>
                <w:color w:val="000000" w:themeColor="text1"/>
                <w:sz w:val="24"/>
                <w:highlight w:val="none"/>
                <w14:textFill>
                  <w14:solidFill>
                    <w14:schemeClr w14:val="tx1"/>
                  </w14:solidFill>
                </w14:textFill>
              </w:rPr>
              <w:t>m</w:t>
            </w:r>
            <w:r>
              <w:rPr>
                <w:rFonts w:hint="default" w:hAnsi="宋体"/>
                <w:color w:val="000000" w:themeColor="text1"/>
                <w:sz w:val="24"/>
                <w:highlight w:val="none"/>
                <w:vertAlign w:val="superscript"/>
                <w14:textFill>
                  <w14:solidFill>
                    <w14:schemeClr w14:val="tx1"/>
                  </w14:solidFill>
                </w14:textFill>
              </w:rPr>
              <w:t>2</w:t>
            </w:r>
            <w:r>
              <w:rPr>
                <w:rFonts w:hint="default" w:hAnsi="宋体"/>
                <w:color w:val="000000" w:themeColor="text1"/>
                <w:sz w:val="24"/>
                <w:highlight w:val="none"/>
                <w14:textFill>
                  <w14:solidFill>
                    <w14:schemeClr w14:val="tx1"/>
                  </w14:solidFill>
                </w14:textFill>
              </w:rPr>
              <w:t>，则R</w:t>
            </w:r>
            <w:r>
              <w:rPr>
                <w:rFonts w:hint="eastAsia" w:hAnsi="宋体"/>
                <w:color w:val="000000" w:themeColor="text1"/>
                <w:sz w:val="24"/>
                <w:highlight w:val="none"/>
                <w:lang w:val="en-US" w:eastAsia="zh-CN"/>
                <w14:textFill>
                  <w14:solidFill>
                    <w14:schemeClr w14:val="tx1"/>
                  </w14:solidFill>
                </w14:textFill>
              </w:rPr>
              <w:t>1</w:t>
            </w:r>
            <w:r>
              <w:rPr>
                <w:rFonts w:hint="default" w:hAnsi="宋体"/>
                <w:color w:val="000000" w:themeColor="text1"/>
                <w:sz w:val="24"/>
                <w:highlight w:val="none"/>
                <w14:textFill>
                  <w14:solidFill>
                    <w14:schemeClr w14:val="tx1"/>
                  </w14:solidFill>
                </w14:textFill>
              </w:rPr>
              <w:t>=</w:t>
            </w:r>
            <w:r>
              <w:rPr>
                <w:rFonts w:hint="eastAsia" w:hAnsi="宋体"/>
                <w:color w:val="000000" w:themeColor="text1"/>
                <w:sz w:val="24"/>
                <w:highlight w:val="none"/>
                <w:lang w:val="en-US" w:eastAsia="zh-CN"/>
                <w14:textFill>
                  <w14:solidFill>
                    <w14:schemeClr w14:val="tx1"/>
                  </w14:solidFill>
                </w14:textFill>
              </w:rPr>
              <w:t>5733.3，</w:t>
            </w:r>
            <w:r>
              <w:rPr>
                <w:rFonts w:hint="eastAsia" w:hAnsi="宋体"/>
                <w:sz w:val="24"/>
                <w:highlight w:val="none"/>
                <w:lang w:val="en-US" w:eastAsia="zh-CN"/>
              </w:rPr>
              <w:t>2#</w:t>
            </w:r>
            <w:r>
              <w:rPr>
                <w:rFonts w:hint="eastAsia" w:hAnsi="宋体"/>
                <w:color w:val="auto"/>
                <w:sz w:val="24"/>
                <w:highlight w:val="none"/>
              </w:rPr>
              <w:t>车间</w:t>
            </w:r>
            <w:r>
              <w:rPr>
                <w:rFonts w:hint="default" w:hAnsi="宋体"/>
                <w:color w:val="auto"/>
                <w:sz w:val="24"/>
                <w:highlight w:val="none"/>
              </w:rPr>
              <w:t>内表面积</w:t>
            </w:r>
            <w:r>
              <w:rPr>
                <w:rFonts w:hint="eastAsia" w:hAnsi="宋体"/>
                <w:color w:val="auto"/>
                <w:sz w:val="24"/>
                <w:highlight w:val="none"/>
              </w:rPr>
              <w:t>为</w:t>
            </w:r>
            <w:r>
              <w:rPr>
                <w:rFonts w:hint="eastAsia" w:hAnsi="宋体"/>
                <w:color w:val="000000" w:themeColor="text1"/>
                <w:sz w:val="24"/>
                <w:highlight w:val="none"/>
                <w:lang w:val="en-US" w:eastAsia="zh-CN"/>
                <w14:textFill>
                  <w14:solidFill>
                    <w14:schemeClr w14:val="tx1"/>
                  </w14:solidFill>
                </w14:textFill>
              </w:rPr>
              <w:t>8600</w:t>
            </w:r>
            <w:r>
              <w:rPr>
                <w:rFonts w:hint="default" w:hAnsi="宋体"/>
                <w:color w:val="000000" w:themeColor="text1"/>
                <w:sz w:val="24"/>
                <w:highlight w:val="none"/>
                <w14:textFill>
                  <w14:solidFill>
                    <w14:schemeClr w14:val="tx1"/>
                  </w14:solidFill>
                </w14:textFill>
              </w:rPr>
              <w:t>m</w:t>
            </w:r>
            <w:r>
              <w:rPr>
                <w:rFonts w:hint="default" w:hAnsi="宋体"/>
                <w:color w:val="000000" w:themeColor="text1"/>
                <w:sz w:val="24"/>
                <w:highlight w:val="none"/>
                <w:vertAlign w:val="superscript"/>
                <w14:textFill>
                  <w14:solidFill>
                    <w14:schemeClr w14:val="tx1"/>
                  </w14:solidFill>
                </w14:textFill>
              </w:rPr>
              <w:t>2</w:t>
            </w:r>
            <w:r>
              <w:rPr>
                <w:rFonts w:hint="default" w:hAnsi="宋体"/>
                <w:color w:val="000000" w:themeColor="text1"/>
                <w:sz w:val="24"/>
                <w:highlight w:val="none"/>
                <w14:textFill>
                  <w14:solidFill>
                    <w14:schemeClr w14:val="tx1"/>
                  </w14:solidFill>
                </w14:textFill>
              </w:rPr>
              <w:t>，则R</w:t>
            </w:r>
            <w:r>
              <w:rPr>
                <w:rFonts w:hint="eastAsia" w:hAnsi="宋体"/>
                <w:color w:val="000000" w:themeColor="text1"/>
                <w:sz w:val="24"/>
                <w:highlight w:val="none"/>
                <w:lang w:val="en-US" w:eastAsia="zh-CN"/>
                <w14:textFill>
                  <w14:solidFill>
                    <w14:schemeClr w14:val="tx1"/>
                  </w14:solidFill>
                </w14:textFill>
              </w:rPr>
              <w:t>2</w:t>
            </w:r>
            <w:r>
              <w:rPr>
                <w:rFonts w:hint="default" w:hAnsi="宋体"/>
                <w:color w:val="000000" w:themeColor="text1"/>
                <w:sz w:val="24"/>
                <w:highlight w:val="none"/>
                <w14:textFill>
                  <w14:solidFill>
                    <w14:schemeClr w14:val="tx1"/>
                  </w14:solidFill>
                </w14:textFill>
              </w:rPr>
              <w:t>=</w:t>
            </w:r>
            <w:r>
              <w:rPr>
                <w:rFonts w:hint="eastAsia" w:hAnsi="宋体"/>
                <w:color w:val="000000" w:themeColor="text1"/>
                <w:sz w:val="24"/>
                <w:highlight w:val="none"/>
                <w:lang w:val="en-US" w:eastAsia="zh-CN"/>
                <w14:textFill>
                  <w14:solidFill>
                    <w14:schemeClr w14:val="tx1"/>
                  </w14:solidFill>
                </w14:textFill>
              </w:rPr>
              <w:t>5733.3，</w:t>
            </w:r>
            <w:r>
              <w:rPr>
                <w:rFonts w:hint="eastAsia" w:hAnsi="宋体"/>
                <w:sz w:val="24"/>
                <w:highlight w:val="none"/>
                <w:lang w:val="en-US" w:eastAsia="zh-CN"/>
              </w:rPr>
              <w:t>3#</w:t>
            </w:r>
            <w:r>
              <w:rPr>
                <w:rFonts w:hint="eastAsia" w:hAnsi="宋体"/>
                <w:color w:val="auto"/>
                <w:sz w:val="24"/>
                <w:highlight w:val="none"/>
              </w:rPr>
              <w:t>车间</w:t>
            </w:r>
            <w:r>
              <w:rPr>
                <w:rFonts w:hint="default" w:hAnsi="宋体"/>
                <w:color w:val="auto"/>
                <w:sz w:val="24"/>
                <w:highlight w:val="none"/>
              </w:rPr>
              <w:t>内表面积</w:t>
            </w:r>
            <w:r>
              <w:rPr>
                <w:rFonts w:hint="eastAsia" w:hAnsi="宋体"/>
                <w:color w:val="auto"/>
                <w:sz w:val="24"/>
                <w:highlight w:val="none"/>
              </w:rPr>
              <w:t>为</w:t>
            </w:r>
            <w:r>
              <w:rPr>
                <w:rFonts w:hint="eastAsia" w:hAnsi="宋体"/>
                <w:color w:val="000000" w:themeColor="text1"/>
                <w:sz w:val="24"/>
                <w:highlight w:val="none"/>
                <w:lang w:val="en-US" w:eastAsia="zh-CN"/>
                <w14:textFill>
                  <w14:solidFill>
                    <w14:schemeClr w14:val="tx1"/>
                  </w14:solidFill>
                </w14:textFill>
              </w:rPr>
              <w:t>8600</w:t>
            </w:r>
            <w:r>
              <w:rPr>
                <w:rFonts w:hint="default" w:hAnsi="宋体"/>
                <w:color w:val="000000" w:themeColor="text1"/>
                <w:sz w:val="24"/>
                <w:highlight w:val="none"/>
                <w14:textFill>
                  <w14:solidFill>
                    <w14:schemeClr w14:val="tx1"/>
                  </w14:solidFill>
                </w14:textFill>
              </w:rPr>
              <w:t>m</w:t>
            </w:r>
            <w:r>
              <w:rPr>
                <w:rFonts w:hint="default" w:hAnsi="宋体"/>
                <w:color w:val="000000" w:themeColor="text1"/>
                <w:sz w:val="24"/>
                <w:highlight w:val="none"/>
                <w:vertAlign w:val="superscript"/>
                <w14:textFill>
                  <w14:solidFill>
                    <w14:schemeClr w14:val="tx1"/>
                  </w14:solidFill>
                </w14:textFill>
              </w:rPr>
              <w:t>2</w:t>
            </w:r>
            <w:r>
              <w:rPr>
                <w:rFonts w:hint="default" w:hAnsi="宋体"/>
                <w:color w:val="000000" w:themeColor="text1"/>
                <w:sz w:val="24"/>
                <w:highlight w:val="none"/>
                <w14:textFill>
                  <w14:solidFill>
                    <w14:schemeClr w14:val="tx1"/>
                  </w14:solidFill>
                </w14:textFill>
              </w:rPr>
              <w:t>，则R</w:t>
            </w:r>
            <w:r>
              <w:rPr>
                <w:rFonts w:hint="eastAsia" w:hAnsi="宋体"/>
                <w:color w:val="000000" w:themeColor="text1"/>
                <w:sz w:val="24"/>
                <w:highlight w:val="none"/>
                <w:lang w:val="en-US" w:eastAsia="zh-CN"/>
                <w14:textFill>
                  <w14:solidFill>
                    <w14:schemeClr w14:val="tx1"/>
                  </w14:solidFill>
                </w14:textFill>
              </w:rPr>
              <w:t>3</w:t>
            </w:r>
            <w:r>
              <w:rPr>
                <w:rFonts w:hint="default" w:hAnsi="宋体"/>
                <w:color w:val="000000" w:themeColor="text1"/>
                <w:sz w:val="24"/>
                <w:highlight w:val="none"/>
                <w14:textFill>
                  <w14:solidFill>
                    <w14:schemeClr w14:val="tx1"/>
                  </w14:solidFill>
                </w14:textFill>
              </w:rPr>
              <w:t>=</w:t>
            </w:r>
            <w:r>
              <w:rPr>
                <w:rFonts w:hint="eastAsia" w:hAnsi="宋体"/>
                <w:color w:val="000000" w:themeColor="text1"/>
                <w:sz w:val="24"/>
                <w:highlight w:val="none"/>
                <w:lang w:val="en-US" w:eastAsia="zh-CN"/>
                <w14:textFill>
                  <w14:solidFill>
                    <w14:schemeClr w14:val="tx1"/>
                  </w14:solidFill>
                </w14:textFill>
              </w:rPr>
              <w:t>5733.3，</w:t>
            </w:r>
            <w:r>
              <w:rPr>
                <w:rFonts w:hint="eastAsia" w:hAnsi="宋体"/>
                <w:sz w:val="24"/>
                <w:highlight w:val="none"/>
                <w:lang w:val="en-US" w:eastAsia="zh-CN"/>
              </w:rPr>
              <w:t>5#</w:t>
            </w:r>
            <w:r>
              <w:rPr>
                <w:rFonts w:hint="eastAsia" w:hAnsi="宋体"/>
                <w:color w:val="auto"/>
                <w:sz w:val="24"/>
                <w:highlight w:val="none"/>
              </w:rPr>
              <w:t>车间</w:t>
            </w:r>
            <w:r>
              <w:rPr>
                <w:rFonts w:hint="default" w:hAnsi="宋体"/>
                <w:color w:val="auto"/>
                <w:sz w:val="24"/>
                <w:highlight w:val="none"/>
              </w:rPr>
              <w:t>内表面积</w:t>
            </w:r>
            <w:r>
              <w:rPr>
                <w:rFonts w:hint="eastAsia" w:hAnsi="宋体"/>
                <w:color w:val="auto"/>
                <w:sz w:val="24"/>
                <w:highlight w:val="none"/>
              </w:rPr>
              <w:t>为</w:t>
            </w:r>
            <w:r>
              <w:rPr>
                <w:rFonts w:hint="eastAsia" w:hAnsi="宋体"/>
                <w:color w:val="000000" w:themeColor="text1"/>
                <w:sz w:val="24"/>
                <w:highlight w:val="none"/>
                <w:lang w:val="en-US" w:eastAsia="zh-CN"/>
                <w14:textFill>
                  <w14:solidFill>
                    <w14:schemeClr w14:val="tx1"/>
                  </w14:solidFill>
                </w14:textFill>
              </w:rPr>
              <w:t>9700</w:t>
            </w:r>
            <w:r>
              <w:rPr>
                <w:rFonts w:hint="default" w:hAnsi="宋体"/>
                <w:color w:val="000000" w:themeColor="text1"/>
                <w:sz w:val="24"/>
                <w:highlight w:val="none"/>
                <w14:textFill>
                  <w14:solidFill>
                    <w14:schemeClr w14:val="tx1"/>
                  </w14:solidFill>
                </w14:textFill>
              </w:rPr>
              <w:t>m</w:t>
            </w:r>
            <w:r>
              <w:rPr>
                <w:rFonts w:hint="default" w:hAnsi="宋体"/>
                <w:color w:val="000000" w:themeColor="text1"/>
                <w:sz w:val="24"/>
                <w:highlight w:val="none"/>
                <w:vertAlign w:val="superscript"/>
                <w14:textFill>
                  <w14:solidFill>
                    <w14:schemeClr w14:val="tx1"/>
                  </w14:solidFill>
                </w14:textFill>
              </w:rPr>
              <w:t>2</w:t>
            </w:r>
            <w:r>
              <w:rPr>
                <w:rFonts w:hint="default" w:hAnsi="宋体"/>
                <w:color w:val="000000" w:themeColor="text1"/>
                <w:sz w:val="24"/>
                <w:highlight w:val="none"/>
                <w14:textFill>
                  <w14:solidFill>
                    <w14:schemeClr w14:val="tx1"/>
                  </w14:solidFill>
                </w14:textFill>
              </w:rPr>
              <w:t>，则R</w:t>
            </w:r>
            <w:r>
              <w:rPr>
                <w:rFonts w:hint="eastAsia" w:hAnsi="宋体"/>
                <w:color w:val="000000" w:themeColor="text1"/>
                <w:sz w:val="24"/>
                <w:highlight w:val="none"/>
                <w:lang w:val="en-US" w:eastAsia="zh-CN"/>
                <w14:textFill>
                  <w14:solidFill>
                    <w14:schemeClr w14:val="tx1"/>
                  </w14:solidFill>
                </w14:textFill>
              </w:rPr>
              <w:t>4</w:t>
            </w:r>
            <w:r>
              <w:rPr>
                <w:rFonts w:hint="default" w:hAnsi="宋体"/>
                <w:color w:val="000000" w:themeColor="text1"/>
                <w:sz w:val="24"/>
                <w:highlight w:val="none"/>
                <w14:textFill>
                  <w14:solidFill>
                    <w14:schemeClr w14:val="tx1"/>
                  </w14:solidFill>
                </w14:textFill>
              </w:rPr>
              <w:t>=</w:t>
            </w:r>
            <w:r>
              <w:rPr>
                <w:rFonts w:hint="eastAsia" w:hAnsi="宋体"/>
                <w:color w:val="000000" w:themeColor="text1"/>
                <w:sz w:val="24"/>
                <w:highlight w:val="none"/>
                <w:lang w:val="en-US" w:eastAsia="zh-CN"/>
                <w14:textFill>
                  <w14:solidFill>
                    <w14:schemeClr w14:val="tx1"/>
                  </w14:solidFill>
                </w14:textFill>
              </w:rPr>
              <w:t>6466.7，</w:t>
            </w:r>
            <w:r>
              <w:rPr>
                <w:rFonts w:hint="eastAsia" w:hAnsi="宋体"/>
                <w:sz w:val="24"/>
                <w:highlight w:val="none"/>
                <w:lang w:val="en-US" w:eastAsia="zh-CN"/>
              </w:rPr>
              <w:t>6#</w:t>
            </w:r>
            <w:r>
              <w:rPr>
                <w:rFonts w:hint="eastAsia" w:hAnsi="宋体"/>
                <w:color w:val="auto"/>
                <w:sz w:val="24"/>
                <w:highlight w:val="none"/>
              </w:rPr>
              <w:t>车间</w:t>
            </w:r>
            <w:r>
              <w:rPr>
                <w:rFonts w:hint="default" w:hAnsi="宋体"/>
                <w:color w:val="auto"/>
                <w:sz w:val="24"/>
                <w:highlight w:val="none"/>
              </w:rPr>
              <w:t>内表面积</w:t>
            </w:r>
            <w:r>
              <w:rPr>
                <w:rFonts w:hint="eastAsia" w:hAnsi="宋体"/>
                <w:color w:val="auto"/>
                <w:sz w:val="24"/>
                <w:highlight w:val="none"/>
              </w:rPr>
              <w:t>为</w:t>
            </w:r>
            <w:r>
              <w:rPr>
                <w:rFonts w:hint="eastAsia" w:hAnsi="宋体"/>
                <w:color w:val="000000" w:themeColor="text1"/>
                <w:sz w:val="24"/>
                <w:highlight w:val="none"/>
                <w:lang w:val="en-US" w:eastAsia="zh-CN"/>
                <w14:textFill>
                  <w14:solidFill>
                    <w14:schemeClr w14:val="tx1"/>
                  </w14:solidFill>
                </w14:textFill>
              </w:rPr>
              <w:t>9700</w:t>
            </w:r>
            <w:r>
              <w:rPr>
                <w:rFonts w:hint="default" w:hAnsi="宋体"/>
                <w:color w:val="000000" w:themeColor="text1"/>
                <w:sz w:val="24"/>
                <w:highlight w:val="none"/>
                <w14:textFill>
                  <w14:solidFill>
                    <w14:schemeClr w14:val="tx1"/>
                  </w14:solidFill>
                </w14:textFill>
              </w:rPr>
              <w:t>m</w:t>
            </w:r>
            <w:r>
              <w:rPr>
                <w:rFonts w:hint="default" w:hAnsi="宋体"/>
                <w:color w:val="000000" w:themeColor="text1"/>
                <w:sz w:val="24"/>
                <w:highlight w:val="none"/>
                <w:vertAlign w:val="superscript"/>
                <w14:textFill>
                  <w14:solidFill>
                    <w14:schemeClr w14:val="tx1"/>
                  </w14:solidFill>
                </w14:textFill>
              </w:rPr>
              <w:t>2</w:t>
            </w:r>
            <w:r>
              <w:rPr>
                <w:rFonts w:hint="default" w:hAnsi="宋体"/>
                <w:color w:val="000000" w:themeColor="text1"/>
                <w:sz w:val="24"/>
                <w:highlight w:val="none"/>
                <w14:textFill>
                  <w14:solidFill>
                    <w14:schemeClr w14:val="tx1"/>
                  </w14:solidFill>
                </w14:textFill>
              </w:rPr>
              <w:t>，则R</w:t>
            </w:r>
            <w:r>
              <w:rPr>
                <w:rFonts w:hint="eastAsia" w:hAnsi="宋体"/>
                <w:color w:val="000000" w:themeColor="text1"/>
                <w:sz w:val="24"/>
                <w:highlight w:val="none"/>
                <w:lang w:val="en-US" w:eastAsia="zh-CN"/>
                <w14:textFill>
                  <w14:solidFill>
                    <w14:schemeClr w14:val="tx1"/>
                  </w14:solidFill>
                </w14:textFill>
              </w:rPr>
              <w:t>5</w:t>
            </w:r>
            <w:r>
              <w:rPr>
                <w:rFonts w:hint="default" w:hAnsi="宋体"/>
                <w:color w:val="000000" w:themeColor="text1"/>
                <w:sz w:val="24"/>
                <w:highlight w:val="none"/>
                <w14:textFill>
                  <w14:solidFill>
                    <w14:schemeClr w14:val="tx1"/>
                  </w14:solidFill>
                </w14:textFill>
              </w:rPr>
              <w:t>=</w:t>
            </w:r>
            <w:r>
              <w:rPr>
                <w:rFonts w:hint="eastAsia" w:hAnsi="宋体"/>
                <w:color w:val="000000" w:themeColor="text1"/>
                <w:sz w:val="24"/>
                <w:highlight w:val="none"/>
                <w:lang w:val="en-US" w:eastAsia="zh-CN"/>
                <w14:textFill>
                  <w14:solidFill>
                    <w14:schemeClr w14:val="tx1"/>
                  </w14:solidFill>
                </w14:textFill>
              </w:rPr>
              <w:t>6466.7</w:t>
            </w:r>
            <w:r>
              <w:rPr>
                <w:rFonts w:hint="eastAsia" w:hAnsi="宋体"/>
                <w:color w:val="auto"/>
                <w:sz w:val="24"/>
                <w:highlight w:val="none"/>
                <w:lang w:val="en-US" w:eastAsia="zh-CN"/>
              </w:rPr>
              <w:t>。</w:t>
            </w:r>
          </w:p>
          <w:p w14:paraId="7931D21F">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eastAsia" w:hAnsi="宋体" w:eastAsia="宋体"/>
                <w:sz w:val="24"/>
                <w:highlight w:val="none"/>
                <w:lang w:eastAsia="zh-CN"/>
              </w:rPr>
            </w:pPr>
            <w:r>
              <w:rPr>
                <w:rFonts w:hint="eastAsia" w:hAnsi="宋体"/>
                <w:sz w:val="24"/>
                <w:highlight w:val="none"/>
              </w:rPr>
              <w:t xml:space="preserve">      </w:t>
            </w:r>
            <w:r>
              <w:rPr>
                <w:rFonts w:hint="default" w:hAnsi="宋体"/>
                <w:sz w:val="24"/>
                <w:highlight w:val="none"/>
              </w:rPr>
              <w:t>r——声源到靠近围护结构某点处的距离，m</w:t>
            </w:r>
            <w:r>
              <w:rPr>
                <w:rFonts w:hint="eastAsia" w:hAnsi="宋体"/>
                <w:sz w:val="24"/>
                <w:highlight w:val="none"/>
                <w:lang w:eastAsia="zh-CN"/>
              </w:rPr>
              <w:t>；</w:t>
            </w:r>
          </w:p>
          <w:p w14:paraId="438DE6A7">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default" w:hAnsi="宋体"/>
                <w:sz w:val="24"/>
              </w:rPr>
            </w:pPr>
            <w:r>
              <w:rPr>
                <w:rFonts w:hint="default" w:hAnsi="宋体"/>
                <w:sz w:val="24"/>
              </w:rPr>
              <w:t>然后按下式计算出所有室内声源在围护结构处产生的i倍频带叠加声压级：</w:t>
            </w:r>
          </w:p>
          <w:p w14:paraId="58480927">
            <w:pPr>
              <w:keepNext w:val="0"/>
              <w:keepLines w:val="0"/>
              <w:suppressLineNumbers w:val="0"/>
              <w:tabs>
                <w:tab w:val="left" w:pos="3620"/>
              </w:tabs>
              <w:adjustRightInd w:val="0"/>
              <w:snapToGrid w:val="0"/>
              <w:spacing w:before="0" w:beforeAutospacing="0" w:after="0" w:afterAutospacing="0"/>
              <w:ind w:left="0" w:right="0"/>
              <w:jc w:val="center"/>
              <w:rPr>
                <w:rFonts w:hint="eastAsia" w:hAnsi="宋体"/>
                <w:sz w:val="24"/>
              </w:rPr>
            </w:pPr>
            <w:r>
              <w:rPr>
                <w:rFonts w:hint="default" w:hAnsi="宋体"/>
                <w:sz w:val="24"/>
              </w:rPr>
              <w:drawing>
                <wp:inline distT="0" distB="0" distL="114300" distR="114300">
                  <wp:extent cx="1801495" cy="476250"/>
                  <wp:effectExtent l="0" t="0" r="8255" b="0"/>
                  <wp:docPr id="75" name="图片 3" descr="1673344973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 descr="1673344973300"/>
                          <pic:cNvPicPr>
                            <a:picLocks noChangeAspect="1"/>
                          </pic:cNvPicPr>
                        </pic:nvPicPr>
                        <pic:blipFill>
                          <a:blip r:embed="rId17"/>
                          <a:stretch>
                            <a:fillRect/>
                          </a:stretch>
                        </pic:blipFill>
                        <pic:spPr>
                          <a:xfrm>
                            <a:off x="0" y="0"/>
                            <a:ext cx="1801495" cy="476250"/>
                          </a:xfrm>
                          <a:prstGeom prst="rect">
                            <a:avLst/>
                          </a:prstGeom>
                          <a:noFill/>
                          <a:ln>
                            <a:noFill/>
                          </a:ln>
                        </pic:spPr>
                      </pic:pic>
                    </a:graphicData>
                  </a:graphic>
                </wp:inline>
              </w:drawing>
            </w:r>
          </w:p>
          <w:p w14:paraId="7F00C75C">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default" w:hAnsi="宋体"/>
                <w:sz w:val="24"/>
              </w:rPr>
            </w:pPr>
            <w:r>
              <w:rPr>
                <w:rFonts w:hint="default" w:hAnsi="宋体"/>
                <w:sz w:val="24"/>
              </w:rPr>
              <w:t>式中：L</w:t>
            </w:r>
            <w:r>
              <w:rPr>
                <w:rFonts w:hint="default" w:hAnsi="宋体"/>
                <w:sz w:val="24"/>
                <w:vertAlign w:val="subscript"/>
              </w:rPr>
              <w:t>p1i</w:t>
            </w:r>
            <w:r>
              <w:rPr>
                <w:rFonts w:hint="default" w:hAnsi="宋体"/>
                <w:sz w:val="24"/>
              </w:rPr>
              <w:t>（T）——靠近围护结构处室内N个声源i倍频带的叠加声压级，dB；</w:t>
            </w:r>
          </w:p>
          <w:p w14:paraId="040F86CA">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default" w:hAnsi="宋体"/>
                <w:sz w:val="24"/>
              </w:rPr>
            </w:pPr>
            <w:r>
              <w:rPr>
                <w:rFonts w:hint="default" w:hAnsi="宋体"/>
                <w:sz w:val="24"/>
              </w:rPr>
              <w:t xml:space="preserve">         L</w:t>
            </w:r>
            <w:r>
              <w:rPr>
                <w:rFonts w:hint="default" w:hAnsi="宋体"/>
                <w:sz w:val="24"/>
                <w:vertAlign w:val="subscript"/>
              </w:rPr>
              <w:t>p1ij</w:t>
            </w:r>
            <w:r>
              <w:rPr>
                <w:rFonts w:hint="default" w:hAnsi="宋体"/>
                <w:sz w:val="24"/>
              </w:rPr>
              <w:t>——室内j声源i倍频带的声压级，dB；</w:t>
            </w:r>
          </w:p>
          <w:p w14:paraId="1E990964">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default" w:hAnsi="宋体"/>
                <w:sz w:val="24"/>
              </w:rPr>
            </w:pPr>
            <w:r>
              <w:rPr>
                <w:rFonts w:hint="eastAsia" w:hAnsi="宋体"/>
                <w:sz w:val="24"/>
              </w:rPr>
              <w:t xml:space="preserve">   </w:t>
            </w:r>
            <w:r>
              <w:rPr>
                <w:rFonts w:hint="default" w:hAnsi="宋体"/>
                <w:sz w:val="24"/>
              </w:rPr>
              <w:t xml:space="preserve">      N——室内声源总数。</w:t>
            </w:r>
          </w:p>
          <w:p w14:paraId="267DB966">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default" w:hAnsi="宋体"/>
                <w:sz w:val="24"/>
              </w:rPr>
            </w:pPr>
            <w:r>
              <w:rPr>
                <w:rFonts w:hint="default" w:hAnsi="宋体"/>
                <w:sz w:val="24"/>
              </w:rPr>
              <w:t>在室内近似为扩散声场时，按下式计算出靠近室外围护结构处的声压级：</w:t>
            </w:r>
          </w:p>
          <w:p w14:paraId="307AF8A0">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jc w:val="center"/>
              <w:rPr>
                <w:rFonts w:hint="default" w:hAnsi="宋体"/>
                <w:sz w:val="24"/>
              </w:rPr>
            </w:pPr>
            <w:r>
              <w:rPr>
                <w:rFonts w:hint="default" w:hAnsi="宋体"/>
                <w:sz w:val="24"/>
              </w:rPr>
              <w:t>L</w:t>
            </w:r>
            <w:r>
              <w:rPr>
                <w:rFonts w:hint="default" w:hAnsi="宋体"/>
                <w:sz w:val="24"/>
                <w:vertAlign w:val="subscript"/>
              </w:rPr>
              <w:t>p2i</w:t>
            </w:r>
            <w:r>
              <w:rPr>
                <w:rFonts w:hint="default" w:hAnsi="宋体"/>
                <w:sz w:val="24"/>
              </w:rPr>
              <w:t>（T）=L</w:t>
            </w:r>
            <w:r>
              <w:rPr>
                <w:rFonts w:hint="default" w:hAnsi="宋体"/>
                <w:sz w:val="24"/>
                <w:vertAlign w:val="subscript"/>
              </w:rPr>
              <w:t>p1i</w:t>
            </w:r>
            <w:r>
              <w:rPr>
                <w:rFonts w:hint="default" w:hAnsi="宋体"/>
                <w:sz w:val="24"/>
              </w:rPr>
              <w:t>（T）-（TL</w:t>
            </w:r>
            <w:r>
              <w:rPr>
                <w:rFonts w:hint="default" w:hAnsi="宋体"/>
                <w:sz w:val="24"/>
                <w:vertAlign w:val="subscript"/>
              </w:rPr>
              <w:t>i</w:t>
            </w:r>
            <w:r>
              <w:rPr>
                <w:rFonts w:hint="default" w:hAnsi="宋体"/>
                <w:sz w:val="24"/>
              </w:rPr>
              <w:t>+6）</w:t>
            </w:r>
          </w:p>
          <w:p w14:paraId="6AC44442">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default" w:hAnsi="宋体"/>
                <w:sz w:val="24"/>
              </w:rPr>
            </w:pPr>
            <w:r>
              <w:rPr>
                <w:rFonts w:hint="default" w:hAnsi="宋体"/>
                <w:sz w:val="24"/>
              </w:rPr>
              <w:t>式中：L</w:t>
            </w:r>
            <w:r>
              <w:rPr>
                <w:rFonts w:hint="default" w:hAnsi="宋体"/>
                <w:sz w:val="24"/>
                <w:vertAlign w:val="subscript"/>
              </w:rPr>
              <w:t>p2i</w:t>
            </w:r>
            <w:r>
              <w:rPr>
                <w:rFonts w:hint="default" w:hAnsi="宋体"/>
                <w:sz w:val="24"/>
              </w:rPr>
              <w:t>（T）——靠近围护结构处室外N个声源i倍频带的叠加声压级，dB；</w:t>
            </w:r>
          </w:p>
          <w:p w14:paraId="5C20EA47">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default" w:hAnsi="宋体"/>
                <w:sz w:val="24"/>
              </w:rPr>
            </w:pPr>
            <w:r>
              <w:rPr>
                <w:rFonts w:hint="eastAsia" w:hAnsi="宋体"/>
                <w:sz w:val="24"/>
              </w:rPr>
              <w:t xml:space="preserve">      </w:t>
            </w:r>
            <w:r>
              <w:rPr>
                <w:rFonts w:hint="default" w:hAnsi="宋体"/>
                <w:sz w:val="24"/>
              </w:rPr>
              <w:t>L</w:t>
            </w:r>
            <w:r>
              <w:rPr>
                <w:rFonts w:hint="default" w:hAnsi="宋体"/>
                <w:sz w:val="24"/>
                <w:vertAlign w:val="subscript"/>
              </w:rPr>
              <w:t>p1i</w:t>
            </w:r>
            <w:r>
              <w:rPr>
                <w:rFonts w:hint="default" w:hAnsi="宋体"/>
                <w:sz w:val="24"/>
              </w:rPr>
              <w:t>（T）——靠近围护结构处室内N个声源i倍频带的叠加声压级，dB；</w:t>
            </w:r>
          </w:p>
          <w:p w14:paraId="27AE7F8F">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default" w:hAnsi="宋体"/>
                <w:sz w:val="24"/>
              </w:rPr>
            </w:pPr>
            <w:r>
              <w:rPr>
                <w:rFonts w:hint="eastAsia" w:hAnsi="宋体"/>
                <w:sz w:val="24"/>
              </w:rPr>
              <w:t xml:space="preserve">      </w:t>
            </w:r>
            <w:r>
              <w:rPr>
                <w:rFonts w:hint="default" w:hAnsi="宋体"/>
                <w:sz w:val="24"/>
              </w:rPr>
              <w:t>TL</w:t>
            </w:r>
            <w:r>
              <w:rPr>
                <w:rFonts w:hint="default" w:hAnsi="宋体"/>
                <w:sz w:val="24"/>
                <w:vertAlign w:val="subscript"/>
              </w:rPr>
              <w:t>i</w:t>
            </w:r>
            <w:r>
              <w:rPr>
                <w:rFonts w:hint="default" w:hAnsi="宋体"/>
                <w:sz w:val="24"/>
              </w:rPr>
              <w:t>——围护结构i倍频带的隔声量，dB；</w:t>
            </w:r>
          </w:p>
          <w:p w14:paraId="4BE8764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jc w:val="left"/>
              <w:textAlignment w:val="baseline"/>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然后按下式将室外声源的声压级和透过面积换算成等效的室外声源，计算出中心位置位于透声面积（S）处的等效声源的倍频带声功率级：</w:t>
            </w:r>
          </w:p>
          <w:p w14:paraId="6DDD885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jc w:val="center"/>
              <w:textAlignment w:val="baseline"/>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L</w:t>
            </w:r>
            <w:r>
              <w:rPr>
                <w:rFonts w:hint="eastAsia" w:ascii="Times New Roman" w:hAnsi="Times New Roman" w:cs="Times New Roman"/>
                <w:color w:val="auto"/>
                <w:kern w:val="2"/>
                <w:sz w:val="24"/>
                <w:szCs w:val="24"/>
                <w:highlight w:val="none"/>
                <w:vertAlign w:val="subscript"/>
                <w:lang w:val="en-US" w:eastAsia="zh-CN" w:bidi="ar-SA"/>
              </w:rPr>
              <w:t>w2</w:t>
            </w:r>
            <w:r>
              <w:rPr>
                <w:rFonts w:hint="default" w:ascii="Times New Roman" w:hAnsi="Times New Roman" w:eastAsia="宋体" w:cs="Times New Roman"/>
                <w:color w:val="auto"/>
                <w:kern w:val="2"/>
                <w:sz w:val="24"/>
                <w:szCs w:val="24"/>
                <w:highlight w:val="none"/>
                <w:lang w:val="en-US" w:eastAsia="zh-CN" w:bidi="ar-SA"/>
              </w:rPr>
              <w:t>=L</w:t>
            </w:r>
            <w:r>
              <w:rPr>
                <w:rFonts w:hint="default" w:ascii="Times New Roman" w:hAnsi="Times New Roman" w:eastAsia="宋体" w:cs="Times New Roman"/>
                <w:color w:val="auto"/>
                <w:kern w:val="2"/>
                <w:sz w:val="24"/>
                <w:szCs w:val="24"/>
                <w:highlight w:val="none"/>
                <w:vertAlign w:val="subscript"/>
                <w:lang w:val="en-US" w:eastAsia="zh-CN" w:bidi="ar-SA"/>
              </w:rPr>
              <w:t>p2</w:t>
            </w:r>
            <w:r>
              <w:rPr>
                <w:rFonts w:hint="default" w:ascii="Times New Roman" w:hAnsi="Times New Roman" w:eastAsia="宋体" w:cs="Times New Roman"/>
                <w:color w:val="auto"/>
                <w:kern w:val="2"/>
                <w:sz w:val="24"/>
                <w:szCs w:val="24"/>
                <w:highlight w:val="none"/>
                <w:lang w:val="en-US" w:eastAsia="zh-CN" w:bidi="ar-SA"/>
              </w:rPr>
              <w:t>（T）+10lgS</w:t>
            </w:r>
          </w:p>
          <w:p w14:paraId="7DA9D2D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jc w:val="left"/>
              <w:textAlignment w:val="baseline"/>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式中：L</w:t>
            </w:r>
            <w:r>
              <w:rPr>
                <w:rFonts w:hint="default" w:ascii="Times New Roman" w:hAnsi="Times New Roman" w:eastAsia="宋体" w:cs="Times New Roman"/>
                <w:color w:val="auto"/>
                <w:kern w:val="2"/>
                <w:sz w:val="24"/>
                <w:szCs w:val="24"/>
                <w:highlight w:val="none"/>
                <w:vertAlign w:val="subscript"/>
                <w:lang w:val="en-US" w:eastAsia="zh-CN" w:bidi="ar-SA"/>
              </w:rPr>
              <w:t>w2</w:t>
            </w:r>
            <w:r>
              <w:rPr>
                <w:rFonts w:hint="default" w:ascii="Times New Roman" w:hAnsi="Times New Roman" w:eastAsia="宋体" w:cs="Times New Roman"/>
                <w:color w:val="auto"/>
                <w:kern w:val="2"/>
                <w:sz w:val="24"/>
                <w:szCs w:val="24"/>
                <w:highlight w:val="none"/>
                <w:lang w:val="en-US" w:eastAsia="zh-CN" w:bidi="ar-SA"/>
              </w:rPr>
              <w:t>——中心位置位于透声面积（S）处的等效声源的倍频带声功率级，dB；</w:t>
            </w:r>
          </w:p>
          <w:p w14:paraId="5795E52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jc w:val="left"/>
              <w:textAlignment w:val="baseline"/>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 xml:space="preserve">   L</w:t>
            </w:r>
            <w:r>
              <w:rPr>
                <w:rFonts w:hint="default" w:ascii="Times New Roman" w:hAnsi="Times New Roman" w:eastAsia="宋体" w:cs="Times New Roman"/>
                <w:color w:val="auto"/>
                <w:kern w:val="2"/>
                <w:sz w:val="24"/>
                <w:szCs w:val="24"/>
                <w:highlight w:val="none"/>
                <w:vertAlign w:val="subscript"/>
                <w:lang w:val="en-US" w:eastAsia="zh-CN" w:bidi="ar-SA"/>
              </w:rPr>
              <w:t>p2</w:t>
            </w:r>
            <w:r>
              <w:rPr>
                <w:rFonts w:hint="default" w:ascii="Times New Roman" w:hAnsi="Times New Roman" w:eastAsia="宋体" w:cs="Times New Roman"/>
                <w:color w:val="auto"/>
                <w:kern w:val="2"/>
                <w:sz w:val="24"/>
                <w:szCs w:val="24"/>
                <w:highlight w:val="none"/>
                <w:lang w:val="en-US" w:eastAsia="zh-CN" w:bidi="ar-SA"/>
              </w:rPr>
              <w:t>（T）——靠近围护结构处室外声源的声压级，dB；</w:t>
            </w:r>
          </w:p>
          <w:p w14:paraId="41F7071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jc w:val="left"/>
              <w:textAlignment w:val="baseline"/>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 xml:space="preserve">   S——透声面积，m</w:t>
            </w:r>
            <w:r>
              <w:rPr>
                <w:rFonts w:hint="default" w:ascii="Times New Roman" w:hAnsi="Times New Roman" w:eastAsia="宋体" w:cs="Times New Roman"/>
                <w:color w:val="auto"/>
                <w:kern w:val="2"/>
                <w:sz w:val="24"/>
                <w:szCs w:val="24"/>
                <w:highlight w:val="none"/>
                <w:vertAlign w:val="superscript"/>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（车间S1=10、S2=10、S3=10、S4=10、S5=10）</w:t>
            </w:r>
          </w:p>
          <w:p w14:paraId="1A45802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jc w:val="left"/>
              <w:textAlignment w:val="baseline"/>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如果声源处于半自由声场，则预测点处声压级计算公式如下：</w:t>
            </w:r>
          </w:p>
          <w:p w14:paraId="5CA2ED6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jc w:val="left"/>
              <w:textAlignment w:val="baseline"/>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 xml:space="preserve">      Lp（r）=Lw-20lgr-8</w:t>
            </w:r>
          </w:p>
          <w:p w14:paraId="34EA341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jc w:val="left"/>
              <w:textAlignment w:val="baseline"/>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式中：Lp（r）——预测点处声压级，dB；</w:t>
            </w:r>
          </w:p>
          <w:p w14:paraId="01B072B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jc w:val="left"/>
              <w:textAlignment w:val="baseline"/>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 xml:space="preserve">      Lw——由点声源产生的倍频带声功率级，dB；</w:t>
            </w:r>
          </w:p>
          <w:p w14:paraId="1697C0B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jc w:val="left"/>
              <w:textAlignment w:val="baseline"/>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 xml:space="preserve">      r——预测点距声源的距离，m。</w:t>
            </w:r>
          </w:p>
          <w:p w14:paraId="2795AD2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leftChars="0" w:right="0" w:firstLine="482" w:firstLineChars="200"/>
              <w:jc w:val="left"/>
              <w:textAlignment w:val="baseline"/>
              <w:rPr>
                <w:rFonts w:hint="default" w:ascii="Calibri" w:hAnsi="Calibri" w:eastAsia="宋体" w:cs="Calibri"/>
                <w:b/>
                <w:color w:val="auto"/>
                <w:kern w:val="2"/>
                <w:sz w:val="24"/>
                <w:szCs w:val="24"/>
                <w:lang w:val="en-US" w:eastAsia="zh-CN" w:bidi="ar-SA"/>
              </w:rPr>
            </w:pPr>
            <w:r>
              <w:rPr>
                <w:rFonts w:hint="eastAsia" w:ascii="Calibri" w:hAnsi="Calibri" w:eastAsia="宋体" w:cs="Calibri"/>
                <w:b/>
                <w:color w:val="auto"/>
                <w:kern w:val="2"/>
                <w:sz w:val="24"/>
                <w:szCs w:val="24"/>
                <w:lang w:val="en-US" w:eastAsia="zh-CN" w:bidi="ar-SA"/>
              </w:rPr>
              <w:t>（2）</w:t>
            </w:r>
            <w:r>
              <w:rPr>
                <w:rFonts w:hint="default" w:ascii="Calibri" w:hAnsi="Calibri" w:eastAsia="宋体" w:cs="Calibri"/>
                <w:b/>
                <w:color w:val="auto"/>
                <w:kern w:val="2"/>
                <w:sz w:val="24"/>
                <w:szCs w:val="24"/>
                <w:lang w:val="en-US" w:eastAsia="zh-CN" w:bidi="ar-SA"/>
              </w:rPr>
              <w:t>项目</w:t>
            </w:r>
            <w:r>
              <w:rPr>
                <w:rFonts w:hint="eastAsia" w:ascii="Calibri" w:hAnsi="Calibri" w:eastAsia="宋体" w:cs="Calibri"/>
                <w:b/>
                <w:color w:val="auto"/>
                <w:kern w:val="2"/>
                <w:sz w:val="24"/>
                <w:szCs w:val="24"/>
                <w:lang w:val="en-US" w:eastAsia="zh-CN" w:bidi="ar-SA"/>
              </w:rPr>
              <w:t>噪声源调查</w:t>
            </w:r>
          </w:p>
          <w:p w14:paraId="4AD9BCE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leftChars="0" w:right="0" w:firstLine="480" w:firstLineChars="200"/>
              <w:jc w:val="left"/>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本项目室内噪声源强见</w:t>
            </w:r>
            <w:r>
              <w:rPr>
                <w:rFonts w:hint="eastAsia" w:ascii="Times New Roman" w:hAnsi="Times New Roman" w:cs="Times New Roman"/>
                <w:color w:val="auto"/>
                <w:kern w:val="2"/>
                <w:sz w:val="24"/>
                <w:szCs w:val="24"/>
                <w:lang w:val="en-US" w:eastAsia="zh-CN" w:bidi="ar-SA"/>
              </w:rPr>
              <w:t>下表</w:t>
            </w:r>
            <w:r>
              <w:rPr>
                <w:rFonts w:hint="default" w:ascii="Times New Roman" w:hAnsi="Times New Roman" w:eastAsia="宋体" w:cs="Times New Roman"/>
                <w:color w:val="auto"/>
                <w:kern w:val="2"/>
                <w:sz w:val="24"/>
                <w:szCs w:val="24"/>
                <w:lang w:val="en-US" w:eastAsia="zh-CN" w:bidi="ar-SA"/>
              </w:rPr>
              <w:t>。</w:t>
            </w:r>
          </w:p>
          <w:p w14:paraId="1E56A2FD">
            <w:pPr>
              <w:keepNext w:val="0"/>
              <w:keepLines w:val="0"/>
              <w:suppressLineNumbers w:val="0"/>
              <w:adjustRightInd w:val="0"/>
              <w:snapToGrid w:val="0"/>
              <w:spacing w:before="0" w:beforeAutospacing="0" w:after="0" w:afterAutospacing="0" w:line="420" w:lineRule="exact"/>
              <w:ind w:left="0" w:right="0"/>
              <w:jc w:val="center"/>
              <w:textAlignment w:val="baseline"/>
              <w:rPr>
                <w:rFonts w:hint="eastAsia" w:ascii="宋体" w:hAnsi="宋体"/>
                <w:b/>
                <w:color w:val="000000"/>
                <w:sz w:val="24"/>
                <w:highlight w:val="none"/>
              </w:rPr>
            </w:pPr>
            <w:r>
              <w:rPr>
                <w:rFonts w:hint="eastAsia" w:ascii="宋体" w:hAnsi="宋体"/>
                <w:b/>
                <w:color w:val="auto"/>
                <w:sz w:val="24"/>
                <w:highlight w:val="none"/>
              </w:rPr>
              <w:t>表</w:t>
            </w:r>
            <w:r>
              <w:rPr>
                <w:rFonts w:hint="eastAsia" w:cs="Times New Roman"/>
                <w:b/>
                <w:color w:val="auto"/>
                <w:sz w:val="24"/>
                <w:highlight w:val="none"/>
                <w:lang w:val="en-US" w:eastAsia="zh-CN"/>
              </w:rPr>
              <w:t xml:space="preserve">30  </w:t>
            </w:r>
            <w:r>
              <w:rPr>
                <w:rFonts w:hint="eastAsia" w:ascii="宋体" w:hAnsi="宋体"/>
                <w:b/>
                <w:color w:val="auto"/>
                <w:sz w:val="24"/>
                <w:highlight w:val="none"/>
              </w:rPr>
              <w:t>本项</w:t>
            </w:r>
            <w:r>
              <w:rPr>
                <w:rFonts w:hint="eastAsia" w:ascii="宋体" w:hAnsi="宋体"/>
                <w:b/>
                <w:color w:val="000000"/>
                <w:sz w:val="24"/>
                <w:highlight w:val="none"/>
              </w:rPr>
              <w:t>目室内噪音源强调查清单</w:t>
            </w:r>
          </w:p>
          <w:tbl>
            <w:tblPr>
              <w:tblStyle w:val="23"/>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1"/>
              <w:gridCol w:w="670"/>
              <w:gridCol w:w="1240"/>
              <w:gridCol w:w="828"/>
              <w:gridCol w:w="603"/>
              <w:gridCol w:w="748"/>
              <w:gridCol w:w="772"/>
              <w:gridCol w:w="728"/>
              <w:gridCol w:w="730"/>
              <w:gridCol w:w="790"/>
              <w:gridCol w:w="1046"/>
            </w:tblGrid>
            <w:tr w14:paraId="29D771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vMerge w:val="restart"/>
                  <w:tcBorders>
                    <w:top w:val="single" w:color="auto" w:sz="8" w:space="0"/>
                    <w:bottom w:val="single" w:color="auto" w:sz="8" w:space="0"/>
                    <w:right w:val="single" w:color="auto" w:sz="4" w:space="0"/>
                  </w:tcBorders>
                  <w:noWrap w:val="0"/>
                  <w:vAlign w:val="center"/>
                </w:tcPr>
                <w:p w14:paraId="2BBD909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r>
                    <w:rPr>
                      <w:rFonts w:hint="default" w:ascii="Times New Roman" w:hAnsi="Times New Roman" w:eastAsia="宋体" w:cs="Times New Roman"/>
                      <w:b/>
                      <w:kern w:val="0"/>
                      <w:sz w:val="21"/>
                      <w:szCs w:val="21"/>
                      <w:highlight w:val="none"/>
                    </w:rPr>
                    <w:t>序号</w:t>
                  </w:r>
                </w:p>
              </w:tc>
              <w:tc>
                <w:tcPr>
                  <w:tcW w:w="670" w:type="dxa"/>
                  <w:vMerge w:val="restart"/>
                  <w:tcBorders>
                    <w:top w:val="single" w:color="auto" w:sz="8" w:space="0"/>
                    <w:left w:val="single" w:color="auto" w:sz="4" w:space="0"/>
                    <w:bottom w:val="single" w:color="auto" w:sz="8" w:space="0"/>
                    <w:right w:val="single" w:color="auto" w:sz="4" w:space="0"/>
                  </w:tcBorders>
                  <w:noWrap w:val="0"/>
                  <w:vAlign w:val="center"/>
                </w:tcPr>
                <w:p w14:paraId="18BE3FC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r>
                    <w:rPr>
                      <w:rFonts w:hint="default" w:ascii="Times New Roman" w:hAnsi="Times New Roman" w:eastAsia="宋体" w:cs="Times New Roman"/>
                      <w:b/>
                      <w:kern w:val="0"/>
                      <w:sz w:val="21"/>
                      <w:szCs w:val="21"/>
                      <w:highlight w:val="none"/>
                    </w:rPr>
                    <w:t>建筑物名称</w:t>
                  </w:r>
                </w:p>
              </w:tc>
              <w:tc>
                <w:tcPr>
                  <w:tcW w:w="1240" w:type="dxa"/>
                  <w:vMerge w:val="restart"/>
                  <w:tcBorders>
                    <w:top w:val="single" w:color="auto" w:sz="8" w:space="0"/>
                    <w:left w:val="single" w:color="auto" w:sz="4" w:space="0"/>
                    <w:bottom w:val="single" w:color="auto" w:sz="8" w:space="0"/>
                    <w:right w:val="single" w:color="auto" w:sz="4" w:space="0"/>
                  </w:tcBorders>
                  <w:noWrap w:val="0"/>
                  <w:vAlign w:val="center"/>
                </w:tcPr>
                <w:p w14:paraId="47F46B3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r>
                    <w:rPr>
                      <w:rFonts w:hint="default" w:ascii="Times New Roman" w:hAnsi="Times New Roman" w:eastAsia="宋体" w:cs="Times New Roman"/>
                      <w:b/>
                      <w:kern w:val="0"/>
                      <w:sz w:val="21"/>
                      <w:szCs w:val="21"/>
                      <w:highlight w:val="none"/>
                    </w:rPr>
                    <w:t>声源名称</w:t>
                  </w:r>
                </w:p>
              </w:tc>
              <w:tc>
                <w:tcPr>
                  <w:tcW w:w="828" w:type="dxa"/>
                  <w:vMerge w:val="restart"/>
                  <w:tcBorders>
                    <w:top w:val="single" w:color="auto" w:sz="8" w:space="0"/>
                    <w:left w:val="single" w:color="auto" w:sz="4" w:space="0"/>
                    <w:right w:val="single" w:color="auto" w:sz="4" w:space="0"/>
                  </w:tcBorders>
                  <w:noWrap w:val="0"/>
                  <w:vAlign w:val="center"/>
                </w:tcPr>
                <w:p w14:paraId="59700BE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r>
                    <w:rPr>
                      <w:rFonts w:hint="default" w:ascii="Times New Roman" w:hAnsi="Times New Roman" w:eastAsia="宋体" w:cs="Times New Roman"/>
                      <w:b/>
                      <w:kern w:val="0"/>
                      <w:sz w:val="21"/>
                      <w:szCs w:val="21"/>
                      <w:highlight w:val="none"/>
                    </w:rPr>
                    <w:t>声功率级/db（A）</w:t>
                  </w:r>
                </w:p>
              </w:tc>
              <w:tc>
                <w:tcPr>
                  <w:tcW w:w="603" w:type="dxa"/>
                  <w:vMerge w:val="restart"/>
                  <w:tcBorders>
                    <w:top w:val="single" w:color="auto" w:sz="8" w:space="0"/>
                    <w:left w:val="single" w:color="auto" w:sz="4" w:space="0"/>
                    <w:right w:val="single" w:color="auto" w:sz="4" w:space="0"/>
                  </w:tcBorders>
                  <w:noWrap w:val="0"/>
                  <w:vAlign w:val="center"/>
                </w:tcPr>
                <w:p w14:paraId="2674402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kern w:val="0"/>
                      <w:sz w:val="21"/>
                      <w:szCs w:val="21"/>
                      <w:highlight w:val="none"/>
                      <w:lang w:val="en-US" w:eastAsia="zh-CN"/>
                    </w:rPr>
                  </w:pPr>
                  <w:r>
                    <w:rPr>
                      <w:rFonts w:hint="eastAsia" w:cs="Times New Roman"/>
                      <w:b/>
                      <w:kern w:val="0"/>
                      <w:sz w:val="21"/>
                      <w:szCs w:val="21"/>
                      <w:highlight w:val="none"/>
                      <w:lang w:val="en-US" w:eastAsia="zh-CN"/>
                    </w:rPr>
                    <w:t>数量/台</w:t>
                  </w:r>
                </w:p>
              </w:tc>
              <w:tc>
                <w:tcPr>
                  <w:tcW w:w="748" w:type="dxa"/>
                  <w:vMerge w:val="restart"/>
                  <w:tcBorders>
                    <w:top w:val="single" w:color="auto" w:sz="8" w:space="0"/>
                    <w:left w:val="single" w:color="auto" w:sz="4" w:space="0"/>
                    <w:bottom w:val="single" w:color="auto" w:sz="8" w:space="0"/>
                    <w:right w:val="single" w:color="auto" w:sz="4" w:space="0"/>
                  </w:tcBorders>
                  <w:noWrap w:val="0"/>
                  <w:vAlign w:val="center"/>
                </w:tcPr>
                <w:p w14:paraId="71B817B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r>
                    <w:rPr>
                      <w:rFonts w:hint="default" w:ascii="Times New Roman" w:hAnsi="Times New Roman" w:eastAsia="宋体" w:cs="Times New Roman"/>
                      <w:b/>
                      <w:kern w:val="0"/>
                      <w:sz w:val="21"/>
                      <w:szCs w:val="21"/>
                      <w:highlight w:val="none"/>
                    </w:rPr>
                    <w:t>声源控制措施</w:t>
                  </w:r>
                </w:p>
              </w:tc>
              <w:tc>
                <w:tcPr>
                  <w:tcW w:w="2230" w:type="dxa"/>
                  <w:gridSpan w:val="3"/>
                  <w:tcBorders>
                    <w:top w:val="single" w:color="auto" w:sz="8" w:space="0"/>
                    <w:left w:val="single" w:color="auto" w:sz="4" w:space="0"/>
                    <w:bottom w:val="single" w:color="auto" w:sz="4" w:space="0"/>
                    <w:right w:val="single" w:color="auto" w:sz="4" w:space="0"/>
                  </w:tcBorders>
                  <w:noWrap w:val="0"/>
                  <w:vAlign w:val="center"/>
                </w:tcPr>
                <w:p w14:paraId="68DE879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r>
                    <w:rPr>
                      <w:rFonts w:hint="default" w:ascii="Times New Roman" w:hAnsi="Times New Roman" w:eastAsia="宋体" w:cs="Times New Roman"/>
                      <w:b/>
                      <w:kern w:val="0"/>
                      <w:sz w:val="21"/>
                      <w:szCs w:val="21"/>
                      <w:highlight w:val="none"/>
                    </w:rPr>
                    <w:t>空间相对位置/m</w:t>
                  </w:r>
                </w:p>
              </w:tc>
              <w:tc>
                <w:tcPr>
                  <w:tcW w:w="790" w:type="dxa"/>
                  <w:vMerge w:val="restart"/>
                  <w:tcBorders>
                    <w:top w:val="single" w:color="auto" w:sz="8" w:space="0"/>
                    <w:left w:val="single" w:color="auto" w:sz="4" w:space="0"/>
                    <w:bottom w:val="single" w:color="auto" w:sz="8" w:space="0"/>
                    <w:right w:val="single" w:color="auto" w:sz="4" w:space="0"/>
                  </w:tcBorders>
                  <w:noWrap w:val="0"/>
                  <w:vAlign w:val="center"/>
                </w:tcPr>
                <w:p w14:paraId="2547032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r>
                    <w:rPr>
                      <w:rFonts w:hint="default" w:ascii="Times New Roman" w:hAnsi="Times New Roman" w:eastAsia="宋体" w:cs="Times New Roman"/>
                      <w:b/>
                      <w:kern w:val="0"/>
                      <w:sz w:val="21"/>
                      <w:szCs w:val="21"/>
                      <w:highlight w:val="none"/>
                    </w:rPr>
                    <w:t>距室内边界距离/m</w:t>
                  </w:r>
                </w:p>
              </w:tc>
              <w:tc>
                <w:tcPr>
                  <w:tcW w:w="1046" w:type="dxa"/>
                  <w:vMerge w:val="restart"/>
                  <w:tcBorders>
                    <w:top w:val="single" w:color="auto" w:sz="8" w:space="0"/>
                    <w:left w:val="single" w:color="auto" w:sz="4" w:space="0"/>
                    <w:bottom w:val="single" w:color="auto" w:sz="8" w:space="0"/>
                    <w:right w:val="nil"/>
                  </w:tcBorders>
                  <w:noWrap w:val="0"/>
                  <w:vAlign w:val="center"/>
                </w:tcPr>
                <w:p w14:paraId="5218101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r>
                    <w:rPr>
                      <w:rFonts w:hint="default" w:ascii="Times New Roman" w:hAnsi="Times New Roman" w:eastAsia="宋体" w:cs="Times New Roman"/>
                      <w:b/>
                      <w:kern w:val="0"/>
                      <w:sz w:val="21"/>
                      <w:szCs w:val="21"/>
                      <w:highlight w:val="none"/>
                    </w:rPr>
                    <w:t>室内边界声级/dB（A）</w:t>
                  </w:r>
                </w:p>
              </w:tc>
            </w:tr>
            <w:tr w14:paraId="44FDB9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vMerge w:val="continue"/>
                  <w:tcBorders>
                    <w:top w:val="single" w:color="auto" w:sz="8" w:space="0"/>
                    <w:bottom w:val="single" w:color="auto" w:sz="8" w:space="0"/>
                    <w:right w:val="single" w:color="auto" w:sz="4" w:space="0"/>
                  </w:tcBorders>
                  <w:noWrap w:val="0"/>
                  <w:vAlign w:val="center"/>
                </w:tcPr>
                <w:p w14:paraId="04324C1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p>
              </w:tc>
              <w:tc>
                <w:tcPr>
                  <w:tcW w:w="670" w:type="dxa"/>
                  <w:vMerge w:val="continue"/>
                  <w:tcBorders>
                    <w:top w:val="single" w:color="auto" w:sz="8" w:space="0"/>
                    <w:left w:val="single" w:color="auto" w:sz="4" w:space="0"/>
                    <w:bottom w:val="single" w:color="auto" w:sz="8" w:space="0"/>
                    <w:right w:val="single" w:color="auto" w:sz="4" w:space="0"/>
                  </w:tcBorders>
                  <w:noWrap w:val="0"/>
                  <w:vAlign w:val="center"/>
                </w:tcPr>
                <w:p w14:paraId="7FC35C4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p>
              </w:tc>
              <w:tc>
                <w:tcPr>
                  <w:tcW w:w="1240" w:type="dxa"/>
                  <w:vMerge w:val="continue"/>
                  <w:tcBorders>
                    <w:top w:val="single" w:color="auto" w:sz="8" w:space="0"/>
                    <w:left w:val="single" w:color="auto" w:sz="4" w:space="0"/>
                    <w:bottom w:val="single" w:color="auto" w:sz="8" w:space="0"/>
                    <w:right w:val="single" w:color="auto" w:sz="4" w:space="0"/>
                  </w:tcBorders>
                  <w:noWrap w:val="0"/>
                  <w:vAlign w:val="center"/>
                </w:tcPr>
                <w:p w14:paraId="49963C6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p>
              </w:tc>
              <w:tc>
                <w:tcPr>
                  <w:tcW w:w="828" w:type="dxa"/>
                  <w:vMerge w:val="continue"/>
                  <w:tcBorders>
                    <w:left w:val="single" w:color="auto" w:sz="4" w:space="0"/>
                    <w:bottom w:val="single" w:color="auto" w:sz="8" w:space="0"/>
                    <w:right w:val="single" w:color="auto" w:sz="4" w:space="0"/>
                  </w:tcBorders>
                  <w:noWrap w:val="0"/>
                  <w:vAlign w:val="center"/>
                </w:tcPr>
                <w:p w14:paraId="1A2CBB2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p>
              </w:tc>
              <w:tc>
                <w:tcPr>
                  <w:tcW w:w="603" w:type="dxa"/>
                  <w:vMerge w:val="continue"/>
                  <w:tcBorders>
                    <w:left w:val="single" w:color="auto" w:sz="4" w:space="0"/>
                    <w:bottom w:val="single" w:color="auto" w:sz="8" w:space="0"/>
                    <w:right w:val="single" w:color="auto" w:sz="4" w:space="0"/>
                  </w:tcBorders>
                  <w:noWrap w:val="0"/>
                  <w:vAlign w:val="center"/>
                </w:tcPr>
                <w:p w14:paraId="6ED4828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p>
              </w:tc>
              <w:tc>
                <w:tcPr>
                  <w:tcW w:w="748" w:type="dxa"/>
                  <w:vMerge w:val="continue"/>
                  <w:tcBorders>
                    <w:top w:val="single" w:color="auto" w:sz="8" w:space="0"/>
                    <w:left w:val="single" w:color="auto" w:sz="4" w:space="0"/>
                    <w:bottom w:val="single" w:color="auto" w:sz="8" w:space="0"/>
                    <w:right w:val="single" w:color="auto" w:sz="4" w:space="0"/>
                  </w:tcBorders>
                  <w:noWrap w:val="0"/>
                  <w:vAlign w:val="center"/>
                </w:tcPr>
                <w:p w14:paraId="23000E4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p>
              </w:tc>
              <w:tc>
                <w:tcPr>
                  <w:tcW w:w="772" w:type="dxa"/>
                  <w:tcBorders>
                    <w:top w:val="single" w:color="auto" w:sz="4" w:space="0"/>
                    <w:left w:val="single" w:color="auto" w:sz="4" w:space="0"/>
                    <w:bottom w:val="single" w:color="auto" w:sz="8" w:space="0"/>
                    <w:right w:val="single" w:color="auto" w:sz="4" w:space="0"/>
                  </w:tcBorders>
                  <w:noWrap w:val="0"/>
                  <w:vAlign w:val="center"/>
                </w:tcPr>
                <w:p w14:paraId="2C81C2D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r>
                    <w:rPr>
                      <w:rFonts w:hint="default" w:ascii="Times New Roman" w:hAnsi="Times New Roman" w:eastAsia="宋体" w:cs="Times New Roman"/>
                      <w:b/>
                      <w:kern w:val="0"/>
                      <w:sz w:val="21"/>
                      <w:szCs w:val="21"/>
                      <w:highlight w:val="none"/>
                    </w:rPr>
                    <w:t>X</w:t>
                  </w:r>
                </w:p>
              </w:tc>
              <w:tc>
                <w:tcPr>
                  <w:tcW w:w="728" w:type="dxa"/>
                  <w:tcBorders>
                    <w:top w:val="single" w:color="auto" w:sz="4" w:space="0"/>
                    <w:left w:val="single" w:color="auto" w:sz="4" w:space="0"/>
                    <w:bottom w:val="single" w:color="auto" w:sz="8" w:space="0"/>
                    <w:right w:val="single" w:color="auto" w:sz="4" w:space="0"/>
                  </w:tcBorders>
                  <w:noWrap w:val="0"/>
                  <w:vAlign w:val="center"/>
                </w:tcPr>
                <w:p w14:paraId="50C3556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r>
                    <w:rPr>
                      <w:rFonts w:hint="default" w:ascii="Times New Roman" w:hAnsi="Times New Roman" w:eastAsia="宋体" w:cs="Times New Roman"/>
                      <w:b/>
                      <w:kern w:val="0"/>
                      <w:sz w:val="21"/>
                      <w:szCs w:val="21"/>
                      <w:highlight w:val="none"/>
                    </w:rPr>
                    <w:t>Y</w:t>
                  </w:r>
                </w:p>
              </w:tc>
              <w:tc>
                <w:tcPr>
                  <w:tcW w:w="730" w:type="dxa"/>
                  <w:tcBorders>
                    <w:top w:val="single" w:color="auto" w:sz="4" w:space="0"/>
                    <w:left w:val="single" w:color="auto" w:sz="4" w:space="0"/>
                    <w:bottom w:val="single" w:color="auto" w:sz="8" w:space="0"/>
                    <w:right w:val="single" w:color="auto" w:sz="4" w:space="0"/>
                  </w:tcBorders>
                  <w:noWrap w:val="0"/>
                  <w:vAlign w:val="center"/>
                </w:tcPr>
                <w:p w14:paraId="72D47C0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r>
                    <w:rPr>
                      <w:rFonts w:hint="default" w:ascii="Times New Roman" w:hAnsi="Times New Roman" w:eastAsia="宋体" w:cs="Times New Roman"/>
                      <w:b/>
                      <w:kern w:val="0"/>
                      <w:sz w:val="21"/>
                      <w:szCs w:val="21"/>
                      <w:highlight w:val="none"/>
                    </w:rPr>
                    <w:t>Z</w:t>
                  </w:r>
                </w:p>
              </w:tc>
              <w:tc>
                <w:tcPr>
                  <w:tcW w:w="790" w:type="dxa"/>
                  <w:vMerge w:val="continue"/>
                  <w:tcBorders>
                    <w:top w:val="single" w:color="auto" w:sz="8" w:space="0"/>
                    <w:left w:val="single" w:color="auto" w:sz="4" w:space="0"/>
                    <w:bottom w:val="single" w:color="auto" w:sz="8" w:space="0"/>
                    <w:right w:val="single" w:color="auto" w:sz="8" w:space="0"/>
                  </w:tcBorders>
                  <w:noWrap w:val="0"/>
                  <w:vAlign w:val="center"/>
                </w:tcPr>
                <w:p w14:paraId="4780F88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p>
              </w:tc>
              <w:tc>
                <w:tcPr>
                  <w:tcW w:w="1046" w:type="dxa"/>
                  <w:vMerge w:val="continue"/>
                  <w:tcBorders>
                    <w:top w:val="single" w:color="auto" w:sz="8" w:space="0"/>
                    <w:left w:val="single" w:color="auto" w:sz="8" w:space="0"/>
                    <w:bottom w:val="single" w:color="auto" w:sz="8" w:space="0"/>
                    <w:right w:val="nil"/>
                  </w:tcBorders>
                  <w:noWrap w:val="0"/>
                  <w:vAlign w:val="center"/>
                </w:tcPr>
                <w:p w14:paraId="124EE2E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p>
              </w:tc>
            </w:tr>
            <w:tr w14:paraId="416E93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461" w:type="dxa"/>
                  <w:tcBorders>
                    <w:top w:val="single" w:color="auto" w:sz="8" w:space="0"/>
                    <w:bottom w:val="single" w:color="auto" w:sz="4" w:space="0"/>
                  </w:tcBorders>
                  <w:noWrap w:val="0"/>
                  <w:vAlign w:val="center"/>
                </w:tcPr>
                <w:p w14:paraId="154D432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kern w:val="0"/>
                      <w:sz w:val="21"/>
                      <w:szCs w:val="21"/>
                      <w:highlight w:val="none"/>
                      <w:lang w:val="en-US" w:eastAsia="zh-CN"/>
                    </w:rPr>
                  </w:pPr>
                  <w:r>
                    <w:rPr>
                      <w:rFonts w:hint="eastAsia" w:cs="Times New Roman"/>
                      <w:kern w:val="0"/>
                      <w:sz w:val="21"/>
                      <w:szCs w:val="21"/>
                      <w:highlight w:val="none"/>
                      <w:lang w:val="en-US" w:eastAsia="zh-CN"/>
                    </w:rPr>
                    <w:t>1</w:t>
                  </w:r>
                </w:p>
              </w:tc>
              <w:tc>
                <w:tcPr>
                  <w:tcW w:w="670" w:type="dxa"/>
                  <w:vMerge w:val="restart"/>
                  <w:tcBorders>
                    <w:top w:val="single" w:color="auto" w:sz="8" w:space="0"/>
                    <w:bottom w:val="single" w:color="auto" w:sz="4" w:space="0"/>
                  </w:tcBorders>
                  <w:noWrap w:val="0"/>
                  <w:vAlign w:val="center"/>
                </w:tcPr>
                <w:p w14:paraId="5C8A756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1#车间</w:t>
                  </w:r>
                </w:p>
              </w:tc>
              <w:tc>
                <w:tcPr>
                  <w:tcW w:w="1240" w:type="dxa"/>
                  <w:tcBorders>
                    <w:top w:val="single" w:color="auto" w:sz="8" w:space="0"/>
                    <w:bottom w:val="single" w:color="auto" w:sz="4" w:space="0"/>
                  </w:tcBorders>
                  <w:noWrap w:val="0"/>
                  <w:vAlign w:val="center"/>
                </w:tcPr>
                <w:p w14:paraId="55A393E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回馈式针床化成检测设备</w:t>
                  </w:r>
                </w:p>
              </w:tc>
              <w:tc>
                <w:tcPr>
                  <w:tcW w:w="828" w:type="dxa"/>
                  <w:tcBorders>
                    <w:top w:val="single" w:color="auto" w:sz="8" w:space="0"/>
                    <w:bottom w:val="single" w:color="auto" w:sz="4" w:space="0"/>
                  </w:tcBorders>
                  <w:noWrap w:val="0"/>
                  <w:vAlign w:val="center"/>
                </w:tcPr>
                <w:p w14:paraId="2AC4F6A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80</w:t>
                  </w:r>
                </w:p>
              </w:tc>
              <w:tc>
                <w:tcPr>
                  <w:tcW w:w="603" w:type="dxa"/>
                  <w:tcBorders>
                    <w:top w:val="single" w:color="auto" w:sz="8" w:space="0"/>
                    <w:bottom w:val="single" w:color="auto" w:sz="4" w:space="0"/>
                  </w:tcBorders>
                  <w:noWrap w:val="0"/>
                  <w:vAlign w:val="center"/>
                </w:tcPr>
                <w:p w14:paraId="5C2717C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62</w:t>
                  </w:r>
                </w:p>
              </w:tc>
              <w:tc>
                <w:tcPr>
                  <w:tcW w:w="748" w:type="dxa"/>
                  <w:vMerge w:val="restart"/>
                  <w:tcBorders>
                    <w:top w:val="single" w:color="auto" w:sz="8" w:space="0"/>
                    <w:bottom w:val="single" w:color="auto" w:sz="4" w:space="0"/>
                  </w:tcBorders>
                  <w:noWrap w:val="0"/>
                  <w:vAlign w:val="center"/>
                </w:tcPr>
                <w:p w14:paraId="6177E41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基础减振、</w:t>
                  </w:r>
                </w:p>
                <w:p w14:paraId="178D322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厂房封闭隔音</w:t>
                  </w:r>
                </w:p>
              </w:tc>
              <w:tc>
                <w:tcPr>
                  <w:tcW w:w="772" w:type="dxa"/>
                  <w:tcBorders>
                    <w:top w:val="single" w:color="auto" w:sz="8" w:space="0"/>
                    <w:bottom w:val="single" w:color="auto" w:sz="4" w:space="0"/>
                  </w:tcBorders>
                  <w:noWrap w:val="0"/>
                  <w:vAlign w:val="center"/>
                </w:tcPr>
                <w:p w14:paraId="22C1758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17.5</w:t>
                  </w:r>
                </w:p>
              </w:tc>
              <w:tc>
                <w:tcPr>
                  <w:tcW w:w="728" w:type="dxa"/>
                  <w:tcBorders>
                    <w:top w:val="single" w:color="auto" w:sz="8" w:space="0"/>
                    <w:bottom w:val="single" w:color="auto" w:sz="4" w:space="0"/>
                  </w:tcBorders>
                  <w:noWrap w:val="0"/>
                  <w:vAlign w:val="center"/>
                </w:tcPr>
                <w:p w14:paraId="72AEB58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18</w:t>
                  </w:r>
                </w:p>
              </w:tc>
              <w:tc>
                <w:tcPr>
                  <w:tcW w:w="730" w:type="dxa"/>
                  <w:tcBorders>
                    <w:top w:val="single" w:color="auto" w:sz="8" w:space="0"/>
                    <w:bottom w:val="single" w:color="auto" w:sz="4" w:space="0"/>
                  </w:tcBorders>
                  <w:noWrap w:val="0"/>
                  <w:vAlign w:val="center"/>
                </w:tcPr>
                <w:p w14:paraId="7D06167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1.2</w:t>
                  </w:r>
                </w:p>
              </w:tc>
              <w:tc>
                <w:tcPr>
                  <w:tcW w:w="790" w:type="dxa"/>
                  <w:tcBorders>
                    <w:top w:val="single" w:color="auto" w:sz="8" w:space="0"/>
                    <w:bottom w:val="single" w:color="auto" w:sz="4" w:space="0"/>
                  </w:tcBorders>
                  <w:noWrap w:val="0"/>
                  <w:vAlign w:val="center"/>
                </w:tcPr>
                <w:p w14:paraId="7E78277D">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26.3</w:t>
                  </w:r>
                </w:p>
              </w:tc>
              <w:tc>
                <w:tcPr>
                  <w:tcW w:w="1046" w:type="dxa"/>
                  <w:tcBorders>
                    <w:top w:val="single" w:color="auto" w:sz="8" w:space="0"/>
                    <w:bottom w:val="single" w:color="auto" w:sz="4" w:space="0"/>
                  </w:tcBorders>
                  <w:noWrap w:val="0"/>
                  <w:vAlign w:val="center"/>
                </w:tcPr>
                <w:p w14:paraId="2022E30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50.64</w:t>
                  </w:r>
                </w:p>
              </w:tc>
            </w:tr>
            <w:tr w14:paraId="08EE943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461" w:type="dxa"/>
                  <w:tcBorders>
                    <w:top w:val="single" w:color="auto" w:sz="4" w:space="0"/>
                    <w:bottom w:val="single" w:color="auto" w:sz="4" w:space="0"/>
                  </w:tcBorders>
                  <w:noWrap w:val="0"/>
                  <w:vAlign w:val="center"/>
                </w:tcPr>
                <w:p w14:paraId="3B0DC1C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kern w:val="0"/>
                      <w:sz w:val="21"/>
                      <w:szCs w:val="21"/>
                      <w:highlight w:val="none"/>
                      <w:lang w:val="en-US" w:eastAsia="zh-CN"/>
                    </w:rPr>
                  </w:pPr>
                  <w:r>
                    <w:rPr>
                      <w:rFonts w:hint="eastAsia" w:cs="Times New Roman"/>
                      <w:kern w:val="0"/>
                      <w:sz w:val="21"/>
                      <w:szCs w:val="21"/>
                      <w:highlight w:val="none"/>
                      <w:lang w:val="en-US" w:eastAsia="zh-CN"/>
                    </w:rPr>
                    <w:t>2</w:t>
                  </w:r>
                </w:p>
              </w:tc>
              <w:tc>
                <w:tcPr>
                  <w:tcW w:w="670" w:type="dxa"/>
                  <w:vMerge w:val="continue"/>
                  <w:tcBorders>
                    <w:top w:val="single" w:color="auto" w:sz="4" w:space="0"/>
                    <w:bottom w:val="single" w:color="auto" w:sz="4" w:space="0"/>
                  </w:tcBorders>
                  <w:noWrap w:val="0"/>
                  <w:vAlign w:val="center"/>
                </w:tcPr>
                <w:p w14:paraId="7A9234A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cs="Times New Roman"/>
                      <w:sz w:val="21"/>
                      <w:szCs w:val="21"/>
                      <w:highlight w:val="none"/>
                      <w:lang w:val="en-US" w:eastAsia="zh-CN"/>
                    </w:rPr>
                  </w:pPr>
                </w:p>
              </w:tc>
              <w:tc>
                <w:tcPr>
                  <w:tcW w:w="1240" w:type="dxa"/>
                  <w:tcBorders>
                    <w:top w:val="single" w:color="auto" w:sz="4" w:space="0"/>
                    <w:bottom w:val="single" w:color="auto" w:sz="4" w:space="0"/>
                  </w:tcBorders>
                  <w:noWrap w:val="0"/>
                  <w:vAlign w:val="center"/>
                </w:tcPr>
                <w:p w14:paraId="7D1DE8F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自动上料机</w:t>
                  </w:r>
                </w:p>
              </w:tc>
              <w:tc>
                <w:tcPr>
                  <w:tcW w:w="828" w:type="dxa"/>
                  <w:tcBorders>
                    <w:top w:val="single" w:color="auto" w:sz="4" w:space="0"/>
                    <w:bottom w:val="single" w:color="auto" w:sz="4" w:space="0"/>
                  </w:tcBorders>
                  <w:noWrap w:val="0"/>
                  <w:vAlign w:val="center"/>
                </w:tcPr>
                <w:p w14:paraId="6023B42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80</w:t>
                  </w:r>
                </w:p>
              </w:tc>
              <w:tc>
                <w:tcPr>
                  <w:tcW w:w="603" w:type="dxa"/>
                  <w:tcBorders>
                    <w:top w:val="single" w:color="auto" w:sz="4" w:space="0"/>
                    <w:bottom w:val="single" w:color="auto" w:sz="4" w:space="0"/>
                  </w:tcBorders>
                  <w:noWrap w:val="0"/>
                  <w:vAlign w:val="center"/>
                </w:tcPr>
                <w:p w14:paraId="229CA06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6</w:t>
                  </w:r>
                </w:p>
              </w:tc>
              <w:tc>
                <w:tcPr>
                  <w:tcW w:w="748" w:type="dxa"/>
                  <w:vMerge w:val="continue"/>
                  <w:tcBorders>
                    <w:top w:val="single" w:color="auto" w:sz="4" w:space="0"/>
                    <w:bottom w:val="single" w:color="auto" w:sz="4" w:space="0"/>
                  </w:tcBorders>
                  <w:noWrap w:val="0"/>
                  <w:vAlign w:val="center"/>
                </w:tcPr>
                <w:p w14:paraId="1AE80D6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4" w:space="0"/>
                  </w:tcBorders>
                  <w:noWrap w:val="0"/>
                  <w:vAlign w:val="center"/>
                </w:tcPr>
                <w:p w14:paraId="0676A54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39.2</w:t>
                  </w:r>
                </w:p>
              </w:tc>
              <w:tc>
                <w:tcPr>
                  <w:tcW w:w="728" w:type="dxa"/>
                  <w:tcBorders>
                    <w:top w:val="single" w:color="auto" w:sz="4" w:space="0"/>
                    <w:bottom w:val="single" w:color="auto" w:sz="4" w:space="0"/>
                  </w:tcBorders>
                  <w:noWrap w:val="0"/>
                  <w:vAlign w:val="center"/>
                </w:tcPr>
                <w:p w14:paraId="5EA2B58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18.3</w:t>
                  </w:r>
                </w:p>
              </w:tc>
              <w:tc>
                <w:tcPr>
                  <w:tcW w:w="730" w:type="dxa"/>
                  <w:tcBorders>
                    <w:top w:val="single" w:color="auto" w:sz="4" w:space="0"/>
                    <w:bottom w:val="single" w:color="auto" w:sz="4" w:space="0"/>
                  </w:tcBorders>
                  <w:noWrap w:val="0"/>
                  <w:vAlign w:val="center"/>
                </w:tcPr>
                <w:p w14:paraId="3C30C55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6526315C">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14.6</w:t>
                  </w:r>
                </w:p>
              </w:tc>
              <w:tc>
                <w:tcPr>
                  <w:tcW w:w="1046" w:type="dxa"/>
                  <w:tcBorders>
                    <w:top w:val="single" w:color="auto" w:sz="4" w:space="0"/>
                    <w:bottom w:val="single" w:color="auto" w:sz="4" w:space="0"/>
                  </w:tcBorders>
                  <w:noWrap w:val="0"/>
                  <w:vAlign w:val="center"/>
                </w:tcPr>
                <w:p w14:paraId="2E985A2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53.41</w:t>
                  </w:r>
                </w:p>
              </w:tc>
            </w:tr>
            <w:tr w14:paraId="5182E7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461" w:type="dxa"/>
                  <w:tcBorders>
                    <w:top w:val="single" w:color="auto" w:sz="4" w:space="0"/>
                    <w:bottom w:val="single" w:color="auto" w:sz="4" w:space="0"/>
                  </w:tcBorders>
                  <w:noWrap w:val="0"/>
                  <w:vAlign w:val="center"/>
                </w:tcPr>
                <w:p w14:paraId="227395A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kern w:val="0"/>
                      <w:sz w:val="21"/>
                      <w:szCs w:val="21"/>
                      <w:highlight w:val="none"/>
                      <w:lang w:val="en-US" w:eastAsia="zh-CN"/>
                    </w:rPr>
                  </w:pPr>
                  <w:r>
                    <w:rPr>
                      <w:rFonts w:hint="eastAsia" w:cs="Times New Roman"/>
                      <w:kern w:val="0"/>
                      <w:sz w:val="21"/>
                      <w:szCs w:val="21"/>
                      <w:highlight w:val="none"/>
                      <w:lang w:val="en-US" w:eastAsia="zh-CN"/>
                    </w:rPr>
                    <w:t>3</w:t>
                  </w:r>
                </w:p>
              </w:tc>
              <w:tc>
                <w:tcPr>
                  <w:tcW w:w="670" w:type="dxa"/>
                  <w:vMerge w:val="continue"/>
                  <w:tcBorders>
                    <w:top w:val="single" w:color="auto" w:sz="4" w:space="0"/>
                    <w:bottom w:val="single" w:color="auto" w:sz="4" w:space="0"/>
                  </w:tcBorders>
                  <w:noWrap w:val="0"/>
                  <w:vAlign w:val="center"/>
                </w:tcPr>
                <w:p w14:paraId="6C35A1F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cs="Times New Roman"/>
                      <w:sz w:val="21"/>
                      <w:szCs w:val="21"/>
                      <w:highlight w:val="none"/>
                      <w:lang w:val="en-US" w:eastAsia="zh-CN"/>
                    </w:rPr>
                  </w:pPr>
                </w:p>
              </w:tc>
              <w:tc>
                <w:tcPr>
                  <w:tcW w:w="1240" w:type="dxa"/>
                  <w:tcBorders>
                    <w:top w:val="single" w:color="auto" w:sz="4" w:space="0"/>
                    <w:bottom w:val="single" w:color="auto" w:sz="4" w:space="0"/>
                  </w:tcBorders>
                  <w:noWrap w:val="0"/>
                  <w:vAlign w:val="center"/>
                </w:tcPr>
                <w:p w14:paraId="0872332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自动装盒机（单通道）</w:t>
                  </w:r>
                </w:p>
              </w:tc>
              <w:tc>
                <w:tcPr>
                  <w:tcW w:w="828" w:type="dxa"/>
                  <w:tcBorders>
                    <w:top w:val="single" w:color="auto" w:sz="4" w:space="0"/>
                    <w:bottom w:val="single" w:color="auto" w:sz="4" w:space="0"/>
                  </w:tcBorders>
                  <w:noWrap w:val="0"/>
                  <w:vAlign w:val="center"/>
                </w:tcPr>
                <w:p w14:paraId="2B3C62F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80</w:t>
                  </w:r>
                </w:p>
              </w:tc>
              <w:tc>
                <w:tcPr>
                  <w:tcW w:w="603" w:type="dxa"/>
                  <w:tcBorders>
                    <w:top w:val="single" w:color="auto" w:sz="4" w:space="0"/>
                    <w:bottom w:val="single" w:color="auto" w:sz="4" w:space="0"/>
                  </w:tcBorders>
                  <w:noWrap w:val="0"/>
                  <w:vAlign w:val="center"/>
                </w:tcPr>
                <w:p w14:paraId="6ADA0F3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1</w:t>
                  </w:r>
                </w:p>
              </w:tc>
              <w:tc>
                <w:tcPr>
                  <w:tcW w:w="748" w:type="dxa"/>
                  <w:vMerge w:val="continue"/>
                  <w:tcBorders>
                    <w:top w:val="single" w:color="auto" w:sz="4" w:space="0"/>
                    <w:bottom w:val="single" w:color="auto" w:sz="4" w:space="0"/>
                  </w:tcBorders>
                  <w:noWrap w:val="0"/>
                  <w:vAlign w:val="center"/>
                </w:tcPr>
                <w:p w14:paraId="69CE738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4" w:space="0"/>
                  </w:tcBorders>
                  <w:noWrap w:val="0"/>
                  <w:vAlign w:val="center"/>
                </w:tcPr>
                <w:p w14:paraId="68603E8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59.3</w:t>
                  </w:r>
                </w:p>
              </w:tc>
              <w:tc>
                <w:tcPr>
                  <w:tcW w:w="728" w:type="dxa"/>
                  <w:tcBorders>
                    <w:top w:val="single" w:color="auto" w:sz="4" w:space="0"/>
                    <w:bottom w:val="single" w:color="auto" w:sz="4" w:space="0"/>
                  </w:tcBorders>
                  <w:noWrap w:val="0"/>
                  <w:vAlign w:val="center"/>
                </w:tcPr>
                <w:p w14:paraId="25B796B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17.9</w:t>
                  </w:r>
                </w:p>
              </w:tc>
              <w:tc>
                <w:tcPr>
                  <w:tcW w:w="730" w:type="dxa"/>
                  <w:tcBorders>
                    <w:top w:val="single" w:color="auto" w:sz="4" w:space="0"/>
                    <w:bottom w:val="single" w:color="auto" w:sz="4" w:space="0"/>
                  </w:tcBorders>
                  <w:noWrap w:val="0"/>
                  <w:vAlign w:val="center"/>
                </w:tcPr>
                <w:p w14:paraId="641F7F9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7351CE9F">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22.3</w:t>
                  </w:r>
                </w:p>
              </w:tc>
              <w:tc>
                <w:tcPr>
                  <w:tcW w:w="1046" w:type="dxa"/>
                  <w:tcBorders>
                    <w:top w:val="single" w:color="auto" w:sz="4" w:space="0"/>
                    <w:bottom w:val="single" w:color="auto" w:sz="4" w:space="0"/>
                  </w:tcBorders>
                  <w:noWrap w:val="0"/>
                  <w:vAlign w:val="center"/>
                </w:tcPr>
                <w:p w14:paraId="43C58D7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51.26</w:t>
                  </w:r>
                </w:p>
              </w:tc>
            </w:tr>
            <w:tr w14:paraId="0CEAB0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461" w:type="dxa"/>
                  <w:tcBorders>
                    <w:top w:val="single" w:color="auto" w:sz="4" w:space="0"/>
                    <w:bottom w:val="single" w:color="auto" w:sz="4" w:space="0"/>
                  </w:tcBorders>
                  <w:noWrap w:val="0"/>
                  <w:vAlign w:val="center"/>
                </w:tcPr>
                <w:p w14:paraId="3100766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kern w:val="0"/>
                      <w:sz w:val="21"/>
                      <w:szCs w:val="21"/>
                      <w:highlight w:val="none"/>
                      <w:lang w:val="en-US" w:eastAsia="zh-CN"/>
                    </w:rPr>
                  </w:pPr>
                  <w:r>
                    <w:rPr>
                      <w:rFonts w:hint="eastAsia" w:cs="Times New Roman"/>
                      <w:kern w:val="0"/>
                      <w:sz w:val="21"/>
                      <w:szCs w:val="21"/>
                      <w:highlight w:val="none"/>
                      <w:lang w:val="en-US" w:eastAsia="zh-CN"/>
                    </w:rPr>
                    <w:t>4</w:t>
                  </w:r>
                </w:p>
              </w:tc>
              <w:tc>
                <w:tcPr>
                  <w:tcW w:w="670" w:type="dxa"/>
                  <w:vMerge w:val="continue"/>
                  <w:tcBorders>
                    <w:top w:val="single" w:color="auto" w:sz="4" w:space="0"/>
                    <w:bottom w:val="single" w:color="auto" w:sz="4" w:space="0"/>
                  </w:tcBorders>
                  <w:noWrap w:val="0"/>
                  <w:vAlign w:val="center"/>
                </w:tcPr>
                <w:p w14:paraId="02D7023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cs="Times New Roman"/>
                      <w:sz w:val="21"/>
                      <w:szCs w:val="21"/>
                      <w:highlight w:val="none"/>
                      <w:lang w:val="en-US" w:eastAsia="zh-CN"/>
                    </w:rPr>
                  </w:pPr>
                </w:p>
              </w:tc>
              <w:tc>
                <w:tcPr>
                  <w:tcW w:w="1240" w:type="dxa"/>
                  <w:tcBorders>
                    <w:top w:val="single" w:color="auto" w:sz="4" w:space="0"/>
                    <w:bottom w:val="single" w:color="auto" w:sz="4" w:space="0"/>
                  </w:tcBorders>
                  <w:noWrap w:val="0"/>
                  <w:vAlign w:val="center"/>
                </w:tcPr>
                <w:p w14:paraId="6AFA745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自动装盒机（双通道）</w:t>
                  </w:r>
                </w:p>
              </w:tc>
              <w:tc>
                <w:tcPr>
                  <w:tcW w:w="828" w:type="dxa"/>
                  <w:tcBorders>
                    <w:top w:val="single" w:color="auto" w:sz="4" w:space="0"/>
                    <w:bottom w:val="single" w:color="auto" w:sz="4" w:space="0"/>
                  </w:tcBorders>
                  <w:noWrap w:val="0"/>
                  <w:vAlign w:val="center"/>
                </w:tcPr>
                <w:p w14:paraId="617A71D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80</w:t>
                  </w:r>
                </w:p>
              </w:tc>
              <w:tc>
                <w:tcPr>
                  <w:tcW w:w="603" w:type="dxa"/>
                  <w:tcBorders>
                    <w:top w:val="single" w:color="auto" w:sz="4" w:space="0"/>
                    <w:bottom w:val="single" w:color="auto" w:sz="4" w:space="0"/>
                  </w:tcBorders>
                  <w:noWrap w:val="0"/>
                  <w:vAlign w:val="center"/>
                </w:tcPr>
                <w:p w14:paraId="0F426AD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2</w:t>
                  </w:r>
                </w:p>
              </w:tc>
              <w:tc>
                <w:tcPr>
                  <w:tcW w:w="748" w:type="dxa"/>
                  <w:vMerge w:val="continue"/>
                  <w:tcBorders>
                    <w:top w:val="single" w:color="auto" w:sz="4" w:space="0"/>
                    <w:bottom w:val="single" w:color="auto" w:sz="4" w:space="0"/>
                  </w:tcBorders>
                  <w:noWrap w:val="0"/>
                  <w:vAlign w:val="center"/>
                </w:tcPr>
                <w:p w14:paraId="5EF0743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4" w:space="0"/>
                  </w:tcBorders>
                  <w:noWrap w:val="0"/>
                  <w:vAlign w:val="center"/>
                </w:tcPr>
                <w:p w14:paraId="6C6B20B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78.5</w:t>
                  </w:r>
                </w:p>
              </w:tc>
              <w:tc>
                <w:tcPr>
                  <w:tcW w:w="728" w:type="dxa"/>
                  <w:tcBorders>
                    <w:top w:val="single" w:color="auto" w:sz="4" w:space="0"/>
                    <w:bottom w:val="single" w:color="auto" w:sz="4" w:space="0"/>
                  </w:tcBorders>
                  <w:noWrap w:val="0"/>
                  <w:vAlign w:val="center"/>
                </w:tcPr>
                <w:p w14:paraId="4E80C21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18.5</w:t>
                  </w:r>
                </w:p>
              </w:tc>
              <w:tc>
                <w:tcPr>
                  <w:tcW w:w="730" w:type="dxa"/>
                  <w:tcBorders>
                    <w:top w:val="single" w:color="auto" w:sz="4" w:space="0"/>
                    <w:bottom w:val="single" w:color="auto" w:sz="4" w:space="0"/>
                  </w:tcBorders>
                  <w:noWrap w:val="0"/>
                  <w:vAlign w:val="center"/>
                </w:tcPr>
                <w:p w14:paraId="1AB7F9F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39F556BA">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37.9</w:t>
                  </w:r>
                </w:p>
              </w:tc>
              <w:tc>
                <w:tcPr>
                  <w:tcW w:w="1046" w:type="dxa"/>
                  <w:tcBorders>
                    <w:top w:val="single" w:color="auto" w:sz="4" w:space="0"/>
                    <w:bottom w:val="single" w:color="auto" w:sz="4" w:space="0"/>
                  </w:tcBorders>
                  <w:noWrap w:val="0"/>
                  <w:vAlign w:val="center"/>
                </w:tcPr>
                <w:p w14:paraId="58F4C94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49.64</w:t>
                  </w:r>
                </w:p>
              </w:tc>
            </w:tr>
            <w:tr w14:paraId="258894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461" w:type="dxa"/>
                  <w:tcBorders>
                    <w:top w:val="single" w:color="auto" w:sz="4" w:space="0"/>
                    <w:bottom w:val="single" w:color="auto" w:sz="4" w:space="0"/>
                  </w:tcBorders>
                  <w:noWrap w:val="0"/>
                  <w:vAlign w:val="center"/>
                </w:tcPr>
                <w:p w14:paraId="3C306AA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kern w:val="0"/>
                      <w:sz w:val="21"/>
                      <w:szCs w:val="21"/>
                      <w:highlight w:val="none"/>
                      <w:lang w:val="en-US" w:eastAsia="zh-CN"/>
                    </w:rPr>
                  </w:pPr>
                  <w:r>
                    <w:rPr>
                      <w:rFonts w:hint="eastAsia" w:cs="Times New Roman"/>
                      <w:kern w:val="0"/>
                      <w:sz w:val="21"/>
                      <w:szCs w:val="21"/>
                      <w:highlight w:val="none"/>
                      <w:lang w:val="en-US" w:eastAsia="zh-CN"/>
                    </w:rPr>
                    <w:t>5</w:t>
                  </w:r>
                </w:p>
              </w:tc>
              <w:tc>
                <w:tcPr>
                  <w:tcW w:w="670" w:type="dxa"/>
                  <w:vMerge w:val="restart"/>
                  <w:tcBorders>
                    <w:top w:val="single" w:color="auto" w:sz="4" w:space="0"/>
                    <w:bottom w:val="single" w:color="auto" w:sz="4" w:space="0"/>
                  </w:tcBorders>
                  <w:noWrap w:val="0"/>
                  <w:vAlign w:val="center"/>
                </w:tcPr>
                <w:p w14:paraId="544C634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2#车间</w:t>
                  </w:r>
                </w:p>
              </w:tc>
              <w:tc>
                <w:tcPr>
                  <w:tcW w:w="1240" w:type="dxa"/>
                  <w:tcBorders>
                    <w:top w:val="single" w:color="auto" w:sz="4" w:space="0"/>
                    <w:bottom w:val="single" w:color="auto" w:sz="4" w:space="0"/>
                  </w:tcBorders>
                  <w:noWrap w:val="0"/>
                  <w:vAlign w:val="center"/>
                </w:tcPr>
                <w:p w14:paraId="4A121B4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回馈式针床化成检测设备</w:t>
                  </w:r>
                </w:p>
              </w:tc>
              <w:tc>
                <w:tcPr>
                  <w:tcW w:w="828" w:type="dxa"/>
                  <w:tcBorders>
                    <w:top w:val="single" w:color="auto" w:sz="4" w:space="0"/>
                    <w:bottom w:val="single" w:color="auto" w:sz="4" w:space="0"/>
                  </w:tcBorders>
                  <w:noWrap w:val="0"/>
                  <w:vAlign w:val="center"/>
                </w:tcPr>
                <w:p w14:paraId="6EB547E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80</w:t>
                  </w:r>
                </w:p>
              </w:tc>
              <w:tc>
                <w:tcPr>
                  <w:tcW w:w="603" w:type="dxa"/>
                  <w:tcBorders>
                    <w:top w:val="single" w:color="auto" w:sz="4" w:space="0"/>
                    <w:bottom w:val="single" w:color="auto" w:sz="4" w:space="0"/>
                  </w:tcBorders>
                  <w:noWrap w:val="0"/>
                  <w:vAlign w:val="center"/>
                </w:tcPr>
                <w:p w14:paraId="7F62EF9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62</w:t>
                  </w:r>
                </w:p>
              </w:tc>
              <w:tc>
                <w:tcPr>
                  <w:tcW w:w="748" w:type="dxa"/>
                  <w:vMerge w:val="continue"/>
                  <w:tcBorders>
                    <w:top w:val="single" w:color="auto" w:sz="4" w:space="0"/>
                    <w:bottom w:val="single" w:color="auto" w:sz="4" w:space="0"/>
                  </w:tcBorders>
                  <w:noWrap w:val="0"/>
                  <w:vAlign w:val="center"/>
                </w:tcPr>
                <w:p w14:paraId="64C5D0B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4" w:space="0"/>
                  </w:tcBorders>
                  <w:noWrap w:val="0"/>
                  <w:vAlign w:val="center"/>
                </w:tcPr>
                <w:p w14:paraId="009BE53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16.2</w:t>
                  </w:r>
                </w:p>
              </w:tc>
              <w:tc>
                <w:tcPr>
                  <w:tcW w:w="728" w:type="dxa"/>
                  <w:tcBorders>
                    <w:top w:val="single" w:color="auto" w:sz="4" w:space="0"/>
                    <w:bottom w:val="single" w:color="auto" w:sz="4" w:space="0"/>
                  </w:tcBorders>
                  <w:noWrap w:val="0"/>
                  <w:vAlign w:val="center"/>
                </w:tcPr>
                <w:p w14:paraId="33FE9BB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20.3</w:t>
                  </w:r>
                </w:p>
              </w:tc>
              <w:tc>
                <w:tcPr>
                  <w:tcW w:w="730" w:type="dxa"/>
                  <w:tcBorders>
                    <w:top w:val="single" w:color="auto" w:sz="4" w:space="0"/>
                    <w:bottom w:val="single" w:color="auto" w:sz="4" w:space="0"/>
                  </w:tcBorders>
                  <w:noWrap w:val="0"/>
                  <w:vAlign w:val="center"/>
                </w:tcPr>
                <w:p w14:paraId="029B2B6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27E01FAC">
                  <w:pPr>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rightChars="0"/>
                    <w:jc w:val="center"/>
                    <w:textAlignment w:val="center"/>
                    <w:rPr>
                      <w:rFonts w:hint="eastAsia"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26.3</w:t>
                  </w:r>
                </w:p>
              </w:tc>
              <w:tc>
                <w:tcPr>
                  <w:tcW w:w="1046" w:type="dxa"/>
                  <w:tcBorders>
                    <w:top w:val="single" w:color="auto" w:sz="4" w:space="0"/>
                    <w:bottom w:val="single" w:color="auto" w:sz="4" w:space="0"/>
                  </w:tcBorders>
                  <w:noWrap w:val="0"/>
                  <w:vAlign w:val="center"/>
                </w:tcPr>
                <w:p w14:paraId="68ADED4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50.64</w:t>
                  </w:r>
                </w:p>
              </w:tc>
            </w:tr>
            <w:tr w14:paraId="2B306E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461" w:type="dxa"/>
                  <w:tcBorders>
                    <w:top w:val="single" w:color="auto" w:sz="4" w:space="0"/>
                    <w:bottom w:val="single" w:color="auto" w:sz="4" w:space="0"/>
                  </w:tcBorders>
                  <w:noWrap w:val="0"/>
                  <w:vAlign w:val="center"/>
                </w:tcPr>
                <w:p w14:paraId="55CAA0E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kern w:val="0"/>
                      <w:sz w:val="21"/>
                      <w:szCs w:val="21"/>
                      <w:highlight w:val="none"/>
                      <w:lang w:val="en-US" w:eastAsia="zh-CN"/>
                    </w:rPr>
                  </w:pPr>
                  <w:r>
                    <w:rPr>
                      <w:rFonts w:hint="eastAsia" w:cs="Times New Roman"/>
                      <w:kern w:val="0"/>
                      <w:sz w:val="21"/>
                      <w:szCs w:val="21"/>
                      <w:highlight w:val="none"/>
                      <w:lang w:val="en-US" w:eastAsia="zh-CN"/>
                    </w:rPr>
                    <w:t>6</w:t>
                  </w:r>
                </w:p>
              </w:tc>
              <w:tc>
                <w:tcPr>
                  <w:tcW w:w="670" w:type="dxa"/>
                  <w:vMerge w:val="continue"/>
                  <w:tcBorders>
                    <w:top w:val="single" w:color="auto" w:sz="4" w:space="0"/>
                    <w:bottom w:val="single" w:color="auto" w:sz="4" w:space="0"/>
                  </w:tcBorders>
                  <w:noWrap w:val="0"/>
                  <w:vAlign w:val="center"/>
                </w:tcPr>
                <w:p w14:paraId="4003DB5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p>
              </w:tc>
              <w:tc>
                <w:tcPr>
                  <w:tcW w:w="1240" w:type="dxa"/>
                  <w:tcBorders>
                    <w:top w:val="single" w:color="auto" w:sz="4" w:space="0"/>
                    <w:bottom w:val="single" w:color="auto" w:sz="4" w:space="0"/>
                  </w:tcBorders>
                  <w:noWrap w:val="0"/>
                  <w:vAlign w:val="center"/>
                </w:tcPr>
                <w:p w14:paraId="7EAE0A4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自动上料机</w:t>
                  </w:r>
                </w:p>
              </w:tc>
              <w:tc>
                <w:tcPr>
                  <w:tcW w:w="828" w:type="dxa"/>
                  <w:tcBorders>
                    <w:top w:val="single" w:color="auto" w:sz="4" w:space="0"/>
                    <w:bottom w:val="single" w:color="auto" w:sz="4" w:space="0"/>
                  </w:tcBorders>
                  <w:noWrap w:val="0"/>
                  <w:vAlign w:val="center"/>
                </w:tcPr>
                <w:p w14:paraId="37636C3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80</w:t>
                  </w:r>
                </w:p>
              </w:tc>
              <w:tc>
                <w:tcPr>
                  <w:tcW w:w="603" w:type="dxa"/>
                  <w:tcBorders>
                    <w:top w:val="single" w:color="auto" w:sz="4" w:space="0"/>
                    <w:bottom w:val="single" w:color="auto" w:sz="4" w:space="0"/>
                  </w:tcBorders>
                  <w:noWrap w:val="0"/>
                  <w:vAlign w:val="center"/>
                </w:tcPr>
                <w:p w14:paraId="6687789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6</w:t>
                  </w:r>
                </w:p>
              </w:tc>
              <w:tc>
                <w:tcPr>
                  <w:tcW w:w="748" w:type="dxa"/>
                  <w:vMerge w:val="continue"/>
                  <w:tcBorders>
                    <w:top w:val="single" w:color="auto" w:sz="4" w:space="0"/>
                    <w:bottom w:val="single" w:color="auto" w:sz="4" w:space="0"/>
                  </w:tcBorders>
                  <w:noWrap w:val="0"/>
                  <w:vAlign w:val="center"/>
                </w:tcPr>
                <w:p w14:paraId="3EC8102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4" w:space="0"/>
                  </w:tcBorders>
                  <w:noWrap w:val="0"/>
                  <w:vAlign w:val="center"/>
                </w:tcPr>
                <w:p w14:paraId="4279E69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40</w:t>
                  </w:r>
                </w:p>
              </w:tc>
              <w:tc>
                <w:tcPr>
                  <w:tcW w:w="728" w:type="dxa"/>
                  <w:tcBorders>
                    <w:top w:val="single" w:color="auto" w:sz="4" w:space="0"/>
                    <w:bottom w:val="single" w:color="auto" w:sz="4" w:space="0"/>
                  </w:tcBorders>
                  <w:noWrap w:val="0"/>
                  <w:vAlign w:val="center"/>
                </w:tcPr>
                <w:p w14:paraId="72A7EE5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18.3</w:t>
                  </w:r>
                </w:p>
              </w:tc>
              <w:tc>
                <w:tcPr>
                  <w:tcW w:w="730" w:type="dxa"/>
                  <w:tcBorders>
                    <w:top w:val="single" w:color="auto" w:sz="4" w:space="0"/>
                    <w:bottom w:val="single" w:color="auto" w:sz="4" w:space="0"/>
                  </w:tcBorders>
                  <w:noWrap w:val="0"/>
                  <w:vAlign w:val="center"/>
                </w:tcPr>
                <w:p w14:paraId="663F9DD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269409FE">
                  <w:pPr>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rightChars="0"/>
                    <w:jc w:val="center"/>
                    <w:textAlignment w:val="center"/>
                    <w:rPr>
                      <w:rFonts w:hint="eastAsia"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14.6</w:t>
                  </w:r>
                </w:p>
              </w:tc>
              <w:tc>
                <w:tcPr>
                  <w:tcW w:w="1046" w:type="dxa"/>
                  <w:tcBorders>
                    <w:top w:val="single" w:color="auto" w:sz="4" w:space="0"/>
                    <w:bottom w:val="single" w:color="auto" w:sz="4" w:space="0"/>
                  </w:tcBorders>
                  <w:noWrap w:val="0"/>
                  <w:vAlign w:val="center"/>
                </w:tcPr>
                <w:p w14:paraId="135C680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53.41</w:t>
                  </w:r>
                </w:p>
              </w:tc>
            </w:tr>
            <w:tr w14:paraId="24AE3B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461" w:type="dxa"/>
                  <w:tcBorders>
                    <w:top w:val="single" w:color="auto" w:sz="4" w:space="0"/>
                    <w:bottom w:val="single" w:color="auto" w:sz="4" w:space="0"/>
                  </w:tcBorders>
                  <w:noWrap w:val="0"/>
                  <w:vAlign w:val="center"/>
                </w:tcPr>
                <w:p w14:paraId="5CC1ABC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kern w:val="0"/>
                      <w:sz w:val="21"/>
                      <w:szCs w:val="21"/>
                      <w:highlight w:val="none"/>
                      <w:lang w:val="en-US" w:eastAsia="zh-CN"/>
                    </w:rPr>
                  </w:pPr>
                  <w:r>
                    <w:rPr>
                      <w:rFonts w:hint="eastAsia" w:cs="Times New Roman"/>
                      <w:kern w:val="0"/>
                      <w:sz w:val="21"/>
                      <w:szCs w:val="21"/>
                      <w:highlight w:val="none"/>
                      <w:lang w:val="en-US" w:eastAsia="zh-CN"/>
                    </w:rPr>
                    <w:t>7</w:t>
                  </w:r>
                </w:p>
              </w:tc>
              <w:tc>
                <w:tcPr>
                  <w:tcW w:w="670" w:type="dxa"/>
                  <w:vMerge w:val="continue"/>
                  <w:tcBorders>
                    <w:top w:val="single" w:color="auto" w:sz="4" w:space="0"/>
                    <w:bottom w:val="single" w:color="auto" w:sz="4" w:space="0"/>
                  </w:tcBorders>
                  <w:noWrap w:val="0"/>
                  <w:vAlign w:val="center"/>
                </w:tcPr>
                <w:p w14:paraId="73BA007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p>
              </w:tc>
              <w:tc>
                <w:tcPr>
                  <w:tcW w:w="1240" w:type="dxa"/>
                  <w:tcBorders>
                    <w:top w:val="single" w:color="auto" w:sz="4" w:space="0"/>
                    <w:bottom w:val="single" w:color="auto" w:sz="4" w:space="0"/>
                  </w:tcBorders>
                  <w:noWrap w:val="0"/>
                  <w:vAlign w:val="center"/>
                </w:tcPr>
                <w:p w14:paraId="45E155D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自动装盒机（单通道）</w:t>
                  </w:r>
                </w:p>
              </w:tc>
              <w:tc>
                <w:tcPr>
                  <w:tcW w:w="828" w:type="dxa"/>
                  <w:tcBorders>
                    <w:top w:val="single" w:color="auto" w:sz="4" w:space="0"/>
                    <w:bottom w:val="single" w:color="auto" w:sz="4" w:space="0"/>
                  </w:tcBorders>
                  <w:noWrap w:val="0"/>
                  <w:vAlign w:val="center"/>
                </w:tcPr>
                <w:p w14:paraId="6537951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80</w:t>
                  </w:r>
                </w:p>
              </w:tc>
              <w:tc>
                <w:tcPr>
                  <w:tcW w:w="603" w:type="dxa"/>
                  <w:tcBorders>
                    <w:top w:val="single" w:color="auto" w:sz="4" w:space="0"/>
                    <w:bottom w:val="single" w:color="auto" w:sz="4" w:space="0"/>
                  </w:tcBorders>
                  <w:noWrap w:val="0"/>
                  <w:vAlign w:val="center"/>
                </w:tcPr>
                <w:p w14:paraId="6784740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1</w:t>
                  </w:r>
                </w:p>
              </w:tc>
              <w:tc>
                <w:tcPr>
                  <w:tcW w:w="748" w:type="dxa"/>
                  <w:vMerge w:val="continue"/>
                  <w:tcBorders>
                    <w:top w:val="single" w:color="auto" w:sz="4" w:space="0"/>
                    <w:bottom w:val="single" w:color="auto" w:sz="4" w:space="0"/>
                  </w:tcBorders>
                  <w:noWrap w:val="0"/>
                  <w:vAlign w:val="center"/>
                </w:tcPr>
                <w:p w14:paraId="2336135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4" w:space="0"/>
                  </w:tcBorders>
                  <w:noWrap w:val="0"/>
                  <w:vAlign w:val="center"/>
                </w:tcPr>
                <w:p w14:paraId="194973F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61.2</w:t>
                  </w:r>
                </w:p>
              </w:tc>
              <w:tc>
                <w:tcPr>
                  <w:tcW w:w="728" w:type="dxa"/>
                  <w:tcBorders>
                    <w:top w:val="single" w:color="auto" w:sz="4" w:space="0"/>
                    <w:bottom w:val="single" w:color="auto" w:sz="4" w:space="0"/>
                  </w:tcBorders>
                  <w:noWrap w:val="0"/>
                  <w:vAlign w:val="center"/>
                </w:tcPr>
                <w:p w14:paraId="54A0A8F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17.9</w:t>
                  </w:r>
                </w:p>
              </w:tc>
              <w:tc>
                <w:tcPr>
                  <w:tcW w:w="730" w:type="dxa"/>
                  <w:tcBorders>
                    <w:top w:val="single" w:color="auto" w:sz="4" w:space="0"/>
                    <w:bottom w:val="single" w:color="auto" w:sz="4" w:space="0"/>
                  </w:tcBorders>
                  <w:noWrap w:val="0"/>
                  <w:vAlign w:val="center"/>
                </w:tcPr>
                <w:p w14:paraId="27933D7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4E1F68E3">
                  <w:pPr>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rightChars="0"/>
                    <w:jc w:val="center"/>
                    <w:textAlignment w:val="center"/>
                    <w:rPr>
                      <w:rFonts w:hint="eastAsia"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22.3</w:t>
                  </w:r>
                </w:p>
              </w:tc>
              <w:tc>
                <w:tcPr>
                  <w:tcW w:w="1046" w:type="dxa"/>
                  <w:tcBorders>
                    <w:top w:val="single" w:color="auto" w:sz="4" w:space="0"/>
                    <w:bottom w:val="single" w:color="auto" w:sz="4" w:space="0"/>
                  </w:tcBorders>
                  <w:noWrap w:val="0"/>
                  <w:vAlign w:val="center"/>
                </w:tcPr>
                <w:p w14:paraId="51FE3CC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51.26</w:t>
                  </w:r>
                </w:p>
              </w:tc>
            </w:tr>
            <w:tr w14:paraId="654E75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461" w:type="dxa"/>
                  <w:tcBorders>
                    <w:top w:val="single" w:color="auto" w:sz="4" w:space="0"/>
                    <w:bottom w:val="single" w:color="auto" w:sz="4" w:space="0"/>
                  </w:tcBorders>
                  <w:noWrap w:val="0"/>
                  <w:vAlign w:val="center"/>
                </w:tcPr>
                <w:p w14:paraId="1F4E809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kern w:val="0"/>
                      <w:sz w:val="21"/>
                      <w:szCs w:val="21"/>
                      <w:highlight w:val="none"/>
                      <w:lang w:val="en-US" w:eastAsia="zh-CN"/>
                    </w:rPr>
                  </w:pPr>
                  <w:r>
                    <w:rPr>
                      <w:rFonts w:hint="eastAsia" w:cs="Times New Roman"/>
                      <w:kern w:val="0"/>
                      <w:sz w:val="21"/>
                      <w:szCs w:val="21"/>
                      <w:highlight w:val="none"/>
                      <w:lang w:val="en-US" w:eastAsia="zh-CN"/>
                    </w:rPr>
                    <w:t>8</w:t>
                  </w:r>
                </w:p>
              </w:tc>
              <w:tc>
                <w:tcPr>
                  <w:tcW w:w="670" w:type="dxa"/>
                  <w:vMerge w:val="continue"/>
                  <w:tcBorders>
                    <w:top w:val="single" w:color="auto" w:sz="4" w:space="0"/>
                    <w:bottom w:val="single" w:color="auto" w:sz="4" w:space="0"/>
                  </w:tcBorders>
                  <w:noWrap w:val="0"/>
                  <w:vAlign w:val="center"/>
                </w:tcPr>
                <w:p w14:paraId="739A1B4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p>
              </w:tc>
              <w:tc>
                <w:tcPr>
                  <w:tcW w:w="1240" w:type="dxa"/>
                  <w:tcBorders>
                    <w:top w:val="single" w:color="auto" w:sz="4" w:space="0"/>
                    <w:bottom w:val="single" w:color="auto" w:sz="4" w:space="0"/>
                  </w:tcBorders>
                  <w:noWrap w:val="0"/>
                  <w:vAlign w:val="center"/>
                </w:tcPr>
                <w:p w14:paraId="6978326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自动装盒机（双通道）</w:t>
                  </w:r>
                </w:p>
              </w:tc>
              <w:tc>
                <w:tcPr>
                  <w:tcW w:w="828" w:type="dxa"/>
                  <w:tcBorders>
                    <w:top w:val="single" w:color="auto" w:sz="4" w:space="0"/>
                    <w:bottom w:val="single" w:color="auto" w:sz="4" w:space="0"/>
                  </w:tcBorders>
                  <w:noWrap w:val="0"/>
                  <w:vAlign w:val="center"/>
                </w:tcPr>
                <w:p w14:paraId="17EBB81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80</w:t>
                  </w:r>
                </w:p>
              </w:tc>
              <w:tc>
                <w:tcPr>
                  <w:tcW w:w="603" w:type="dxa"/>
                  <w:tcBorders>
                    <w:top w:val="single" w:color="auto" w:sz="4" w:space="0"/>
                    <w:bottom w:val="single" w:color="auto" w:sz="4" w:space="0"/>
                  </w:tcBorders>
                  <w:noWrap w:val="0"/>
                  <w:vAlign w:val="center"/>
                </w:tcPr>
                <w:p w14:paraId="45586FC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2</w:t>
                  </w:r>
                </w:p>
              </w:tc>
              <w:tc>
                <w:tcPr>
                  <w:tcW w:w="748" w:type="dxa"/>
                  <w:vMerge w:val="continue"/>
                  <w:tcBorders>
                    <w:top w:val="single" w:color="auto" w:sz="4" w:space="0"/>
                    <w:bottom w:val="single" w:color="auto" w:sz="4" w:space="0"/>
                  </w:tcBorders>
                  <w:noWrap w:val="0"/>
                  <w:vAlign w:val="center"/>
                </w:tcPr>
                <w:p w14:paraId="27D8AA2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4" w:space="0"/>
                  </w:tcBorders>
                  <w:noWrap w:val="0"/>
                  <w:vAlign w:val="center"/>
                </w:tcPr>
                <w:p w14:paraId="5E477D7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80.1</w:t>
                  </w:r>
                </w:p>
              </w:tc>
              <w:tc>
                <w:tcPr>
                  <w:tcW w:w="728" w:type="dxa"/>
                  <w:tcBorders>
                    <w:top w:val="single" w:color="auto" w:sz="4" w:space="0"/>
                    <w:bottom w:val="single" w:color="auto" w:sz="4" w:space="0"/>
                  </w:tcBorders>
                  <w:noWrap w:val="0"/>
                  <w:vAlign w:val="center"/>
                </w:tcPr>
                <w:p w14:paraId="0C1AC1D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22.3</w:t>
                  </w:r>
                </w:p>
              </w:tc>
              <w:tc>
                <w:tcPr>
                  <w:tcW w:w="730" w:type="dxa"/>
                  <w:tcBorders>
                    <w:top w:val="single" w:color="auto" w:sz="4" w:space="0"/>
                    <w:bottom w:val="single" w:color="auto" w:sz="4" w:space="0"/>
                  </w:tcBorders>
                  <w:noWrap w:val="0"/>
                  <w:vAlign w:val="center"/>
                </w:tcPr>
                <w:p w14:paraId="18BA3D4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758D1456">
                  <w:pPr>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rightChars="0"/>
                    <w:jc w:val="center"/>
                    <w:textAlignment w:val="center"/>
                    <w:rPr>
                      <w:rFonts w:hint="eastAsia"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37.9</w:t>
                  </w:r>
                </w:p>
              </w:tc>
              <w:tc>
                <w:tcPr>
                  <w:tcW w:w="1046" w:type="dxa"/>
                  <w:tcBorders>
                    <w:top w:val="single" w:color="auto" w:sz="4" w:space="0"/>
                    <w:bottom w:val="single" w:color="auto" w:sz="4" w:space="0"/>
                  </w:tcBorders>
                  <w:noWrap w:val="0"/>
                  <w:vAlign w:val="center"/>
                </w:tcPr>
                <w:p w14:paraId="670FD16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49.64</w:t>
                  </w:r>
                </w:p>
              </w:tc>
            </w:tr>
            <w:tr w14:paraId="0F90E6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461" w:type="dxa"/>
                  <w:tcBorders>
                    <w:top w:val="single" w:color="auto" w:sz="4" w:space="0"/>
                    <w:bottom w:val="single" w:color="auto" w:sz="4" w:space="0"/>
                  </w:tcBorders>
                  <w:noWrap w:val="0"/>
                  <w:vAlign w:val="center"/>
                </w:tcPr>
                <w:p w14:paraId="23846A2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kern w:val="0"/>
                      <w:sz w:val="21"/>
                      <w:szCs w:val="21"/>
                      <w:highlight w:val="none"/>
                      <w:lang w:val="en-US" w:eastAsia="zh-CN"/>
                    </w:rPr>
                  </w:pPr>
                  <w:r>
                    <w:rPr>
                      <w:rFonts w:hint="eastAsia" w:cs="Times New Roman"/>
                      <w:kern w:val="0"/>
                      <w:sz w:val="21"/>
                      <w:szCs w:val="21"/>
                      <w:highlight w:val="none"/>
                      <w:lang w:val="en-US" w:eastAsia="zh-CN"/>
                    </w:rPr>
                    <w:t>9</w:t>
                  </w:r>
                </w:p>
              </w:tc>
              <w:tc>
                <w:tcPr>
                  <w:tcW w:w="670" w:type="dxa"/>
                  <w:vMerge w:val="restart"/>
                  <w:tcBorders>
                    <w:top w:val="single" w:color="auto" w:sz="4" w:space="0"/>
                    <w:bottom w:val="single" w:color="auto" w:sz="4" w:space="0"/>
                  </w:tcBorders>
                  <w:noWrap w:val="0"/>
                  <w:vAlign w:val="center"/>
                </w:tcPr>
                <w:p w14:paraId="3F9E361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3#车间</w:t>
                  </w:r>
                </w:p>
              </w:tc>
              <w:tc>
                <w:tcPr>
                  <w:tcW w:w="1240" w:type="dxa"/>
                  <w:tcBorders>
                    <w:top w:val="single" w:color="auto" w:sz="4" w:space="0"/>
                    <w:bottom w:val="single" w:color="auto" w:sz="4" w:space="0"/>
                  </w:tcBorders>
                  <w:noWrap w:val="0"/>
                  <w:vAlign w:val="center"/>
                </w:tcPr>
                <w:p w14:paraId="6C34BF8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回馈式针床化成检测设备</w:t>
                  </w:r>
                </w:p>
              </w:tc>
              <w:tc>
                <w:tcPr>
                  <w:tcW w:w="828" w:type="dxa"/>
                  <w:tcBorders>
                    <w:top w:val="single" w:color="auto" w:sz="4" w:space="0"/>
                    <w:bottom w:val="single" w:color="auto" w:sz="4" w:space="0"/>
                  </w:tcBorders>
                  <w:noWrap w:val="0"/>
                  <w:vAlign w:val="center"/>
                </w:tcPr>
                <w:p w14:paraId="674255C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80</w:t>
                  </w:r>
                </w:p>
              </w:tc>
              <w:tc>
                <w:tcPr>
                  <w:tcW w:w="603" w:type="dxa"/>
                  <w:tcBorders>
                    <w:top w:val="single" w:color="auto" w:sz="4" w:space="0"/>
                    <w:bottom w:val="single" w:color="auto" w:sz="4" w:space="0"/>
                  </w:tcBorders>
                  <w:noWrap w:val="0"/>
                  <w:vAlign w:val="center"/>
                </w:tcPr>
                <w:p w14:paraId="50DA9D5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62</w:t>
                  </w:r>
                </w:p>
              </w:tc>
              <w:tc>
                <w:tcPr>
                  <w:tcW w:w="748" w:type="dxa"/>
                  <w:vMerge w:val="continue"/>
                  <w:tcBorders>
                    <w:top w:val="single" w:color="auto" w:sz="4" w:space="0"/>
                    <w:bottom w:val="single" w:color="auto" w:sz="4" w:space="0"/>
                  </w:tcBorders>
                  <w:noWrap w:val="0"/>
                  <w:vAlign w:val="center"/>
                </w:tcPr>
                <w:p w14:paraId="0BB6858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4" w:space="0"/>
                  </w:tcBorders>
                  <w:noWrap w:val="0"/>
                  <w:vAlign w:val="center"/>
                </w:tcPr>
                <w:p w14:paraId="2756C29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19.6</w:t>
                  </w:r>
                </w:p>
              </w:tc>
              <w:tc>
                <w:tcPr>
                  <w:tcW w:w="728" w:type="dxa"/>
                  <w:tcBorders>
                    <w:top w:val="single" w:color="auto" w:sz="4" w:space="0"/>
                    <w:bottom w:val="single" w:color="auto" w:sz="4" w:space="0"/>
                  </w:tcBorders>
                  <w:noWrap w:val="0"/>
                  <w:vAlign w:val="center"/>
                </w:tcPr>
                <w:p w14:paraId="6811626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18</w:t>
                  </w:r>
                </w:p>
              </w:tc>
              <w:tc>
                <w:tcPr>
                  <w:tcW w:w="730" w:type="dxa"/>
                  <w:tcBorders>
                    <w:top w:val="single" w:color="auto" w:sz="4" w:space="0"/>
                    <w:bottom w:val="single" w:color="auto" w:sz="4" w:space="0"/>
                  </w:tcBorders>
                  <w:noWrap w:val="0"/>
                  <w:vAlign w:val="center"/>
                </w:tcPr>
                <w:p w14:paraId="302015D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0FBAD3A2">
                  <w:pPr>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rightChars="0"/>
                    <w:jc w:val="center"/>
                    <w:textAlignment w:val="center"/>
                    <w:rPr>
                      <w:rFonts w:hint="eastAsia"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26.3</w:t>
                  </w:r>
                </w:p>
              </w:tc>
              <w:tc>
                <w:tcPr>
                  <w:tcW w:w="1046" w:type="dxa"/>
                  <w:tcBorders>
                    <w:top w:val="single" w:color="auto" w:sz="4" w:space="0"/>
                    <w:bottom w:val="single" w:color="auto" w:sz="4" w:space="0"/>
                  </w:tcBorders>
                  <w:noWrap w:val="0"/>
                  <w:vAlign w:val="center"/>
                </w:tcPr>
                <w:p w14:paraId="0109F5B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50.64</w:t>
                  </w:r>
                </w:p>
              </w:tc>
            </w:tr>
            <w:tr w14:paraId="226498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461" w:type="dxa"/>
                  <w:tcBorders>
                    <w:top w:val="single" w:color="auto" w:sz="4" w:space="0"/>
                    <w:bottom w:val="single" w:color="auto" w:sz="4" w:space="0"/>
                  </w:tcBorders>
                  <w:noWrap w:val="0"/>
                  <w:vAlign w:val="center"/>
                </w:tcPr>
                <w:p w14:paraId="425F779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lang w:val="en-US" w:eastAsia="zh-CN"/>
                    </w:rPr>
                  </w:pPr>
                  <w:r>
                    <w:rPr>
                      <w:rFonts w:hint="eastAsia" w:cs="Times New Roman"/>
                      <w:kern w:val="0"/>
                      <w:sz w:val="21"/>
                      <w:szCs w:val="21"/>
                      <w:highlight w:val="none"/>
                      <w:lang w:val="en-US" w:eastAsia="zh-CN"/>
                    </w:rPr>
                    <w:t>10</w:t>
                  </w:r>
                </w:p>
              </w:tc>
              <w:tc>
                <w:tcPr>
                  <w:tcW w:w="670" w:type="dxa"/>
                  <w:vMerge w:val="continue"/>
                  <w:tcBorders>
                    <w:top w:val="single" w:color="auto" w:sz="4" w:space="0"/>
                    <w:bottom w:val="single" w:color="auto" w:sz="4" w:space="0"/>
                  </w:tcBorders>
                  <w:noWrap w:val="0"/>
                  <w:vAlign w:val="center"/>
                </w:tcPr>
                <w:p w14:paraId="02C957F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p>
              </w:tc>
              <w:tc>
                <w:tcPr>
                  <w:tcW w:w="1240" w:type="dxa"/>
                  <w:tcBorders>
                    <w:top w:val="single" w:color="auto" w:sz="4" w:space="0"/>
                    <w:bottom w:val="single" w:color="auto" w:sz="4" w:space="0"/>
                  </w:tcBorders>
                  <w:noWrap w:val="0"/>
                  <w:vAlign w:val="center"/>
                </w:tcPr>
                <w:p w14:paraId="42A1728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自动上料机</w:t>
                  </w:r>
                </w:p>
              </w:tc>
              <w:tc>
                <w:tcPr>
                  <w:tcW w:w="828" w:type="dxa"/>
                  <w:tcBorders>
                    <w:top w:val="single" w:color="auto" w:sz="4" w:space="0"/>
                    <w:bottom w:val="single" w:color="auto" w:sz="4" w:space="0"/>
                  </w:tcBorders>
                  <w:noWrap w:val="0"/>
                  <w:vAlign w:val="center"/>
                </w:tcPr>
                <w:p w14:paraId="0DBE604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80</w:t>
                  </w:r>
                </w:p>
              </w:tc>
              <w:tc>
                <w:tcPr>
                  <w:tcW w:w="603" w:type="dxa"/>
                  <w:tcBorders>
                    <w:top w:val="single" w:color="auto" w:sz="4" w:space="0"/>
                    <w:bottom w:val="single" w:color="auto" w:sz="4" w:space="0"/>
                  </w:tcBorders>
                  <w:noWrap w:val="0"/>
                  <w:vAlign w:val="center"/>
                </w:tcPr>
                <w:p w14:paraId="1109B54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6</w:t>
                  </w:r>
                </w:p>
              </w:tc>
              <w:tc>
                <w:tcPr>
                  <w:tcW w:w="748" w:type="dxa"/>
                  <w:vMerge w:val="continue"/>
                  <w:tcBorders>
                    <w:top w:val="single" w:color="auto" w:sz="4" w:space="0"/>
                    <w:bottom w:val="single" w:color="auto" w:sz="4" w:space="0"/>
                  </w:tcBorders>
                  <w:noWrap w:val="0"/>
                  <w:vAlign w:val="center"/>
                </w:tcPr>
                <w:p w14:paraId="674E0CA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4" w:space="0"/>
                  </w:tcBorders>
                  <w:noWrap w:val="0"/>
                  <w:vAlign w:val="center"/>
                </w:tcPr>
                <w:p w14:paraId="57EAAEC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39.6</w:t>
                  </w:r>
                </w:p>
              </w:tc>
              <w:tc>
                <w:tcPr>
                  <w:tcW w:w="728" w:type="dxa"/>
                  <w:tcBorders>
                    <w:top w:val="single" w:color="auto" w:sz="4" w:space="0"/>
                    <w:bottom w:val="single" w:color="auto" w:sz="4" w:space="0"/>
                  </w:tcBorders>
                  <w:noWrap w:val="0"/>
                  <w:vAlign w:val="center"/>
                </w:tcPr>
                <w:p w14:paraId="12F194C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18.3</w:t>
                  </w:r>
                </w:p>
              </w:tc>
              <w:tc>
                <w:tcPr>
                  <w:tcW w:w="730" w:type="dxa"/>
                  <w:tcBorders>
                    <w:top w:val="single" w:color="auto" w:sz="4" w:space="0"/>
                    <w:bottom w:val="single" w:color="auto" w:sz="4" w:space="0"/>
                  </w:tcBorders>
                  <w:noWrap w:val="0"/>
                  <w:vAlign w:val="center"/>
                </w:tcPr>
                <w:p w14:paraId="2F351A8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7473AE90">
                  <w:pPr>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rightChars="0"/>
                    <w:jc w:val="center"/>
                    <w:textAlignment w:val="center"/>
                    <w:rPr>
                      <w:rFonts w:hint="eastAsia"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14.6</w:t>
                  </w:r>
                </w:p>
              </w:tc>
              <w:tc>
                <w:tcPr>
                  <w:tcW w:w="1046" w:type="dxa"/>
                  <w:tcBorders>
                    <w:top w:val="single" w:color="auto" w:sz="4" w:space="0"/>
                    <w:bottom w:val="single" w:color="auto" w:sz="4" w:space="0"/>
                  </w:tcBorders>
                  <w:noWrap w:val="0"/>
                  <w:vAlign w:val="center"/>
                </w:tcPr>
                <w:p w14:paraId="7A4F048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53.41</w:t>
                  </w:r>
                </w:p>
              </w:tc>
            </w:tr>
            <w:tr w14:paraId="3C12EC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461" w:type="dxa"/>
                  <w:tcBorders>
                    <w:top w:val="single" w:color="auto" w:sz="4" w:space="0"/>
                    <w:bottom w:val="single" w:color="auto" w:sz="4" w:space="0"/>
                  </w:tcBorders>
                  <w:noWrap w:val="0"/>
                  <w:vAlign w:val="center"/>
                </w:tcPr>
                <w:p w14:paraId="2E4D35E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lang w:val="en-US" w:eastAsia="zh-CN"/>
                    </w:rPr>
                  </w:pPr>
                  <w:r>
                    <w:rPr>
                      <w:rFonts w:hint="eastAsia" w:cs="Times New Roman"/>
                      <w:kern w:val="0"/>
                      <w:sz w:val="21"/>
                      <w:szCs w:val="21"/>
                      <w:highlight w:val="none"/>
                      <w:lang w:val="en-US" w:eastAsia="zh-CN"/>
                    </w:rPr>
                    <w:t>11</w:t>
                  </w:r>
                </w:p>
              </w:tc>
              <w:tc>
                <w:tcPr>
                  <w:tcW w:w="670" w:type="dxa"/>
                  <w:vMerge w:val="continue"/>
                  <w:tcBorders>
                    <w:top w:val="single" w:color="auto" w:sz="4" w:space="0"/>
                    <w:bottom w:val="single" w:color="auto" w:sz="4" w:space="0"/>
                  </w:tcBorders>
                  <w:noWrap w:val="0"/>
                  <w:vAlign w:val="center"/>
                </w:tcPr>
                <w:p w14:paraId="546BBE5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p>
              </w:tc>
              <w:tc>
                <w:tcPr>
                  <w:tcW w:w="1240" w:type="dxa"/>
                  <w:tcBorders>
                    <w:top w:val="single" w:color="auto" w:sz="4" w:space="0"/>
                    <w:bottom w:val="single" w:color="auto" w:sz="4" w:space="0"/>
                  </w:tcBorders>
                  <w:noWrap w:val="0"/>
                  <w:vAlign w:val="center"/>
                </w:tcPr>
                <w:p w14:paraId="238BB00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自动装盒机（单通道）</w:t>
                  </w:r>
                </w:p>
              </w:tc>
              <w:tc>
                <w:tcPr>
                  <w:tcW w:w="828" w:type="dxa"/>
                  <w:tcBorders>
                    <w:top w:val="single" w:color="auto" w:sz="4" w:space="0"/>
                    <w:bottom w:val="single" w:color="auto" w:sz="4" w:space="0"/>
                  </w:tcBorders>
                  <w:noWrap w:val="0"/>
                  <w:vAlign w:val="center"/>
                </w:tcPr>
                <w:p w14:paraId="11D6F54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80</w:t>
                  </w:r>
                </w:p>
              </w:tc>
              <w:tc>
                <w:tcPr>
                  <w:tcW w:w="603" w:type="dxa"/>
                  <w:tcBorders>
                    <w:top w:val="single" w:color="auto" w:sz="4" w:space="0"/>
                    <w:bottom w:val="single" w:color="auto" w:sz="4" w:space="0"/>
                  </w:tcBorders>
                  <w:noWrap w:val="0"/>
                  <w:vAlign w:val="center"/>
                </w:tcPr>
                <w:p w14:paraId="7336431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1</w:t>
                  </w:r>
                </w:p>
              </w:tc>
              <w:tc>
                <w:tcPr>
                  <w:tcW w:w="748" w:type="dxa"/>
                  <w:vMerge w:val="continue"/>
                  <w:tcBorders>
                    <w:top w:val="single" w:color="auto" w:sz="4" w:space="0"/>
                    <w:bottom w:val="single" w:color="auto" w:sz="4" w:space="0"/>
                  </w:tcBorders>
                  <w:noWrap w:val="0"/>
                  <w:vAlign w:val="center"/>
                </w:tcPr>
                <w:p w14:paraId="5A24859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4" w:space="0"/>
                  </w:tcBorders>
                  <w:noWrap w:val="0"/>
                  <w:vAlign w:val="center"/>
                </w:tcPr>
                <w:p w14:paraId="201314A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64.8</w:t>
                  </w:r>
                </w:p>
              </w:tc>
              <w:tc>
                <w:tcPr>
                  <w:tcW w:w="728" w:type="dxa"/>
                  <w:tcBorders>
                    <w:top w:val="single" w:color="auto" w:sz="4" w:space="0"/>
                    <w:bottom w:val="single" w:color="auto" w:sz="4" w:space="0"/>
                  </w:tcBorders>
                  <w:noWrap w:val="0"/>
                  <w:vAlign w:val="center"/>
                </w:tcPr>
                <w:p w14:paraId="03672F9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17.9</w:t>
                  </w:r>
                </w:p>
              </w:tc>
              <w:tc>
                <w:tcPr>
                  <w:tcW w:w="730" w:type="dxa"/>
                  <w:tcBorders>
                    <w:top w:val="single" w:color="auto" w:sz="4" w:space="0"/>
                    <w:bottom w:val="single" w:color="auto" w:sz="4" w:space="0"/>
                  </w:tcBorders>
                  <w:noWrap w:val="0"/>
                  <w:vAlign w:val="center"/>
                </w:tcPr>
                <w:p w14:paraId="25F9D24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5F403994">
                  <w:pPr>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rightChars="0"/>
                    <w:jc w:val="center"/>
                    <w:textAlignment w:val="center"/>
                    <w:rPr>
                      <w:rFonts w:hint="eastAsia"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22.3</w:t>
                  </w:r>
                </w:p>
              </w:tc>
              <w:tc>
                <w:tcPr>
                  <w:tcW w:w="1046" w:type="dxa"/>
                  <w:tcBorders>
                    <w:top w:val="single" w:color="auto" w:sz="4" w:space="0"/>
                    <w:bottom w:val="single" w:color="auto" w:sz="4" w:space="0"/>
                  </w:tcBorders>
                  <w:noWrap w:val="0"/>
                  <w:vAlign w:val="center"/>
                </w:tcPr>
                <w:p w14:paraId="0994680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51.26</w:t>
                  </w:r>
                </w:p>
              </w:tc>
            </w:tr>
            <w:tr w14:paraId="0871F0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461" w:type="dxa"/>
                  <w:tcBorders>
                    <w:top w:val="single" w:color="auto" w:sz="4" w:space="0"/>
                    <w:bottom w:val="single" w:color="auto" w:sz="4" w:space="0"/>
                  </w:tcBorders>
                  <w:noWrap w:val="0"/>
                  <w:vAlign w:val="center"/>
                </w:tcPr>
                <w:p w14:paraId="24C2567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lang w:val="en-US" w:eastAsia="zh-CN"/>
                    </w:rPr>
                  </w:pPr>
                  <w:r>
                    <w:rPr>
                      <w:rFonts w:hint="eastAsia" w:cs="Times New Roman"/>
                      <w:kern w:val="0"/>
                      <w:sz w:val="21"/>
                      <w:szCs w:val="21"/>
                      <w:highlight w:val="none"/>
                      <w:lang w:val="en-US" w:eastAsia="zh-CN"/>
                    </w:rPr>
                    <w:t>12</w:t>
                  </w:r>
                </w:p>
              </w:tc>
              <w:tc>
                <w:tcPr>
                  <w:tcW w:w="670" w:type="dxa"/>
                  <w:vMerge w:val="continue"/>
                  <w:tcBorders>
                    <w:top w:val="single" w:color="auto" w:sz="4" w:space="0"/>
                    <w:bottom w:val="single" w:color="auto" w:sz="4" w:space="0"/>
                  </w:tcBorders>
                  <w:noWrap w:val="0"/>
                  <w:vAlign w:val="center"/>
                </w:tcPr>
                <w:p w14:paraId="432C127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p>
              </w:tc>
              <w:tc>
                <w:tcPr>
                  <w:tcW w:w="1240" w:type="dxa"/>
                  <w:tcBorders>
                    <w:top w:val="single" w:color="auto" w:sz="4" w:space="0"/>
                    <w:bottom w:val="single" w:color="auto" w:sz="4" w:space="0"/>
                  </w:tcBorders>
                  <w:noWrap w:val="0"/>
                  <w:vAlign w:val="center"/>
                </w:tcPr>
                <w:p w14:paraId="48D5091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自动装盒机（双通道）</w:t>
                  </w:r>
                </w:p>
              </w:tc>
              <w:tc>
                <w:tcPr>
                  <w:tcW w:w="828" w:type="dxa"/>
                  <w:tcBorders>
                    <w:top w:val="single" w:color="auto" w:sz="4" w:space="0"/>
                    <w:bottom w:val="single" w:color="auto" w:sz="4" w:space="0"/>
                  </w:tcBorders>
                  <w:noWrap w:val="0"/>
                  <w:vAlign w:val="center"/>
                </w:tcPr>
                <w:p w14:paraId="4455262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80</w:t>
                  </w:r>
                </w:p>
              </w:tc>
              <w:tc>
                <w:tcPr>
                  <w:tcW w:w="603" w:type="dxa"/>
                  <w:tcBorders>
                    <w:top w:val="single" w:color="auto" w:sz="4" w:space="0"/>
                    <w:bottom w:val="single" w:color="auto" w:sz="4" w:space="0"/>
                  </w:tcBorders>
                  <w:noWrap w:val="0"/>
                  <w:vAlign w:val="center"/>
                </w:tcPr>
                <w:p w14:paraId="59A3890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2</w:t>
                  </w:r>
                </w:p>
              </w:tc>
              <w:tc>
                <w:tcPr>
                  <w:tcW w:w="748" w:type="dxa"/>
                  <w:vMerge w:val="continue"/>
                  <w:tcBorders>
                    <w:top w:val="single" w:color="auto" w:sz="4" w:space="0"/>
                    <w:bottom w:val="single" w:color="auto" w:sz="4" w:space="0"/>
                  </w:tcBorders>
                  <w:noWrap w:val="0"/>
                  <w:vAlign w:val="center"/>
                </w:tcPr>
                <w:p w14:paraId="09600C5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4" w:space="0"/>
                  </w:tcBorders>
                  <w:noWrap w:val="0"/>
                  <w:vAlign w:val="center"/>
                </w:tcPr>
                <w:p w14:paraId="4B2692E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85.3</w:t>
                  </w:r>
                </w:p>
              </w:tc>
              <w:tc>
                <w:tcPr>
                  <w:tcW w:w="728" w:type="dxa"/>
                  <w:tcBorders>
                    <w:top w:val="single" w:color="auto" w:sz="4" w:space="0"/>
                    <w:bottom w:val="single" w:color="auto" w:sz="4" w:space="0"/>
                  </w:tcBorders>
                  <w:noWrap w:val="0"/>
                  <w:vAlign w:val="center"/>
                </w:tcPr>
                <w:p w14:paraId="596B9F7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18.5</w:t>
                  </w:r>
                </w:p>
              </w:tc>
              <w:tc>
                <w:tcPr>
                  <w:tcW w:w="730" w:type="dxa"/>
                  <w:tcBorders>
                    <w:top w:val="single" w:color="auto" w:sz="4" w:space="0"/>
                    <w:bottom w:val="single" w:color="auto" w:sz="4" w:space="0"/>
                  </w:tcBorders>
                  <w:noWrap w:val="0"/>
                  <w:vAlign w:val="center"/>
                </w:tcPr>
                <w:p w14:paraId="164B263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3FF1BABF">
                  <w:pPr>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rightChars="0"/>
                    <w:jc w:val="center"/>
                    <w:textAlignment w:val="center"/>
                    <w:rPr>
                      <w:rFonts w:hint="eastAsia"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37.9</w:t>
                  </w:r>
                </w:p>
              </w:tc>
              <w:tc>
                <w:tcPr>
                  <w:tcW w:w="1046" w:type="dxa"/>
                  <w:tcBorders>
                    <w:top w:val="single" w:color="auto" w:sz="4" w:space="0"/>
                    <w:bottom w:val="single" w:color="auto" w:sz="4" w:space="0"/>
                  </w:tcBorders>
                  <w:noWrap w:val="0"/>
                  <w:vAlign w:val="center"/>
                </w:tcPr>
                <w:p w14:paraId="62A8F19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49.64</w:t>
                  </w:r>
                </w:p>
              </w:tc>
            </w:tr>
            <w:tr w14:paraId="0BF68A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461" w:type="dxa"/>
                  <w:tcBorders>
                    <w:top w:val="single" w:color="auto" w:sz="4" w:space="0"/>
                    <w:bottom w:val="single" w:color="auto" w:sz="4" w:space="0"/>
                  </w:tcBorders>
                  <w:noWrap w:val="0"/>
                  <w:vAlign w:val="center"/>
                </w:tcPr>
                <w:p w14:paraId="05B4421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kern w:val="0"/>
                      <w:sz w:val="21"/>
                      <w:szCs w:val="21"/>
                      <w:highlight w:val="none"/>
                    </w:rPr>
                    <w:t>1</w:t>
                  </w:r>
                  <w:r>
                    <w:rPr>
                      <w:rFonts w:hint="eastAsia" w:cs="Times New Roman"/>
                      <w:kern w:val="0"/>
                      <w:sz w:val="21"/>
                      <w:szCs w:val="21"/>
                      <w:highlight w:val="none"/>
                      <w:lang w:val="en-US" w:eastAsia="zh-CN"/>
                    </w:rPr>
                    <w:t>3</w:t>
                  </w:r>
                </w:p>
              </w:tc>
              <w:tc>
                <w:tcPr>
                  <w:tcW w:w="670" w:type="dxa"/>
                  <w:vMerge w:val="restart"/>
                  <w:tcBorders>
                    <w:top w:val="single" w:color="auto" w:sz="4" w:space="0"/>
                    <w:bottom w:val="single" w:color="auto" w:sz="4" w:space="0"/>
                  </w:tcBorders>
                  <w:noWrap w:val="0"/>
                  <w:vAlign w:val="center"/>
                </w:tcPr>
                <w:p w14:paraId="700F3D6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5#车间</w:t>
                  </w:r>
                </w:p>
              </w:tc>
              <w:tc>
                <w:tcPr>
                  <w:tcW w:w="1240" w:type="dxa"/>
                  <w:tcBorders>
                    <w:top w:val="single" w:color="auto" w:sz="4" w:space="0"/>
                    <w:bottom w:val="single" w:color="auto" w:sz="4" w:space="0"/>
                  </w:tcBorders>
                  <w:noWrap w:val="0"/>
                  <w:vAlign w:val="center"/>
                </w:tcPr>
                <w:p w14:paraId="23669B7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全自动制片机</w:t>
                  </w:r>
                </w:p>
              </w:tc>
              <w:tc>
                <w:tcPr>
                  <w:tcW w:w="828" w:type="dxa"/>
                  <w:tcBorders>
                    <w:top w:val="single" w:color="auto" w:sz="4" w:space="0"/>
                    <w:bottom w:val="single" w:color="auto" w:sz="4" w:space="0"/>
                  </w:tcBorders>
                  <w:noWrap w:val="0"/>
                  <w:vAlign w:val="center"/>
                </w:tcPr>
                <w:p w14:paraId="231BD73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80</w:t>
                  </w:r>
                </w:p>
              </w:tc>
              <w:tc>
                <w:tcPr>
                  <w:tcW w:w="603" w:type="dxa"/>
                  <w:tcBorders>
                    <w:top w:val="single" w:color="auto" w:sz="4" w:space="0"/>
                    <w:bottom w:val="single" w:color="auto" w:sz="4" w:space="0"/>
                  </w:tcBorders>
                  <w:noWrap w:val="0"/>
                  <w:vAlign w:val="center"/>
                </w:tcPr>
                <w:p w14:paraId="6002DDA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30</w:t>
                  </w:r>
                </w:p>
              </w:tc>
              <w:tc>
                <w:tcPr>
                  <w:tcW w:w="748" w:type="dxa"/>
                  <w:vMerge w:val="continue"/>
                  <w:tcBorders>
                    <w:top w:val="single" w:color="auto" w:sz="4" w:space="0"/>
                    <w:bottom w:val="single" w:color="auto" w:sz="4" w:space="0"/>
                  </w:tcBorders>
                  <w:noWrap w:val="0"/>
                  <w:vAlign w:val="center"/>
                </w:tcPr>
                <w:p w14:paraId="683ABD5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4" w:space="0"/>
                  </w:tcBorders>
                  <w:noWrap w:val="0"/>
                  <w:vAlign w:val="center"/>
                </w:tcPr>
                <w:p w14:paraId="2D228CD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13.4</w:t>
                  </w:r>
                </w:p>
              </w:tc>
              <w:tc>
                <w:tcPr>
                  <w:tcW w:w="728" w:type="dxa"/>
                  <w:tcBorders>
                    <w:top w:val="single" w:color="auto" w:sz="4" w:space="0"/>
                    <w:bottom w:val="single" w:color="auto" w:sz="4" w:space="0"/>
                  </w:tcBorders>
                  <w:noWrap w:val="0"/>
                  <w:vAlign w:val="center"/>
                </w:tcPr>
                <w:p w14:paraId="46289E3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23.2</w:t>
                  </w:r>
                </w:p>
              </w:tc>
              <w:tc>
                <w:tcPr>
                  <w:tcW w:w="730" w:type="dxa"/>
                  <w:tcBorders>
                    <w:top w:val="single" w:color="auto" w:sz="4" w:space="0"/>
                    <w:bottom w:val="single" w:color="auto" w:sz="4" w:space="0"/>
                  </w:tcBorders>
                  <w:noWrap w:val="0"/>
                  <w:vAlign w:val="center"/>
                </w:tcPr>
                <w:p w14:paraId="0A05755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4D5E156E">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rPr>
                      <w:rFonts w:hint="default" w:ascii="Times New Roman" w:hAnsi="Times New Roman" w:eastAsia="宋体" w:cs="Times New Roman"/>
                      <w:sz w:val="21"/>
                      <w:szCs w:val="21"/>
                      <w:highlight w:val="none"/>
                      <w:lang w:val="en-US" w:eastAsia="zh-CN"/>
                    </w:rPr>
                  </w:pPr>
                  <w:r>
                    <w:rPr>
                      <w:rFonts w:hint="eastAsia" w:cs="Times New Roman"/>
                      <w:i w:val="0"/>
                      <w:iCs w:val="0"/>
                      <w:color w:val="000000"/>
                      <w:kern w:val="0"/>
                      <w:sz w:val="21"/>
                      <w:szCs w:val="21"/>
                      <w:u w:val="none"/>
                      <w:lang w:val="en-US" w:eastAsia="zh-CN" w:bidi="ar"/>
                    </w:rPr>
                    <w:t>25.5</w:t>
                  </w:r>
                </w:p>
              </w:tc>
              <w:tc>
                <w:tcPr>
                  <w:tcW w:w="1046" w:type="dxa"/>
                  <w:tcBorders>
                    <w:top w:val="single" w:color="auto" w:sz="4" w:space="0"/>
                    <w:bottom w:val="single" w:color="auto" w:sz="4" w:space="0"/>
                  </w:tcBorders>
                  <w:noWrap w:val="0"/>
                  <w:vAlign w:val="center"/>
                </w:tcPr>
                <w:p w14:paraId="460FFE6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50.45</w:t>
                  </w:r>
                </w:p>
              </w:tc>
            </w:tr>
            <w:tr w14:paraId="7CF9CC0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461" w:type="dxa"/>
                  <w:tcBorders>
                    <w:top w:val="single" w:color="auto" w:sz="4" w:space="0"/>
                    <w:bottom w:val="single" w:color="auto" w:sz="4" w:space="0"/>
                  </w:tcBorders>
                  <w:noWrap w:val="0"/>
                  <w:vAlign w:val="center"/>
                </w:tcPr>
                <w:p w14:paraId="4B72DD6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lang w:val="en-US" w:eastAsia="zh-CN"/>
                    </w:rPr>
                  </w:pPr>
                  <w:r>
                    <w:rPr>
                      <w:rFonts w:hint="eastAsia" w:cs="Times New Roman"/>
                      <w:kern w:val="0"/>
                      <w:sz w:val="21"/>
                      <w:szCs w:val="21"/>
                      <w:highlight w:val="none"/>
                      <w:lang w:val="en-US" w:eastAsia="zh-CN"/>
                    </w:rPr>
                    <w:t>14</w:t>
                  </w:r>
                </w:p>
              </w:tc>
              <w:tc>
                <w:tcPr>
                  <w:tcW w:w="670" w:type="dxa"/>
                  <w:vMerge w:val="continue"/>
                  <w:tcBorders>
                    <w:top w:val="single" w:color="auto" w:sz="4" w:space="0"/>
                    <w:bottom w:val="single" w:color="auto" w:sz="4" w:space="0"/>
                  </w:tcBorders>
                  <w:noWrap w:val="0"/>
                  <w:vAlign w:val="center"/>
                </w:tcPr>
                <w:p w14:paraId="70FACC7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cs="Times New Roman"/>
                      <w:sz w:val="21"/>
                      <w:szCs w:val="21"/>
                      <w:highlight w:val="none"/>
                      <w:lang w:val="en-US" w:eastAsia="zh-CN"/>
                    </w:rPr>
                  </w:pPr>
                </w:p>
              </w:tc>
              <w:tc>
                <w:tcPr>
                  <w:tcW w:w="1240" w:type="dxa"/>
                  <w:tcBorders>
                    <w:top w:val="single" w:color="auto" w:sz="4" w:space="0"/>
                    <w:bottom w:val="single" w:color="auto" w:sz="4" w:space="0"/>
                  </w:tcBorders>
                  <w:noWrap w:val="0"/>
                  <w:vAlign w:val="center"/>
                </w:tcPr>
                <w:p w14:paraId="6CC0949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回馈式针床化成检测设备</w:t>
                  </w:r>
                </w:p>
              </w:tc>
              <w:tc>
                <w:tcPr>
                  <w:tcW w:w="828" w:type="dxa"/>
                  <w:tcBorders>
                    <w:top w:val="single" w:color="auto" w:sz="4" w:space="0"/>
                    <w:bottom w:val="single" w:color="auto" w:sz="4" w:space="0"/>
                  </w:tcBorders>
                  <w:noWrap w:val="0"/>
                  <w:vAlign w:val="center"/>
                </w:tcPr>
                <w:p w14:paraId="6654287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80</w:t>
                  </w:r>
                </w:p>
              </w:tc>
              <w:tc>
                <w:tcPr>
                  <w:tcW w:w="603" w:type="dxa"/>
                  <w:tcBorders>
                    <w:top w:val="single" w:color="auto" w:sz="4" w:space="0"/>
                    <w:bottom w:val="single" w:color="auto" w:sz="4" w:space="0"/>
                  </w:tcBorders>
                  <w:noWrap w:val="0"/>
                  <w:vAlign w:val="center"/>
                </w:tcPr>
                <w:p w14:paraId="06F20A9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195</w:t>
                  </w:r>
                </w:p>
              </w:tc>
              <w:tc>
                <w:tcPr>
                  <w:tcW w:w="748" w:type="dxa"/>
                  <w:vMerge w:val="continue"/>
                  <w:tcBorders>
                    <w:top w:val="single" w:color="auto" w:sz="4" w:space="0"/>
                    <w:bottom w:val="single" w:color="auto" w:sz="4" w:space="0"/>
                  </w:tcBorders>
                  <w:noWrap w:val="0"/>
                  <w:vAlign w:val="center"/>
                </w:tcPr>
                <w:p w14:paraId="1849835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4" w:space="0"/>
                  </w:tcBorders>
                  <w:noWrap w:val="0"/>
                  <w:vAlign w:val="center"/>
                </w:tcPr>
                <w:p w14:paraId="5E79F39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15.7</w:t>
                  </w:r>
                </w:p>
              </w:tc>
              <w:tc>
                <w:tcPr>
                  <w:tcW w:w="728" w:type="dxa"/>
                  <w:tcBorders>
                    <w:top w:val="single" w:color="auto" w:sz="4" w:space="0"/>
                    <w:bottom w:val="single" w:color="auto" w:sz="4" w:space="0"/>
                  </w:tcBorders>
                  <w:noWrap w:val="0"/>
                  <w:vAlign w:val="center"/>
                </w:tcPr>
                <w:p w14:paraId="1A0BFB0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39.8</w:t>
                  </w:r>
                </w:p>
              </w:tc>
              <w:tc>
                <w:tcPr>
                  <w:tcW w:w="730" w:type="dxa"/>
                  <w:tcBorders>
                    <w:top w:val="single" w:color="auto" w:sz="4" w:space="0"/>
                    <w:bottom w:val="single" w:color="auto" w:sz="4" w:space="0"/>
                  </w:tcBorders>
                  <w:noWrap w:val="0"/>
                  <w:vAlign w:val="center"/>
                </w:tcPr>
                <w:p w14:paraId="5409C8B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351AD27A">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23.9</w:t>
                  </w:r>
                </w:p>
              </w:tc>
              <w:tc>
                <w:tcPr>
                  <w:tcW w:w="1046" w:type="dxa"/>
                  <w:tcBorders>
                    <w:top w:val="single" w:color="auto" w:sz="4" w:space="0"/>
                    <w:bottom w:val="single" w:color="auto" w:sz="4" w:space="0"/>
                  </w:tcBorders>
                  <w:noWrap w:val="0"/>
                  <w:vAlign w:val="center"/>
                </w:tcPr>
                <w:p w14:paraId="08727C3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50.70</w:t>
                  </w:r>
                </w:p>
              </w:tc>
            </w:tr>
            <w:tr w14:paraId="1A1D0A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461" w:type="dxa"/>
                  <w:tcBorders>
                    <w:top w:val="single" w:color="auto" w:sz="4" w:space="0"/>
                    <w:bottom w:val="single" w:color="auto" w:sz="4" w:space="0"/>
                  </w:tcBorders>
                  <w:noWrap w:val="0"/>
                  <w:vAlign w:val="center"/>
                </w:tcPr>
                <w:p w14:paraId="4F808E5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lang w:val="en-US" w:eastAsia="zh-CN"/>
                    </w:rPr>
                  </w:pPr>
                  <w:r>
                    <w:rPr>
                      <w:rFonts w:hint="eastAsia" w:cs="Times New Roman"/>
                      <w:kern w:val="0"/>
                      <w:sz w:val="21"/>
                      <w:szCs w:val="21"/>
                      <w:highlight w:val="none"/>
                      <w:lang w:val="en-US" w:eastAsia="zh-CN"/>
                    </w:rPr>
                    <w:t>15</w:t>
                  </w:r>
                </w:p>
              </w:tc>
              <w:tc>
                <w:tcPr>
                  <w:tcW w:w="670" w:type="dxa"/>
                  <w:vMerge w:val="continue"/>
                  <w:tcBorders>
                    <w:top w:val="single" w:color="auto" w:sz="4" w:space="0"/>
                    <w:bottom w:val="single" w:color="auto" w:sz="4" w:space="0"/>
                  </w:tcBorders>
                  <w:noWrap w:val="0"/>
                  <w:vAlign w:val="center"/>
                </w:tcPr>
                <w:p w14:paraId="666865F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cs="Times New Roman"/>
                      <w:sz w:val="21"/>
                      <w:szCs w:val="21"/>
                      <w:highlight w:val="none"/>
                      <w:lang w:val="en-US" w:eastAsia="zh-CN"/>
                    </w:rPr>
                  </w:pPr>
                </w:p>
              </w:tc>
              <w:tc>
                <w:tcPr>
                  <w:tcW w:w="1240" w:type="dxa"/>
                  <w:tcBorders>
                    <w:top w:val="single" w:color="auto" w:sz="4" w:space="0"/>
                    <w:bottom w:val="single" w:color="auto" w:sz="4" w:space="0"/>
                  </w:tcBorders>
                  <w:noWrap w:val="0"/>
                  <w:vAlign w:val="center"/>
                </w:tcPr>
                <w:p w14:paraId="102307B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自动上料机</w:t>
                  </w:r>
                </w:p>
              </w:tc>
              <w:tc>
                <w:tcPr>
                  <w:tcW w:w="828" w:type="dxa"/>
                  <w:tcBorders>
                    <w:top w:val="single" w:color="auto" w:sz="4" w:space="0"/>
                    <w:bottom w:val="single" w:color="auto" w:sz="4" w:space="0"/>
                  </w:tcBorders>
                  <w:noWrap w:val="0"/>
                  <w:vAlign w:val="center"/>
                </w:tcPr>
                <w:p w14:paraId="285B9DF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80</w:t>
                  </w:r>
                </w:p>
              </w:tc>
              <w:tc>
                <w:tcPr>
                  <w:tcW w:w="603" w:type="dxa"/>
                  <w:tcBorders>
                    <w:top w:val="single" w:color="auto" w:sz="4" w:space="0"/>
                    <w:bottom w:val="single" w:color="auto" w:sz="4" w:space="0"/>
                  </w:tcBorders>
                  <w:noWrap w:val="0"/>
                  <w:vAlign w:val="center"/>
                </w:tcPr>
                <w:p w14:paraId="6E0E5E3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19</w:t>
                  </w:r>
                </w:p>
              </w:tc>
              <w:tc>
                <w:tcPr>
                  <w:tcW w:w="748" w:type="dxa"/>
                  <w:vMerge w:val="continue"/>
                  <w:tcBorders>
                    <w:top w:val="single" w:color="auto" w:sz="4" w:space="0"/>
                    <w:bottom w:val="single" w:color="auto" w:sz="4" w:space="0"/>
                  </w:tcBorders>
                  <w:noWrap w:val="0"/>
                  <w:vAlign w:val="center"/>
                </w:tcPr>
                <w:p w14:paraId="765E52D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4" w:space="0"/>
                  </w:tcBorders>
                  <w:noWrap w:val="0"/>
                  <w:vAlign w:val="center"/>
                </w:tcPr>
                <w:p w14:paraId="0EF75D4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14.3</w:t>
                  </w:r>
                </w:p>
              </w:tc>
              <w:tc>
                <w:tcPr>
                  <w:tcW w:w="728" w:type="dxa"/>
                  <w:tcBorders>
                    <w:top w:val="single" w:color="auto" w:sz="4" w:space="0"/>
                    <w:bottom w:val="single" w:color="auto" w:sz="4" w:space="0"/>
                  </w:tcBorders>
                  <w:noWrap w:val="0"/>
                  <w:vAlign w:val="center"/>
                </w:tcPr>
                <w:p w14:paraId="3B7DE47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57.7</w:t>
                  </w:r>
                </w:p>
              </w:tc>
              <w:tc>
                <w:tcPr>
                  <w:tcW w:w="730" w:type="dxa"/>
                  <w:tcBorders>
                    <w:top w:val="single" w:color="auto" w:sz="4" w:space="0"/>
                    <w:bottom w:val="single" w:color="auto" w:sz="4" w:space="0"/>
                  </w:tcBorders>
                  <w:noWrap w:val="0"/>
                  <w:vAlign w:val="center"/>
                </w:tcPr>
                <w:p w14:paraId="1F02D32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7FFA3F8F">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31.0</w:t>
                  </w:r>
                </w:p>
              </w:tc>
              <w:tc>
                <w:tcPr>
                  <w:tcW w:w="1046" w:type="dxa"/>
                  <w:tcBorders>
                    <w:top w:val="single" w:color="auto" w:sz="4" w:space="0"/>
                    <w:bottom w:val="single" w:color="auto" w:sz="4" w:space="0"/>
                  </w:tcBorders>
                  <w:noWrap w:val="0"/>
                  <w:vAlign w:val="center"/>
                </w:tcPr>
                <w:p w14:paraId="33520C1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49.78</w:t>
                  </w:r>
                </w:p>
              </w:tc>
            </w:tr>
            <w:tr w14:paraId="77ECF5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461" w:type="dxa"/>
                  <w:tcBorders>
                    <w:top w:val="single" w:color="auto" w:sz="4" w:space="0"/>
                    <w:bottom w:val="single" w:color="auto" w:sz="4" w:space="0"/>
                  </w:tcBorders>
                  <w:noWrap w:val="0"/>
                  <w:vAlign w:val="center"/>
                </w:tcPr>
                <w:p w14:paraId="304B708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lang w:val="en-US" w:eastAsia="zh-CN"/>
                    </w:rPr>
                  </w:pPr>
                  <w:r>
                    <w:rPr>
                      <w:rFonts w:hint="eastAsia" w:cs="Times New Roman"/>
                      <w:kern w:val="0"/>
                      <w:sz w:val="21"/>
                      <w:szCs w:val="21"/>
                      <w:highlight w:val="none"/>
                      <w:lang w:val="en-US" w:eastAsia="zh-CN"/>
                    </w:rPr>
                    <w:t>16</w:t>
                  </w:r>
                </w:p>
              </w:tc>
              <w:tc>
                <w:tcPr>
                  <w:tcW w:w="670" w:type="dxa"/>
                  <w:vMerge w:val="continue"/>
                  <w:tcBorders>
                    <w:top w:val="single" w:color="auto" w:sz="4" w:space="0"/>
                    <w:bottom w:val="single" w:color="auto" w:sz="4" w:space="0"/>
                  </w:tcBorders>
                  <w:noWrap w:val="0"/>
                  <w:vAlign w:val="center"/>
                </w:tcPr>
                <w:p w14:paraId="2DC42BA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cs="Times New Roman"/>
                      <w:sz w:val="21"/>
                      <w:szCs w:val="21"/>
                      <w:highlight w:val="none"/>
                      <w:lang w:val="en-US" w:eastAsia="zh-CN"/>
                    </w:rPr>
                  </w:pPr>
                </w:p>
              </w:tc>
              <w:tc>
                <w:tcPr>
                  <w:tcW w:w="1240" w:type="dxa"/>
                  <w:tcBorders>
                    <w:top w:val="single" w:color="auto" w:sz="4" w:space="0"/>
                    <w:bottom w:val="single" w:color="auto" w:sz="4" w:space="0"/>
                  </w:tcBorders>
                  <w:noWrap w:val="0"/>
                  <w:vAlign w:val="center"/>
                </w:tcPr>
                <w:p w14:paraId="325CCD8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自动装盒机（双通道）</w:t>
                  </w:r>
                </w:p>
              </w:tc>
              <w:tc>
                <w:tcPr>
                  <w:tcW w:w="828" w:type="dxa"/>
                  <w:tcBorders>
                    <w:top w:val="single" w:color="auto" w:sz="4" w:space="0"/>
                    <w:bottom w:val="single" w:color="auto" w:sz="4" w:space="0"/>
                  </w:tcBorders>
                  <w:noWrap w:val="0"/>
                  <w:vAlign w:val="center"/>
                </w:tcPr>
                <w:p w14:paraId="35F04CF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80</w:t>
                  </w:r>
                </w:p>
              </w:tc>
              <w:tc>
                <w:tcPr>
                  <w:tcW w:w="603" w:type="dxa"/>
                  <w:tcBorders>
                    <w:top w:val="single" w:color="auto" w:sz="4" w:space="0"/>
                    <w:bottom w:val="single" w:color="auto" w:sz="4" w:space="0"/>
                  </w:tcBorders>
                  <w:noWrap w:val="0"/>
                  <w:vAlign w:val="center"/>
                </w:tcPr>
                <w:p w14:paraId="0FC0921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8</w:t>
                  </w:r>
                </w:p>
              </w:tc>
              <w:tc>
                <w:tcPr>
                  <w:tcW w:w="748" w:type="dxa"/>
                  <w:vMerge w:val="continue"/>
                  <w:tcBorders>
                    <w:top w:val="single" w:color="auto" w:sz="4" w:space="0"/>
                    <w:bottom w:val="single" w:color="auto" w:sz="4" w:space="0"/>
                  </w:tcBorders>
                  <w:noWrap w:val="0"/>
                  <w:vAlign w:val="center"/>
                </w:tcPr>
                <w:p w14:paraId="604C6A0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4" w:space="0"/>
                  </w:tcBorders>
                  <w:noWrap w:val="0"/>
                  <w:vAlign w:val="center"/>
                </w:tcPr>
                <w:p w14:paraId="1D1D014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14.8</w:t>
                  </w:r>
                </w:p>
              </w:tc>
              <w:tc>
                <w:tcPr>
                  <w:tcW w:w="728" w:type="dxa"/>
                  <w:tcBorders>
                    <w:top w:val="single" w:color="auto" w:sz="4" w:space="0"/>
                    <w:bottom w:val="single" w:color="auto" w:sz="4" w:space="0"/>
                  </w:tcBorders>
                  <w:noWrap w:val="0"/>
                  <w:vAlign w:val="center"/>
                </w:tcPr>
                <w:p w14:paraId="0AC4AE2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73.8</w:t>
                  </w:r>
                </w:p>
              </w:tc>
              <w:tc>
                <w:tcPr>
                  <w:tcW w:w="730" w:type="dxa"/>
                  <w:tcBorders>
                    <w:top w:val="single" w:color="auto" w:sz="4" w:space="0"/>
                    <w:bottom w:val="single" w:color="auto" w:sz="4" w:space="0"/>
                  </w:tcBorders>
                  <w:noWrap w:val="0"/>
                  <w:vAlign w:val="center"/>
                </w:tcPr>
                <w:p w14:paraId="615F6C6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2D641724">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42.9</w:t>
                  </w:r>
                </w:p>
              </w:tc>
              <w:tc>
                <w:tcPr>
                  <w:tcW w:w="1046" w:type="dxa"/>
                  <w:tcBorders>
                    <w:top w:val="single" w:color="auto" w:sz="4" w:space="0"/>
                    <w:bottom w:val="single" w:color="auto" w:sz="4" w:space="0"/>
                  </w:tcBorders>
                  <w:noWrap w:val="0"/>
                  <w:vAlign w:val="center"/>
                </w:tcPr>
                <w:p w14:paraId="35D8D0E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48.99</w:t>
                  </w:r>
                </w:p>
              </w:tc>
            </w:tr>
            <w:tr w14:paraId="2ADEE6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461" w:type="dxa"/>
                  <w:tcBorders>
                    <w:top w:val="single" w:color="auto" w:sz="4" w:space="0"/>
                    <w:bottom w:val="single" w:color="auto" w:sz="4" w:space="0"/>
                  </w:tcBorders>
                  <w:noWrap w:val="0"/>
                  <w:vAlign w:val="center"/>
                </w:tcPr>
                <w:p w14:paraId="4CE434E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lang w:val="en-US" w:eastAsia="zh-CN"/>
                    </w:rPr>
                  </w:pPr>
                  <w:r>
                    <w:rPr>
                      <w:rFonts w:hint="eastAsia" w:cs="Times New Roman"/>
                      <w:kern w:val="0"/>
                      <w:sz w:val="21"/>
                      <w:szCs w:val="21"/>
                      <w:highlight w:val="none"/>
                      <w:lang w:val="en-US" w:eastAsia="zh-CN"/>
                    </w:rPr>
                    <w:t>17</w:t>
                  </w:r>
                </w:p>
              </w:tc>
              <w:tc>
                <w:tcPr>
                  <w:tcW w:w="670" w:type="dxa"/>
                  <w:vMerge w:val="restart"/>
                  <w:tcBorders>
                    <w:top w:val="single" w:color="auto" w:sz="4" w:space="0"/>
                    <w:bottom w:val="single" w:color="auto" w:sz="4" w:space="0"/>
                  </w:tcBorders>
                  <w:noWrap w:val="0"/>
                  <w:vAlign w:val="center"/>
                </w:tcPr>
                <w:p w14:paraId="1EFF2C3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6#车间</w:t>
                  </w:r>
                </w:p>
              </w:tc>
              <w:tc>
                <w:tcPr>
                  <w:tcW w:w="1240" w:type="dxa"/>
                  <w:tcBorders>
                    <w:top w:val="single" w:color="auto" w:sz="4" w:space="0"/>
                    <w:bottom w:val="single" w:color="auto" w:sz="4" w:space="0"/>
                  </w:tcBorders>
                  <w:noWrap w:val="0"/>
                  <w:vAlign w:val="center"/>
                </w:tcPr>
                <w:p w14:paraId="7EEA3D6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全自动制片机</w:t>
                  </w:r>
                </w:p>
              </w:tc>
              <w:tc>
                <w:tcPr>
                  <w:tcW w:w="828" w:type="dxa"/>
                  <w:tcBorders>
                    <w:top w:val="single" w:color="auto" w:sz="4" w:space="0"/>
                    <w:bottom w:val="single" w:color="auto" w:sz="4" w:space="0"/>
                  </w:tcBorders>
                  <w:noWrap w:val="0"/>
                  <w:vAlign w:val="center"/>
                </w:tcPr>
                <w:p w14:paraId="3485709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80</w:t>
                  </w:r>
                </w:p>
              </w:tc>
              <w:tc>
                <w:tcPr>
                  <w:tcW w:w="603" w:type="dxa"/>
                  <w:tcBorders>
                    <w:top w:val="single" w:color="auto" w:sz="4" w:space="0"/>
                    <w:bottom w:val="single" w:color="auto" w:sz="4" w:space="0"/>
                  </w:tcBorders>
                  <w:noWrap w:val="0"/>
                  <w:vAlign w:val="center"/>
                </w:tcPr>
                <w:p w14:paraId="581D734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10</w:t>
                  </w:r>
                </w:p>
              </w:tc>
              <w:tc>
                <w:tcPr>
                  <w:tcW w:w="748" w:type="dxa"/>
                  <w:vMerge w:val="continue"/>
                  <w:tcBorders>
                    <w:top w:val="single" w:color="auto" w:sz="4" w:space="0"/>
                    <w:bottom w:val="single" w:color="auto" w:sz="4" w:space="0"/>
                  </w:tcBorders>
                  <w:noWrap w:val="0"/>
                  <w:vAlign w:val="center"/>
                </w:tcPr>
                <w:p w14:paraId="2D5E77B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4" w:space="0"/>
                  </w:tcBorders>
                  <w:noWrap w:val="0"/>
                  <w:vAlign w:val="center"/>
                </w:tcPr>
                <w:p w14:paraId="5EA90A6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15.6</w:t>
                  </w:r>
                </w:p>
              </w:tc>
              <w:tc>
                <w:tcPr>
                  <w:tcW w:w="728" w:type="dxa"/>
                  <w:tcBorders>
                    <w:top w:val="single" w:color="auto" w:sz="4" w:space="0"/>
                    <w:bottom w:val="single" w:color="auto" w:sz="4" w:space="0"/>
                  </w:tcBorders>
                  <w:noWrap w:val="0"/>
                  <w:vAlign w:val="center"/>
                </w:tcPr>
                <w:p w14:paraId="6BBCBAC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25.2</w:t>
                  </w:r>
                </w:p>
              </w:tc>
              <w:tc>
                <w:tcPr>
                  <w:tcW w:w="730" w:type="dxa"/>
                  <w:tcBorders>
                    <w:top w:val="single" w:color="auto" w:sz="4" w:space="0"/>
                    <w:bottom w:val="single" w:color="auto" w:sz="4" w:space="0"/>
                  </w:tcBorders>
                  <w:noWrap w:val="0"/>
                  <w:vAlign w:val="center"/>
                </w:tcPr>
                <w:p w14:paraId="1669DB7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7E81E7F4">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19.7</w:t>
                  </w:r>
                </w:p>
              </w:tc>
              <w:tc>
                <w:tcPr>
                  <w:tcW w:w="1046" w:type="dxa"/>
                  <w:tcBorders>
                    <w:top w:val="single" w:color="auto" w:sz="4" w:space="0"/>
                    <w:bottom w:val="single" w:color="auto" w:sz="4" w:space="0"/>
                  </w:tcBorders>
                  <w:noWrap w:val="0"/>
                  <w:vAlign w:val="center"/>
                </w:tcPr>
                <w:p w14:paraId="378DA32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51.58</w:t>
                  </w:r>
                </w:p>
              </w:tc>
            </w:tr>
            <w:tr w14:paraId="19981A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461" w:type="dxa"/>
                  <w:tcBorders>
                    <w:top w:val="single" w:color="auto" w:sz="4" w:space="0"/>
                    <w:bottom w:val="single" w:color="auto" w:sz="4" w:space="0"/>
                  </w:tcBorders>
                  <w:noWrap w:val="0"/>
                  <w:vAlign w:val="center"/>
                </w:tcPr>
                <w:p w14:paraId="40EF8A2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lang w:val="en-US" w:eastAsia="zh-CN"/>
                    </w:rPr>
                  </w:pPr>
                  <w:r>
                    <w:rPr>
                      <w:rFonts w:hint="eastAsia" w:cs="Times New Roman"/>
                      <w:kern w:val="0"/>
                      <w:sz w:val="21"/>
                      <w:szCs w:val="21"/>
                      <w:highlight w:val="none"/>
                      <w:lang w:val="en-US" w:eastAsia="zh-CN"/>
                    </w:rPr>
                    <w:t>18</w:t>
                  </w:r>
                </w:p>
              </w:tc>
              <w:tc>
                <w:tcPr>
                  <w:tcW w:w="670" w:type="dxa"/>
                  <w:vMerge w:val="continue"/>
                  <w:tcBorders>
                    <w:top w:val="single" w:color="auto" w:sz="4" w:space="0"/>
                    <w:bottom w:val="single" w:color="auto" w:sz="4" w:space="0"/>
                  </w:tcBorders>
                  <w:noWrap w:val="0"/>
                  <w:vAlign w:val="center"/>
                </w:tcPr>
                <w:p w14:paraId="1DC74D5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cs="Times New Roman"/>
                      <w:sz w:val="21"/>
                      <w:szCs w:val="21"/>
                      <w:highlight w:val="none"/>
                      <w:lang w:val="en-US" w:eastAsia="zh-CN"/>
                    </w:rPr>
                  </w:pPr>
                </w:p>
              </w:tc>
              <w:tc>
                <w:tcPr>
                  <w:tcW w:w="1240" w:type="dxa"/>
                  <w:tcBorders>
                    <w:top w:val="single" w:color="auto" w:sz="4" w:space="0"/>
                    <w:bottom w:val="single" w:color="auto" w:sz="4" w:space="0"/>
                  </w:tcBorders>
                  <w:noWrap w:val="0"/>
                  <w:vAlign w:val="center"/>
                </w:tcPr>
                <w:p w14:paraId="4176F32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回馈式针床化成检测设备</w:t>
                  </w:r>
                </w:p>
              </w:tc>
              <w:tc>
                <w:tcPr>
                  <w:tcW w:w="828" w:type="dxa"/>
                  <w:tcBorders>
                    <w:top w:val="single" w:color="auto" w:sz="4" w:space="0"/>
                    <w:bottom w:val="single" w:color="auto" w:sz="4" w:space="0"/>
                  </w:tcBorders>
                  <w:noWrap w:val="0"/>
                  <w:vAlign w:val="center"/>
                </w:tcPr>
                <w:p w14:paraId="24E4BC2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80</w:t>
                  </w:r>
                </w:p>
              </w:tc>
              <w:tc>
                <w:tcPr>
                  <w:tcW w:w="603" w:type="dxa"/>
                  <w:tcBorders>
                    <w:top w:val="single" w:color="auto" w:sz="4" w:space="0"/>
                    <w:bottom w:val="single" w:color="auto" w:sz="4" w:space="0"/>
                  </w:tcBorders>
                  <w:noWrap w:val="0"/>
                  <w:vAlign w:val="center"/>
                </w:tcPr>
                <w:p w14:paraId="4133FE7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195</w:t>
                  </w:r>
                </w:p>
              </w:tc>
              <w:tc>
                <w:tcPr>
                  <w:tcW w:w="748" w:type="dxa"/>
                  <w:vMerge w:val="continue"/>
                  <w:tcBorders>
                    <w:top w:val="single" w:color="auto" w:sz="4" w:space="0"/>
                    <w:bottom w:val="single" w:color="auto" w:sz="4" w:space="0"/>
                  </w:tcBorders>
                  <w:noWrap w:val="0"/>
                  <w:vAlign w:val="center"/>
                </w:tcPr>
                <w:p w14:paraId="325CC48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4" w:space="0"/>
                  </w:tcBorders>
                  <w:noWrap w:val="0"/>
                  <w:vAlign w:val="center"/>
                </w:tcPr>
                <w:p w14:paraId="05D745C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15.2</w:t>
                  </w:r>
                </w:p>
              </w:tc>
              <w:tc>
                <w:tcPr>
                  <w:tcW w:w="728" w:type="dxa"/>
                  <w:tcBorders>
                    <w:top w:val="single" w:color="auto" w:sz="4" w:space="0"/>
                    <w:bottom w:val="single" w:color="auto" w:sz="4" w:space="0"/>
                  </w:tcBorders>
                  <w:noWrap w:val="0"/>
                  <w:vAlign w:val="center"/>
                </w:tcPr>
                <w:p w14:paraId="7187FE3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42.7</w:t>
                  </w:r>
                </w:p>
              </w:tc>
              <w:tc>
                <w:tcPr>
                  <w:tcW w:w="730" w:type="dxa"/>
                  <w:tcBorders>
                    <w:top w:val="single" w:color="auto" w:sz="4" w:space="0"/>
                    <w:bottom w:val="single" w:color="auto" w:sz="4" w:space="0"/>
                  </w:tcBorders>
                  <w:noWrap w:val="0"/>
                  <w:vAlign w:val="center"/>
                </w:tcPr>
                <w:p w14:paraId="4837538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27E027CC">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26.9</w:t>
                  </w:r>
                </w:p>
              </w:tc>
              <w:tc>
                <w:tcPr>
                  <w:tcW w:w="1046" w:type="dxa"/>
                  <w:tcBorders>
                    <w:top w:val="single" w:color="auto" w:sz="4" w:space="0"/>
                    <w:bottom w:val="single" w:color="auto" w:sz="4" w:space="0"/>
                  </w:tcBorders>
                  <w:noWrap w:val="0"/>
                  <w:vAlign w:val="center"/>
                </w:tcPr>
                <w:p w14:paraId="3BD7C39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50.25</w:t>
                  </w:r>
                </w:p>
              </w:tc>
            </w:tr>
            <w:tr w14:paraId="724676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461" w:type="dxa"/>
                  <w:tcBorders>
                    <w:top w:val="single" w:color="auto" w:sz="4" w:space="0"/>
                    <w:bottom w:val="single" w:color="auto" w:sz="4" w:space="0"/>
                  </w:tcBorders>
                  <w:noWrap w:val="0"/>
                  <w:vAlign w:val="center"/>
                </w:tcPr>
                <w:p w14:paraId="1AA0130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lang w:val="en-US" w:eastAsia="zh-CN"/>
                    </w:rPr>
                  </w:pPr>
                  <w:r>
                    <w:rPr>
                      <w:rFonts w:hint="eastAsia" w:cs="Times New Roman"/>
                      <w:kern w:val="0"/>
                      <w:sz w:val="21"/>
                      <w:szCs w:val="21"/>
                      <w:highlight w:val="none"/>
                      <w:lang w:val="en-US" w:eastAsia="zh-CN"/>
                    </w:rPr>
                    <w:t>19</w:t>
                  </w:r>
                </w:p>
              </w:tc>
              <w:tc>
                <w:tcPr>
                  <w:tcW w:w="670" w:type="dxa"/>
                  <w:vMerge w:val="continue"/>
                  <w:tcBorders>
                    <w:top w:val="single" w:color="auto" w:sz="4" w:space="0"/>
                    <w:bottom w:val="single" w:color="auto" w:sz="4" w:space="0"/>
                  </w:tcBorders>
                  <w:noWrap w:val="0"/>
                  <w:vAlign w:val="center"/>
                </w:tcPr>
                <w:p w14:paraId="275D682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cs="Times New Roman"/>
                      <w:sz w:val="21"/>
                      <w:szCs w:val="21"/>
                      <w:highlight w:val="none"/>
                      <w:lang w:val="en-US" w:eastAsia="zh-CN"/>
                    </w:rPr>
                  </w:pPr>
                </w:p>
              </w:tc>
              <w:tc>
                <w:tcPr>
                  <w:tcW w:w="1240" w:type="dxa"/>
                  <w:tcBorders>
                    <w:top w:val="single" w:color="auto" w:sz="4" w:space="0"/>
                    <w:bottom w:val="single" w:color="auto" w:sz="4" w:space="0"/>
                  </w:tcBorders>
                  <w:noWrap w:val="0"/>
                  <w:vAlign w:val="center"/>
                </w:tcPr>
                <w:p w14:paraId="3FC9278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自动上料机</w:t>
                  </w:r>
                </w:p>
              </w:tc>
              <w:tc>
                <w:tcPr>
                  <w:tcW w:w="828" w:type="dxa"/>
                  <w:tcBorders>
                    <w:top w:val="single" w:color="auto" w:sz="4" w:space="0"/>
                    <w:bottom w:val="single" w:color="auto" w:sz="4" w:space="0"/>
                  </w:tcBorders>
                  <w:noWrap w:val="0"/>
                  <w:vAlign w:val="center"/>
                </w:tcPr>
                <w:p w14:paraId="7F3B2EF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80</w:t>
                  </w:r>
                </w:p>
              </w:tc>
              <w:tc>
                <w:tcPr>
                  <w:tcW w:w="603" w:type="dxa"/>
                  <w:tcBorders>
                    <w:top w:val="single" w:color="auto" w:sz="4" w:space="0"/>
                    <w:bottom w:val="single" w:color="auto" w:sz="4" w:space="0"/>
                  </w:tcBorders>
                  <w:noWrap w:val="0"/>
                  <w:vAlign w:val="center"/>
                </w:tcPr>
                <w:p w14:paraId="612313F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19</w:t>
                  </w:r>
                </w:p>
              </w:tc>
              <w:tc>
                <w:tcPr>
                  <w:tcW w:w="748" w:type="dxa"/>
                  <w:vMerge w:val="continue"/>
                  <w:tcBorders>
                    <w:top w:val="single" w:color="auto" w:sz="4" w:space="0"/>
                    <w:bottom w:val="single" w:color="auto" w:sz="4" w:space="0"/>
                  </w:tcBorders>
                  <w:noWrap w:val="0"/>
                  <w:vAlign w:val="center"/>
                </w:tcPr>
                <w:p w14:paraId="091A0E8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4" w:space="0"/>
                  </w:tcBorders>
                  <w:noWrap w:val="0"/>
                  <w:vAlign w:val="center"/>
                </w:tcPr>
                <w:p w14:paraId="5776A7F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16.1</w:t>
                  </w:r>
                </w:p>
              </w:tc>
              <w:tc>
                <w:tcPr>
                  <w:tcW w:w="728" w:type="dxa"/>
                  <w:tcBorders>
                    <w:top w:val="single" w:color="auto" w:sz="4" w:space="0"/>
                    <w:bottom w:val="single" w:color="auto" w:sz="4" w:space="0"/>
                  </w:tcBorders>
                  <w:noWrap w:val="0"/>
                  <w:vAlign w:val="center"/>
                </w:tcPr>
                <w:p w14:paraId="704DB33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60.1</w:t>
                  </w:r>
                </w:p>
              </w:tc>
              <w:tc>
                <w:tcPr>
                  <w:tcW w:w="730" w:type="dxa"/>
                  <w:tcBorders>
                    <w:top w:val="single" w:color="auto" w:sz="4" w:space="0"/>
                    <w:bottom w:val="single" w:color="auto" w:sz="4" w:space="0"/>
                  </w:tcBorders>
                  <w:noWrap w:val="0"/>
                  <w:vAlign w:val="center"/>
                </w:tcPr>
                <w:p w14:paraId="7705871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2A01A56B">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17.6</w:t>
                  </w:r>
                </w:p>
              </w:tc>
              <w:tc>
                <w:tcPr>
                  <w:tcW w:w="1046" w:type="dxa"/>
                  <w:tcBorders>
                    <w:top w:val="single" w:color="auto" w:sz="4" w:space="0"/>
                    <w:bottom w:val="single" w:color="auto" w:sz="4" w:space="0"/>
                  </w:tcBorders>
                  <w:noWrap w:val="0"/>
                  <w:vAlign w:val="center"/>
                </w:tcPr>
                <w:p w14:paraId="24D7CCA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52.17</w:t>
                  </w:r>
                </w:p>
              </w:tc>
            </w:tr>
            <w:tr w14:paraId="5528C6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461" w:type="dxa"/>
                  <w:tcBorders>
                    <w:top w:val="single" w:color="auto" w:sz="4" w:space="0"/>
                    <w:bottom w:val="single" w:color="auto" w:sz="8" w:space="0"/>
                  </w:tcBorders>
                  <w:noWrap w:val="0"/>
                  <w:vAlign w:val="center"/>
                </w:tcPr>
                <w:p w14:paraId="2327EC7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lang w:val="en-US" w:eastAsia="zh-CN"/>
                    </w:rPr>
                  </w:pPr>
                  <w:r>
                    <w:rPr>
                      <w:rFonts w:hint="eastAsia" w:cs="Times New Roman"/>
                      <w:kern w:val="0"/>
                      <w:sz w:val="21"/>
                      <w:szCs w:val="21"/>
                      <w:highlight w:val="none"/>
                      <w:lang w:val="en-US" w:eastAsia="zh-CN"/>
                    </w:rPr>
                    <w:t>20</w:t>
                  </w:r>
                </w:p>
              </w:tc>
              <w:tc>
                <w:tcPr>
                  <w:tcW w:w="670" w:type="dxa"/>
                  <w:vMerge w:val="continue"/>
                  <w:tcBorders>
                    <w:top w:val="single" w:color="auto" w:sz="4" w:space="0"/>
                    <w:bottom w:val="single" w:color="auto" w:sz="8" w:space="0"/>
                  </w:tcBorders>
                  <w:noWrap w:val="0"/>
                  <w:vAlign w:val="center"/>
                </w:tcPr>
                <w:p w14:paraId="73BF956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cs="Times New Roman"/>
                      <w:sz w:val="21"/>
                      <w:szCs w:val="21"/>
                      <w:highlight w:val="none"/>
                      <w:lang w:val="en-US" w:eastAsia="zh-CN"/>
                    </w:rPr>
                  </w:pPr>
                </w:p>
              </w:tc>
              <w:tc>
                <w:tcPr>
                  <w:tcW w:w="1240" w:type="dxa"/>
                  <w:tcBorders>
                    <w:top w:val="single" w:color="auto" w:sz="4" w:space="0"/>
                    <w:bottom w:val="single" w:color="auto" w:sz="8" w:space="0"/>
                  </w:tcBorders>
                  <w:noWrap w:val="0"/>
                  <w:vAlign w:val="center"/>
                </w:tcPr>
                <w:p w14:paraId="03D0A7F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自动装盒机（双通道）</w:t>
                  </w:r>
                </w:p>
              </w:tc>
              <w:tc>
                <w:tcPr>
                  <w:tcW w:w="828" w:type="dxa"/>
                  <w:tcBorders>
                    <w:top w:val="single" w:color="auto" w:sz="4" w:space="0"/>
                    <w:bottom w:val="single" w:color="auto" w:sz="8" w:space="0"/>
                  </w:tcBorders>
                  <w:noWrap w:val="0"/>
                  <w:vAlign w:val="center"/>
                </w:tcPr>
                <w:p w14:paraId="6ACF3CC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80</w:t>
                  </w:r>
                </w:p>
              </w:tc>
              <w:tc>
                <w:tcPr>
                  <w:tcW w:w="603" w:type="dxa"/>
                  <w:tcBorders>
                    <w:top w:val="single" w:color="auto" w:sz="4" w:space="0"/>
                    <w:bottom w:val="single" w:color="auto" w:sz="8" w:space="0"/>
                  </w:tcBorders>
                  <w:noWrap w:val="0"/>
                  <w:vAlign w:val="center"/>
                </w:tcPr>
                <w:p w14:paraId="577678B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eastAsia" w:cs="Times New Roman"/>
                      <w:sz w:val="21"/>
                      <w:szCs w:val="21"/>
                      <w:highlight w:val="none"/>
                      <w:lang w:val="en-US" w:eastAsia="zh-CN"/>
                    </w:rPr>
                  </w:pPr>
                  <w:r>
                    <w:rPr>
                      <w:rFonts w:hint="eastAsia" w:cs="Times New Roman"/>
                      <w:sz w:val="21"/>
                      <w:szCs w:val="21"/>
                      <w:highlight w:val="none"/>
                      <w:lang w:val="en-US" w:eastAsia="zh-CN"/>
                    </w:rPr>
                    <w:t>8</w:t>
                  </w:r>
                </w:p>
              </w:tc>
              <w:tc>
                <w:tcPr>
                  <w:tcW w:w="748" w:type="dxa"/>
                  <w:vMerge w:val="continue"/>
                  <w:tcBorders>
                    <w:top w:val="single" w:color="auto" w:sz="4" w:space="0"/>
                    <w:bottom w:val="single" w:color="auto" w:sz="8" w:space="0"/>
                  </w:tcBorders>
                  <w:noWrap w:val="0"/>
                  <w:vAlign w:val="center"/>
                </w:tcPr>
                <w:p w14:paraId="29106B7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8" w:space="0"/>
                  </w:tcBorders>
                  <w:noWrap w:val="0"/>
                  <w:vAlign w:val="center"/>
                </w:tcPr>
                <w:p w14:paraId="314760B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14.9</w:t>
                  </w:r>
                </w:p>
              </w:tc>
              <w:tc>
                <w:tcPr>
                  <w:tcW w:w="728" w:type="dxa"/>
                  <w:tcBorders>
                    <w:top w:val="single" w:color="auto" w:sz="4" w:space="0"/>
                    <w:bottom w:val="single" w:color="auto" w:sz="8" w:space="0"/>
                  </w:tcBorders>
                  <w:noWrap w:val="0"/>
                  <w:vAlign w:val="center"/>
                </w:tcPr>
                <w:p w14:paraId="60FE48F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76.9</w:t>
                  </w:r>
                </w:p>
              </w:tc>
              <w:tc>
                <w:tcPr>
                  <w:tcW w:w="730" w:type="dxa"/>
                  <w:tcBorders>
                    <w:top w:val="single" w:color="auto" w:sz="4" w:space="0"/>
                    <w:bottom w:val="single" w:color="auto" w:sz="8" w:space="0"/>
                  </w:tcBorders>
                  <w:noWrap w:val="0"/>
                  <w:vAlign w:val="center"/>
                </w:tcPr>
                <w:p w14:paraId="7ECB980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1.2</w:t>
                  </w:r>
                </w:p>
              </w:tc>
              <w:tc>
                <w:tcPr>
                  <w:tcW w:w="790" w:type="dxa"/>
                  <w:tcBorders>
                    <w:top w:val="single" w:color="auto" w:sz="4" w:space="0"/>
                    <w:bottom w:val="single" w:color="auto" w:sz="8" w:space="0"/>
                  </w:tcBorders>
                  <w:noWrap w:val="0"/>
                  <w:vAlign w:val="center"/>
                </w:tcPr>
                <w:p w14:paraId="61EB89A4">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42.6</w:t>
                  </w:r>
                </w:p>
              </w:tc>
              <w:tc>
                <w:tcPr>
                  <w:tcW w:w="1046" w:type="dxa"/>
                  <w:tcBorders>
                    <w:top w:val="single" w:color="auto" w:sz="4" w:space="0"/>
                    <w:bottom w:val="single" w:color="auto" w:sz="8" w:space="0"/>
                  </w:tcBorders>
                  <w:noWrap w:val="0"/>
                  <w:vAlign w:val="center"/>
                </w:tcPr>
                <w:p w14:paraId="78696C8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49.00</w:t>
                  </w:r>
                </w:p>
              </w:tc>
            </w:tr>
          </w:tbl>
          <w:p w14:paraId="66FFED19">
            <w:pPr>
              <w:keepNext w:val="0"/>
              <w:keepLines w:val="0"/>
              <w:suppressLineNumbers w:val="0"/>
              <w:spacing w:before="0" w:beforeAutospacing="0" w:after="0" w:afterAutospacing="0" w:line="440" w:lineRule="exact"/>
              <w:ind w:left="0" w:right="0" w:firstLine="480" w:firstLineChars="200"/>
              <w:rPr>
                <w:rFonts w:hint="default"/>
                <w:sz w:val="24"/>
              </w:rPr>
            </w:pPr>
            <w:r>
              <w:rPr>
                <w:rFonts w:hint="default"/>
                <w:sz w:val="24"/>
              </w:rPr>
              <w:t>本项目主要噪声源的</w:t>
            </w:r>
            <w:r>
              <w:rPr>
                <w:rFonts w:hint="eastAsia"/>
                <w:sz w:val="24"/>
                <w:lang w:val="en-US" w:eastAsia="zh-CN"/>
              </w:rPr>
              <w:t>叠加</w:t>
            </w:r>
            <w:r>
              <w:rPr>
                <w:rFonts w:hint="default"/>
                <w:sz w:val="24"/>
              </w:rPr>
              <w:t>声级及治理情况见下表。</w:t>
            </w:r>
          </w:p>
          <w:p w14:paraId="654717FE">
            <w:pPr>
              <w:keepNext w:val="0"/>
              <w:keepLines w:val="0"/>
              <w:suppressLineNumbers w:val="0"/>
              <w:spacing w:before="0" w:beforeAutospacing="0" w:after="0" w:afterAutospacing="0" w:line="440" w:lineRule="exact"/>
              <w:ind w:left="0" w:right="0"/>
              <w:jc w:val="center"/>
              <w:rPr>
                <w:rFonts w:hint="default"/>
                <w:b/>
                <w:bCs/>
                <w:color w:val="auto"/>
                <w:highlight w:val="none"/>
              </w:rPr>
            </w:pPr>
            <w:r>
              <w:rPr>
                <w:rFonts w:hint="default"/>
                <w:b/>
                <w:bCs/>
                <w:color w:val="auto"/>
                <w:kern w:val="0"/>
                <w:sz w:val="24"/>
                <w:highlight w:val="none"/>
              </w:rPr>
              <w:t>表</w:t>
            </w:r>
            <w:r>
              <w:rPr>
                <w:rFonts w:hint="eastAsia"/>
                <w:b/>
                <w:bCs/>
                <w:color w:val="auto"/>
                <w:kern w:val="0"/>
                <w:sz w:val="24"/>
                <w:highlight w:val="none"/>
                <w:lang w:val="en-US" w:eastAsia="zh-CN"/>
              </w:rPr>
              <w:t xml:space="preserve">31  </w:t>
            </w:r>
            <w:r>
              <w:rPr>
                <w:rFonts w:hint="default"/>
                <w:b/>
                <w:bCs/>
                <w:color w:val="auto"/>
                <w:kern w:val="0"/>
                <w:sz w:val="24"/>
                <w:highlight w:val="none"/>
              </w:rPr>
              <w:t>本项目主要设备</w:t>
            </w:r>
            <w:r>
              <w:rPr>
                <w:rFonts w:hint="eastAsia"/>
                <w:b/>
                <w:bCs/>
                <w:color w:val="auto"/>
                <w:sz w:val="24"/>
                <w:highlight w:val="none"/>
                <w:lang w:val="en-US" w:eastAsia="zh-CN"/>
              </w:rPr>
              <w:t>叠加</w:t>
            </w:r>
            <w:r>
              <w:rPr>
                <w:rFonts w:hint="default"/>
                <w:b/>
                <w:bCs/>
                <w:color w:val="auto"/>
                <w:sz w:val="24"/>
                <w:highlight w:val="none"/>
              </w:rPr>
              <w:t>声级及治理情况</w:t>
            </w:r>
          </w:p>
          <w:tbl>
            <w:tblPr>
              <w:tblStyle w:val="24"/>
              <w:tblW w:w="4993" w:type="pct"/>
              <w:jc w:val="center"/>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6"/>
              <w:gridCol w:w="1102"/>
              <w:gridCol w:w="1302"/>
              <w:gridCol w:w="1432"/>
              <w:gridCol w:w="1873"/>
              <w:gridCol w:w="1774"/>
            </w:tblGrid>
            <w:tr w14:paraId="077C57C5">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vMerge w:val="restart"/>
                  <w:tcBorders>
                    <w:top w:val="single" w:color="auto" w:sz="8" w:space="0"/>
                    <w:bottom w:val="single" w:color="auto" w:sz="4" w:space="0"/>
                    <w:right w:val="single" w:color="auto" w:sz="4" w:space="0"/>
                  </w:tcBorders>
                  <w:vAlign w:val="center"/>
                </w:tcPr>
                <w:p w14:paraId="1F491291">
                  <w:pPr>
                    <w:keepNext w:val="0"/>
                    <w:keepLines w:val="0"/>
                    <w:suppressLineNumbers w:val="0"/>
                    <w:spacing w:before="0" w:beforeAutospacing="0" w:after="0" w:afterAutospacing="0" w:line="240" w:lineRule="auto"/>
                    <w:ind w:left="0" w:right="0"/>
                    <w:jc w:val="center"/>
                    <w:rPr>
                      <w:rFonts w:hint="eastAsia"/>
                      <w:b/>
                      <w:bCs w:val="0"/>
                      <w:kern w:val="0"/>
                      <w:sz w:val="21"/>
                      <w:szCs w:val="21"/>
                      <w:lang w:val="en-US" w:eastAsia="zh-CN"/>
                    </w:rPr>
                  </w:pPr>
                  <w:r>
                    <w:rPr>
                      <w:rFonts w:hint="eastAsia"/>
                      <w:b/>
                      <w:bCs w:val="0"/>
                      <w:kern w:val="0"/>
                      <w:sz w:val="21"/>
                      <w:szCs w:val="21"/>
                      <w:lang w:val="en-US" w:eastAsia="zh-CN"/>
                    </w:rPr>
                    <w:t>建筑物</w:t>
                  </w:r>
                </w:p>
                <w:p w14:paraId="5557FA1E">
                  <w:pPr>
                    <w:keepNext w:val="0"/>
                    <w:keepLines w:val="0"/>
                    <w:suppressLineNumbers w:val="0"/>
                    <w:spacing w:before="0" w:beforeAutospacing="0" w:after="0" w:afterAutospacing="0" w:line="240" w:lineRule="auto"/>
                    <w:ind w:left="0" w:right="0"/>
                    <w:jc w:val="center"/>
                    <w:rPr>
                      <w:rFonts w:hint="default" w:eastAsia="宋体"/>
                      <w:b/>
                      <w:bCs w:val="0"/>
                      <w:kern w:val="0"/>
                      <w:sz w:val="21"/>
                      <w:szCs w:val="21"/>
                      <w:lang w:val="en-US" w:eastAsia="zh-CN"/>
                    </w:rPr>
                  </w:pPr>
                  <w:r>
                    <w:rPr>
                      <w:rFonts w:hint="eastAsia"/>
                      <w:b/>
                      <w:bCs w:val="0"/>
                      <w:kern w:val="0"/>
                      <w:sz w:val="21"/>
                      <w:szCs w:val="21"/>
                      <w:lang w:val="en-US" w:eastAsia="zh-CN"/>
                    </w:rPr>
                    <w:t>名称</w:t>
                  </w:r>
                </w:p>
              </w:tc>
              <w:tc>
                <w:tcPr>
                  <w:tcW w:w="1102" w:type="dxa"/>
                  <w:vMerge w:val="restart"/>
                  <w:tcBorders>
                    <w:top w:val="single" w:color="auto" w:sz="8" w:space="0"/>
                    <w:left w:val="single" w:color="auto" w:sz="4" w:space="0"/>
                    <w:bottom w:val="single" w:color="auto" w:sz="4" w:space="0"/>
                    <w:right w:val="single" w:color="auto" w:sz="4" w:space="0"/>
                  </w:tcBorders>
                  <w:vAlign w:val="center"/>
                </w:tcPr>
                <w:p w14:paraId="51B8708E">
                  <w:pPr>
                    <w:keepNext w:val="0"/>
                    <w:keepLines w:val="0"/>
                    <w:suppressLineNumbers w:val="0"/>
                    <w:spacing w:before="0" w:beforeAutospacing="0" w:after="0" w:afterAutospacing="0" w:line="240" w:lineRule="auto"/>
                    <w:ind w:left="0" w:right="0"/>
                    <w:jc w:val="center"/>
                    <w:rPr>
                      <w:rFonts w:hint="default" w:eastAsia="宋体"/>
                      <w:b/>
                      <w:bCs w:val="0"/>
                      <w:kern w:val="0"/>
                      <w:sz w:val="21"/>
                      <w:szCs w:val="21"/>
                      <w:lang w:val="en-US" w:eastAsia="zh-CN"/>
                    </w:rPr>
                  </w:pPr>
                  <w:r>
                    <w:rPr>
                      <w:rFonts w:hint="default"/>
                      <w:b/>
                      <w:bCs w:val="0"/>
                      <w:kern w:val="0"/>
                      <w:sz w:val="21"/>
                      <w:szCs w:val="21"/>
                    </w:rPr>
                    <w:t>室内边界</w:t>
                  </w:r>
                  <w:r>
                    <w:rPr>
                      <w:rFonts w:hint="eastAsia"/>
                      <w:b/>
                      <w:bCs w:val="0"/>
                      <w:kern w:val="0"/>
                      <w:sz w:val="21"/>
                      <w:szCs w:val="21"/>
                    </w:rPr>
                    <w:t>叠加</w:t>
                  </w:r>
                  <w:r>
                    <w:rPr>
                      <w:rFonts w:hint="default"/>
                      <w:b/>
                      <w:bCs w:val="0"/>
                      <w:kern w:val="0"/>
                      <w:sz w:val="21"/>
                      <w:szCs w:val="21"/>
                    </w:rPr>
                    <w:t>声级/dB（A）</w:t>
                  </w:r>
                </w:p>
              </w:tc>
              <w:tc>
                <w:tcPr>
                  <w:tcW w:w="1302" w:type="dxa"/>
                  <w:vMerge w:val="restart"/>
                  <w:tcBorders>
                    <w:top w:val="single" w:color="auto" w:sz="8" w:space="0"/>
                    <w:left w:val="single" w:color="auto" w:sz="4" w:space="0"/>
                    <w:bottom w:val="single" w:color="auto" w:sz="4" w:space="0"/>
                    <w:right w:val="single" w:color="auto" w:sz="4" w:space="0"/>
                  </w:tcBorders>
                  <w:vAlign w:val="center"/>
                </w:tcPr>
                <w:p w14:paraId="60515447">
                  <w:pPr>
                    <w:keepNext w:val="0"/>
                    <w:keepLines w:val="0"/>
                    <w:suppressLineNumbers w:val="0"/>
                    <w:spacing w:before="0" w:beforeAutospacing="0" w:after="0" w:afterAutospacing="0" w:line="240" w:lineRule="auto"/>
                    <w:ind w:left="0" w:right="0"/>
                    <w:jc w:val="center"/>
                    <w:rPr>
                      <w:rFonts w:hint="default"/>
                      <w:b/>
                      <w:bCs w:val="0"/>
                      <w:sz w:val="21"/>
                      <w:szCs w:val="21"/>
                      <w:vertAlign w:val="baseline"/>
                    </w:rPr>
                  </w:pPr>
                  <w:r>
                    <w:rPr>
                      <w:rFonts w:hint="default"/>
                      <w:b/>
                      <w:bCs w:val="0"/>
                      <w:kern w:val="0"/>
                      <w:sz w:val="21"/>
                      <w:szCs w:val="21"/>
                    </w:rPr>
                    <w:t>运行时段</w:t>
                  </w:r>
                </w:p>
              </w:tc>
              <w:tc>
                <w:tcPr>
                  <w:tcW w:w="1432" w:type="dxa"/>
                  <w:vMerge w:val="restart"/>
                  <w:tcBorders>
                    <w:top w:val="single" w:color="auto" w:sz="8" w:space="0"/>
                    <w:left w:val="single" w:color="auto" w:sz="4" w:space="0"/>
                    <w:bottom w:val="single" w:color="auto" w:sz="4" w:space="0"/>
                    <w:right w:val="single" w:color="auto" w:sz="4" w:space="0"/>
                  </w:tcBorders>
                  <w:vAlign w:val="center"/>
                </w:tcPr>
                <w:p w14:paraId="76CB9015">
                  <w:pPr>
                    <w:keepNext w:val="0"/>
                    <w:keepLines w:val="0"/>
                    <w:suppressLineNumbers w:val="0"/>
                    <w:spacing w:before="0" w:beforeAutospacing="0" w:after="0" w:afterAutospacing="0" w:line="240" w:lineRule="auto"/>
                    <w:ind w:left="0" w:right="0"/>
                    <w:jc w:val="center"/>
                    <w:rPr>
                      <w:rFonts w:hint="default"/>
                      <w:b/>
                      <w:bCs w:val="0"/>
                      <w:sz w:val="21"/>
                      <w:szCs w:val="21"/>
                      <w:highlight w:val="none"/>
                      <w:vertAlign w:val="baseline"/>
                    </w:rPr>
                  </w:pPr>
                  <w:r>
                    <w:rPr>
                      <w:rFonts w:hint="default"/>
                      <w:b/>
                      <w:bCs w:val="0"/>
                      <w:kern w:val="0"/>
                      <w:sz w:val="21"/>
                      <w:szCs w:val="21"/>
                      <w:highlight w:val="none"/>
                    </w:rPr>
                    <w:t>建筑物插入损失/dB（A）</w:t>
                  </w:r>
                </w:p>
              </w:tc>
              <w:tc>
                <w:tcPr>
                  <w:tcW w:w="3647" w:type="dxa"/>
                  <w:gridSpan w:val="2"/>
                  <w:tcBorders>
                    <w:top w:val="single" w:color="auto" w:sz="8" w:space="0"/>
                    <w:left w:val="single" w:color="auto" w:sz="4" w:space="0"/>
                    <w:bottom w:val="single" w:color="auto" w:sz="4" w:space="0"/>
                    <w:right w:val="nil"/>
                  </w:tcBorders>
                  <w:vAlign w:val="center"/>
                </w:tcPr>
                <w:p w14:paraId="7777215B">
                  <w:pPr>
                    <w:keepNext w:val="0"/>
                    <w:keepLines w:val="0"/>
                    <w:suppressLineNumbers w:val="0"/>
                    <w:spacing w:before="0" w:beforeAutospacing="0" w:after="0" w:afterAutospacing="0" w:line="240" w:lineRule="auto"/>
                    <w:ind w:left="0" w:right="0"/>
                    <w:jc w:val="center"/>
                    <w:rPr>
                      <w:rFonts w:hint="default" w:eastAsia="宋体"/>
                      <w:b/>
                      <w:bCs w:val="0"/>
                      <w:sz w:val="21"/>
                      <w:szCs w:val="21"/>
                      <w:highlight w:val="none"/>
                      <w:vertAlign w:val="baseline"/>
                      <w:lang w:val="en-US" w:eastAsia="zh-CN"/>
                    </w:rPr>
                  </w:pPr>
                  <w:r>
                    <w:rPr>
                      <w:rFonts w:hint="default"/>
                      <w:b/>
                      <w:bCs w:val="0"/>
                      <w:kern w:val="0"/>
                      <w:sz w:val="21"/>
                      <w:szCs w:val="21"/>
                      <w:highlight w:val="none"/>
                    </w:rPr>
                    <w:t>建筑物外噪声</w:t>
                  </w:r>
                </w:p>
              </w:tc>
            </w:tr>
            <w:tr w14:paraId="24AD853A">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vMerge w:val="continue"/>
                  <w:tcBorders>
                    <w:top w:val="single" w:color="auto" w:sz="4" w:space="0"/>
                    <w:bottom w:val="single" w:color="auto" w:sz="8" w:space="0"/>
                    <w:right w:val="single" w:color="auto" w:sz="4" w:space="0"/>
                  </w:tcBorders>
                  <w:vAlign w:val="center"/>
                </w:tcPr>
                <w:p w14:paraId="771F0BCB">
                  <w:pPr>
                    <w:keepNext w:val="0"/>
                    <w:keepLines w:val="0"/>
                    <w:suppressLineNumbers w:val="0"/>
                    <w:spacing w:before="0" w:beforeAutospacing="0" w:after="0" w:afterAutospacing="0" w:line="240" w:lineRule="auto"/>
                    <w:ind w:left="0" w:right="0"/>
                    <w:jc w:val="center"/>
                    <w:rPr>
                      <w:rFonts w:hint="default"/>
                      <w:b/>
                      <w:bCs w:val="0"/>
                      <w:kern w:val="0"/>
                      <w:sz w:val="21"/>
                      <w:szCs w:val="21"/>
                    </w:rPr>
                  </w:pPr>
                </w:p>
              </w:tc>
              <w:tc>
                <w:tcPr>
                  <w:tcW w:w="1102" w:type="dxa"/>
                  <w:vMerge w:val="continue"/>
                  <w:tcBorders>
                    <w:top w:val="single" w:color="auto" w:sz="4" w:space="0"/>
                    <w:left w:val="single" w:color="auto" w:sz="4" w:space="0"/>
                    <w:bottom w:val="single" w:color="auto" w:sz="8" w:space="0"/>
                    <w:right w:val="single" w:color="auto" w:sz="4" w:space="0"/>
                  </w:tcBorders>
                  <w:vAlign w:val="center"/>
                </w:tcPr>
                <w:p w14:paraId="1AE4BA24">
                  <w:pPr>
                    <w:keepNext w:val="0"/>
                    <w:keepLines w:val="0"/>
                    <w:suppressLineNumbers w:val="0"/>
                    <w:spacing w:before="0" w:beforeAutospacing="0" w:after="0" w:afterAutospacing="0" w:line="240" w:lineRule="auto"/>
                    <w:ind w:left="0" w:right="0"/>
                    <w:jc w:val="center"/>
                    <w:rPr>
                      <w:rFonts w:hint="default"/>
                      <w:b/>
                      <w:bCs w:val="0"/>
                      <w:kern w:val="0"/>
                      <w:sz w:val="21"/>
                      <w:szCs w:val="21"/>
                    </w:rPr>
                  </w:pPr>
                </w:p>
              </w:tc>
              <w:tc>
                <w:tcPr>
                  <w:tcW w:w="1302" w:type="dxa"/>
                  <w:vMerge w:val="continue"/>
                  <w:tcBorders>
                    <w:top w:val="single" w:color="auto" w:sz="4" w:space="0"/>
                    <w:left w:val="single" w:color="auto" w:sz="4" w:space="0"/>
                    <w:bottom w:val="single" w:color="auto" w:sz="8" w:space="0"/>
                    <w:right w:val="single" w:color="auto" w:sz="4" w:space="0"/>
                  </w:tcBorders>
                  <w:vAlign w:val="center"/>
                </w:tcPr>
                <w:p w14:paraId="01AD8A30">
                  <w:pPr>
                    <w:keepNext w:val="0"/>
                    <w:keepLines w:val="0"/>
                    <w:suppressLineNumbers w:val="0"/>
                    <w:spacing w:before="0" w:beforeAutospacing="0" w:after="0" w:afterAutospacing="0" w:line="240" w:lineRule="auto"/>
                    <w:ind w:left="0" w:right="0"/>
                    <w:jc w:val="center"/>
                    <w:rPr>
                      <w:rFonts w:hint="default"/>
                      <w:b/>
                      <w:bCs w:val="0"/>
                      <w:kern w:val="0"/>
                      <w:sz w:val="21"/>
                      <w:szCs w:val="21"/>
                    </w:rPr>
                  </w:pPr>
                </w:p>
              </w:tc>
              <w:tc>
                <w:tcPr>
                  <w:tcW w:w="1432" w:type="dxa"/>
                  <w:vMerge w:val="continue"/>
                  <w:tcBorders>
                    <w:top w:val="single" w:color="auto" w:sz="4" w:space="0"/>
                    <w:left w:val="single" w:color="auto" w:sz="4" w:space="0"/>
                    <w:bottom w:val="single" w:color="auto" w:sz="8" w:space="0"/>
                    <w:right w:val="single" w:color="auto" w:sz="4" w:space="0"/>
                  </w:tcBorders>
                  <w:vAlign w:val="center"/>
                </w:tcPr>
                <w:p w14:paraId="1F8BD515">
                  <w:pPr>
                    <w:keepNext w:val="0"/>
                    <w:keepLines w:val="0"/>
                    <w:suppressLineNumbers w:val="0"/>
                    <w:spacing w:before="0" w:beforeAutospacing="0" w:after="0" w:afterAutospacing="0" w:line="240" w:lineRule="auto"/>
                    <w:ind w:left="0" w:right="0"/>
                    <w:jc w:val="center"/>
                    <w:rPr>
                      <w:rFonts w:hint="default"/>
                      <w:b/>
                      <w:bCs w:val="0"/>
                      <w:kern w:val="0"/>
                      <w:sz w:val="21"/>
                      <w:szCs w:val="21"/>
                      <w:highlight w:val="none"/>
                    </w:rPr>
                  </w:pPr>
                </w:p>
              </w:tc>
              <w:tc>
                <w:tcPr>
                  <w:tcW w:w="1873" w:type="dxa"/>
                  <w:tcBorders>
                    <w:top w:val="single" w:color="auto" w:sz="4" w:space="0"/>
                    <w:left w:val="single" w:color="auto" w:sz="4" w:space="0"/>
                    <w:bottom w:val="single" w:color="auto" w:sz="8" w:space="0"/>
                    <w:right w:val="single" w:color="auto" w:sz="4" w:space="0"/>
                  </w:tcBorders>
                  <w:vAlign w:val="center"/>
                </w:tcPr>
                <w:p w14:paraId="3B1F1D23">
                  <w:pPr>
                    <w:keepNext w:val="0"/>
                    <w:keepLines w:val="0"/>
                    <w:suppressLineNumbers w:val="0"/>
                    <w:spacing w:before="0" w:beforeAutospacing="0" w:after="0" w:afterAutospacing="0" w:line="240" w:lineRule="auto"/>
                    <w:ind w:left="0" w:right="0"/>
                    <w:jc w:val="center"/>
                    <w:rPr>
                      <w:rFonts w:hint="default"/>
                      <w:b/>
                      <w:bCs w:val="0"/>
                      <w:kern w:val="0"/>
                      <w:sz w:val="21"/>
                      <w:szCs w:val="21"/>
                      <w:highlight w:val="none"/>
                      <w:lang w:val="en-US" w:eastAsia="zh-CN"/>
                    </w:rPr>
                  </w:pPr>
                  <w:r>
                    <w:rPr>
                      <w:rFonts w:hint="eastAsia"/>
                      <w:b/>
                      <w:bCs w:val="0"/>
                      <w:kern w:val="0"/>
                      <w:sz w:val="21"/>
                      <w:szCs w:val="21"/>
                      <w:highlight w:val="none"/>
                      <w:lang w:val="en-US" w:eastAsia="zh-CN"/>
                    </w:rPr>
                    <w:t>声功率级</w:t>
                  </w:r>
                  <w:r>
                    <w:rPr>
                      <w:rFonts w:hint="default"/>
                      <w:b/>
                      <w:bCs w:val="0"/>
                      <w:kern w:val="0"/>
                      <w:sz w:val="21"/>
                      <w:szCs w:val="21"/>
                      <w:highlight w:val="none"/>
                    </w:rPr>
                    <w:t>/dB（A）</w:t>
                  </w:r>
                </w:p>
              </w:tc>
              <w:tc>
                <w:tcPr>
                  <w:tcW w:w="1774" w:type="dxa"/>
                  <w:tcBorders>
                    <w:top w:val="single" w:color="auto" w:sz="4" w:space="0"/>
                    <w:left w:val="single" w:color="auto" w:sz="4" w:space="0"/>
                    <w:bottom w:val="single" w:color="auto" w:sz="8" w:space="0"/>
                    <w:right w:val="nil"/>
                  </w:tcBorders>
                  <w:vAlign w:val="center"/>
                </w:tcPr>
                <w:p w14:paraId="4D18133B">
                  <w:pPr>
                    <w:keepNext w:val="0"/>
                    <w:keepLines w:val="0"/>
                    <w:suppressLineNumbers w:val="0"/>
                    <w:spacing w:before="0" w:beforeAutospacing="0" w:after="0" w:afterAutospacing="0" w:line="240" w:lineRule="auto"/>
                    <w:ind w:left="0" w:right="0"/>
                    <w:jc w:val="center"/>
                    <w:rPr>
                      <w:rFonts w:hint="eastAsia"/>
                      <w:b/>
                      <w:bCs w:val="0"/>
                      <w:kern w:val="0"/>
                      <w:sz w:val="21"/>
                      <w:szCs w:val="21"/>
                      <w:highlight w:val="none"/>
                      <w:lang w:val="en-US" w:eastAsia="zh-CN"/>
                    </w:rPr>
                  </w:pPr>
                  <w:r>
                    <w:rPr>
                      <w:rFonts w:hint="default" w:ascii="Times New Roman" w:hAnsi="Times New Roman" w:cs="Times New Roman"/>
                      <w:b/>
                      <w:bCs w:val="0"/>
                      <w:color w:val="auto"/>
                      <w:kern w:val="2"/>
                      <w:sz w:val="21"/>
                      <w:szCs w:val="21"/>
                      <w:highlight w:val="none"/>
                    </w:rPr>
                    <w:t>建筑物外距离/m</w:t>
                  </w:r>
                </w:p>
              </w:tc>
            </w:tr>
            <w:tr w14:paraId="75BC0310">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tcBorders>
                    <w:top w:val="single" w:color="auto" w:sz="8" w:space="0"/>
                    <w:left w:val="nil"/>
                    <w:bottom w:val="single" w:color="auto" w:sz="4" w:space="0"/>
                    <w:right w:val="single" w:color="auto" w:sz="4" w:space="0"/>
                  </w:tcBorders>
                  <w:vAlign w:val="center"/>
                </w:tcPr>
                <w:p w14:paraId="087ADC6F">
                  <w:pPr>
                    <w:keepNext w:val="0"/>
                    <w:keepLines w:val="0"/>
                    <w:suppressLineNumbers w:val="0"/>
                    <w:spacing w:before="0" w:beforeAutospacing="0" w:after="0" w:afterAutospacing="0" w:line="240" w:lineRule="auto"/>
                    <w:ind w:left="0" w:right="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1#车间</w:t>
                  </w:r>
                </w:p>
              </w:tc>
              <w:tc>
                <w:tcPr>
                  <w:tcW w:w="1102" w:type="dxa"/>
                  <w:tcBorders>
                    <w:top w:val="single" w:color="auto" w:sz="8" w:space="0"/>
                    <w:left w:val="single" w:color="auto" w:sz="4" w:space="0"/>
                    <w:bottom w:val="single" w:color="auto" w:sz="4" w:space="0"/>
                    <w:right w:val="single" w:color="auto" w:sz="4" w:space="0"/>
                  </w:tcBorders>
                  <w:vAlign w:val="center"/>
                </w:tcPr>
                <w:p w14:paraId="0DB5589F">
                  <w:pPr>
                    <w:keepNext w:val="0"/>
                    <w:keepLines w:val="0"/>
                    <w:suppressLineNumbers w:val="0"/>
                    <w:spacing w:before="0" w:beforeAutospacing="0" w:after="0" w:afterAutospacing="0" w:line="240" w:lineRule="auto"/>
                    <w:ind w:left="0" w:right="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57.49</w:t>
                  </w:r>
                </w:p>
              </w:tc>
              <w:tc>
                <w:tcPr>
                  <w:tcW w:w="1302" w:type="dxa"/>
                  <w:tcBorders>
                    <w:top w:val="single" w:color="auto" w:sz="8" w:space="0"/>
                    <w:left w:val="single" w:color="auto" w:sz="4" w:space="0"/>
                    <w:bottom w:val="single" w:color="auto" w:sz="4" w:space="0"/>
                    <w:right w:val="single" w:color="auto" w:sz="4" w:space="0"/>
                  </w:tcBorders>
                  <w:vAlign w:val="center"/>
                </w:tcPr>
                <w:p w14:paraId="5552AEBB">
                  <w:pPr>
                    <w:keepNext w:val="0"/>
                    <w:keepLines w:val="0"/>
                    <w:suppressLineNumbers w:val="0"/>
                    <w:spacing w:before="0" w:beforeAutospacing="0" w:after="0" w:afterAutospacing="0" w:line="240" w:lineRule="auto"/>
                    <w:ind w:left="0" w:right="0"/>
                    <w:jc w:val="center"/>
                    <w:rPr>
                      <w:rFonts w:hint="default" w:eastAsia="宋体"/>
                      <w:b w:val="0"/>
                      <w:bCs w:val="0"/>
                      <w:sz w:val="21"/>
                      <w:szCs w:val="21"/>
                      <w:vertAlign w:val="baseline"/>
                      <w:lang w:val="en-US" w:eastAsia="zh-CN"/>
                    </w:rPr>
                  </w:pPr>
                  <w:r>
                    <w:rPr>
                      <w:rFonts w:hint="eastAsia"/>
                      <w:b w:val="0"/>
                      <w:bCs w:val="0"/>
                      <w:sz w:val="21"/>
                      <w:szCs w:val="21"/>
                      <w:vertAlign w:val="baseline"/>
                      <w:lang w:val="en-US" w:eastAsia="zh-CN"/>
                    </w:rPr>
                    <w:t>0:00—24:00</w:t>
                  </w:r>
                </w:p>
              </w:tc>
              <w:tc>
                <w:tcPr>
                  <w:tcW w:w="1432" w:type="dxa"/>
                  <w:tcBorders>
                    <w:top w:val="single" w:color="auto" w:sz="8" w:space="0"/>
                    <w:left w:val="single" w:color="auto" w:sz="4" w:space="0"/>
                    <w:bottom w:val="single" w:color="auto" w:sz="4" w:space="0"/>
                    <w:right w:val="single" w:color="auto" w:sz="4" w:space="0"/>
                  </w:tcBorders>
                  <w:vAlign w:val="center"/>
                </w:tcPr>
                <w:p w14:paraId="7F764B78">
                  <w:pPr>
                    <w:keepNext w:val="0"/>
                    <w:keepLines w:val="0"/>
                    <w:suppressLineNumbers w:val="0"/>
                    <w:spacing w:before="0" w:beforeAutospacing="0" w:after="0" w:afterAutospacing="0" w:line="240" w:lineRule="auto"/>
                    <w:ind w:left="0" w:right="0"/>
                    <w:jc w:val="center"/>
                    <w:rPr>
                      <w:rFonts w:hint="default" w:eastAsia="宋体"/>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15</w:t>
                  </w:r>
                </w:p>
              </w:tc>
              <w:tc>
                <w:tcPr>
                  <w:tcW w:w="1873" w:type="dxa"/>
                  <w:tcBorders>
                    <w:top w:val="single" w:color="auto" w:sz="8" w:space="0"/>
                    <w:left w:val="single" w:color="auto" w:sz="4" w:space="0"/>
                    <w:bottom w:val="single" w:color="auto" w:sz="4" w:space="0"/>
                    <w:right w:val="single" w:color="auto" w:sz="4" w:space="0"/>
                  </w:tcBorders>
                  <w:vAlign w:val="center"/>
                </w:tcPr>
                <w:p w14:paraId="16638AEE">
                  <w:pPr>
                    <w:keepNext w:val="0"/>
                    <w:keepLines w:val="0"/>
                    <w:suppressLineNumbers w:val="0"/>
                    <w:spacing w:before="0" w:beforeAutospacing="0" w:after="0" w:afterAutospacing="0" w:line="240" w:lineRule="auto"/>
                    <w:ind w:left="0" w:right="0"/>
                    <w:jc w:val="cente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46.49</w:t>
                  </w:r>
                </w:p>
              </w:tc>
              <w:tc>
                <w:tcPr>
                  <w:tcW w:w="1774" w:type="dxa"/>
                  <w:tcBorders>
                    <w:top w:val="single" w:color="auto" w:sz="8" w:space="0"/>
                    <w:left w:val="single" w:color="auto" w:sz="4" w:space="0"/>
                    <w:bottom w:val="single" w:color="auto" w:sz="4" w:space="0"/>
                    <w:right w:val="nil"/>
                  </w:tcBorders>
                  <w:vAlign w:val="center"/>
                </w:tcPr>
                <w:p w14:paraId="78DE3B30">
                  <w:pPr>
                    <w:keepNext w:val="0"/>
                    <w:keepLines w:val="0"/>
                    <w:suppressLineNumbers w:val="0"/>
                    <w:spacing w:before="0" w:beforeAutospacing="0" w:after="0" w:afterAutospacing="0" w:line="240" w:lineRule="auto"/>
                    <w:ind w:left="0" w:right="0"/>
                    <w:jc w:val="cente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1</w:t>
                  </w:r>
                </w:p>
              </w:tc>
            </w:tr>
            <w:tr w14:paraId="1E93CDA2">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tcBorders>
                    <w:top w:val="single" w:color="auto" w:sz="4" w:space="0"/>
                    <w:left w:val="nil"/>
                    <w:bottom w:val="single" w:color="auto" w:sz="4" w:space="0"/>
                    <w:right w:val="single" w:color="auto" w:sz="4" w:space="0"/>
                  </w:tcBorders>
                  <w:vAlign w:val="center"/>
                </w:tcPr>
                <w:p w14:paraId="2D650B6E">
                  <w:pPr>
                    <w:keepNext w:val="0"/>
                    <w:keepLines w:val="0"/>
                    <w:suppressLineNumbers w:val="0"/>
                    <w:spacing w:before="0" w:beforeAutospacing="0" w:after="0" w:afterAutospacing="0" w:line="240" w:lineRule="auto"/>
                    <w:ind w:left="0" w:right="0"/>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2#车间</w:t>
                  </w:r>
                </w:p>
              </w:tc>
              <w:tc>
                <w:tcPr>
                  <w:tcW w:w="1102" w:type="dxa"/>
                  <w:tcBorders>
                    <w:top w:val="single" w:color="auto" w:sz="4" w:space="0"/>
                    <w:left w:val="single" w:color="auto" w:sz="4" w:space="0"/>
                    <w:bottom w:val="single" w:color="auto" w:sz="4" w:space="0"/>
                    <w:right w:val="single" w:color="auto" w:sz="4" w:space="0"/>
                  </w:tcBorders>
                  <w:vAlign w:val="center"/>
                </w:tcPr>
                <w:p w14:paraId="074DCA85">
                  <w:pPr>
                    <w:keepNext w:val="0"/>
                    <w:keepLines w:val="0"/>
                    <w:suppressLineNumbers w:val="0"/>
                    <w:spacing w:before="0" w:beforeAutospacing="0" w:after="0" w:afterAutospacing="0" w:line="240" w:lineRule="auto"/>
                    <w:ind w:left="0" w:right="0"/>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57.49</w:t>
                  </w:r>
                </w:p>
              </w:tc>
              <w:tc>
                <w:tcPr>
                  <w:tcW w:w="1302" w:type="dxa"/>
                  <w:tcBorders>
                    <w:top w:val="single" w:color="auto" w:sz="4" w:space="0"/>
                    <w:left w:val="single" w:color="auto" w:sz="4" w:space="0"/>
                    <w:bottom w:val="single" w:color="auto" w:sz="4" w:space="0"/>
                    <w:right w:val="single" w:color="auto" w:sz="4" w:space="0"/>
                  </w:tcBorders>
                  <w:vAlign w:val="center"/>
                </w:tcPr>
                <w:p w14:paraId="3F331868">
                  <w:pPr>
                    <w:keepNext w:val="0"/>
                    <w:keepLines w:val="0"/>
                    <w:suppressLineNumbers w:val="0"/>
                    <w:spacing w:before="0" w:beforeAutospacing="0" w:after="0" w:afterAutospacing="0" w:line="240" w:lineRule="auto"/>
                    <w:ind w:left="0" w:right="0"/>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0:00—24:00</w:t>
                  </w:r>
                </w:p>
              </w:tc>
              <w:tc>
                <w:tcPr>
                  <w:tcW w:w="1432" w:type="dxa"/>
                  <w:tcBorders>
                    <w:top w:val="single" w:color="auto" w:sz="4" w:space="0"/>
                    <w:left w:val="single" w:color="auto" w:sz="4" w:space="0"/>
                    <w:bottom w:val="single" w:color="auto" w:sz="4" w:space="0"/>
                    <w:right w:val="single" w:color="auto" w:sz="4" w:space="0"/>
                  </w:tcBorders>
                  <w:vAlign w:val="center"/>
                </w:tcPr>
                <w:p w14:paraId="5C054988">
                  <w:pPr>
                    <w:keepNext w:val="0"/>
                    <w:keepLines w:val="0"/>
                    <w:suppressLineNumbers w:val="0"/>
                    <w:spacing w:before="0" w:beforeAutospacing="0" w:after="0" w:afterAutospacing="0" w:line="240" w:lineRule="auto"/>
                    <w:ind w:left="0" w:right="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15</w:t>
                  </w:r>
                </w:p>
              </w:tc>
              <w:tc>
                <w:tcPr>
                  <w:tcW w:w="1873" w:type="dxa"/>
                  <w:tcBorders>
                    <w:top w:val="single" w:color="auto" w:sz="4" w:space="0"/>
                    <w:left w:val="single" w:color="auto" w:sz="4" w:space="0"/>
                    <w:bottom w:val="single" w:color="auto" w:sz="4" w:space="0"/>
                    <w:right w:val="single" w:color="auto" w:sz="4" w:space="0"/>
                  </w:tcBorders>
                  <w:vAlign w:val="center"/>
                </w:tcPr>
                <w:p w14:paraId="7A37C080">
                  <w:pPr>
                    <w:keepNext w:val="0"/>
                    <w:keepLines w:val="0"/>
                    <w:suppressLineNumbers w:val="0"/>
                    <w:spacing w:before="0" w:beforeAutospacing="0" w:after="0" w:afterAutospacing="0" w:line="240" w:lineRule="auto"/>
                    <w:ind w:left="0" w:right="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46.49</w:t>
                  </w:r>
                </w:p>
              </w:tc>
              <w:tc>
                <w:tcPr>
                  <w:tcW w:w="1774" w:type="dxa"/>
                  <w:tcBorders>
                    <w:top w:val="single" w:color="auto" w:sz="4" w:space="0"/>
                    <w:left w:val="single" w:color="auto" w:sz="4" w:space="0"/>
                    <w:bottom w:val="single" w:color="auto" w:sz="4" w:space="0"/>
                    <w:right w:val="nil"/>
                  </w:tcBorders>
                  <w:vAlign w:val="center"/>
                </w:tcPr>
                <w:p w14:paraId="3FEC6B82">
                  <w:pPr>
                    <w:keepNext w:val="0"/>
                    <w:keepLines w:val="0"/>
                    <w:suppressLineNumbers w:val="0"/>
                    <w:spacing w:before="0" w:beforeAutospacing="0" w:after="0" w:afterAutospacing="0" w:line="240" w:lineRule="auto"/>
                    <w:ind w:left="0" w:right="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1</w:t>
                  </w:r>
                </w:p>
              </w:tc>
            </w:tr>
            <w:tr w14:paraId="1920B837">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tcBorders>
                    <w:top w:val="single" w:color="auto" w:sz="4" w:space="0"/>
                    <w:left w:val="nil"/>
                    <w:bottom w:val="single" w:color="auto" w:sz="4" w:space="0"/>
                    <w:right w:val="single" w:color="auto" w:sz="4" w:space="0"/>
                  </w:tcBorders>
                  <w:vAlign w:val="center"/>
                </w:tcPr>
                <w:p w14:paraId="18FB350A">
                  <w:pPr>
                    <w:keepNext w:val="0"/>
                    <w:keepLines w:val="0"/>
                    <w:suppressLineNumbers w:val="0"/>
                    <w:spacing w:before="0" w:beforeAutospacing="0" w:after="0" w:afterAutospacing="0" w:line="240" w:lineRule="auto"/>
                    <w:ind w:left="0" w:right="0"/>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3#车间</w:t>
                  </w:r>
                </w:p>
              </w:tc>
              <w:tc>
                <w:tcPr>
                  <w:tcW w:w="1102" w:type="dxa"/>
                  <w:tcBorders>
                    <w:top w:val="single" w:color="auto" w:sz="4" w:space="0"/>
                    <w:left w:val="single" w:color="auto" w:sz="4" w:space="0"/>
                    <w:bottom w:val="single" w:color="auto" w:sz="4" w:space="0"/>
                    <w:right w:val="single" w:color="auto" w:sz="4" w:space="0"/>
                  </w:tcBorders>
                  <w:vAlign w:val="center"/>
                </w:tcPr>
                <w:p w14:paraId="37FEE564">
                  <w:pPr>
                    <w:keepNext w:val="0"/>
                    <w:keepLines w:val="0"/>
                    <w:suppressLineNumbers w:val="0"/>
                    <w:spacing w:before="0" w:beforeAutospacing="0" w:after="0" w:afterAutospacing="0" w:line="240" w:lineRule="auto"/>
                    <w:ind w:left="0" w:right="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57.49</w:t>
                  </w:r>
                </w:p>
              </w:tc>
              <w:tc>
                <w:tcPr>
                  <w:tcW w:w="1302" w:type="dxa"/>
                  <w:tcBorders>
                    <w:top w:val="single" w:color="auto" w:sz="4" w:space="0"/>
                    <w:left w:val="single" w:color="auto" w:sz="4" w:space="0"/>
                    <w:bottom w:val="single" w:color="auto" w:sz="4" w:space="0"/>
                    <w:right w:val="single" w:color="auto" w:sz="4" w:space="0"/>
                  </w:tcBorders>
                  <w:vAlign w:val="center"/>
                </w:tcPr>
                <w:p w14:paraId="59D65E81">
                  <w:pPr>
                    <w:keepNext w:val="0"/>
                    <w:keepLines w:val="0"/>
                    <w:suppressLineNumbers w:val="0"/>
                    <w:spacing w:before="0" w:beforeAutospacing="0" w:after="0" w:afterAutospacing="0" w:line="240" w:lineRule="auto"/>
                    <w:ind w:left="0" w:right="0"/>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0:00—24:00</w:t>
                  </w:r>
                </w:p>
              </w:tc>
              <w:tc>
                <w:tcPr>
                  <w:tcW w:w="1432" w:type="dxa"/>
                  <w:tcBorders>
                    <w:top w:val="single" w:color="auto" w:sz="4" w:space="0"/>
                    <w:left w:val="single" w:color="auto" w:sz="4" w:space="0"/>
                    <w:bottom w:val="single" w:color="auto" w:sz="4" w:space="0"/>
                    <w:right w:val="single" w:color="auto" w:sz="4" w:space="0"/>
                  </w:tcBorders>
                  <w:vAlign w:val="center"/>
                </w:tcPr>
                <w:p w14:paraId="4018E870">
                  <w:pPr>
                    <w:keepNext w:val="0"/>
                    <w:keepLines w:val="0"/>
                    <w:suppressLineNumbers w:val="0"/>
                    <w:spacing w:before="0" w:beforeAutospacing="0" w:after="0" w:afterAutospacing="0" w:line="240" w:lineRule="auto"/>
                    <w:ind w:left="0" w:right="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15</w:t>
                  </w:r>
                </w:p>
              </w:tc>
              <w:tc>
                <w:tcPr>
                  <w:tcW w:w="1873" w:type="dxa"/>
                  <w:tcBorders>
                    <w:top w:val="single" w:color="auto" w:sz="4" w:space="0"/>
                    <w:left w:val="single" w:color="auto" w:sz="4" w:space="0"/>
                    <w:bottom w:val="single" w:color="auto" w:sz="4" w:space="0"/>
                    <w:right w:val="single" w:color="auto" w:sz="4" w:space="0"/>
                  </w:tcBorders>
                  <w:vAlign w:val="center"/>
                </w:tcPr>
                <w:p w14:paraId="472FBF27">
                  <w:pPr>
                    <w:keepNext w:val="0"/>
                    <w:keepLines w:val="0"/>
                    <w:suppressLineNumbers w:val="0"/>
                    <w:spacing w:before="0" w:beforeAutospacing="0" w:after="0" w:afterAutospacing="0" w:line="240" w:lineRule="auto"/>
                    <w:ind w:left="0" w:right="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46.49</w:t>
                  </w:r>
                </w:p>
              </w:tc>
              <w:tc>
                <w:tcPr>
                  <w:tcW w:w="1774" w:type="dxa"/>
                  <w:tcBorders>
                    <w:top w:val="single" w:color="auto" w:sz="4" w:space="0"/>
                    <w:left w:val="single" w:color="auto" w:sz="4" w:space="0"/>
                    <w:bottom w:val="single" w:color="auto" w:sz="4" w:space="0"/>
                    <w:right w:val="nil"/>
                  </w:tcBorders>
                  <w:vAlign w:val="center"/>
                </w:tcPr>
                <w:p w14:paraId="4F89C35E">
                  <w:pPr>
                    <w:keepNext w:val="0"/>
                    <w:keepLines w:val="0"/>
                    <w:suppressLineNumbers w:val="0"/>
                    <w:spacing w:before="0" w:beforeAutospacing="0" w:after="0" w:afterAutospacing="0" w:line="240" w:lineRule="auto"/>
                    <w:ind w:left="0" w:right="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1</w:t>
                  </w:r>
                </w:p>
              </w:tc>
            </w:tr>
            <w:tr w14:paraId="0EA179CE">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tcBorders>
                    <w:top w:val="single" w:color="auto" w:sz="4" w:space="0"/>
                    <w:left w:val="nil"/>
                    <w:bottom w:val="single" w:color="auto" w:sz="4" w:space="0"/>
                    <w:right w:val="single" w:color="auto" w:sz="4" w:space="0"/>
                  </w:tcBorders>
                  <w:vAlign w:val="center"/>
                </w:tcPr>
                <w:p w14:paraId="162E4EF8">
                  <w:pPr>
                    <w:keepNext w:val="0"/>
                    <w:keepLines w:val="0"/>
                    <w:suppressLineNumbers w:val="0"/>
                    <w:spacing w:before="0" w:beforeAutospacing="0" w:after="0" w:afterAutospacing="0" w:line="240" w:lineRule="auto"/>
                    <w:ind w:left="0" w:right="0"/>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5#车间</w:t>
                  </w:r>
                </w:p>
              </w:tc>
              <w:tc>
                <w:tcPr>
                  <w:tcW w:w="1102" w:type="dxa"/>
                  <w:tcBorders>
                    <w:top w:val="single" w:color="auto" w:sz="4" w:space="0"/>
                    <w:left w:val="single" w:color="auto" w:sz="4" w:space="0"/>
                    <w:bottom w:val="single" w:color="auto" w:sz="4" w:space="0"/>
                    <w:right w:val="single" w:color="auto" w:sz="4" w:space="0"/>
                  </w:tcBorders>
                  <w:vAlign w:val="center"/>
                </w:tcPr>
                <w:p w14:paraId="28C84A34">
                  <w:pPr>
                    <w:keepNext w:val="0"/>
                    <w:keepLines w:val="0"/>
                    <w:suppressLineNumbers w:val="0"/>
                    <w:spacing w:before="0" w:beforeAutospacing="0" w:after="0" w:afterAutospacing="0" w:line="240" w:lineRule="auto"/>
                    <w:ind w:left="0" w:right="0"/>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56.05</w:t>
                  </w:r>
                </w:p>
              </w:tc>
              <w:tc>
                <w:tcPr>
                  <w:tcW w:w="1302" w:type="dxa"/>
                  <w:tcBorders>
                    <w:top w:val="single" w:color="auto" w:sz="4" w:space="0"/>
                    <w:left w:val="single" w:color="auto" w:sz="4" w:space="0"/>
                    <w:bottom w:val="single" w:color="auto" w:sz="4" w:space="0"/>
                    <w:right w:val="single" w:color="auto" w:sz="4" w:space="0"/>
                  </w:tcBorders>
                  <w:vAlign w:val="center"/>
                </w:tcPr>
                <w:p w14:paraId="1CDAE1DF">
                  <w:pPr>
                    <w:keepNext w:val="0"/>
                    <w:keepLines w:val="0"/>
                    <w:suppressLineNumbers w:val="0"/>
                    <w:spacing w:before="0" w:beforeAutospacing="0" w:after="0" w:afterAutospacing="0" w:line="240" w:lineRule="auto"/>
                    <w:ind w:left="0" w:right="0"/>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0:00—24:00</w:t>
                  </w:r>
                </w:p>
              </w:tc>
              <w:tc>
                <w:tcPr>
                  <w:tcW w:w="1432" w:type="dxa"/>
                  <w:tcBorders>
                    <w:top w:val="single" w:color="auto" w:sz="4" w:space="0"/>
                    <w:left w:val="single" w:color="auto" w:sz="4" w:space="0"/>
                    <w:bottom w:val="single" w:color="auto" w:sz="4" w:space="0"/>
                    <w:right w:val="single" w:color="auto" w:sz="4" w:space="0"/>
                  </w:tcBorders>
                  <w:vAlign w:val="center"/>
                </w:tcPr>
                <w:p w14:paraId="49D1C1A8">
                  <w:pPr>
                    <w:keepNext w:val="0"/>
                    <w:keepLines w:val="0"/>
                    <w:suppressLineNumbers w:val="0"/>
                    <w:spacing w:before="0" w:beforeAutospacing="0" w:after="0" w:afterAutospacing="0" w:line="240" w:lineRule="auto"/>
                    <w:ind w:left="0" w:right="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15</w:t>
                  </w:r>
                </w:p>
              </w:tc>
              <w:tc>
                <w:tcPr>
                  <w:tcW w:w="1873" w:type="dxa"/>
                  <w:tcBorders>
                    <w:top w:val="single" w:color="auto" w:sz="4" w:space="0"/>
                    <w:left w:val="single" w:color="auto" w:sz="4" w:space="0"/>
                    <w:bottom w:val="single" w:color="auto" w:sz="4" w:space="0"/>
                    <w:right w:val="single" w:color="auto" w:sz="4" w:space="0"/>
                  </w:tcBorders>
                  <w:vAlign w:val="center"/>
                </w:tcPr>
                <w:p w14:paraId="4B24D417">
                  <w:pPr>
                    <w:keepNext w:val="0"/>
                    <w:keepLines w:val="0"/>
                    <w:suppressLineNumbers w:val="0"/>
                    <w:spacing w:before="0" w:beforeAutospacing="0" w:after="0" w:afterAutospacing="0" w:line="240" w:lineRule="auto"/>
                    <w:ind w:left="0" w:right="0"/>
                    <w:jc w:val="cente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45.05</w:t>
                  </w:r>
                </w:p>
              </w:tc>
              <w:tc>
                <w:tcPr>
                  <w:tcW w:w="1774" w:type="dxa"/>
                  <w:tcBorders>
                    <w:top w:val="single" w:color="auto" w:sz="4" w:space="0"/>
                    <w:left w:val="single" w:color="auto" w:sz="4" w:space="0"/>
                    <w:bottom w:val="single" w:color="auto" w:sz="4" w:space="0"/>
                    <w:right w:val="nil"/>
                  </w:tcBorders>
                  <w:vAlign w:val="center"/>
                </w:tcPr>
                <w:p w14:paraId="7C738377">
                  <w:pPr>
                    <w:keepNext w:val="0"/>
                    <w:keepLines w:val="0"/>
                    <w:suppressLineNumbers w:val="0"/>
                    <w:spacing w:before="0" w:beforeAutospacing="0" w:after="0" w:afterAutospacing="0" w:line="240" w:lineRule="auto"/>
                    <w:ind w:left="0" w:right="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1</w:t>
                  </w:r>
                </w:p>
              </w:tc>
            </w:tr>
            <w:tr w14:paraId="081DDE05">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tcBorders>
                    <w:top w:val="single" w:color="auto" w:sz="4" w:space="0"/>
                    <w:left w:val="nil"/>
                    <w:bottom w:val="single" w:color="auto" w:sz="8" w:space="0"/>
                    <w:right w:val="single" w:color="auto" w:sz="4" w:space="0"/>
                  </w:tcBorders>
                  <w:vAlign w:val="center"/>
                </w:tcPr>
                <w:p w14:paraId="7F88AE83">
                  <w:pPr>
                    <w:keepNext w:val="0"/>
                    <w:keepLines w:val="0"/>
                    <w:suppressLineNumbers w:val="0"/>
                    <w:spacing w:before="0" w:beforeAutospacing="0" w:after="0" w:afterAutospacing="0" w:line="240" w:lineRule="auto"/>
                    <w:ind w:left="0" w:right="0"/>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6#车间</w:t>
                  </w:r>
                </w:p>
              </w:tc>
              <w:tc>
                <w:tcPr>
                  <w:tcW w:w="1102" w:type="dxa"/>
                  <w:tcBorders>
                    <w:top w:val="single" w:color="auto" w:sz="4" w:space="0"/>
                    <w:left w:val="single" w:color="auto" w:sz="4" w:space="0"/>
                    <w:bottom w:val="single" w:color="auto" w:sz="8" w:space="0"/>
                    <w:right w:val="single" w:color="auto" w:sz="4" w:space="0"/>
                  </w:tcBorders>
                  <w:vAlign w:val="center"/>
                </w:tcPr>
                <w:p w14:paraId="31DA1D84">
                  <w:pPr>
                    <w:keepNext w:val="0"/>
                    <w:keepLines w:val="0"/>
                    <w:suppressLineNumbers w:val="0"/>
                    <w:spacing w:before="0" w:beforeAutospacing="0" w:after="0" w:afterAutospacing="0" w:line="240" w:lineRule="auto"/>
                    <w:ind w:left="0" w:right="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56.94</w:t>
                  </w:r>
                </w:p>
              </w:tc>
              <w:tc>
                <w:tcPr>
                  <w:tcW w:w="1302" w:type="dxa"/>
                  <w:tcBorders>
                    <w:top w:val="single" w:color="auto" w:sz="4" w:space="0"/>
                    <w:left w:val="single" w:color="auto" w:sz="4" w:space="0"/>
                    <w:bottom w:val="single" w:color="auto" w:sz="8" w:space="0"/>
                    <w:right w:val="single" w:color="auto" w:sz="4" w:space="0"/>
                  </w:tcBorders>
                  <w:vAlign w:val="center"/>
                </w:tcPr>
                <w:p w14:paraId="4E95961B">
                  <w:pPr>
                    <w:keepNext w:val="0"/>
                    <w:keepLines w:val="0"/>
                    <w:suppressLineNumbers w:val="0"/>
                    <w:spacing w:before="0" w:beforeAutospacing="0" w:after="0" w:afterAutospacing="0" w:line="240" w:lineRule="auto"/>
                    <w:ind w:left="0" w:right="0"/>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0:00—24:00</w:t>
                  </w:r>
                </w:p>
              </w:tc>
              <w:tc>
                <w:tcPr>
                  <w:tcW w:w="1432" w:type="dxa"/>
                  <w:tcBorders>
                    <w:top w:val="single" w:color="auto" w:sz="4" w:space="0"/>
                    <w:left w:val="single" w:color="auto" w:sz="4" w:space="0"/>
                    <w:bottom w:val="single" w:color="auto" w:sz="8" w:space="0"/>
                    <w:right w:val="single" w:color="auto" w:sz="4" w:space="0"/>
                  </w:tcBorders>
                  <w:vAlign w:val="center"/>
                </w:tcPr>
                <w:p w14:paraId="61AA1724">
                  <w:pPr>
                    <w:keepNext w:val="0"/>
                    <w:keepLines w:val="0"/>
                    <w:suppressLineNumbers w:val="0"/>
                    <w:spacing w:before="0" w:beforeAutospacing="0" w:after="0" w:afterAutospacing="0" w:line="240" w:lineRule="auto"/>
                    <w:ind w:left="0" w:right="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15</w:t>
                  </w:r>
                </w:p>
              </w:tc>
              <w:tc>
                <w:tcPr>
                  <w:tcW w:w="1873" w:type="dxa"/>
                  <w:tcBorders>
                    <w:top w:val="single" w:color="auto" w:sz="4" w:space="0"/>
                    <w:left w:val="single" w:color="auto" w:sz="4" w:space="0"/>
                    <w:bottom w:val="single" w:color="auto" w:sz="8" w:space="0"/>
                    <w:right w:val="single" w:color="auto" w:sz="4" w:space="0"/>
                  </w:tcBorders>
                  <w:vAlign w:val="center"/>
                </w:tcPr>
                <w:p w14:paraId="139232B1">
                  <w:pPr>
                    <w:keepNext w:val="0"/>
                    <w:keepLines w:val="0"/>
                    <w:suppressLineNumbers w:val="0"/>
                    <w:spacing w:before="0" w:beforeAutospacing="0" w:after="0" w:afterAutospacing="0" w:line="240" w:lineRule="auto"/>
                    <w:ind w:left="0" w:right="0"/>
                    <w:jc w:val="cente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45.94</w:t>
                  </w:r>
                </w:p>
              </w:tc>
              <w:tc>
                <w:tcPr>
                  <w:tcW w:w="1774" w:type="dxa"/>
                  <w:tcBorders>
                    <w:top w:val="single" w:color="auto" w:sz="4" w:space="0"/>
                    <w:left w:val="single" w:color="auto" w:sz="4" w:space="0"/>
                    <w:bottom w:val="single" w:color="auto" w:sz="8" w:space="0"/>
                    <w:right w:val="nil"/>
                  </w:tcBorders>
                  <w:vAlign w:val="center"/>
                </w:tcPr>
                <w:p w14:paraId="27121168">
                  <w:pPr>
                    <w:keepNext w:val="0"/>
                    <w:keepLines w:val="0"/>
                    <w:suppressLineNumbers w:val="0"/>
                    <w:spacing w:before="0" w:beforeAutospacing="0" w:after="0" w:afterAutospacing="0" w:line="240" w:lineRule="auto"/>
                    <w:ind w:left="0" w:right="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1</w:t>
                  </w:r>
                </w:p>
              </w:tc>
            </w:tr>
          </w:tbl>
          <w:p w14:paraId="713145F4">
            <w:pPr>
              <w:keepNext w:val="0"/>
              <w:keepLines w:val="0"/>
              <w:suppressLineNumbers w:val="0"/>
              <w:spacing w:before="0" w:beforeAutospacing="0" w:after="0" w:afterAutospacing="0" w:line="440" w:lineRule="exact"/>
              <w:ind w:left="0" w:right="0" w:firstLine="480" w:firstLineChars="200"/>
              <w:rPr>
                <w:rFonts w:hint="default"/>
                <w:sz w:val="24"/>
                <w:highlight w:val="none"/>
              </w:rPr>
            </w:pPr>
            <w:r>
              <w:rPr>
                <w:rFonts w:hint="default"/>
                <w:sz w:val="24"/>
                <w:highlight w:val="none"/>
              </w:rPr>
              <w:t>根据本项目主要高噪声设备的分布状况和房间外源强，</w:t>
            </w:r>
            <w:r>
              <w:rPr>
                <w:rFonts w:hint="eastAsia"/>
                <w:sz w:val="24"/>
                <w:highlight w:val="none"/>
              </w:rPr>
              <w:t>根据导则中</w:t>
            </w:r>
            <w:r>
              <w:rPr>
                <w:rFonts w:hint="default"/>
                <w:sz w:val="24"/>
                <w:highlight w:val="none"/>
              </w:rPr>
              <w:t>噪声预测模型</w:t>
            </w:r>
            <w:r>
              <w:rPr>
                <w:rFonts w:hint="eastAsia"/>
                <w:sz w:val="24"/>
                <w:highlight w:val="none"/>
              </w:rPr>
              <w:t>，</w:t>
            </w:r>
            <w:r>
              <w:rPr>
                <w:rFonts w:hint="default"/>
                <w:sz w:val="24"/>
                <w:highlight w:val="none"/>
              </w:rPr>
              <w:t>计算出各声源对</w:t>
            </w:r>
            <w:r>
              <w:rPr>
                <w:rFonts w:hint="eastAsia"/>
                <w:sz w:val="24"/>
                <w:highlight w:val="none"/>
              </w:rPr>
              <w:t>厂界的噪声</w:t>
            </w:r>
            <w:r>
              <w:rPr>
                <w:rFonts w:hint="default"/>
                <w:sz w:val="24"/>
                <w:highlight w:val="none"/>
              </w:rPr>
              <w:t>贡献值</w:t>
            </w:r>
            <w:r>
              <w:rPr>
                <w:rFonts w:hint="eastAsia"/>
                <w:sz w:val="24"/>
                <w:highlight w:val="none"/>
              </w:rPr>
              <w:t>。</w:t>
            </w:r>
          </w:p>
          <w:p w14:paraId="4A08F5C1">
            <w:pPr>
              <w:keepNext w:val="0"/>
              <w:keepLines w:val="0"/>
              <w:suppressLineNumbers w:val="0"/>
              <w:spacing w:before="0" w:beforeAutospacing="0" w:after="0" w:afterAutospacing="0" w:line="440" w:lineRule="exact"/>
              <w:ind w:left="0" w:right="0" w:firstLine="480" w:firstLineChars="200"/>
              <w:rPr>
                <w:rFonts w:hint="default"/>
                <w:sz w:val="24"/>
                <w:highlight w:val="none"/>
              </w:rPr>
            </w:pPr>
            <w:r>
              <w:rPr>
                <w:rFonts w:hint="eastAsia"/>
                <w:sz w:val="24"/>
                <w:highlight w:val="none"/>
              </w:rPr>
              <w:t>点声源</w:t>
            </w:r>
            <w:r>
              <w:rPr>
                <w:rFonts w:hint="default"/>
                <w:sz w:val="24"/>
                <w:highlight w:val="none"/>
              </w:rPr>
              <w:t>的</w:t>
            </w:r>
            <w:r>
              <w:rPr>
                <w:rFonts w:hint="eastAsia"/>
                <w:sz w:val="24"/>
                <w:highlight w:val="none"/>
              </w:rPr>
              <w:t>几何</w:t>
            </w:r>
            <w:r>
              <w:rPr>
                <w:rFonts w:hint="default"/>
                <w:sz w:val="24"/>
                <w:highlight w:val="none"/>
              </w:rPr>
              <w:t>发散衰减的</w:t>
            </w:r>
            <w:r>
              <w:rPr>
                <w:rFonts w:hint="eastAsia"/>
                <w:sz w:val="24"/>
                <w:highlight w:val="none"/>
              </w:rPr>
              <w:t>基本公式</w:t>
            </w:r>
            <w:r>
              <w:rPr>
                <w:rFonts w:hint="default"/>
                <w:sz w:val="24"/>
                <w:highlight w:val="none"/>
              </w:rPr>
              <w:t>如下：</w:t>
            </w:r>
          </w:p>
          <w:p w14:paraId="7EE97801">
            <w:pPr>
              <w:keepNext w:val="0"/>
              <w:keepLines w:val="0"/>
              <w:suppressLineNumbers w:val="0"/>
              <w:spacing w:before="0" w:beforeAutospacing="0" w:after="0" w:afterAutospacing="0" w:line="440" w:lineRule="exact"/>
              <w:ind w:left="0" w:right="0"/>
              <w:jc w:val="center"/>
              <w:rPr>
                <w:rFonts w:hint="default"/>
                <w:sz w:val="24"/>
                <w:highlight w:val="none"/>
              </w:rPr>
            </w:pPr>
            <w:r>
              <w:rPr>
                <w:rFonts w:hint="default"/>
                <w:sz w:val="24"/>
                <w:highlight w:val="none"/>
              </w:rPr>
              <w:t>Lp（</w:t>
            </w:r>
            <w:r>
              <w:rPr>
                <w:rFonts w:hint="eastAsia"/>
                <w:sz w:val="24"/>
                <w:highlight w:val="none"/>
              </w:rPr>
              <w:t>r</w:t>
            </w:r>
            <w:r>
              <w:rPr>
                <w:rFonts w:hint="default"/>
                <w:sz w:val="24"/>
                <w:highlight w:val="none"/>
              </w:rPr>
              <w:t>）</w:t>
            </w:r>
            <w:r>
              <w:rPr>
                <w:rFonts w:hint="eastAsia"/>
                <w:sz w:val="24"/>
                <w:highlight w:val="none"/>
              </w:rPr>
              <w:t>=</w:t>
            </w:r>
            <w:r>
              <w:rPr>
                <w:rFonts w:hint="default"/>
                <w:sz w:val="24"/>
                <w:highlight w:val="none"/>
              </w:rPr>
              <w:t>L</w:t>
            </w:r>
            <w:r>
              <w:rPr>
                <w:rFonts w:hint="eastAsia"/>
                <w:sz w:val="24"/>
                <w:highlight w:val="none"/>
              </w:rPr>
              <w:t>w-20</w:t>
            </w:r>
            <w:r>
              <w:rPr>
                <w:rFonts w:hint="default"/>
                <w:sz w:val="24"/>
                <w:highlight w:val="none"/>
              </w:rPr>
              <w:t>lg</w:t>
            </w:r>
            <w:r>
              <w:rPr>
                <w:rFonts w:hint="eastAsia"/>
                <w:sz w:val="24"/>
                <w:highlight w:val="none"/>
              </w:rPr>
              <w:t>r-8</w:t>
            </w:r>
          </w:p>
          <w:p w14:paraId="76943D08">
            <w:pPr>
              <w:keepNext w:val="0"/>
              <w:keepLines w:val="0"/>
              <w:suppressLineNumbers w:val="0"/>
              <w:spacing w:before="0" w:beforeAutospacing="0" w:after="0" w:afterAutospacing="0" w:line="440" w:lineRule="exact"/>
              <w:ind w:left="0" w:right="0"/>
              <w:rPr>
                <w:rFonts w:hint="default"/>
                <w:sz w:val="24"/>
                <w:highlight w:val="none"/>
              </w:rPr>
            </w:pPr>
            <w:r>
              <w:rPr>
                <w:rFonts w:hint="eastAsia"/>
                <w:sz w:val="24"/>
                <w:highlight w:val="none"/>
              </w:rPr>
              <w:t>式中</w:t>
            </w:r>
            <w:r>
              <w:rPr>
                <w:rFonts w:hint="default"/>
                <w:sz w:val="24"/>
                <w:highlight w:val="none"/>
              </w:rPr>
              <w:t>：Lp（</w:t>
            </w:r>
            <w:r>
              <w:rPr>
                <w:rFonts w:hint="eastAsia"/>
                <w:sz w:val="24"/>
                <w:highlight w:val="none"/>
              </w:rPr>
              <w:t>r</w:t>
            </w:r>
            <w:r>
              <w:rPr>
                <w:rFonts w:hint="default"/>
                <w:sz w:val="24"/>
                <w:highlight w:val="none"/>
              </w:rPr>
              <w:t>）</w:t>
            </w:r>
            <w:r>
              <w:rPr>
                <w:rFonts w:hint="eastAsia"/>
                <w:sz w:val="24"/>
                <w:highlight w:val="none"/>
                <w:lang w:eastAsia="zh-CN"/>
              </w:rPr>
              <w:t>—</w:t>
            </w:r>
            <w:r>
              <w:rPr>
                <w:rFonts w:hint="eastAsia"/>
                <w:sz w:val="24"/>
                <w:highlight w:val="none"/>
              </w:rPr>
              <w:t>预测点处声压级，dB；</w:t>
            </w:r>
          </w:p>
          <w:p w14:paraId="6AF95102">
            <w:pPr>
              <w:keepNext w:val="0"/>
              <w:keepLines w:val="0"/>
              <w:suppressLineNumbers w:val="0"/>
              <w:spacing w:before="0" w:beforeAutospacing="0" w:after="0" w:afterAutospacing="0" w:line="440" w:lineRule="exact"/>
              <w:ind w:left="0" w:right="0" w:firstLine="720" w:firstLineChars="300"/>
              <w:rPr>
                <w:rFonts w:hint="default"/>
                <w:sz w:val="24"/>
                <w:highlight w:val="none"/>
              </w:rPr>
            </w:pPr>
            <w:r>
              <w:rPr>
                <w:rFonts w:hint="default"/>
                <w:sz w:val="24"/>
                <w:highlight w:val="none"/>
              </w:rPr>
              <w:t>L</w:t>
            </w:r>
            <w:r>
              <w:rPr>
                <w:rFonts w:hint="eastAsia"/>
                <w:sz w:val="24"/>
                <w:highlight w:val="none"/>
              </w:rPr>
              <w:t>w—由点声源产生的倍频带声功率级，dB；</w:t>
            </w:r>
          </w:p>
          <w:p w14:paraId="05DD6B99">
            <w:pPr>
              <w:keepNext w:val="0"/>
              <w:keepLines w:val="0"/>
              <w:suppressLineNumbers w:val="0"/>
              <w:spacing w:before="0" w:beforeAutospacing="0" w:after="0" w:afterAutospacing="0" w:line="440" w:lineRule="exact"/>
              <w:ind w:left="0" w:right="0" w:firstLine="720" w:firstLineChars="300"/>
              <w:rPr>
                <w:rFonts w:hint="default"/>
                <w:sz w:val="24"/>
                <w:highlight w:val="none"/>
              </w:rPr>
            </w:pPr>
            <w:r>
              <w:rPr>
                <w:rFonts w:hint="default"/>
                <w:sz w:val="24"/>
                <w:highlight w:val="none"/>
              </w:rPr>
              <w:t>r—</w:t>
            </w:r>
            <w:r>
              <w:rPr>
                <w:rFonts w:hint="eastAsia"/>
                <w:sz w:val="24"/>
                <w:highlight w:val="none"/>
              </w:rPr>
              <w:t>预测点距声源的距离，</w:t>
            </w:r>
            <w:r>
              <w:rPr>
                <w:rFonts w:hint="default"/>
                <w:sz w:val="24"/>
                <w:highlight w:val="none"/>
              </w:rPr>
              <w:t>m；</w:t>
            </w:r>
          </w:p>
          <w:p w14:paraId="52AF2DD2">
            <w:pPr>
              <w:keepNext w:val="0"/>
              <w:keepLines w:val="0"/>
              <w:suppressLineNumbers w:val="0"/>
              <w:spacing w:before="0" w:beforeAutospacing="0" w:after="0" w:afterAutospacing="0" w:line="440" w:lineRule="exact"/>
              <w:ind w:left="0" w:right="0" w:firstLine="480" w:firstLineChars="200"/>
              <w:rPr>
                <w:rFonts w:hint="eastAsia"/>
                <w:sz w:val="24"/>
                <w:highlight w:val="none"/>
                <w:lang w:eastAsia="zh-CN"/>
              </w:rPr>
            </w:pPr>
            <w:r>
              <w:rPr>
                <w:rFonts w:hint="eastAsia"/>
                <w:sz w:val="24"/>
                <w:highlight w:val="none"/>
              </w:rPr>
              <w:t>本项目</w:t>
            </w:r>
            <w:r>
              <w:rPr>
                <w:rFonts w:hint="default"/>
                <w:sz w:val="24"/>
                <w:highlight w:val="none"/>
              </w:rPr>
              <w:t>声源在预测点产生的贡献值（Leqg）计算公式</w:t>
            </w:r>
            <w:r>
              <w:rPr>
                <w:rFonts w:hint="eastAsia"/>
                <w:sz w:val="24"/>
                <w:highlight w:val="none"/>
                <w:lang w:eastAsia="zh-CN"/>
              </w:rPr>
              <w:t>：</w:t>
            </w:r>
          </w:p>
          <w:p w14:paraId="4933F60F">
            <w:pPr>
              <w:keepNext w:val="0"/>
              <w:keepLines w:val="0"/>
              <w:suppressLineNumbers w:val="0"/>
              <w:spacing w:before="0" w:beforeAutospacing="0" w:after="0" w:afterAutospacing="0" w:line="360" w:lineRule="auto"/>
              <w:ind w:left="0" w:right="0"/>
              <w:jc w:val="center"/>
              <w:rPr>
                <w:rFonts w:hint="default" w:hAnsi="Cambria Math" w:cs="Times New Roman"/>
                <w:i w:val="0"/>
                <w:color w:val="0C0C0C"/>
                <w:sz w:val="24"/>
                <w:szCs w:val="24"/>
                <w:highlight w:val="none"/>
              </w:rPr>
            </w:pPr>
            <w:r>
              <w:rPr>
                <w:rFonts w:hint="default" w:ascii="Times New Roman" w:hAnsi="Times New Roman" w:cs="Times New Roman"/>
                <w:color w:val="0C0C0C"/>
                <w:sz w:val="24"/>
                <w:szCs w:val="24"/>
                <w:highlight w:val="none"/>
              </w:rPr>
              <w:t>L</w:t>
            </w:r>
            <w:r>
              <w:rPr>
                <w:rFonts w:hint="eastAsia" w:ascii="Times New Roman" w:hAnsi="Times New Roman" w:cs="Times New Roman"/>
                <w:color w:val="0C0C0C"/>
                <w:sz w:val="24"/>
                <w:szCs w:val="24"/>
                <w:highlight w:val="none"/>
                <w:vertAlign w:val="subscript"/>
              </w:rPr>
              <w:t>eqg</w:t>
            </w:r>
            <w:r>
              <w:rPr>
                <w:rFonts w:hint="default" w:ascii="Times New Roman" w:hAnsi="Times New Roman" w:cs="Times New Roman"/>
                <w:color w:val="0C0C0C"/>
                <w:sz w:val="24"/>
                <w:szCs w:val="24"/>
                <w:highlight w:val="none"/>
              </w:rPr>
              <w:t>=10lg</w:t>
            </w:r>
            <m:oMath>
              <m:d>
                <m:dPr>
                  <m:begChr m:val="["/>
                  <m:endChr m:val="]"/>
                  <m:ctrlPr>
                    <w:rPr>
                      <w:rFonts w:hint="default" w:ascii="Cambria Math" w:hAnsi="Cambria Math" w:cs="Times New Roman"/>
                      <w:color w:val="0C0C0C"/>
                      <w:sz w:val="24"/>
                      <w:szCs w:val="24"/>
                      <w:highlight w:val="none"/>
                    </w:rPr>
                  </m:ctrlPr>
                </m:dPr>
                <m:e>
                  <m:f>
                    <m:fPr>
                      <m:ctrlPr>
                        <w:rPr>
                          <w:rFonts w:hint="default" w:ascii="Cambria Math" w:hAnsi="Cambria Math" w:cs="Times New Roman"/>
                          <w:i/>
                          <w:color w:val="0C0C0C"/>
                          <w:sz w:val="24"/>
                          <w:szCs w:val="24"/>
                          <w:highlight w:val="none"/>
                        </w:rPr>
                      </m:ctrlPr>
                    </m:fPr>
                    <m:num>
                      <m:r>
                        <m:rPr/>
                        <w:rPr>
                          <w:rFonts w:hint="default" w:ascii="Cambria Math" w:hAnsi="Cambria Math" w:cs="Times New Roman"/>
                          <w:color w:val="0C0C0C"/>
                          <w:sz w:val="24"/>
                          <w:szCs w:val="24"/>
                          <w:highlight w:val="none"/>
                        </w:rPr>
                        <m:t>1</m:t>
                      </m:r>
                      <m:ctrlPr>
                        <w:rPr>
                          <w:rFonts w:hint="default" w:ascii="Cambria Math" w:hAnsi="Cambria Math" w:cs="Times New Roman"/>
                          <w:i/>
                          <w:color w:val="0C0C0C"/>
                          <w:sz w:val="24"/>
                          <w:szCs w:val="24"/>
                          <w:highlight w:val="none"/>
                        </w:rPr>
                      </m:ctrlPr>
                    </m:num>
                    <m:den>
                      <m:r>
                        <m:rPr/>
                        <w:rPr>
                          <w:rFonts w:hint="default" w:ascii="Cambria Math" w:hAnsi="Cambria Math" w:cs="Times New Roman"/>
                          <w:color w:val="0C0C0C"/>
                          <w:sz w:val="24"/>
                          <w:szCs w:val="24"/>
                          <w:highlight w:val="none"/>
                        </w:rPr>
                        <m:t>T</m:t>
                      </m:r>
                      <m:ctrlPr>
                        <w:rPr>
                          <w:rFonts w:hint="default" w:ascii="Cambria Math" w:hAnsi="Cambria Math" w:cs="Times New Roman"/>
                          <w:i/>
                          <w:color w:val="0C0C0C"/>
                          <w:sz w:val="24"/>
                          <w:szCs w:val="24"/>
                          <w:highlight w:val="none"/>
                        </w:rPr>
                      </m:ctrlPr>
                    </m:den>
                  </m:f>
                  <m:d>
                    <m:dPr>
                      <m:begChr m:val="{"/>
                      <m:endChr m:val="}"/>
                      <m:ctrlPr>
                        <w:rPr>
                          <w:rFonts w:hint="default" w:ascii="Cambria Math" w:hAnsi="Cambria Math" w:cs="Times New Roman"/>
                          <w:i/>
                          <w:color w:val="0C0C0C"/>
                          <w:sz w:val="24"/>
                          <w:szCs w:val="24"/>
                          <w:highlight w:val="none"/>
                        </w:rPr>
                      </m:ctrlPr>
                    </m:dPr>
                    <m:e>
                      <m:limLow>
                        <m:limLowPr>
                          <m:ctrlPr>
                            <w:rPr>
                              <w:rFonts w:hint="default" w:ascii="Cambria Math" w:hAnsi="Cambria Math" w:cs="Times New Roman"/>
                              <w:color w:val="0C0C0C"/>
                              <w:sz w:val="24"/>
                              <w:szCs w:val="24"/>
                              <w:highlight w:val="none"/>
                            </w:rPr>
                          </m:ctrlPr>
                        </m:limLowPr>
                        <m:e>
                          <m:limUpp>
                            <m:limUppPr>
                              <m:ctrlPr>
                                <w:rPr>
                                  <w:rFonts w:hint="default" w:ascii="Cambria Math" w:hAnsi="Cambria Math" w:cs="Times New Roman"/>
                                  <w:i/>
                                  <w:color w:val="0C0C0C"/>
                                  <w:sz w:val="24"/>
                                  <w:szCs w:val="24"/>
                                  <w:highlight w:val="none"/>
                                </w:rPr>
                              </m:ctrlPr>
                            </m:limUppPr>
                            <m:e>
                              <m:r>
                                <m:rPr/>
                                <w:rPr>
                                  <w:rFonts w:hint="default" w:ascii="Cambria Math" w:hAnsi="Cambria Math" w:cs="Times New Roman"/>
                                  <w:color w:val="0C0C0C"/>
                                  <w:sz w:val="24"/>
                                  <w:szCs w:val="24"/>
                                  <w:highlight w:val="none"/>
                                </w:rPr>
                                <m:t>∑</m:t>
                              </m:r>
                              <m:ctrlPr>
                                <w:rPr>
                                  <w:rFonts w:hint="default" w:ascii="Cambria Math" w:hAnsi="Cambria Math" w:cs="Times New Roman"/>
                                  <w:i/>
                                  <w:color w:val="0C0C0C"/>
                                  <w:sz w:val="24"/>
                                  <w:szCs w:val="24"/>
                                  <w:highlight w:val="none"/>
                                </w:rPr>
                              </m:ctrlPr>
                            </m:e>
                            <m:lim>
                              <m:r>
                                <m:rPr/>
                                <w:rPr>
                                  <w:rFonts w:hint="default" w:ascii="Cambria Math" w:hAnsi="Cambria Math" w:cs="Times New Roman"/>
                                  <w:color w:val="0C0C0C"/>
                                  <w:sz w:val="24"/>
                                  <w:szCs w:val="24"/>
                                  <w:highlight w:val="none"/>
                                </w:rPr>
                                <m:t>N</m:t>
                              </m:r>
                              <m:ctrlPr>
                                <w:rPr>
                                  <w:rFonts w:hint="default" w:ascii="Cambria Math" w:hAnsi="Cambria Math" w:cs="Times New Roman"/>
                                  <w:i/>
                                  <w:color w:val="0C0C0C"/>
                                  <w:sz w:val="24"/>
                                  <w:szCs w:val="24"/>
                                  <w:highlight w:val="none"/>
                                </w:rPr>
                              </m:ctrlPr>
                            </m:lim>
                          </m:limUpp>
                          <m:ctrlPr>
                            <w:rPr>
                              <w:rFonts w:hint="default" w:ascii="Cambria Math" w:hAnsi="Cambria Math" w:cs="Times New Roman"/>
                              <w:i/>
                              <w:sz w:val="24"/>
                              <w:szCs w:val="24"/>
                              <w:highlight w:val="none"/>
                            </w:rPr>
                          </m:ctrlPr>
                        </m:e>
                        <m:lim>
                          <m:r>
                            <m:rPr/>
                            <w:rPr>
                              <w:rFonts w:hint="default" w:ascii="Cambria Math" w:hAnsi="Cambria Math" w:cs="Times New Roman"/>
                              <w:sz w:val="24"/>
                              <w:szCs w:val="24"/>
                              <w:highlight w:val="none"/>
                            </w:rPr>
                            <m:t>i=1</m:t>
                          </m:r>
                          <m:ctrlPr>
                            <w:rPr>
                              <w:rFonts w:hint="default" w:ascii="Cambria Math" w:hAnsi="Cambria Math" w:cs="Times New Roman"/>
                              <w:color w:val="0C0C0C"/>
                              <w:sz w:val="24"/>
                              <w:szCs w:val="24"/>
                              <w:highlight w:val="none"/>
                            </w:rPr>
                          </m:ctrlPr>
                        </m:lim>
                      </m:limLow>
                      <m:sSub>
                        <m:sSubPr>
                          <m:ctrlPr>
                            <w:rPr>
                              <w:rFonts w:hint="default" w:ascii="Cambria Math" w:hAnsi="Cambria Math" w:cs="Times New Roman"/>
                              <w:i/>
                              <w:color w:val="0C0C0C"/>
                              <w:sz w:val="24"/>
                              <w:szCs w:val="24"/>
                              <w:highlight w:val="none"/>
                            </w:rPr>
                          </m:ctrlPr>
                        </m:sSubPr>
                        <m:e>
                          <m:r>
                            <m:rPr/>
                            <w:rPr>
                              <w:rFonts w:hint="default" w:ascii="Cambria Math" w:hAnsi="Cambria Math" w:cs="Times New Roman"/>
                              <w:color w:val="0C0C0C"/>
                              <w:sz w:val="24"/>
                              <w:szCs w:val="24"/>
                              <w:highlight w:val="none"/>
                            </w:rPr>
                            <m:t>t</m:t>
                          </m:r>
                          <m:ctrlPr>
                            <w:rPr>
                              <w:rFonts w:hint="default" w:ascii="Cambria Math" w:hAnsi="Cambria Math" w:cs="Times New Roman"/>
                              <w:i/>
                              <w:color w:val="0C0C0C"/>
                              <w:sz w:val="24"/>
                              <w:szCs w:val="24"/>
                              <w:highlight w:val="none"/>
                            </w:rPr>
                          </m:ctrlPr>
                        </m:e>
                        <m:sub>
                          <m:r>
                            <m:rPr/>
                            <w:rPr>
                              <w:rFonts w:hint="default" w:ascii="Cambria Math" w:hAnsi="Cambria Math" w:cs="Times New Roman"/>
                              <w:color w:val="0C0C0C"/>
                              <w:sz w:val="24"/>
                              <w:szCs w:val="24"/>
                              <w:highlight w:val="none"/>
                            </w:rPr>
                            <m:t>i</m:t>
                          </m:r>
                          <m:ctrlPr>
                            <w:rPr>
                              <w:rFonts w:hint="default" w:ascii="Cambria Math" w:hAnsi="Cambria Math" w:cs="Times New Roman"/>
                              <w:i/>
                              <w:color w:val="0C0C0C"/>
                              <w:sz w:val="24"/>
                              <w:szCs w:val="24"/>
                              <w:highlight w:val="none"/>
                            </w:rPr>
                          </m:ctrlPr>
                        </m:sub>
                      </m:sSub>
                      <m:sSup>
                        <m:sSupPr>
                          <m:ctrlPr>
                            <w:rPr>
                              <w:rFonts w:hint="default" w:ascii="Cambria Math" w:hAnsi="Cambria Math" w:cs="Times New Roman"/>
                              <w:i/>
                              <w:color w:val="0C0C0C"/>
                              <w:sz w:val="24"/>
                              <w:szCs w:val="24"/>
                              <w:highlight w:val="none"/>
                            </w:rPr>
                          </m:ctrlPr>
                        </m:sSupPr>
                        <m:e>
                          <m:r>
                            <m:rPr/>
                            <w:rPr>
                              <w:rFonts w:hint="default" w:ascii="Cambria Math" w:hAnsi="Cambria Math" w:cs="Times New Roman"/>
                              <w:color w:val="0C0C0C"/>
                              <w:sz w:val="24"/>
                              <w:szCs w:val="24"/>
                              <w:highlight w:val="none"/>
                            </w:rPr>
                            <m:t>10</m:t>
                          </m:r>
                          <m:ctrlPr>
                            <w:rPr>
                              <w:rFonts w:hint="default" w:ascii="Cambria Math" w:hAnsi="Cambria Math" w:cs="Times New Roman"/>
                              <w:i/>
                              <w:color w:val="0C0C0C"/>
                              <w:sz w:val="24"/>
                              <w:szCs w:val="24"/>
                              <w:highlight w:val="none"/>
                            </w:rPr>
                          </m:ctrlPr>
                        </m:e>
                        <m:sup>
                          <m:sSub>
                            <m:sSubPr>
                              <m:ctrlPr>
                                <w:rPr>
                                  <w:rFonts w:hint="default" w:ascii="Cambria Math" w:hAnsi="Cambria Math" w:cs="Times New Roman"/>
                                  <w:i/>
                                  <w:color w:val="0C0C0C"/>
                                  <w:sz w:val="24"/>
                                  <w:szCs w:val="24"/>
                                  <w:highlight w:val="none"/>
                                </w:rPr>
                              </m:ctrlPr>
                            </m:sSubPr>
                            <m:e>
                              <m:r>
                                <m:rPr/>
                                <w:rPr>
                                  <w:rFonts w:hint="default" w:ascii="Cambria Math" w:hAnsi="Cambria Math" w:cs="Times New Roman"/>
                                  <w:color w:val="0C0C0C"/>
                                  <w:sz w:val="24"/>
                                  <w:szCs w:val="24"/>
                                  <w:highlight w:val="none"/>
                                </w:rPr>
                                <m:t>0.1L</m:t>
                              </m:r>
                              <m:ctrlPr>
                                <w:rPr>
                                  <w:rFonts w:hint="default" w:ascii="Cambria Math" w:hAnsi="Cambria Math" w:cs="Times New Roman"/>
                                  <w:i/>
                                  <w:color w:val="0C0C0C"/>
                                  <w:sz w:val="24"/>
                                  <w:szCs w:val="24"/>
                                  <w:highlight w:val="none"/>
                                </w:rPr>
                              </m:ctrlPr>
                            </m:e>
                            <m:sub>
                              <m:r>
                                <m:rPr/>
                                <w:rPr>
                                  <w:rFonts w:hint="default" w:ascii="Cambria Math" w:hAnsi="Cambria Math" w:cs="Times New Roman"/>
                                  <w:color w:val="0C0C0C"/>
                                  <w:sz w:val="24"/>
                                  <w:szCs w:val="24"/>
                                  <w:highlight w:val="none"/>
                                </w:rPr>
                                <m:t>Ai</m:t>
                              </m:r>
                              <m:ctrlPr>
                                <w:rPr>
                                  <w:rFonts w:hint="default" w:ascii="Cambria Math" w:hAnsi="Cambria Math" w:cs="Times New Roman"/>
                                  <w:i/>
                                  <w:color w:val="0C0C0C"/>
                                  <w:sz w:val="24"/>
                                  <w:szCs w:val="24"/>
                                  <w:highlight w:val="none"/>
                                </w:rPr>
                              </m:ctrlPr>
                            </m:sub>
                          </m:sSub>
                          <m:ctrlPr>
                            <w:rPr>
                              <w:rFonts w:hint="default" w:ascii="Cambria Math" w:hAnsi="Cambria Math" w:cs="Times New Roman"/>
                              <w:i/>
                              <w:color w:val="0C0C0C"/>
                              <w:sz w:val="24"/>
                              <w:szCs w:val="24"/>
                              <w:highlight w:val="none"/>
                            </w:rPr>
                          </m:ctrlPr>
                        </m:sup>
                      </m:sSup>
                      <m:r>
                        <m:rPr/>
                        <w:rPr>
                          <w:rFonts w:hint="default" w:ascii="Cambria Math" w:hAnsi="Cambria Math" w:cs="Times New Roman"/>
                          <w:color w:val="0C0C0C"/>
                          <w:sz w:val="24"/>
                          <w:szCs w:val="24"/>
                          <w:highlight w:val="none"/>
                        </w:rPr>
                        <m:t>+</m:t>
                      </m:r>
                      <m:limLow>
                        <m:limLowPr>
                          <m:ctrlPr>
                            <w:rPr>
                              <w:rFonts w:hint="default" w:ascii="Cambria Math" w:hAnsi="Cambria Math" w:cs="Times New Roman"/>
                              <w:color w:val="0C0C0C"/>
                              <w:sz w:val="24"/>
                              <w:szCs w:val="24"/>
                              <w:highlight w:val="none"/>
                            </w:rPr>
                          </m:ctrlPr>
                        </m:limLowPr>
                        <m:e>
                          <m:limUpp>
                            <m:limUppPr>
                              <m:ctrlPr>
                                <w:rPr>
                                  <w:rFonts w:hint="default" w:ascii="Cambria Math" w:hAnsi="Cambria Math" w:cs="Times New Roman"/>
                                  <w:i/>
                                  <w:color w:val="0C0C0C"/>
                                  <w:sz w:val="24"/>
                                  <w:szCs w:val="24"/>
                                  <w:highlight w:val="none"/>
                                </w:rPr>
                              </m:ctrlPr>
                            </m:limUppPr>
                            <m:e>
                              <m:r>
                                <m:rPr/>
                                <w:rPr>
                                  <w:rFonts w:hint="default" w:ascii="Cambria Math" w:hAnsi="Cambria Math" w:cs="Times New Roman"/>
                                  <w:color w:val="0C0C0C"/>
                                  <w:sz w:val="24"/>
                                  <w:szCs w:val="24"/>
                                  <w:highlight w:val="none"/>
                                </w:rPr>
                                <m:t>∑</m:t>
                              </m:r>
                              <m:ctrlPr>
                                <w:rPr>
                                  <w:rFonts w:hint="default" w:ascii="Cambria Math" w:hAnsi="Cambria Math" w:cs="Times New Roman"/>
                                  <w:i/>
                                  <w:color w:val="0C0C0C"/>
                                  <w:sz w:val="24"/>
                                  <w:szCs w:val="24"/>
                                  <w:highlight w:val="none"/>
                                </w:rPr>
                              </m:ctrlPr>
                            </m:e>
                            <m:lim>
                              <m:r>
                                <m:rPr/>
                                <w:rPr>
                                  <w:rFonts w:hint="default" w:ascii="Cambria Math" w:hAnsi="Cambria Math" w:cs="Times New Roman"/>
                                  <w:color w:val="0C0C0C"/>
                                  <w:sz w:val="24"/>
                                  <w:szCs w:val="24"/>
                                  <w:highlight w:val="none"/>
                                </w:rPr>
                                <m:t>M</m:t>
                              </m:r>
                              <m:ctrlPr>
                                <w:rPr>
                                  <w:rFonts w:hint="default" w:ascii="Cambria Math" w:hAnsi="Cambria Math" w:cs="Times New Roman"/>
                                  <w:i/>
                                  <w:color w:val="0C0C0C"/>
                                  <w:sz w:val="24"/>
                                  <w:szCs w:val="24"/>
                                  <w:highlight w:val="none"/>
                                </w:rPr>
                              </m:ctrlPr>
                            </m:lim>
                          </m:limUpp>
                          <m:ctrlPr>
                            <w:rPr>
                              <w:rFonts w:hint="default" w:ascii="Cambria Math" w:hAnsi="Cambria Math" w:cs="Times New Roman"/>
                              <w:i/>
                              <w:sz w:val="24"/>
                              <w:szCs w:val="24"/>
                              <w:highlight w:val="none"/>
                            </w:rPr>
                          </m:ctrlPr>
                        </m:e>
                        <m:lim>
                          <m:r>
                            <m:rPr/>
                            <w:rPr>
                              <w:rFonts w:hint="default" w:ascii="Cambria Math" w:hAnsi="Cambria Math" w:cs="Times New Roman"/>
                              <w:sz w:val="24"/>
                              <w:szCs w:val="24"/>
                              <w:highlight w:val="none"/>
                            </w:rPr>
                            <m:t>j=1</m:t>
                          </m:r>
                          <m:ctrlPr>
                            <w:rPr>
                              <w:rFonts w:hint="default" w:ascii="Cambria Math" w:hAnsi="Cambria Math" w:cs="Times New Roman"/>
                              <w:color w:val="0C0C0C"/>
                              <w:sz w:val="24"/>
                              <w:szCs w:val="24"/>
                              <w:highlight w:val="none"/>
                            </w:rPr>
                          </m:ctrlPr>
                        </m:lim>
                      </m:limLow>
                      <m:sSub>
                        <m:sSubPr>
                          <m:ctrlPr>
                            <w:rPr>
                              <w:rFonts w:hint="default" w:ascii="Cambria Math" w:hAnsi="Cambria Math" w:cs="Times New Roman"/>
                              <w:i/>
                              <w:color w:val="0C0C0C"/>
                              <w:sz w:val="24"/>
                              <w:szCs w:val="24"/>
                              <w:highlight w:val="none"/>
                            </w:rPr>
                          </m:ctrlPr>
                        </m:sSubPr>
                        <m:e>
                          <m:r>
                            <m:rPr/>
                            <w:rPr>
                              <w:rFonts w:hint="default" w:ascii="Cambria Math" w:hAnsi="Cambria Math" w:cs="Times New Roman"/>
                              <w:color w:val="0C0C0C"/>
                              <w:sz w:val="24"/>
                              <w:szCs w:val="24"/>
                              <w:highlight w:val="none"/>
                            </w:rPr>
                            <m:t>t</m:t>
                          </m:r>
                          <m:ctrlPr>
                            <w:rPr>
                              <w:rFonts w:hint="default" w:ascii="Cambria Math" w:hAnsi="Cambria Math" w:cs="Times New Roman"/>
                              <w:i/>
                              <w:color w:val="0C0C0C"/>
                              <w:sz w:val="24"/>
                              <w:szCs w:val="24"/>
                              <w:highlight w:val="none"/>
                            </w:rPr>
                          </m:ctrlPr>
                        </m:e>
                        <m:sub>
                          <m:r>
                            <m:rPr/>
                            <w:rPr>
                              <w:rFonts w:hint="default" w:ascii="Cambria Math" w:hAnsi="Cambria Math" w:cs="Times New Roman"/>
                              <w:color w:val="0C0C0C"/>
                              <w:sz w:val="24"/>
                              <w:szCs w:val="24"/>
                              <w:highlight w:val="none"/>
                            </w:rPr>
                            <m:t>j</m:t>
                          </m:r>
                          <m:ctrlPr>
                            <w:rPr>
                              <w:rFonts w:hint="default" w:ascii="Cambria Math" w:hAnsi="Cambria Math" w:cs="Times New Roman"/>
                              <w:i/>
                              <w:color w:val="0C0C0C"/>
                              <w:sz w:val="24"/>
                              <w:szCs w:val="24"/>
                              <w:highlight w:val="none"/>
                            </w:rPr>
                          </m:ctrlPr>
                        </m:sub>
                      </m:sSub>
                      <m:sSup>
                        <m:sSupPr>
                          <m:ctrlPr>
                            <w:rPr>
                              <w:rFonts w:hint="default" w:ascii="Cambria Math" w:hAnsi="Cambria Math" w:cs="Times New Roman"/>
                              <w:i/>
                              <w:color w:val="0C0C0C"/>
                              <w:sz w:val="24"/>
                              <w:szCs w:val="24"/>
                              <w:highlight w:val="none"/>
                            </w:rPr>
                          </m:ctrlPr>
                        </m:sSupPr>
                        <m:e>
                          <m:r>
                            <m:rPr/>
                            <w:rPr>
                              <w:rFonts w:hint="default" w:ascii="Cambria Math" w:hAnsi="Cambria Math" w:cs="Times New Roman"/>
                              <w:color w:val="0C0C0C"/>
                              <w:sz w:val="24"/>
                              <w:szCs w:val="24"/>
                              <w:highlight w:val="none"/>
                            </w:rPr>
                            <m:t>10</m:t>
                          </m:r>
                          <m:ctrlPr>
                            <w:rPr>
                              <w:rFonts w:hint="default" w:ascii="Cambria Math" w:hAnsi="Cambria Math" w:cs="Times New Roman"/>
                              <w:i/>
                              <w:color w:val="0C0C0C"/>
                              <w:sz w:val="24"/>
                              <w:szCs w:val="24"/>
                              <w:highlight w:val="none"/>
                            </w:rPr>
                          </m:ctrlPr>
                        </m:e>
                        <m:sup>
                          <m:sSub>
                            <m:sSubPr>
                              <m:ctrlPr>
                                <w:rPr>
                                  <w:rFonts w:hint="default" w:ascii="Cambria Math" w:hAnsi="Cambria Math" w:cs="Times New Roman"/>
                                  <w:i/>
                                  <w:color w:val="0C0C0C"/>
                                  <w:sz w:val="24"/>
                                  <w:szCs w:val="24"/>
                                  <w:highlight w:val="none"/>
                                </w:rPr>
                              </m:ctrlPr>
                            </m:sSubPr>
                            <m:e>
                              <m:r>
                                <m:rPr/>
                                <w:rPr>
                                  <w:rFonts w:hint="default" w:ascii="Cambria Math" w:hAnsi="Cambria Math" w:cs="Times New Roman"/>
                                  <w:color w:val="0C0C0C"/>
                                  <w:sz w:val="24"/>
                                  <w:szCs w:val="24"/>
                                  <w:highlight w:val="none"/>
                                </w:rPr>
                                <m:t>0.1L</m:t>
                              </m:r>
                              <m:ctrlPr>
                                <w:rPr>
                                  <w:rFonts w:hint="default" w:ascii="Cambria Math" w:hAnsi="Cambria Math" w:cs="Times New Roman"/>
                                  <w:i/>
                                  <w:color w:val="0C0C0C"/>
                                  <w:sz w:val="24"/>
                                  <w:szCs w:val="24"/>
                                  <w:highlight w:val="none"/>
                                </w:rPr>
                              </m:ctrlPr>
                            </m:e>
                            <m:sub>
                              <m:r>
                                <m:rPr/>
                                <w:rPr>
                                  <w:rFonts w:hint="default" w:ascii="Cambria Math" w:hAnsi="Cambria Math" w:cs="Times New Roman"/>
                                  <w:color w:val="0C0C0C"/>
                                  <w:sz w:val="24"/>
                                  <w:szCs w:val="24"/>
                                  <w:highlight w:val="none"/>
                                </w:rPr>
                                <m:t>Aj</m:t>
                              </m:r>
                              <m:ctrlPr>
                                <w:rPr>
                                  <w:rFonts w:hint="default" w:ascii="Cambria Math" w:hAnsi="Cambria Math" w:cs="Times New Roman"/>
                                  <w:i/>
                                  <w:color w:val="0C0C0C"/>
                                  <w:sz w:val="24"/>
                                  <w:szCs w:val="24"/>
                                  <w:highlight w:val="none"/>
                                </w:rPr>
                              </m:ctrlPr>
                            </m:sub>
                          </m:sSub>
                          <m:ctrlPr>
                            <w:rPr>
                              <w:rFonts w:hint="default" w:ascii="Cambria Math" w:hAnsi="Cambria Math" w:cs="Times New Roman"/>
                              <w:i/>
                              <w:color w:val="0C0C0C"/>
                              <w:sz w:val="24"/>
                              <w:szCs w:val="24"/>
                              <w:highlight w:val="none"/>
                            </w:rPr>
                          </m:ctrlPr>
                        </m:sup>
                      </m:sSup>
                      <m:ctrlPr>
                        <w:rPr>
                          <w:rFonts w:hint="default" w:ascii="Cambria Math" w:hAnsi="Cambria Math" w:cs="Times New Roman"/>
                          <w:i/>
                          <w:color w:val="0C0C0C"/>
                          <w:sz w:val="24"/>
                          <w:szCs w:val="24"/>
                          <w:highlight w:val="none"/>
                        </w:rPr>
                      </m:ctrlPr>
                    </m:e>
                  </m:d>
                  <m:ctrlPr>
                    <w:rPr>
                      <w:rFonts w:hint="default" w:ascii="Cambria Math" w:hAnsi="Cambria Math" w:cs="Times New Roman"/>
                      <w:color w:val="0C0C0C"/>
                      <w:sz w:val="24"/>
                      <w:szCs w:val="24"/>
                      <w:highlight w:val="none"/>
                    </w:rPr>
                  </m:ctrlPr>
                </m:e>
              </m:d>
            </m:oMath>
          </w:p>
          <w:p w14:paraId="18B76AFC">
            <w:pPr>
              <w:keepNext w:val="0"/>
              <w:keepLines w:val="0"/>
              <w:suppressLineNumbers w:val="0"/>
              <w:spacing w:before="0" w:beforeAutospacing="0" w:after="0" w:afterAutospacing="0" w:line="440" w:lineRule="exact"/>
              <w:ind w:left="0" w:right="0"/>
              <w:rPr>
                <w:rFonts w:hint="default"/>
                <w:sz w:val="24"/>
                <w:highlight w:val="none"/>
              </w:rPr>
            </w:pPr>
            <w:r>
              <w:rPr>
                <w:rFonts w:hint="default"/>
                <w:sz w:val="24"/>
                <w:highlight w:val="none"/>
              </w:rPr>
              <w:t>式中：Leqg—建设项目声源在预测的产生的噪声贡献值，dB；</w:t>
            </w:r>
          </w:p>
          <w:p w14:paraId="1E4E790A">
            <w:pPr>
              <w:keepNext w:val="0"/>
              <w:keepLines w:val="0"/>
              <w:suppressLineNumbers w:val="0"/>
              <w:spacing w:before="0" w:beforeAutospacing="0" w:after="0" w:afterAutospacing="0" w:line="440" w:lineRule="exact"/>
              <w:ind w:left="0" w:right="0" w:firstLine="720" w:firstLineChars="300"/>
              <w:rPr>
                <w:rFonts w:hint="default"/>
                <w:sz w:val="24"/>
                <w:highlight w:val="none"/>
              </w:rPr>
            </w:pPr>
            <w:r>
              <w:rPr>
                <w:rFonts w:hint="default"/>
                <w:sz w:val="24"/>
                <w:highlight w:val="none"/>
              </w:rPr>
              <w:t>T—用于计算等效声级的时间，s；</w:t>
            </w:r>
          </w:p>
          <w:p w14:paraId="3E697E0F">
            <w:pPr>
              <w:keepNext w:val="0"/>
              <w:keepLines w:val="0"/>
              <w:suppressLineNumbers w:val="0"/>
              <w:spacing w:before="0" w:beforeAutospacing="0" w:after="0" w:afterAutospacing="0" w:line="440" w:lineRule="exact"/>
              <w:ind w:left="0" w:right="0" w:firstLine="720" w:firstLineChars="300"/>
              <w:rPr>
                <w:rFonts w:hint="default"/>
                <w:sz w:val="24"/>
                <w:highlight w:val="none"/>
              </w:rPr>
            </w:pPr>
            <w:r>
              <w:rPr>
                <w:rFonts w:hint="default"/>
                <w:sz w:val="24"/>
                <w:highlight w:val="none"/>
              </w:rPr>
              <w:t>N—室外声源个数；</w:t>
            </w:r>
          </w:p>
          <w:p w14:paraId="0DD1CE77">
            <w:pPr>
              <w:keepNext w:val="0"/>
              <w:keepLines w:val="0"/>
              <w:suppressLineNumbers w:val="0"/>
              <w:spacing w:before="0" w:beforeAutospacing="0" w:after="0" w:afterAutospacing="0" w:line="440" w:lineRule="exact"/>
              <w:ind w:left="0" w:right="0" w:firstLine="720" w:firstLineChars="300"/>
              <w:rPr>
                <w:rFonts w:hint="default"/>
                <w:sz w:val="24"/>
                <w:highlight w:val="none"/>
              </w:rPr>
            </w:pPr>
            <w:r>
              <w:rPr>
                <w:rFonts w:hint="default"/>
                <w:sz w:val="24"/>
                <w:highlight w:val="none"/>
              </w:rPr>
              <w:t>ti—在T时间内i声源内工作时间，s；</w:t>
            </w:r>
          </w:p>
          <w:p w14:paraId="045DF1DA">
            <w:pPr>
              <w:keepNext w:val="0"/>
              <w:keepLines w:val="0"/>
              <w:suppressLineNumbers w:val="0"/>
              <w:spacing w:before="0" w:beforeAutospacing="0" w:after="0" w:afterAutospacing="0" w:line="440" w:lineRule="exact"/>
              <w:ind w:left="0" w:right="0" w:firstLine="720" w:firstLineChars="300"/>
              <w:rPr>
                <w:rFonts w:hint="default"/>
                <w:sz w:val="24"/>
                <w:highlight w:val="none"/>
              </w:rPr>
            </w:pPr>
            <w:r>
              <w:rPr>
                <w:rFonts w:hint="default"/>
                <w:sz w:val="24"/>
                <w:highlight w:val="none"/>
              </w:rPr>
              <w:t>M—等效室外声源个数；</w:t>
            </w:r>
          </w:p>
          <w:p w14:paraId="686A77FF">
            <w:pPr>
              <w:keepNext w:val="0"/>
              <w:keepLines w:val="0"/>
              <w:suppressLineNumbers w:val="0"/>
              <w:spacing w:before="0" w:beforeAutospacing="0" w:after="0" w:afterAutospacing="0" w:line="440" w:lineRule="exact"/>
              <w:ind w:left="0" w:right="0" w:firstLine="720" w:firstLineChars="300"/>
              <w:rPr>
                <w:rFonts w:hint="default"/>
                <w:sz w:val="24"/>
                <w:highlight w:val="none"/>
              </w:rPr>
            </w:pPr>
            <w:r>
              <w:rPr>
                <w:rFonts w:hint="default"/>
                <w:sz w:val="24"/>
                <w:highlight w:val="none"/>
              </w:rPr>
              <w:t>ti—在T时间内j声源内工作时间，s；</w:t>
            </w:r>
          </w:p>
          <w:p w14:paraId="2B6FF7D8">
            <w:pPr>
              <w:keepNext w:val="0"/>
              <w:keepLines w:val="0"/>
              <w:suppressLineNumbers w:val="0"/>
              <w:tabs>
                <w:tab w:val="left" w:pos="8370"/>
                <w:tab w:val="left" w:pos="8600"/>
              </w:tabs>
              <w:spacing w:before="0" w:beforeAutospacing="0" w:after="0" w:afterAutospacing="0" w:line="440" w:lineRule="exact"/>
              <w:ind w:left="0" w:right="0" w:firstLine="480" w:firstLineChars="200"/>
              <w:rPr>
                <w:rFonts w:hint="eastAsia"/>
                <w:sz w:val="24"/>
                <w:highlight w:val="none"/>
              </w:rPr>
            </w:pPr>
            <w:r>
              <w:rPr>
                <w:rFonts w:hint="default"/>
                <w:sz w:val="24"/>
                <w:highlight w:val="none"/>
              </w:rPr>
              <w:t>根据本</w:t>
            </w:r>
            <w:r>
              <w:rPr>
                <w:rFonts w:hint="eastAsia"/>
                <w:sz w:val="24"/>
                <w:highlight w:val="none"/>
              </w:rPr>
              <w:t>项目</w:t>
            </w:r>
            <w:r>
              <w:rPr>
                <w:rFonts w:hint="default"/>
                <w:sz w:val="24"/>
                <w:highlight w:val="none"/>
              </w:rPr>
              <w:t>噪声源的分布，对项目四周厂界噪声</w:t>
            </w:r>
            <w:r>
              <w:rPr>
                <w:rFonts w:hint="eastAsia"/>
                <w:sz w:val="24"/>
                <w:highlight w:val="none"/>
              </w:rPr>
              <w:t>贡献值</w:t>
            </w:r>
            <w:r>
              <w:rPr>
                <w:rFonts w:hint="default"/>
                <w:sz w:val="24"/>
                <w:highlight w:val="none"/>
              </w:rPr>
              <w:t>进行计算，</w:t>
            </w:r>
            <w:r>
              <w:rPr>
                <w:rFonts w:hint="eastAsia"/>
                <w:sz w:val="24"/>
                <w:highlight w:val="none"/>
              </w:rPr>
              <w:t>本次评价</w:t>
            </w:r>
            <w:r>
              <w:rPr>
                <w:rFonts w:hint="default"/>
                <w:sz w:val="24"/>
                <w:highlight w:val="none"/>
              </w:rPr>
              <w:t>厂界噪声的预测结果见</w:t>
            </w:r>
            <w:r>
              <w:rPr>
                <w:rFonts w:hint="eastAsia"/>
                <w:sz w:val="24"/>
                <w:highlight w:val="none"/>
              </w:rPr>
              <w:t>下</w:t>
            </w:r>
            <w:r>
              <w:rPr>
                <w:rFonts w:hint="default"/>
                <w:sz w:val="24"/>
                <w:highlight w:val="none"/>
              </w:rPr>
              <w:t>表。</w:t>
            </w:r>
          </w:p>
          <w:p w14:paraId="46BA22DE">
            <w:pPr>
              <w:keepNext w:val="0"/>
              <w:keepLines w:val="0"/>
              <w:suppressLineNumbers w:val="0"/>
              <w:adjustRightInd w:val="0"/>
              <w:snapToGrid w:val="0"/>
              <w:spacing w:before="0" w:beforeAutospacing="0" w:after="0" w:afterAutospacing="0" w:line="420" w:lineRule="exact"/>
              <w:ind w:left="0" w:right="0"/>
              <w:jc w:val="center"/>
              <w:textAlignment w:val="baseline"/>
              <w:rPr>
                <w:rFonts w:hint="default" w:eastAsia="黑体"/>
                <w:sz w:val="24"/>
                <w:highlight w:val="none"/>
              </w:rPr>
            </w:pPr>
            <w:r>
              <w:rPr>
                <w:rFonts w:hint="default" w:ascii="宋体" w:hAnsi="宋体"/>
                <w:b/>
                <w:color w:val="000000"/>
                <w:sz w:val="24"/>
                <w:highlight w:val="none"/>
              </w:rPr>
              <w:t>表</w:t>
            </w:r>
            <w:r>
              <w:rPr>
                <w:rFonts w:hint="eastAsia" w:cs="Times New Roman"/>
                <w:b/>
                <w:color w:val="000000"/>
                <w:sz w:val="24"/>
                <w:highlight w:val="none"/>
                <w:lang w:val="en-US" w:eastAsia="zh-CN"/>
              </w:rPr>
              <w:t xml:space="preserve">32 </w:t>
            </w:r>
            <w:r>
              <w:rPr>
                <w:rFonts w:hint="eastAsia" w:ascii="宋体" w:hAnsi="宋体"/>
                <w:b/>
                <w:color w:val="000000"/>
                <w:sz w:val="24"/>
                <w:highlight w:val="none"/>
              </w:rPr>
              <w:t>各厂界噪声预测值</w:t>
            </w:r>
            <w:r>
              <w:rPr>
                <w:rFonts w:hint="eastAsia" w:ascii="宋体" w:hAnsi="宋体"/>
                <w:b/>
                <w:color w:val="000000"/>
                <w:sz w:val="24"/>
                <w:highlight w:val="none"/>
                <w:lang w:val="en-US" w:eastAsia="zh-CN"/>
              </w:rPr>
              <w:t xml:space="preserve">  </w:t>
            </w:r>
            <w:r>
              <w:rPr>
                <w:rFonts w:hint="default" w:ascii="宋体" w:hAnsi="宋体"/>
                <w:b/>
                <w:color w:val="000000"/>
                <w:sz w:val="24"/>
                <w:highlight w:val="none"/>
              </w:rPr>
              <w:t>单位：</w:t>
            </w:r>
            <w:r>
              <w:rPr>
                <w:rFonts w:hint="default" w:ascii="Times New Roman" w:hAnsi="Times New Roman" w:cs="Times New Roman"/>
                <w:b/>
                <w:color w:val="000000"/>
                <w:sz w:val="24"/>
                <w:highlight w:val="none"/>
              </w:rPr>
              <w:t>dB（A）</w:t>
            </w:r>
          </w:p>
          <w:tbl>
            <w:tblPr>
              <w:tblStyle w:val="23"/>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71"/>
              <w:gridCol w:w="1380"/>
              <w:gridCol w:w="1335"/>
              <w:gridCol w:w="1815"/>
              <w:gridCol w:w="1406"/>
              <w:gridCol w:w="1406"/>
            </w:tblGrid>
            <w:tr w14:paraId="705C61D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7" w:type="pct"/>
                  <w:tcBorders>
                    <w:bottom w:val="single" w:color="auto" w:sz="8" w:space="0"/>
                  </w:tcBorders>
                  <w:noWrap w:val="0"/>
                  <w:vAlign w:val="center"/>
                </w:tcPr>
                <w:p w14:paraId="755C7766">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点位</w:t>
                  </w:r>
                </w:p>
              </w:tc>
              <w:tc>
                <w:tcPr>
                  <w:tcW w:w="801" w:type="pct"/>
                  <w:tcBorders>
                    <w:bottom w:val="single" w:color="auto" w:sz="8" w:space="0"/>
                  </w:tcBorders>
                  <w:noWrap w:val="0"/>
                  <w:vAlign w:val="center"/>
                </w:tcPr>
                <w:p w14:paraId="65581D65">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噪声源</w:t>
                  </w:r>
                </w:p>
              </w:tc>
              <w:tc>
                <w:tcPr>
                  <w:tcW w:w="774" w:type="pct"/>
                  <w:tcBorders>
                    <w:bottom w:val="single" w:color="auto" w:sz="8" w:space="0"/>
                  </w:tcBorders>
                  <w:noWrap w:val="0"/>
                  <w:vAlign w:val="center"/>
                </w:tcPr>
                <w:p w14:paraId="0C22E9A0">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声功率级/dB（A）</w:t>
                  </w:r>
                </w:p>
              </w:tc>
              <w:tc>
                <w:tcPr>
                  <w:tcW w:w="1053" w:type="pct"/>
                  <w:tcBorders>
                    <w:bottom w:val="single" w:color="auto" w:sz="8" w:space="0"/>
                  </w:tcBorders>
                  <w:noWrap w:val="0"/>
                  <w:vAlign w:val="center"/>
                </w:tcPr>
                <w:p w14:paraId="2B2A513E">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与厂界距离（m）</w:t>
                  </w:r>
                </w:p>
              </w:tc>
              <w:tc>
                <w:tcPr>
                  <w:tcW w:w="816" w:type="pct"/>
                  <w:tcBorders>
                    <w:bottom w:val="single" w:color="auto" w:sz="8" w:space="0"/>
                  </w:tcBorders>
                  <w:noWrap w:val="0"/>
                  <w:vAlign w:val="center"/>
                </w:tcPr>
                <w:p w14:paraId="77240630">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贡献值/dB（A）</w:t>
                  </w:r>
                </w:p>
              </w:tc>
              <w:tc>
                <w:tcPr>
                  <w:tcW w:w="816" w:type="pct"/>
                  <w:tcBorders>
                    <w:bottom w:val="single" w:color="auto" w:sz="8" w:space="0"/>
                  </w:tcBorders>
                  <w:noWrap w:val="0"/>
                  <w:vAlign w:val="center"/>
                </w:tcPr>
                <w:p w14:paraId="5F1F9E57">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叠加值/dB（A）</w:t>
                  </w:r>
                </w:p>
              </w:tc>
            </w:tr>
            <w:tr w14:paraId="7A52214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7" w:type="pct"/>
                  <w:vMerge w:val="restart"/>
                  <w:tcBorders>
                    <w:tl2br w:val="nil"/>
                    <w:tr2bl w:val="nil"/>
                  </w:tcBorders>
                  <w:noWrap w:val="0"/>
                  <w:vAlign w:val="center"/>
                </w:tcPr>
                <w:p w14:paraId="66935F21">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西厂界</w:t>
                  </w:r>
                </w:p>
              </w:tc>
              <w:tc>
                <w:tcPr>
                  <w:tcW w:w="801" w:type="pct"/>
                  <w:tcBorders>
                    <w:tl2br w:val="nil"/>
                    <w:tr2bl w:val="nil"/>
                  </w:tcBorders>
                  <w:noWrap w:val="0"/>
                  <w:vAlign w:val="center"/>
                </w:tcPr>
                <w:p w14:paraId="1F8DE715">
                  <w:pPr>
                    <w:keepNext w:val="0"/>
                    <w:keepLines w:val="0"/>
                    <w:suppressLineNumbers w:val="0"/>
                    <w:tabs>
                      <w:tab w:val="left" w:pos="8370"/>
                      <w:tab w:val="left" w:pos="8600"/>
                    </w:tabs>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1#车间</w:t>
                  </w:r>
                </w:p>
              </w:tc>
              <w:tc>
                <w:tcPr>
                  <w:tcW w:w="774" w:type="pct"/>
                  <w:tcBorders>
                    <w:tl2br w:val="nil"/>
                    <w:tr2bl w:val="nil"/>
                  </w:tcBorders>
                  <w:noWrap w:val="0"/>
                  <w:vAlign w:val="center"/>
                </w:tcPr>
                <w:p w14:paraId="15C4DF39">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eastAsia"/>
                      <w:b w:val="0"/>
                      <w:bCs w:val="0"/>
                      <w:sz w:val="21"/>
                      <w:szCs w:val="21"/>
                      <w:highlight w:val="none"/>
                      <w:vertAlign w:val="baseline"/>
                      <w:lang w:val="en-US" w:eastAsia="zh-CN"/>
                    </w:rPr>
                    <w:t>46.49</w:t>
                  </w:r>
                </w:p>
              </w:tc>
              <w:tc>
                <w:tcPr>
                  <w:tcW w:w="1053" w:type="pct"/>
                  <w:tcBorders>
                    <w:tl2br w:val="nil"/>
                    <w:tr2bl w:val="nil"/>
                  </w:tcBorders>
                  <w:noWrap w:val="0"/>
                  <w:vAlign w:val="center"/>
                </w:tcPr>
                <w:p w14:paraId="39DF35AB">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80</w:t>
                  </w:r>
                </w:p>
              </w:tc>
              <w:tc>
                <w:tcPr>
                  <w:tcW w:w="1406" w:type="dxa"/>
                  <w:tcBorders>
                    <w:tl2br w:val="nil"/>
                    <w:tr2bl w:val="nil"/>
                  </w:tcBorders>
                  <w:noWrap w:val="0"/>
                  <w:vAlign w:val="center"/>
                </w:tcPr>
                <w:p w14:paraId="0E19CB7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9.34</w:t>
                  </w:r>
                </w:p>
              </w:tc>
              <w:tc>
                <w:tcPr>
                  <w:tcW w:w="816" w:type="pct"/>
                  <w:vMerge w:val="restart"/>
                  <w:tcBorders>
                    <w:tl2br w:val="nil"/>
                    <w:tr2bl w:val="nil"/>
                  </w:tcBorders>
                  <w:noWrap w:val="0"/>
                  <w:vAlign w:val="center"/>
                </w:tcPr>
                <w:p w14:paraId="3B99235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19.8</w:t>
                  </w:r>
                </w:p>
              </w:tc>
            </w:tr>
            <w:tr w14:paraId="0C26C1B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7" w:type="pct"/>
                  <w:vMerge w:val="continue"/>
                  <w:tcBorders>
                    <w:tl2br w:val="nil"/>
                    <w:tr2bl w:val="nil"/>
                  </w:tcBorders>
                  <w:noWrap w:val="0"/>
                  <w:vAlign w:val="center"/>
                </w:tcPr>
                <w:p w14:paraId="4C76E16C">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p>
              </w:tc>
              <w:tc>
                <w:tcPr>
                  <w:tcW w:w="801" w:type="pct"/>
                  <w:tcBorders>
                    <w:tl2br w:val="nil"/>
                    <w:tr2bl w:val="nil"/>
                  </w:tcBorders>
                  <w:noWrap w:val="0"/>
                  <w:vAlign w:val="center"/>
                </w:tcPr>
                <w:p w14:paraId="27588FAE">
                  <w:pPr>
                    <w:keepNext w:val="0"/>
                    <w:keepLines w:val="0"/>
                    <w:suppressLineNumbers w:val="0"/>
                    <w:adjustRightInd w:val="0"/>
                    <w:snapToGrid w:val="0"/>
                    <w:spacing w:before="0" w:beforeAutospacing="0" w:after="0" w:afterAutospacing="0"/>
                    <w:ind w:left="0" w:leftChars="0" w:right="0" w:rightChars="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2#车间</w:t>
                  </w:r>
                </w:p>
              </w:tc>
              <w:tc>
                <w:tcPr>
                  <w:tcW w:w="774" w:type="pct"/>
                  <w:tcBorders>
                    <w:tl2br w:val="nil"/>
                    <w:tr2bl w:val="nil"/>
                  </w:tcBorders>
                  <w:noWrap w:val="0"/>
                  <w:vAlign w:val="center"/>
                </w:tcPr>
                <w:p w14:paraId="5C4B9DD7">
                  <w:pPr>
                    <w:keepNext w:val="0"/>
                    <w:keepLines w:val="0"/>
                    <w:suppressLineNumbers w:val="0"/>
                    <w:spacing w:before="0" w:beforeAutospacing="0" w:after="0" w:afterAutospacing="0" w:line="240" w:lineRule="auto"/>
                    <w:ind w:left="0" w:leftChars="0" w:right="0" w:rightChars="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46.49</w:t>
                  </w:r>
                </w:p>
              </w:tc>
              <w:tc>
                <w:tcPr>
                  <w:tcW w:w="1053" w:type="pct"/>
                  <w:tcBorders>
                    <w:tl2br w:val="nil"/>
                    <w:tr2bl w:val="nil"/>
                  </w:tcBorders>
                  <w:noWrap w:val="0"/>
                  <w:vAlign w:val="center"/>
                </w:tcPr>
                <w:p w14:paraId="41E86672">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80</w:t>
                  </w:r>
                </w:p>
              </w:tc>
              <w:tc>
                <w:tcPr>
                  <w:tcW w:w="1406" w:type="dxa"/>
                  <w:tcBorders>
                    <w:tl2br w:val="nil"/>
                    <w:tr2bl w:val="nil"/>
                  </w:tcBorders>
                  <w:noWrap w:val="0"/>
                  <w:vAlign w:val="center"/>
                </w:tcPr>
                <w:p w14:paraId="0EC8B64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9.34</w:t>
                  </w:r>
                </w:p>
              </w:tc>
              <w:tc>
                <w:tcPr>
                  <w:tcW w:w="816" w:type="pct"/>
                  <w:vMerge w:val="continue"/>
                  <w:tcBorders>
                    <w:tl2br w:val="nil"/>
                    <w:tr2bl w:val="nil"/>
                  </w:tcBorders>
                  <w:noWrap w:val="0"/>
                  <w:vAlign w:val="center"/>
                </w:tcPr>
                <w:p w14:paraId="4AD78E38">
                  <w:pPr>
                    <w:keepNext w:val="0"/>
                    <w:keepLines w:val="0"/>
                    <w:widowControl/>
                    <w:suppressLineNumbers w:val="0"/>
                    <w:spacing w:before="0" w:beforeAutospacing="0" w:after="0" w:afterAutospacing="0"/>
                    <w:ind w:left="0" w:right="0"/>
                    <w:jc w:val="center"/>
                    <w:textAlignment w:val="center"/>
                    <w:rPr>
                      <w:rFonts w:hint="eastAsia" w:cs="Times New Roman"/>
                      <w:i w:val="0"/>
                      <w:iCs w:val="0"/>
                      <w:color w:val="000000"/>
                      <w:kern w:val="0"/>
                      <w:sz w:val="21"/>
                      <w:szCs w:val="21"/>
                      <w:u w:val="none"/>
                      <w:lang w:val="en-US" w:eastAsia="zh-CN" w:bidi="ar"/>
                    </w:rPr>
                  </w:pPr>
                </w:p>
              </w:tc>
            </w:tr>
            <w:tr w14:paraId="60E95D9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7" w:type="pct"/>
                  <w:vMerge w:val="continue"/>
                  <w:tcBorders>
                    <w:tl2br w:val="nil"/>
                    <w:tr2bl w:val="nil"/>
                  </w:tcBorders>
                  <w:noWrap w:val="0"/>
                  <w:vAlign w:val="center"/>
                </w:tcPr>
                <w:p w14:paraId="7149C01D">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p>
              </w:tc>
              <w:tc>
                <w:tcPr>
                  <w:tcW w:w="801" w:type="pct"/>
                  <w:tcBorders>
                    <w:tl2br w:val="nil"/>
                    <w:tr2bl w:val="nil"/>
                  </w:tcBorders>
                  <w:noWrap w:val="0"/>
                  <w:vAlign w:val="center"/>
                </w:tcPr>
                <w:p w14:paraId="314DA33C">
                  <w:pPr>
                    <w:keepNext w:val="0"/>
                    <w:keepLines w:val="0"/>
                    <w:suppressLineNumbers w:val="0"/>
                    <w:adjustRightInd w:val="0"/>
                    <w:snapToGrid w:val="0"/>
                    <w:spacing w:before="0" w:beforeAutospacing="0" w:after="0" w:afterAutospacing="0"/>
                    <w:ind w:left="0" w:leftChars="0" w:right="0" w:rightChars="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3#车间</w:t>
                  </w:r>
                </w:p>
              </w:tc>
              <w:tc>
                <w:tcPr>
                  <w:tcW w:w="774" w:type="pct"/>
                  <w:tcBorders>
                    <w:tl2br w:val="nil"/>
                    <w:tr2bl w:val="nil"/>
                  </w:tcBorders>
                  <w:noWrap w:val="0"/>
                  <w:vAlign w:val="center"/>
                </w:tcPr>
                <w:p w14:paraId="6CB8022F">
                  <w:pPr>
                    <w:keepNext w:val="0"/>
                    <w:keepLines w:val="0"/>
                    <w:suppressLineNumbers w:val="0"/>
                    <w:spacing w:before="0" w:beforeAutospacing="0" w:after="0" w:afterAutospacing="0" w:line="240" w:lineRule="auto"/>
                    <w:ind w:left="0" w:leftChars="0" w:right="0" w:rightChars="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46.49</w:t>
                  </w:r>
                </w:p>
              </w:tc>
              <w:tc>
                <w:tcPr>
                  <w:tcW w:w="1053" w:type="pct"/>
                  <w:tcBorders>
                    <w:tl2br w:val="nil"/>
                    <w:tr2bl w:val="nil"/>
                  </w:tcBorders>
                  <w:noWrap w:val="0"/>
                  <w:vAlign w:val="center"/>
                </w:tcPr>
                <w:p w14:paraId="312F9407">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81.2</w:t>
                  </w:r>
                </w:p>
              </w:tc>
              <w:tc>
                <w:tcPr>
                  <w:tcW w:w="1406" w:type="dxa"/>
                  <w:tcBorders>
                    <w:tl2br w:val="nil"/>
                    <w:tr2bl w:val="nil"/>
                  </w:tcBorders>
                  <w:noWrap w:val="0"/>
                  <w:vAlign w:val="center"/>
                </w:tcPr>
                <w:p w14:paraId="007B943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9.20</w:t>
                  </w:r>
                </w:p>
              </w:tc>
              <w:tc>
                <w:tcPr>
                  <w:tcW w:w="816" w:type="pct"/>
                  <w:vMerge w:val="continue"/>
                  <w:tcBorders>
                    <w:tl2br w:val="nil"/>
                    <w:tr2bl w:val="nil"/>
                  </w:tcBorders>
                  <w:noWrap w:val="0"/>
                  <w:vAlign w:val="center"/>
                </w:tcPr>
                <w:p w14:paraId="74A4543F">
                  <w:pPr>
                    <w:keepNext w:val="0"/>
                    <w:keepLines w:val="0"/>
                    <w:widowControl/>
                    <w:suppressLineNumbers w:val="0"/>
                    <w:spacing w:before="0" w:beforeAutospacing="0" w:after="0" w:afterAutospacing="0"/>
                    <w:ind w:left="0" w:right="0"/>
                    <w:jc w:val="center"/>
                    <w:textAlignment w:val="center"/>
                    <w:rPr>
                      <w:rFonts w:hint="eastAsia" w:cs="Times New Roman"/>
                      <w:i w:val="0"/>
                      <w:iCs w:val="0"/>
                      <w:color w:val="000000"/>
                      <w:kern w:val="0"/>
                      <w:sz w:val="21"/>
                      <w:szCs w:val="21"/>
                      <w:u w:val="none"/>
                      <w:lang w:val="en-US" w:eastAsia="zh-CN" w:bidi="ar"/>
                    </w:rPr>
                  </w:pPr>
                </w:p>
              </w:tc>
            </w:tr>
            <w:tr w14:paraId="3E70D58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7" w:type="pct"/>
                  <w:vMerge w:val="continue"/>
                  <w:tcBorders>
                    <w:tl2br w:val="nil"/>
                    <w:tr2bl w:val="nil"/>
                  </w:tcBorders>
                  <w:noWrap w:val="0"/>
                  <w:vAlign w:val="center"/>
                </w:tcPr>
                <w:p w14:paraId="58B9DBB2">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p>
              </w:tc>
              <w:tc>
                <w:tcPr>
                  <w:tcW w:w="801" w:type="pct"/>
                  <w:tcBorders>
                    <w:tl2br w:val="nil"/>
                    <w:tr2bl w:val="nil"/>
                  </w:tcBorders>
                  <w:noWrap w:val="0"/>
                  <w:vAlign w:val="center"/>
                </w:tcPr>
                <w:p w14:paraId="2318F0EE">
                  <w:pPr>
                    <w:keepNext w:val="0"/>
                    <w:keepLines w:val="0"/>
                    <w:suppressLineNumbers w:val="0"/>
                    <w:adjustRightInd w:val="0"/>
                    <w:snapToGrid w:val="0"/>
                    <w:spacing w:before="0" w:beforeAutospacing="0" w:after="0" w:afterAutospacing="0"/>
                    <w:ind w:left="0" w:leftChars="0" w:right="0" w:rightChars="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5#车间</w:t>
                  </w:r>
                </w:p>
              </w:tc>
              <w:tc>
                <w:tcPr>
                  <w:tcW w:w="774" w:type="pct"/>
                  <w:tcBorders>
                    <w:tl2br w:val="nil"/>
                    <w:tr2bl w:val="nil"/>
                  </w:tcBorders>
                  <w:noWrap w:val="0"/>
                  <w:vAlign w:val="center"/>
                </w:tcPr>
                <w:p w14:paraId="34C06674">
                  <w:pPr>
                    <w:keepNext w:val="0"/>
                    <w:keepLines w:val="0"/>
                    <w:suppressLineNumbers w:val="0"/>
                    <w:spacing w:before="0" w:beforeAutospacing="0" w:after="0" w:afterAutospacing="0" w:line="240" w:lineRule="auto"/>
                    <w:ind w:left="0" w:leftChars="0" w:right="0" w:rightChars="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45.05</w:t>
                  </w:r>
                </w:p>
              </w:tc>
              <w:tc>
                <w:tcPr>
                  <w:tcW w:w="1053" w:type="pct"/>
                  <w:tcBorders>
                    <w:tl2br w:val="nil"/>
                    <w:tr2bl w:val="nil"/>
                  </w:tcBorders>
                  <w:noWrap w:val="0"/>
                  <w:vAlign w:val="center"/>
                </w:tcPr>
                <w:p w14:paraId="17B91B64">
                  <w:pPr>
                    <w:keepNext w:val="0"/>
                    <w:keepLines w:val="0"/>
                    <w:suppressLineNumbers w:val="0"/>
                    <w:tabs>
                      <w:tab w:val="left" w:pos="8370"/>
                      <w:tab w:val="left" w:pos="8600"/>
                    </w:tabs>
                    <w:adjustRightInd w:val="0"/>
                    <w:snapToGrid w:val="0"/>
                    <w:spacing w:before="0" w:beforeAutospacing="0" w:after="0" w:afterAutospacing="0"/>
                    <w:ind w:left="0" w:leftChars="0" w:right="0" w:rightChars="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40.5</w:t>
                  </w:r>
                </w:p>
              </w:tc>
              <w:tc>
                <w:tcPr>
                  <w:tcW w:w="1406" w:type="dxa"/>
                  <w:tcBorders>
                    <w:tl2br w:val="nil"/>
                    <w:tr2bl w:val="nil"/>
                  </w:tcBorders>
                  <w:noWrap w:val="0"/>
                  <w:vAlign w:val="center"/>
                </w:tcPr>
                <w:p w14:paraId="3E938C1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14.81</w:t>
                  </w:r>
                </w:p>
              </w:tc>
              <w:tc>
                <w:tcPr>
                  <w:tcW w:w="816" w:type="pct"/>
                  <w:vMerge w:val="continue"/>
                  <w:tcBorders>
                    <w:tl2br w:val="nil"/>
                    <w:tr2bl w:val="nil"/>
                  </w:tcBorders>
                  <w:noWrap w:val="0"/>
                  <w:vAlign w:val="center"/>
                </w:tcPr>
                <w:p w14:paraId="772D192A">
                  <w:pPr>
                    <w:keepNext w:val="0"/>
                    <w:keepLines w:val="0"/>
                    <w:widowControl/>
                    <w:suppressLineNumbers w:val="0"/>
                    <w:spacing w:before="0" w:beforeAutospacing="0" w:after="0" w:afterAutospacing="0"/>
                    <w:ind w:left="0" w:right="0"/>
                    <w:jc w:val="center"/>
                    <w:textAlignment w:val="center"/>
                    <w:rPr>
                      <w:rFonts w:hint="eastAsia" w:cs="Times New Roman"/>
                      <w:i w:val="0"/>
                      <w:iCs w:val="0"/>
                      <w:color w:val="000000"/>
                      <w:kern w:val="0"/>
                      <w:sz w:val="21"/>
                      <w:szCs w:val="21"/>
                      <w:u w:val="none"/>
                      <w:lang w:val="en-US" w:eastAsia="zh-CN" w:bidi="ar"/>
                    </w:rPr>
                  </w:pPr>
                </w:p>
              </w:tc>
            </w:tr>
            <w:tr w14:paraId="4E88196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7" w:type="pct"/>
                  <w:vMerge w:val="continue"/>
                  <w:tcBorders>
                    <w:tl2br w:val="nil"/>
                    <w:tr2bl w:val="nil"/>
                  </w:tcBorders>
                  <w:noWrap w:val="0"/>
                  <w:vAlign w:val="center"/>
                </w:tcPr>
                <w:p w14:paraId="0E3EE58A">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p>
              </w:tc>
              <w:tc>
                <w:tcPr>
                  <w:tcW w:w="801" w:type="pct"/>
                  <w:tcBorders>
                    <w:tl2br w:val="nil"/>
                    <w:tr2bl w:val="nil"/>
                  </w:tcBorders>
                  <w:noWrap w:val="0"/>
                  <w:vAlign w:val="center"/>
                </w:tcPr>
                <w:p w14:paraId="4D4A5B9C">
                  <w:pPr>
                    <w:keepNext w:val="0"/>
                    <w:keepLines w:val="0"/>
                    <w:suppressLineNumbers w:val="0"/>
                    <w:adjustRightInd w:val="0"/>
                    <w:snapToGrid w:val="0"/>
                    <w:spacing w:before="0" w:beforeAutospacing="0" w:after="0" w:afterAutospacing="0"/>
                    <w:ind w:left="0" w:leftChars="0" w:right="0" w:rightChars="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6#车间</w:t>
                  </w:r>
                </w:p>
              </w:tc>
              <w:tc>
                <w:tcPr>
                  <w:tcW w:w="774" w:type="pct"/>
                  <w:tcBorders>
                    <w:tl2br w:val="nil"/>
                    <w:tr2bl w:val="nil"/>
                  </w:tcBorders>
                  <w:noWrap w:val="0"/>
                  <w:vAlign w:val="center"/>
                </w:tcPr>
                <w:p w14:paraId="5626F4F3">
                  <w:pPr>
                    <w:keepNext w:val="0"/>
                    <w:keepLines w:val="0"/>
                    <w:suppressLineNumbers w:val="0"/>
                    <w:spacing w:before="0" w:beforeAutospacing="0" w:after="0" w:afterAutospacing="0" w:line="240" w:lineRule="auto"/>
                    <w:ind w:left="0" w:leftChars="0" w:right="0" w:rightChars="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45.94</w:t>
                  </w:r>
                </w:p>
              </w:tc>
              <w:tc>
                <w:tcPr>
                  <w:tcW w:w="1053" w:type="pct"/>
                  <w:tcBorders>
                    <w:tl2br w:val="nil"/>
                    <w:tr2bl w:val="nil"/>
                  </w:tcBorders>
                  <w:noWrap w:val="0"/>
                  <w:vAlign w:val="center"/>
                </w:tcPr>
                <w:p w14:paraId="0FE243FA">
                  <w:pPr>
                    <w:keepNext w:val="0"/>
                    <w:keepLines w:val="0"/>
                    <w:suppressLineNumbers w:val="0"/>
                    <w:tabs>
                      <w:tab w:val="left" w:pos="8370"/>
                      <w:tab w:val="left" w:pos="8600"/>
                    </w:tabs>
                    <w:adjustRightInd w:val="0"/>
                    <w:snapToGrid w:val="0"/>
                    <w:spacing w:before="0" w:beforeAutospacing="0" w:after="0" w:afterAutospacing="0"/>
                    <w:ind w:left="0" w:leftChars="0" w:right="0" w:rightChars="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39.4</w:t>
                  </w:r>
                </w:p>
              </w:tc>
              <w:tc>
                <w:tcPr>
                  <w:tcW w:w="1406" w:type="dxa"/>
                  <w:tcBorders>
                    <w:tl2br w:val="nil"/>
                    <w:tr2bl w:val="nil"/>
                  </w:tcBorders>
                  <w:noWrap w:val="0"/>
                  <w:vAlign w:val="center"/>
                </w:tcPr>
                <w:p w14:paraId="72E7BC6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16.00</w:t>
                  </w:r>
                </w:p>
              </w:tc>
              <w:tc>
                <w:tcPr>
                  <w:tcW w:w="816" w:type="pct"/>
                  <w:vMerge w:val="continue"/>
                  <w:tcBorders>
                    <w:tl2br w:val="nil"/>
                    <w:tr2bl w:val="nil"/>
                  </w:tcBorders>
                  <w:noWrap w:val="0"/>
                  <w:vAlign w:val="center"/>
                </w:tcPr>
                <w:p w14:paraId="7A66D24A">
                  <w:pPr>
                    <w:keepNext w:val="0"/>
                    <w:keepLines w:val="0"/>
                    <w:widowControl/>
                    <w:suppressLineNumbers w:val="0"/>
                    <w:spacing w:before="0" w:beforeAutospacing="0" w:after="0" w:afterAutospacing="0"/>
                    <w:ind w:left="0" w:right="0"/>
                    <w:jc w:val="center"/>
                    <w:textAlignment w:val="center"/>
                    <w:rPr>
                      <w:rFonts w:hint="eastAsia" w:cs="Times New Roman"/>
                      <w:i w:val="0"/>
                      <w:iCs w:val="0"/>
                      <w:color w:val="000000"/>
                      <w:kern w:val="0"/>
                      <w:sz w:val="21"/>
                      <w:szCs w:val="21"/>
                      <w:u w:val="none"/>
                      <w:lang w:val="en-US" w:eastAsia="zh-CN" w:bidi="ar"/>
                    </w:rPr>
                  </w:pPr>
                </w:p>
              </w:tc>
            </w:tr>
            <w:tr w14:paraId="68374E1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7" w:type="pct"/>
                  <w:vMerge w:val="restart"/>
                  <w:tcBorders>
                    <w:tl2br w:val="nil"/>
                    <w:tr2bl w:val="nil"/>
                  </w:tcBorders>
                  <w:noWrap w:val="0"/>
                  <w:vAlign w:val="center"/>
                </w:tcPr>
                <w:p w14:paraId="5D367B58">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北厂界</w:t>
                  </w:r>
                </w:p>
              </w:tc>
              <w:tc>
                <w:tcPr>
                  <w:tcW w:w="801" w:type="pct"/>
                  <w:tcBorders>
                    <w:tl2br w:val="nil"/>
                    <w:tr2bl w:val="nil"/>
                  </w:tcBorders>
                  <w:noWrap w:val="0"/>
                  <w:vAlign w:val="center"/>
                </w:tcPr>
                <w:p w14:paraId="236228D3">
                  <w:pPr>
                    <w:keepNext w:val="0"/>
                    <w:keepLines w:val="0"/>
                    <w:suppressLineNumbers w:val="0"/>
                    <w:tabs>
                      <w:tab w:val="left" w:pos="8370"/>
                      <w:tab w:val="left" w:pos="8600"/>
                    </w:tabs>
                    <w:adjustRightInd w:val="0"/>
                    <w:snapToGrid w:val="0"/>
                    <w:spacing w:before="0" w:beforeAutospacing="0" w:after="0" w:afterAutospacing="0"/>
                    <w:ind w:left="0" w:leftChars="0" w:right="0" w:rightChars="0"/>
                    <w:jc w:val="center"/>
                    <w:rPr>
                      <w:rFonts w:hint="eastAsia" w:ascii="Times New Roman" w:hAnsi="Times New Roman" w:eastAsia="宋体" w:cs="Times New Roman"/>
                      <w:b w:val="0"/>
                      <w:bCs w:val="0"/>
                      <w:color w:val="auto"/>
                      <w:sz w:val="21"/>
                      <w:szCs w:val="21"/>
                      <w:highlight w:val="none"/>
                      <w:lang w:eastAsia="zh-CN"/>
                    </w:rPr>
                  </w:pPr>
                  <w:r>
                    <w:rPr>
                      <w:rFonts w:hint="eastAsia" w:cs="Times New Roman"/>
                      <w:b w:val="0"/>
                      <w:bCs w:val="0"/>
                      <w:color w:val="auto"/>
                      <w:sz w:val="21"/>
                      <w:szCs w:val="21"/>
                      <w:highlight w:val="none"/>
                      <w:lang w:val="en-US" w:eastAsia="zh-CN"/>
                    </w:rPr>
                    <w:t>1#车间</w:t>
                  </w:r>
                </w:p>
              </w:tc>
              <w:tc>
                <w:tcPr>
                  <w:tcW w:w="774" w:type="pct"/>
                  <w:tcBorders>
                    <w:tl2br w:val="nil"/>
                    <w:tr2bl w:val="nil"/>
                  </w:tcBorders>
                  <w:noWrap w:val="0"/>
                  <w:vAlign w:val="center"/>
                </w:tcPr>
                <w:p w14:paraId="13A4BBF6">
                  <w:pPr>
                    <w:keepNext w:val="0"/>
                    <w:keepLines w:val="0"/>
                    <w:suppressLineNumbers w:val="0"/>
                    <w:spacing w:before="0" w:beforeAutospacing="0" w:after="0" w:afterAutospacing="0" w:line="240" w:lineRule="auto"/>
                    <w:ind w:left="0" w:leftChars="0" w:right="0" w:rightChars="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46.49</w:t>
                  </w:r>
                </w:p>
              </w:tc>
              <w:tc>
                <w:tcPr>
                  <w:tcW w:w="1053" w:type="pct"/>
                  <w:tcBorders>
                    <w:tl2br w:val="nil"/>
                    <w:tr2bl w:val="nil"/>
                  </w:tcBorders>
                  <w:noWrap w:val="0"/>
                  <w:vAlign w:val="center"/>
                </w:tcPr>
                <w:p w14:paraId="562E0EE5">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140</w:t>
                  </w:r>
                </w:p>
              </w:tc>
              <w:tc>
                <w:tcPr>
                  <w:tcW w:w="1406" w:type="dxa"/>
                  <w:tcBorders>
                    <w:tl2br w:val="nil"/>
                    <w:tr2bl w:val="nil"/>
                  </w:tcBorders>
                  <w:noWrap w:val="0"/>
                  <w:vAlign w:val="center"/>
                </w:tcPr>
                <w:p w14:paraId="47386E3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4.08</w:t>
                  </w:r>
                </w:p>
              </w:tc>
              <w:tc>
                <w:tcPr>
                  <w:tcW w:w="816" w:type="pct"/>
                  <w:vMerge w:val="restart"/>
                  <w:tcBorders>
                    <w:tl2br w:val="nil"/>
                    <w:tr2bl w:val="nil"/>
                  </w:tcBorders>
                  <w:noWrap w:val="0"/>
                  <w:vAlign w:val="center"/>
                </w:tcPr>
                <w:p w14:paraId="0FF3172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13.3</w:t>
                  </w:r>
                </w:p>
              </w:tc>
            </w:tr>
            <w:tr w14:paraId="4FD0DE0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7" w:type="pct"/>
                  <w:vMerge w:val="continue"/>
                  <w:tcBorders>
                    <w:tl2br w:val="nil"/>
                    <w:tr2bl w:val="nil"/>
                  </w:tcBorders>
                  <w:noWrap w:val="0"/>
                  <w:vAlign w:val="center"/>
                </w:tcPr>
                <w:p w14:paraId="75CD0920">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p>
              </w:tc>
              <w:tc>
                <w:tcPr>
                  <w:tcW w:w="801" w:type="pct"/>
                  <w:tcBorders>
                    <w:tl2br w:val="nil"/>
                    <w:tr2bl w:val="nil"/>
                  </w:tcBorders>
                  <w:noWrap w:val="0"/>
                  <w:vAlign w:val="center"/>
                </w:tcPr>
                <w:p w14:paraId="0AA5D22C">
                  <w:pPr>
                    <w:keepNext w:val="0"/>
                    <w:keepLines w:val="0"/>
                    <w:suppressLineNumbers w:val="0"/>
                    <w:adjustRightInd w:val="0"/>
                    <w:snapToGrid w:val="0"/>
                    <w:spacing w:before="0" w:beforeAutospacing="0" w:after="0" w:afterAutospacing="0"/>
                    <w:ind w:left="0" w:leftChars="0" w:right="0" w:rightChars="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2#车间</w:t>
                  </w:r>
                </w:p>
              </w:tc>
              <w:tc>
                <w:tcPr>
                  <w:tcW w:w="774" w:type="pct"/>
                  <w:tcBorders>
                    <w:tl2br w:val="nil"/>
                    <w:tr2bl w:val="nil"/>
                  </w:tcBorders>
                  <w:noWrap w:val="0"/>
                  <w:vAlign w:val="center"/>
                </w:tcPr>
                <w:p w14:paraId="0490475B">
                  <w:pPr>
                    <w:keepNext w:val="0"/>
                    <w:keepLines w:val="0"/>
                    <w:suppressLineNumbers w:val="0"/>
                    <w:spacing w:before="0" w:beforeAutospacing="0" w:after="0" w:afterAutospacing="0" w:line="240" w:lineRule="auto"/>
                    <w:ind w:left="0" w:leftChars="0" w:right="0" w:rightChars="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46.49</w:t>
                  </w:r>
                </w:p>
              </w:tc>
              <w:tc>
                <w:tcPr>
                  <w:tcW w:w="1053" w:type="pct"/>
                  <w:tcBorders>
                    <w:tl2br w:val="nil"/>
                    <w:tr2bl w:val="nil"/>
                  </w:tcBorders>
                  <w:noWrap w:val="0"/>
                  <w:vAlign w:val="center"/>
                </w:tcPr>
                <w:p w14:paraId="1175EAE8">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114</w:t>
                  </w:r>
                </w:p>
              </w:tc>
              <w:tc>
                <w:tcPr>
                  <w:tcW w:w="1406" w:type="dxa"/>
                  <w:tcBorders>
                    <w:tl2br w:val="nil"/>
                    <w:tr2bl w:val="nil"/>
                  </w:tcBorders>
                  <w:noWrap w:val="0"/>
                  <w:vAlign w:val="center"/>
                </w:tcPr>
                <w:p w14:paraId="6058379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5.98</w:t>
                  </w:r>
                </w:p>
              </w:tc>
              <w:tc>
                <w:tcPr>
                  <w:tcW w:w="816" w:type="pct"/>
                  <w:vMerge w:val="continue"/>
                  <w:tcBorders>
                    <w:tl2br w:val="nil"/>
                    <w:tr2bl w:val="nil"/>
                  </w:tcBorders>
                  <w:noWrap w:val="0"/>
                  <w:vAlign w:val="center"/>
                </w:tcPr>
                <w:p w14:paraId="1A1F0F5C">
                  <w:pPr>
                    <w:keepNext w:val="0"/>
                    <w:keepLines w:val="0"/>
                    <w:widowControl/>
                    <w:suppressLineNumbers w:val="0"/>
                    <w:spacing w:before="0" w:beforeAutospacing="0" w:after="0" w:afterAutospacing="0"/>
                    <w:ind w:left="0" w:right="0"/>
                    <w:jc w:val="center"/>
                    <w:textAlignment w:val="center"/>
                    <w:rPr>
                      <w:rFonts w:hint="eastAsia" w:cs="Times New Roman"/>
                      <w:i w:val="0"/>
                      <w:iCs w:val="0"/>
                      <w:color w:val="000000"/>
                      <w:kern w:val="0"/>
                      <w:sz w:val="21"/>
                      <w:szCs w:val="21"/>
                      <w:u w:val="none"/>
                      <w:lang w:val="en-US" w:eastAsia="zh-CN" w:bidi="ar"/>
                    </w:rPr>
                  </w:pPr>
                </w:p>
              </w:tc>
            </w:tr>
            <w:tr w14:paraId="4B75F10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7" w:type="pct"/>
                  <w:vMerge w:val="continue"/>
                  <w:tcBorders>
                    <w:tl2br w:val="nil"/>
                    <w:tr2bl w:val="nil"/>
                  </w:tcBorders>
                  <w:noWrap w:val="0"/>
                  <w:vAlign w:val="center"/>
                </w:tcPr>
                <w:p w14:paraId="2B341883">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p>
              </w:tc>
              <w:tc>
                <w:tcPr>
                  <w:tcW w:w="801" w:type="pct"/>
                  <w:tcBorders>
                    <w:tl2br w:val="nil"/>
                    <w:tr2bl w:val="nil"/>
                  </w:tcBorders>
                  <w:noWrap w:val="0"/>
                  <w:vAlign w:val="center"/>
                </w:tcPr>
                <w:p w14:paraId="2116B953">
                  <w:pPr>
                    <w:keepNext w:val="0"/>
                    <w:keepLines w:val="0"/>
                    <w:suppressLineNumbers w:val="0"/>
                    <w:adjustRightInd w:val="0"/>
                    <w:snapToGrid w:val="0"/>
                    <w:spacing w:before="0" w:beforeAutospacing="0" w:after="0" w:afterAutospacing="0"/>
                    <w:ind w:left="0" w:leftChars="0" w:right="0" w:rightChars="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3#车间</w:t>
                  </w:r>
                </w:p>
              </w:tc>
              <w:tc>
                <w:tcPr>
                  <w:tcW w:w="774" w:type="pct"/>
                  <w:tcBorders>
                    <w:tl2br w:val="nil"/>
                    <w:tr2bl w:val="nil"/>
                  </w:tcBorders>
                  <w:noWrap w:val="0"/>
                  <w:vAlign w:val="center"/>
                </w:tcPr>
                <w:p w14:paraId="169C5855">
                  <w:pPr>
                    <w:keepNext w:val="0"/>
                    <w:keepLines w:val="0"/>
                    <w:suppressLineNumbers w:val="0"/>
                    <w:spacing w:before="0" w:beforeAutospacing="0" w:after="0" w:afterAutospacing="0" w:line="240" w:lineRule="auto"/>
                    <w:ind w:left="0" w:leftChars="0" w:right="0" w:rightChars="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46.49</w:t>
                  </w:r>
                </w:p>
              </w:tc>
              <w:tc>
                <w:tcPr>
                  <w:tcW w:w="1053" w:type="pct"/>
                  <w:tcBorders>
                    <w:tl2br w:val="nil"/>
                    <w:tr2bl w:val="nil"/>
                  </w:tcBorders>
                  <w:noWrap w:val="0"/>
                  <w:vAlign w:val="center"/>
                </w:tcPr>
                <w:p w14:paraId="48F2A92B">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80.5</w:t>
                  </w:r>
                </w:p>
              </w:tc>
              <w:tc>
                <w:tcPr>
                  <w:tcW w:w="1406" w:type="dxa"/>
                  <w:tcBorders>
                    <w:tl2br w:val="nil"/>
                    <w:tr2bl w:val="nil"/>
                  </w:tcBorders>
                  <w:noWrap w:val="0"/>
                  <w:vAlign w:val="center"/>
                </w:tcPr>
                <w:p w14:paraId="473D448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9.28</w:t>
                  </w:r>
                </w:p>
              </w:tc>
              <w:tc>
                <w:tcPr>
                  <w:tcW w:w="816" w:type="pct"/>
                  <w:vMerge w:val="continue"/>
                  <w:tcBorders>
                    <w:tl2br w:val="nil"/>
                    <w:tr2bl w:val="nil"/>
                  </w:tcBorders>
                  <w:noWrap w:val="0"/>
                  <w:vAlign w:val="center"/>
                </w:tcPr>
                <w:p w14:paraId="470E4E90">
                  <w:pPr>
                    <w:keepNext w:val="0"/>
                    <w:keepLines w:val="0"/>
                    <w:widowControl/>
                    <w:suppressLineNumbers w:val="0"/>
                    <w:spacing w:before="0" w:beforeAutospacing="0" w:after="0" w:afterAutospacing="0"/>
                    <w:ind w:left="0" w:right="0"/>
                    <w:jc w:val="center"/>
                    <w:textAlignment w:val="center"/>
                    <w:rPr>
                      <w:rFonts w:hint="eastAsia" w:cs="Times New Roman"/>
                      <w:i w:val="0"/>
                      <w:iCs w:val="0"/>
                      <w:color w:val="000000"/>
                      <w:kern w:val="0"/>
                      <w:sz w:val="21"/>
                      <w:szCs w:val="21"/>
                      <w:u w:val="none"/>
                      <w:lang w:val="en-US" w:eastAsia="zh-CN" w:bidi="ar"/>
                    </w:rPr>
                  </w:pPr>
                </w:p>
              </w:tc>
            </w:tr>
            <w:tr w14:paraId="2679357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7" w:type="pct"/>
                  <w:vMerge w:val="continue"/>
                  <w:tcBorders>
                    <w:tl2br w:val="nil"/>
                    <w:tr2bl w:val="nil"/>
                  </w:tcBorders>
                  <w:noWrap w:val="0"/>
                  <w:vAlign w:val="center"/>
                </w:tcPr>
                <w:p w14:paraId="540F9C6C">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p>
              </w:tc>
              <w:tc>
                <w:tcPr>
                  <w:tcW w:w="801" w:type="pct"/>
                  <w:tcBorders>
                    <w:tl2br w:val="nil"/>
                    <w:tr2bl w:val="nil"/>
                  </w:tcBorders>
                  <w:noWrap w:val="0"/>
                  <w:vAlign w:val="center"/>
                </w:tcPr>
                <w:p w14:paraId="215229AD">
                  <w:pPr>
                    <w:keepNext w:val="0"/>
                    <w:keepLines w:val="0"/>
                    <w:suppressLineNumbers w:val="0"/>
                    <w:adjustRightInd w:val="0"/>
                    <w:snapToGrid w:val="0"/>
                    <w:spacing w:before="0" w:beforeAutospacing="0" w:after="0" w:afterAutospacing="0"/>
                    <w:ind w:left="0" w:leftChars="0" w:right="0" w:rightChars="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5#车间</w:t>
                  </w:r>
                </w:p>
              </w:tc>
              <w:tc>
                <w:tcPr>
                  <w:tcW w:w="774" w:type="pct"/>
                  <w:tcBorders>
                    <w:tl2br w:val="nil"/>
                    <w:tr2bl w:val="nil"/>
                  </w:tcBorders>
                  <w:noWrap w:val="0"/>
                  <w:vAlign w:val="center"/>
                </w:tcPr>
                <w:p w14:paraId="61A3AD58">
                  <w:pPr>
                    <w:keepNext w:val="0"/>
                    <w:keepLines w:val="0"/>
                    <w:suppressLineNumbers w:val="0"/>
                    <w:spacing w:before="0" w:beforeAutospacing="0" w:after="0" w:afterAutospacing="0" w:line="240" w:lineRule="auto"/>
                    <w:ind w:left="0" w:leftChars="0" w:right="0" w:rightChars="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45.05</w:t>
                  </w:r>
                </w:p>
              </w:tc>
              <w:tc>
                <w:tcPr>
                  <w:tcW w:w="1053" w:type="pct"/>
                  <w:tcBorders>
                    <w:tl2br w:val="nil"/>
                    <w:tr2bl w:val="nil"/>
                  </w:tcBorders>
                  <w:noWrap w:val="0"/>
                  <w:vAlign w:val="center"/>
                </w:tcPr>
                <w:p w14:paraId="734B28AC">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112</w:t>
                  </w:r>
                </w:p>
              </w:tc>
              <w:tc>
                <w:tcPr>
                  <w:tcW w:w="1406" w:type="dxa"/>
                  <w:tcBorders>
                    <w:tl2br w:val="nil"/>
                    <w:tr2bl w:val="nil"/>
                  </w:tcBorders>
                  <w:noWrap w:val="0"/>
                  <w:vAlign w:val="center"/>
                </w:tcPr>
                <w:p w14:paraId="3CACDA2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4.71</w:t>
                  </w:r>
                </w:p>
              </w:tc>
              <w:tc>
                <w:tcPr>
                  <w:tcW w:w="816" w:type="pct"/>
                  <w:vMerge w:val="continue"/>
                  <w:tcBorders>
                    <w:tl2br w:val="nil"/>
                    <w:tr2bl w:val="nil"/>
                  </w:tcBorders>
                  <w:noWrap w:val="0"/>
                  <w:vAlign w:val="center"/>
                </w:tcPr>
                <w:p w14:paraId="080C56D3">
                  <w:pPr>
                    <w:keepNext w:val="0"/>
                    <w:keepLines w:val="0"/>
                    <w:widowControl/>
                    <w:suppressLineNumbers w:val="0"/>
                    <w:spacing w:before="0" w:beforeAutospacing="0" w:after="0" w:afterAutospacing="0"/>
                    <w:ind w:left="0" w:right="0"/>
                    <w:jc w:val="center"/>
                    <w:textAlignment w:val="center"/>
                    <w:rPr>
                      <w:rFonts w:hint="eastAsia" w:cs="Times New Roman"/>
                      <w:i w:val="0"/>
                      <w:iCs w:val="0"/>
                      <w:color w:val="000000"/>
                      <w:kern w:val="0"/>
                      <w:sz w:val="21"/>
                      <w:szCs w:val="21"/>
                      <w:u w:val="none"/>
                      <w:lang w:val="en-US" w:eastAsia="zh-CN" w:bidi="ar"/>
                    </w:rPr>
                  </w:pPr>
                </w:p>
              </w:tc>
            </w:tr>
            <w:tr w14:paraId="37C8F8B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7" w:type="pct"/>
                  <w:vMerge w:val="continue"/>
                  <w:tcBorders>
                    <w:tl2br w:val="nil"/>
                    <w:tr2bl w:val="nil"/>
                  </w:tcBorders>
                  <w:noWrap w:val="0"/>
                  <w:vAlign w:val="center"/>
                </w:tcPr>
                <w:p w14:paraId="3AEBDC12">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p>
              </w:tc>
              <w:tc>
                <w:tcPr>
                  <w:tcW w:w="801" w:type="pct"/>
                  <w:tcBorders>
                    <w:tl2br w:val="nil"/>
                    <w:tr2bl w:val="nil"/>
                  </w:tcBorders>
                  <w:noWrap w:val="0"/>
                  <w:vAlign w:val="center"/>
                </w:tcPr>
                <w:p w14:paraId="6CE903FA">
                  <w:pPr>
                    <w:keepNext w:val="0"/>
                    <w:keepLines w:val="0"/>
                    <w:suppressLineNumbers w:val="0"/>
                    <w:adjustRightInd w:val="0"/>
                    <w:snapToGrid w:val="0"/>
                    <w:spacing w:before="0" w:beforeAutospacing="0" w:after="0" w:afterAutospacing="0"/>
                    <w:ind w:left="0" w:leftChars="0" w:right="0" w:rightChars="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6#车间</w:t>
                  </w:r>
                </w:p>
              </w:tc>
              <w:tc>
                <w:tcPr>
                  <w:tcW w:w="774" w:type="pct"/>
                  <w:tcBorders>
                    <w:tl2br w:val="nil"/>
                    <w:tr2bl w:val="nil"/>
                  </w:tcBorders>
                  <w:noWrap w:val="0"/>
                  <w:vAlign w:val="center"/>
                </w:tcPr>
                <w:p w14:paraId="60951744">
                  <w:pPr>
                    <w:keepNext w:val="0"/>
                    <w:keepLines w:val="0"/>
                    <w:suppressLineNumbers w:val="0"/>
                    <w:spacing w:before="0" w:beforeAutospacing="0" w:after="0" w:afterAutospacing="0" w:line="240" w:lineRule="auto"/>
                    <w:ind w:left="0" w:leftChars="0" w:right="0" w:rightChars="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45.94</w:t>
                  </w:r>
                </w:p>
              </w:tc>
              <w:tc>
                <w:tcPr>
                  <w:tcW w:w="1053" w:type="pct"/>
                  <w:tcBorders>
                    <w:tl2br w:val="nil"/>
                    <w:tr2bl w:val="nil"/>
                  </w:tcBorders>
                  <w:noWrap w:val="0"/>
                  <w:vAlign w:val="center"/>
                </w:tcPr>
                <w:p w14:paraId="2353E976">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113.2</w:t>
                  </w:r>
                </w:p>
              </w:tc>
              <w:tc>
                <w:tcPr>
                  <w:tcW w:w="1406" w:type="dxa"/>
                  <w:tcBorders>
                    <w:tl2br w:val="nil"/>
                    <w:tr2bl w:val="nil"/>
                  </w:tcBorders>
                  <w:noWrap w:val="0"/>
                  <w:vAlign w:val="center"/>
                </w:tcPr>
                <w:p w14:paraId="34F6AA8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5.50</w:t>
                  </w:r>
                </w:p>
              </w:tc>
              <w:tc>
                <w:tcPr>
                  <w:tcW w:w="816" w:type="pct"/>
                  <w:vMerge w:val="continue"/>
                  <w:tcBorders>
                    <w:tl2br w:val="nil"/>
                    <w:tr2bl w:val="nil"/>
                  </w:tcBorders>
                  <w:noWrap w:val="0"/>
                  <w:vAlign w:val="center"/>
                </w:tcPr>
                <w:p w14:paraId="623E6733">
                  <w:pPr>
                    <w:keepNext w:val="0"/>
                    <w:keepLines w:val="0"/>
                    <w:widowControl/>
                    <w:suppressLineNumbers w:val="0"/>
                    <w:spacing w:before="0" w:beforeAutospacing="0" w:after="0" w:afterAutospacing="0"/>
                    <w:ind w:left="0" w:right="0"/>
                    <w:jc w:val="center"/>
                    <w:textAlignment w:val="center"/>
                    <w:rPr>
                      <w:rFonts w:hint="eastAsia" w:cs="Times New Roman"/>
                      <w:i w:val="0"/>
                      <w:iCs w:val="0"/>
                      <w:color w:val="000000"/>
                      <w:kern w:val="0"/>
                      <w:sz w:val="21"/>
                      <w:szCs w:val="21"/>
                      <w:u w:val="none"/>
                      <w:lang w:val="en-US" w:eastAsia="zh-CN" w:bidi="ar"/>
                    </w:rPr>
                  </w:pPr>
                </w:p>
              </w:tc>
            </w:tr>
            <w:tr w14:paraId="47AF1F1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7" w:type="pct"/>
                  <w:vMerge w:val="restart"/>
                  <w:tcBorders>
                    <w:tl2br w:val="nil"/>
                    <w:tr2bl w:val="nil"/>
                  </w:tcBorders>
                  <w:noWrap w:val="0"/>
                  <w:vAlign w:val="center"/>
                </w:tcPr>
                <w:p w14:paraId="77CFCD52">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东厂界</w:t>
                  </w:r>
                </w:p>
              </w:tc>
              <w:tc>
                <w:tcPr>
                  <w:tcW w:w="801" w:type="pct"/>
                  <w:tcBorders>
                    <w:tl2br w:val="nil"/>
                    <w:tr2bl w:val="nil"/>
                  </w:tcBorders>
                  <w:noWrap w:val="0"/>
                  <w:vAlign w:val="center"/>
                </w:tcPr>
                <w:p w14:paraId="7ADF0EA6">
                  <w:pPr>
                    <w:keepNext w:val="0"/>
                    <w:keepLines w:val="0"/>
                    <w:suppressLineNumbers w:val="0"/>
                    <w:tabs>
                      <w:tab w:val="left" w:pos="8370"/>
                      <w:tab w:val="left" w:pos="8600"/>
                    </w:tabs>
                    <w:adjustRightInd w:val="0"/>
                    <w:snapToGrid w:val="0"/>
                    <w:spacing w:before="0" w:beforeAutospacing="0" w:after="0" w:afterAutospacing="0"/>
                    <w:ind w:left="0" w:leftChars="0" w:right="0" w:rightChars="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1#车间</w:t>
                  </w:r>
                </w:p>
              </w:tc>
              <w:tc>
                <w:tcPr>
                  <w:tcW w:w="774" w:type="pct"/>
                  <w:tcBorders>
                    <w:tl2br w:val="nil"/>
                    <w:tr2bl w:val="nil"/>
                  </w:tcBorders>
                  <w:noWrap w:val="0"/>
                  <w:vAlign w:val="center"/>
                </w:tcPr>
                <w:p w14:paraId="3672DFF3">
                  <w:pPr>
                    <w:keepNext w:val="0"/>
                    <w:keepLines w:val="0"/>
                    <w:suppressLineNumbers w:val="0"/>
                    <w:spacing w:before="0" w:beforeAutospacing="0" w:after="0" w:afterAutospacing="0" w:line="240" w:lineRule="auto"/>
                    <w:ind w:left="0" w:leftChars="0" w:right="0" w:rightChars="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46.49</w:t>
                  </w:r>
                </w:p>
              </w:tc>
              <w:tc>
                <w:tcPr>
                  <w:tcW w:w="1053" w:type="pct"/>
                  <w:tcBorders>
                    <w:tl2br w:val="nil"/>
                    <w:tr2bl w:val="nil"/>
                  </w:tcBorders>
                  <w:noWrap w:val="0"/>
                  <w:vAlign w:val="center"/>
                </w:tcPr>
                <w:p w14:paraId="0BB08310">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65</w:t>
                  </w:r>
                </w:p>
              </w:tc>
              <w:tc>
                <w:tcPr>
                  <w:tcW w:w="1406" w:type="dxa"/>
                  <w:tcBorders>
                    <w:tl2br w:val="nil"/>
                    <w:tr2bl w:val="nil"/>
                  </w:tcBorders>
                  <w:noWrap w:val="0"/>
                  <w:vAlign w:val="center"/>
                </w:tcPr>
                <w:p w14:paraId="637C9A0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11.37</w:t>
                  </w:r>
                </w:p>
              </w:tc>
              <w:tc>
                <w:tcPr>
                  <w:tcW w:w="816" w:type="pct"/>
                  <w:vMerge w:val="restart"/>
                  <w:tcBorders>
                    <w:tl2br w:val="nil"/>
                    <w:tr2bl w:val="nil"/>
                  </w:tcBorders>
                  <w:noWrap w:val="0"/>
                  <w:vAlign w:val="center"/>
                </w:tcPr>
                <w:p w14:paraId="4798A150">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16.1</w:t>
                  </w:r>
                </w:p>
              </w:tc>
            </w:tr>
            <w:tr w14:paraId="3952D43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7" w:type="pct"/>
                  <w:vMerge w:val="continue"/>
                  <w:tcBorders>
                    <w:tl2br w:val="nil"/>
                    <w:tr2bl w:val="nil"/>
                  </w:tcBorders>
                  <w:noWrap w:val="0"/>
                  <w:vAlign w:val="center"/>
                </w:tcPr>
                <w:p w14:paraId="2797137A">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eastAsia" w:cs="Times New Roman"/>
                      <w:b w:val="0"/>
                      <w:bCs w:val="0"/>
                      <w:color w:val="auto"/>
                      <w:sz w:val="21"/>
                      <w:szCs w:val="21"/>
                      <w:highlight w:val="none"/>
                      <w:lang w:val="en-US" w:eastAsia="zh-CN"/>
                    </w:rPr>
                  </w:pPr>
                </w:p>
              </w:tc>
              <w:tc>
                <w:tcPr>
                  <w:tcW w:w="801" w:type="pct"/>
                  <w:tcBorders>
                    <w:tl2br w:val="nil"/>
                    <w:tr2bl w:val="nil"/>
                  </w:tcBorders>
                  <w:noWrap w:val="0"/>
                  <w:vAlign w:val="center"/>
                </w:tcPr>
                <w:p w14:paraId="487AA8E5">
                  <w:pPr>
                    <w:keepNext w:val="0"/>
                    <w:keepLines w:val="0"/>
                    <w:suppressLineNumbers w:val="0"/>
                    <w:adjustRightInd w:val="0"/>
                    <w:snapToGrid w:val="0"/>
                    <w:spacing w:before="0" w:beforeAutospacing="0" w:after="0" w:afterAutospacing="0"/>
                    <w:ind w:left="0" w:leftChars="0" w:right="0" w:rightChars="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2#车间</w:t>
                  </w:r>
                </w:p>
              </w:tc>
              <w:tc>
                <w:tcPr>
                  <w:tcW w:w="774" w:type="pct"/>
                  <w:tcBorders>
                    <w:tl2br w:val="nil"/>
                    <w:tr2bl w:val="nil"/>
                  </w:tcBorders>
                  <w:noWrap w:val="0"/>
                  <w:vAlign w:val="center"/>
                </w:tcPr>
                <w:p w14:paraId="66DB1F4E">
                  <w:pPr>
                    <w:keepNext w:val="0"/>
                    <w:keepLines w:val="0"/>
                    <w:suppressLineNumbers w:val="0"/>
                    <w:spacing w:before="0" w:beforeAutospacing="0" w:after="0" w:afterAutospacing="0" w:line="240" w:lineRule="auto"/>
                    <w:ind w:left="0" w:leftChars="0" w:right="0" w:rightChars="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46.49</w:t>
                  </w:r>
                </w:p>
              </w:tc>
              <w:tc>
                <w:tcPr>
                  <w:tcW w:w="1053" w:type="pct"/>
                  <w:tcBorders>
                    <w:tl2br w:val="nil"/>
                    <w:tr2bl w:val="nil"/>
                  </w:tcBorders>
                  <w:noWrap w:val="0"/>
                  <w:vAlign w:val="center"/>
                </w:tcPr>
                <w:p w14:paraId="164AEE7D">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72.5</w:t>
                  </w:r>
                </w:p>
              </w:tc>
              <w:tc>
                <w:tcPr>
                  <w:tcW w:w="1406" w:type="dxa"/>
                  <w:tcBorders>
                    <w:tl2br w:val="nil"/>
                    <w:tr2bl w:val="nil"/>
                  </w:tcBorders>
                  <w:noWrap w:val="0"/>
                  <w:vAlign w:val="center"/>
                </w:tcPr>
                <w:p w14:paraId="336C0BD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10.30</w:t>
                  </w:r>
                </w:p>
              </w:tc>
              <w:tc>
                <w:tcPr>
                  <w:tcW w:w="816" w:type="pct"/>
                  <w:vMerge w:val="continue"/>
                  <w:tcBorders>
                    <w:tl2br w:val="nil"/>
                    <w:tr2bl w:val="nil"/>
                  </w:tcBorders>
                  <w:noWrap w:val="0"/>
                  <w:vAlign w:val="center"/>
                </w:tcPr>
                <w:p w14:paraId="03CE7BC6">
                  <w:pPr>
                    <w:keepNext w:val="0"/>
                    <w:keepLines w:val="0"/>
                    <w:widowControl/>
                    <w:suppressLineNumbers w:val="0"/>
                    <w:spacing w:before="0" w:beforeAutospacing="0" w:after="0" w:afterAutospacing="0"/>
                    <w:ind w:left="0" w:right="0"/>
                    <w:jc w:val="center"/>
                    <w:textAlignment w:val="center"/>
                    <w:rPr>
                      <w:rFonts w:hint="eastAsia" w:cs="Times New Roman"/>
                      <w:i w:val="0"/>
                      <w:iCs w:val="0"/>
                      <w:color w:val="000000"/>
                      <w:kern w:val="0"/>
                      <w:sz w:val="21"/>
                      <w:szCs w:val="21"/>
                      <w:u w:val="none"/>
                      <w:lang w:val="en-US" w:eastAsia="zh-CN" w:bidi="ar"/>
                    </w:rPr>
                  </w:pPr>
                </w:p>
              </w:tc>
            </w:tr>
            <w:tr w14:paraId="4CEDB47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7" w:type="pct"/>
                  <w:vMerge w:val="continue"/>
                  <w:tcBorders>
                    <w:tl2br w:val="nil"/>
                    <w:tr2bl w:val="nil"/>
                  </w:tcBorders>
                  <w:noWrap w:val="0"/>
                  <w:vAlign w:val="center"/>
                </w:tcPr>
                <w:p w14:paraId="6534DB85">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eastAsia" w:cs="Times New Roman"/>
                      <w:b w:val="0"/>
                      <w:bCs w:val="0"/>
                      <w:color w:val="auto"/>
                      <w:sz w:val="21"/>
                      <w:szCs w:val="21"/>
                      <w:highlight w:val="none"/>
                      <w:lang w:val="en-US" w:eastAsia="zh-CN"/>
                    </w:rPr>
                  </w:pPr>
                </w:p>
              </w:tc>
              <w:tc>
                <w:tcPr>
                  <w:tcW w:w="801" w:type="pct"/>
                  <w:tcBorders>
                    <w:tl2br w:val="nil"/>
                    <w:tr2bl w:val="nil"/>
                  </w:tcBorders>
                  <w:noWrap w:val="0"/>
                  <w:vAlign w:val="center"/>
                </w:tcPr>
                <w:p w14:paraId="69C5ED9F">
                  <w:pPr>
                    <w:keepNext w:val="0"/>
                    <w:keepLines w:val="0"/>
                    <w:suppressLineNumbers w:val="0"/>
                    <w:adjustRightInd w:val="0"/>
                    <w:snapToGrid w:val="0"/>
                    <w:spacing w:before="0" w:beforeAutospacing="0" w:after="0" w:afterAutospacing="0"/>
                    <w:ind w:left="0" w:leftChars="0" w:right="0" w:rightChars="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3#车间</w:t>
                  </w:r>
                </w:p>
              </w:tc>
              <w:tc>
                <w:tcPr>
                  <w:tcW w:w="774" w:type="pct"/>
                  <w:tcBorders>
                    <w:tl2br w:val="nil"/>
                    <w:tr2bl w:val="nil"/>
                  </w:tcBorders>
                  <w:noWrap w:val="0"/>
                  <w:vAlign w:val="center"/>
                </w:tcPr>
                <w:p w14:paraId="64682414">
                  <w:pPr>
                    <w:keepNext w:val="0"/>
                    <w:keepLines w:val="0"/>
                    <w:suppressLineNumbers w:val="0"/>
                    <w:spacing w:before="0" w:beforeAutospacing="0" w:after="0" w:afterAutospacing="0" w:line="240" w:lineRule="auto"/>
                    <w:ind w:left="0" w:leftChars="0" w:right="0" w:rightChars="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46.49</w:t>
                  </w:r>
                </w:p>
              </w:tc>
              <w:tc>
                <w:tcPr>
                  <w:tcW w:w="1053" w:type="pct"/>
                  <w:tcBorders>
                    <w:tl2br w:val="nil"/>
                    <w:tr2bl w:val="nil"/>
                  </w:tcBorders>
                  <w:noWrap w:val="0"/>
                  <w:vAlign w:val="center"/>
                </w:tcPr>
                <w:p w14:paraId="6E30FA60">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66.4</w:t>
                  </w:r>
                </w:p>
              </w:tc>
              <w:tc>
                <w:tcPr>
                  <w:tcW w:w="1406" w:type="dxa"/>
                  <w:tcBorders>
                    <w:tl2br w:val="nil"/>
                    <w:tr2bl w:val="nil"/>
                  </w:tcBorders>
                  <w:noWrap w:val="0"/>
                  <w:vAlign w:val="center"/>
                </w:tcPr>
                <w:p w14:paraId="7758C97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11.16</w:t>
                  </w:r>
                </w:p>
              </w:tc>
              <w:tc>
                <w:tcPr>
                  <w:tcW w:w="816" w:type="pct"/>
                  <w:vMerge w:val="continue"/>
                  <w:tcBorders>
                    <w:tl2br w:val="nil"/>
                    <w:tr2bl w:val="nil"/>
                  </w:tcBorders>
                  <w:noWrap w:val="0"/>
                  <w:vAlign w:val="center"/>
                </w:tcPr>
                <w:p w14:paraId="76F3AA6E">
                  <w:pPr>
                    <w:keepNext w:val="0"/>
                    <w:keepLines w:val="0"/>
                    <w:widowControl/>
                    <w:suppressLineNumbers w:val="0"/>
                    <w:spacing w:before="0" w:beforeAutospacing="0" w:after="0" w:afterAutospacing="0"/>
                    <w:ind w:left="0" w:right="0"/>
                    <w:jc w:val="center"/>
                    <w:textAlignment w:val="center"/>
                    <w:rPr>
                      <w:rFonts w:hint="eastAsia" w:cs="Times New Roman"/>
                      <w:i w:val="0"/>
                      <w:iCs w:val="0"/>
                      <w:color w:val="000000"/>
                      <w:kern w:val="0"/>
                      <w:sz w:val="21"/>
                      <w:szCs w:val="21"/>
                      <w:u w:val="none"/>
                      <w:lang w:val="en-US" w:eastAsia="zh-CN" w:bidi="ar"/>
                    </w:rPr>
                  </w:pPr>
                </w:p>
              </w:tc>
            </w:tr>
            <w:tr w14:paraId="530DDB1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7" w:type="pct"/>
                  <w:vMerge w:val="continue"/>
                  <w:tcBorders>
                    <w:tl2br w:val="nil"/>
                    <w:tr2bl w:val="nil"/>
                  </w:tcBorders>
                  <w:noWrap w:val="0"/>
                  <w:vAlign w:val="center"/>
                </w:tcPr>
                <w:p w14:paraId="4FBCD04B">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eastAsia" w:cs="Times New Roman"/>
                      <w:b w:val="0"/>
                      <w:bCs w:val="0"/>
                      <w:color w:val="auto"/>
                      <w:sz w:val="21"/>
                      <w:szCs w:val="21"/>
                      <w:highlight w:val="none"/>
                      <w:lang w:val="en-US" w:eastAsia="zh-CN"/>
                    </w:rPr>
                  </w:pPr>
                </w:p>
              </w:tc>
              <w:tc>
                <w:tcPr>
                  <w:tcW w:w="801" w:type="pct"/>
                  <w:tcBorders>
                    <w:tl2br w:val="nil"/>
                    <w:tr2bl w:val="nil"/>
                  </w:tcBorders>
                  <w:noWrap w:val="0"/>
                  <w:vAlign w:val="center"/>
                </w:tcPr>
                <w:p w14:paraId="65DB752C">
                  <w:pPr>
                    <w:keepNext w:val="0"/>
                    <w:keepLines w:val="0"/>
                    <w:suppressLineNumbers w:val="0"/>
                    <w:adjustRightInd w:val="0"/>
                    <w:snapToGrid w:val="0"/>
                    <w:spacing w:before="0" w:beforeAutospacing="0" w:after="0" w:afterAutospacing="0"/>
                    <w:ind w:left="0" w:leftChars="0" w:right="0" w:rightChars="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5#车间</w:t>
                  </w:r>
                </w:p>
              </w:tc>
              <w:tc>
                <w:tcPr>
                  <w:tcW w:w="774" w:type="pct"/>
                  <w:tcBorders>
                    <w:tl2br w:val="nil"/>
                    <w:tr2bl w:val="nil"/>
                  </w:tcBorders>
                  <w:noWrap w:val="0"/>
                  <w:vAlign w:val="center"/>
                </w:tcPr>
                <w:p w14:paraId="7EC93A7D">
                  <w:pPr>
                    <w:keepNext w:val="0"/>
                    <w:keepLines w:val="0"/>
                    <w:suppressLineNumbers w:val="0"/>
                    <w:spacing w:before="0" w:beforeAutospacing="0" w:after="0" w:afterAutospacing="0" w:line="240" w:lineRule="auto"/>
                    <w:ind w:left="0" w:leftChars="0" w:right="0" w:rightChars="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45.05</w:t>
                  </w:r>
                </w:p>
              </w:tc>
              <w:tc>
                <w:tcPr>
                  <w:tcW w:w="1053" w:type="pct"/>
                  <w:tcBorders>
                    <w:tl2br w:val="nil"/>
                    <w:tr2bl w:val="nil"/>
                  </w:tcBorders>
                  <w:noWrap w:val="0"/>
                  <w:vAlign w:val="center"/>
                </w:tcPr>
                <w:p w14:paraId="055E2E69">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158.5</w:t>
                  </w:r>
                </w:p>
              </w:tc>
              <w:tc>
                <w:tcPr>
                  <w:tcW w:w="1406" w:type="dxa"/>
                  <w:tcBorders>
                    <w:tl2br w:val="nil"/>
                    <w:tr2bl w:val="nil"/>
                  </w:tcBorders>
                  <w:noWrap w:val="0"/>
                  <w:vAlign w:val="center"/>
                </w:tcPr>
                <w:p w14:paraId="4D74CD1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1.50</w:t>
                  </w:r>
                </w:p>
              </w:tc>
              <w:tc>
                <w:tcPr>
                  <w:tcW w:w="816" w:type="pct"/>
                  <w:vMerge w:val="continue"/>
                  <w:tcBorders>
                    <w:tl2br w:val="nil"/>
                    <w:tr2bl w:val="nil"/>
                  </w:tcBorders>
                  <w:noWrap w:val="0"/>
                  <w:vAlign w:val="center"/>
                </w:tcPr>
                <w:p w14:paraId="5065CE25">
                  <w:pPr>
                    <w:keepNext w:val="0"/>
                    <w:keepLines w:val="0"/>
                    <w:widowControl/>
                    <w:suppressLineNumbers w:val="0"/>
                    <w:spacing w:before="0" w:beforeAutospacing="0" w:after="0" w:afterAutospacing="0"/>
                    <w:ind w:left="0" w:right="0"/>
                    <w:jc w:val="center"/>
                    <w:textAlignment w:val="center"/>
                    <w:rPr>
                      <w:rFonts w:hint="eastAsia" w:cs="Times New Roman"/>
                      <w:i w:val="0"/>
                      <w:iCs w:val="0"/>
                      <w:color w:val="000000"/>
                      <w:kern w:val="0"/>
                      <w:sz w:val="21"/>
                      <w:szCs w:val="21"/>
                      <w:u w:val="none"/>
                      <w:lang w:val="en-US" w:eastAsia="zh-CN" w:bidi="ar"/>
                    </w:rPr>
                  </w:pPr>
                </w:p>
              </w:tc>
            </w:tr>
            <w:tr w14:paraId="40D2EBC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7" w:type="pct"/>
                  <w:vMerge w:val="continue"/>
                  <w:tcBorders>
                    <w:tl2br w:val="nil"/>
                    <w:tr2bl w:val="nil"/>
                  </w:tcBorders>
                  <w:noWrap w:val="0"/>
                  <w:vAlign w:val="center"/>
                </w:tcPr>
                <w:p w14:paraId="1404466A">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eastAsia" w:cs="Times New Roman"/>
                      <w:b w:val="0"/>
                      <w:bCs w:val="0"/>
                      <w:color w:val="auto"/>
                      <w:sz w:val="21"/>
                      <w:szCs w:val="21"/>
                      <w:highlight w:val="none"/>
                      <w:lang w:val="en-US" w:eastAsia="zh-CN"/>
                    </w:rPr>
                  </w:pPr>
                </w:p>
              </w:tc>
              <w:tc>
                <w:tcPr>
                  <w:tcW w:w="801" w:type="pct"/>
                  <w:tcBorders>
                    <w:tl2br w:val="nil"/>
                    <w:tr2bl w:val="nil"/>
                  </w:tcBorders>
                  <w:noWrap w:val="0"/>
                  <w:vAlign w:val="center"/>
                </w:tcPr>
                <w:p w14:paraId="4A6A608D">
                  <w:pPr>
                    <w:keepNext w:val="0"/>
                    <w:keepLines w:val="0"/>
                    <w:suppressLineNumbers w:val="0"/>
                    <w:adjustRightInd w:val="0"/>
                    <w:snapToGrid w:val="0"/>
                    <w:spacing w:before="0" w:beforeAutospacing="0" w:after="0" w:afterAutospacing="0"/>
                    <w:ind w:left="0" w:leftChars="0" w:right="0" w:rightChars="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6#车间</w:t>
                  </w:r>
                </w:p>
              </w:tc>
              <w:tc>
                <w:tcPr>
                  <w:tcW w:w="774" w:type="pct"/>
                  <w:tcBorders>
                    <w:tl2br w:val="nil"/>
                    <w:tr2bl w:val="nil"/>
                  </w:tcBorders>
                  <w:noWrap w:val="0"/>
                  <w:vAlign w:val="center"/>
                </w:tcPr>
                <w:p w14:paraId="7936C917">
                  <w:pPr>
                    <w:keepNext w:val="0"/>
                    <w:keepLines w:val="0"/>
                    <w:suppressLineNumbers w:val="0"/>
                    <w:spacing w:before="0" w:beforeAutospacing="0" w:after="0" w:afterAutospacing="0" w:line="240" w:lineRule="auto"/>
                    <w:ind w:left="0" w:leftChars="0" w:right="0" w:rightChars="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45.94</w:t>
                  </w:r>
                </w:p>
              </w:tc>
              <w:tc>
                <w:tcPr>
                  <w:tcW w:w="1053" w:type="pct"/>
                  <w:tcBorders>
                    <w:tl2br w:val="nil"/>
                    <w:tr2bl w:val="nil"/>
                  </w:tcBorders>
                  <w:noWrap w:val="0"/>
                  <w:vAlign w:val="center"/>
                </w:tcPr>
                <w:p w14:paraId="46FD7325">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154.1</w:t>
                  </w:r>
                </w:p>
              </w:tc>
              <w:tc>
                <w:tcPr>
                  <w:tcW w:w="1406" w:type="dxa"/>
                  <w:tcBorders>
                    <w:tl2br w:val="nil"/>
                    <w:tr2bl w:val="nil"/>
                  </w:tcBorders>
                  <w:noWrap w:val="0"/>
                  <w:vAlign w:val="center"/>
                </w:tcPr>
                <w:p w14:paraId="19700E3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2.65</w:t>
                  </w:r>
                </w:p>
              </w:tc>
              <w:tc>
                <w:tcPr>
                  <w:tcW w:w="816" w:type="pct"/>
                  <w:vMerge w:val="continue"/>
                  <w:tcBorders>
                    <w:tl2br w:val="nil"/>
                    <w:tr2bl w:val="nil"/>
                  </w:tcBorders>
                  <w:noWrap w:val="0"/>
                  <w:vAlign w:val="center"/>
                </w:tcPr>
                <w:p w14:paraId="4445D6B1">
                  <w:pPr>
                    <w:keepNext w:val="0"/>
                    <w:keepLines w:val="0"/>
                    <w:widowControl/>
                    <w:suppressLineNumbers w:val="0"/>
                    <w:spacing w:before="0" w:beforeAutospacing="0" w:after="0" w:afterAutospacing="0"/>
                    <w:ind w:left="0" w:right="0"/>
                    <w:jc w:val="center"/>
                    <w:textAlignment w:val="center"/>
                    <w:rPr>
                      <w:rFonts w:hint="eastAsia" w:cs="Times New Roman"/>
                      <w:i w:val="0"/>
                      <w:iCs w:val="0"/>
                      <w:color w:val="000000"/>
                      <w:kern w:val="0"/>
                      <w:sz w:val="21"/>
                      <w:szCs w:val="21"/>
                      <w:u w:val="none"/>
                      <w:lang w:val="en-US" w:eastAsia="zh-CN" w:bidi="ar"/>
                    </w:rPr>
                  </w:pPr>
                </w:p>
              </w:tc>
            </w:tr>
            <w:tr w14:paraId="3CDD771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7" w:type="pct"/>
                  <w:vMerge w:val="restart"/>
                  <w:tcBorders>
                    <w:tl2br w:val="nil"/>
                    <w:tr2bl w:val="nil"/>
                  </w:tcBorders>
                  <w:noWrap w:val="0"/>
                  <w:vAlign w:val="center"/>
                </w:tcPr>
                <w:p w14:paraId="6D617872">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南厂界</w:t>
                  </w:r>
                </w:p>
              </w:tc>
              <w:tc>
                <w:tcPr>
                  <w:tcW w:w="801" w:type="pct"/>
                  <w:tcBorders>
                    <w:tl2br w:val="nil"/>
                    <w:tr2bl w:val="nil"/>
                  </w:tcBorders>
                  <w:noWrap w:val="0"/>
                  <w:vAlign w:val="center"/>
                </w:tcPr>
                <w:p w14:paraId="0A1DB073">
                  <w:pPr>
                    <w:keepNext w:val="0"/>
                    <w:keepLines w:val="0"/>
                    <w:suppressLineNumbers w:val="0"/>
                    <w:tabs>
                      <w:tab w:val="left" w:pos="8370"/>
                      <w:tab w:val="left" w:pos="8600"/>
                    </w:tabs>
                    <w:adjustRightInd w:val="0"/>
                    <w:snapToGrid w:val="0"/>
                    <w:spacing w:before="0" w:beforeAutospacing="0" w:after="0" w:afterAutospacing="0"/>
                    <w:ind w:left="0" w:leftChars="0" w:right="0" w:rightChars="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1#车间</w:t>
                  </w:r>
                </w:p>
              </w:tc>
              <w:tc>
                <w:tcPr>
                  <w:tcW w:w="774" w:type="pct"/>
                  <w:tcBorders>
                    <w:tl2br w:val="nil"/>
                    <w:tr2bl w:val="nil"/>
                  </w:tcBorders>
                  <w:noWrap w:val="0"/>
                  <w:vAlign w:val="center"/>
                </w:tcPr>
                <w:p w14:paraId="62B88A2B">
                  <w:pPr>
                    <w:keepNext w:val="0"/>
                    <w:keepLines w:val="0"/>
                    <w:suppressLineNumbers w:val="0"/>
                    <w:spacing w:before="0" w:beforeAutospacing="0" w:after="0" w:afterAutospacing="0" w:line="240" w:lineRule="auto"/>
                    <w:ind w:left="0" w:leftChars="0" w:right="0" w:rightChars="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46.49</w:t>
                  </w:r>
                </w:p>
              </w:tc>
              <w:tc>
                <w:tcPr>
                  <w:tcW w:w="1053" w:type="pct"/>
                  <w:tcBorders>
                    <w:tl2br w:val="nil"/>
                    <w:tr2bl w:val="nil"/>
                  </w:tcBorders>
                  <w:noWrap w:val="0"/>
                  <w:vAlign w:val="center"/>
                </w:tcPr>
                <w:p w14:paraId="570B9D5A">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120</w:t>
                  </w:r>
                </w:p>
              </w:tc>
              <w:tc>
                <w:tcPr>
                  <w:tcW w:w="1406" w:type="dxa"/>
                  <w:tcBorders>
                    <w:tl2br w:val="nil"/>
                    <w:tr2bl w:val="nil"/>
                  </w:tcBorders>
                  <w:noWrap w:val="0"/>
                  <w:vAlign w:val="center"/>
                </w:tcPr>
                <w:p w14:paraId="07A0AC4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5.51</w:t>
                  </w:r>
                </w:p>
              </w:tc>
              <w:tc>
                <w:tcPr>
                  <w:tcW w:w="816" w:type="pct"/>
                  <w:vMerge w:val="restart"/>
                  <w:tcBorders>
                    <w:tl2br w:val="nil"/>
                    <w:tr2bl w:val="nil"/>
                  </w:tcBorders>
                  <w:noWrap w:val="0"/>
                  <w:vAlign w:val="center"/>
                </w:tcPr>
                <w:p w14:paraId="408C7607">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10.9</w:t>
                  </w:r>
                </w:p>
              </w:tc>
            </w:tr>
            <w:tr w14:paraId="6CAB460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7" w:type="pct"/>
                  <w:vMerge w:val="continue"/>
                  <w:tcBorders>
                    <w:tl2br w:val="nil"/>
                    <w:tr2bl w:val="nil"/>
                  </w:tcBorders>
                  <w:noWrap w:val="0"/>
                  <w:vAlign w:val="center"/>
                </w:tcPr>
                <w:p w14:paraId="54A88484">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eastAsia" w:cs="Times New Roman"/>
                      <w:b w:val="0"/>
                      <w:bCs w:val="0"/>
                      <w:color w:val="auto"/>
                      <w:sz w:val="21"/>
                      <w:szCs w:val="21"/>
                      <w:highlight w:val="none"/>
                      <w:lang w:val="en-US" w:eastAsia="zh-CN"/>
                    </w:rPr>
                  </w:pPr>
                </w:p>
              </w:tc>
              <w:tc>
                <w:tcPr>
                  <w:tcW w:w="801" w:type="pct"/>
                  <w:tcBorders>
                    <w:tl2br w:val="nil"/>
                    <w:tr2bl w:val="nil"/>
                  </w:tcBorders>
                  <w:noWrap w:val="0"/>
                  <w:vAlign w:val="center"/>
                </w:tcPr>
                <w:p w14:paraId="2EF07BA5">
                  <w:pPr>
                    <w:keepNext w:val="0"/>
                    <w:keepLines w:val="0"/>
                    <w:suppressLineNumbers w:val="0"/>
                    <w:adjustRightInd w:val="0"/>
                    <w:snapToGrid w:val="0"/>
                    <w:spacing w:before="0" w:beforeAutospacing="0" w:after="0" w:afterAutospacing="0"/>
                    <w:ind w:left="0" w:leftChars="0" w:right="0" w:rightChars="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2#车间</w:t>
                  </w:r>
                </w:p>
              </w:tc>
              <w:tc>
                <w:tcPr>
                  <w:tcW w:w="774" w:type="pct"/>
                  <w:tcBorders>
                    <w:tl2br w:val="nil"/>
                    <w:tr2bl w:val="nil"/>
                  </w:tcBorders>
                  <w:noWrap w:val="0"/>
                  <w:vAlign w:val="center"/>
                </w:tcPr>
                <w:p w14:paraId="0378CF8A">
                  <w:pPr>
                    <w:keepNext w:val="0"/>
                    <w:keepLines w:val="0"/>
                    <w:suppressLineNumbers w:val="0"/>
                    <w:spacing w:before="0" w:beforeAutospacing="0" w:after="0" w:afterAutospacing="0" w:line="240" w:lineRule="auto"/>
                    <w:ind w:left="0" w:leftChars="0" w:right="0" w:rightChars="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46.49</w:t>
                  </w:r>
                </w:p>
              </w:tc>
              <w:tc>
                <w:tcPr>
                  <w:tcW w:w="1053" w:type="pct"/>
                  <w:tcBorders>
                    <w:tl2br w:val="nil"/>
                    <w:tr2bl w:val="nil"/>
                  </w:tcBorders>
                  <w:noWrap w:val="0"/>
                  <w:vAlign w:val="center"/>
                </w:tcPr>
                <w:p w14:paraId="3B4EB1BC">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151</w:t>
                  </w:r>
                </w:p>
              </w:tc>
              <w:tc>
                <w:tcPr>
                  <w:tcW w:w="1406" w:type="dxa"/>
                  <w:tcBorders>
                    <w:tl2br w:val="nil"/>
                    <w:tr2bl w:val="nil"/>
                  </w:tcBorders>
                  <w:noWrap w:val="0"/>
                  <w:vAlign w:val="center"/>
                </w:tcPr>
                <w:p w14:paraId="5FF1A5F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3.38</w:t>
                  </w:r>
                </w:p>
              </w:tc>
              <w:tc>
                <w:tcPr>
                  <w:tcW w:w="816" w:type="pct"/>
                  <w:vMerge w:val="continue"/>
                  <w:tcBorders>
                    <w:tl2br w:val="nil"/>
                    <w:tr2bl w:val="nil"/>
                  </w:tcBorders>
                  <w:noWrap w:val="0"/>
                  <w:vAlign w:val="center"/>
                </w:tcPr>
                <w:p w14:paraId="2ED808A9">
                  <w:pPr>
                    <w:keepNext w:val="0"/>
                    <w:keepLines w:val="0"/>
                    <w:widowControl/>
                    <w:suppressLineNumbers w:val="0"/>
                    <w:spacing w:before="0" w:beforeAutospacing="0" w:after="0" w:afterAutospacing="0"/>
                    <w:ind w:left="0" w:right="0"/>
                    <w:jc w:val="center"/>
                    <w:textAlignment w:val="center"/>
                    <w:rPr>
                      <w:rFonts w:hint="eastAsia" w:cs="Times New Roman"/>
                      <w:i w:val="0"/>
                      <w:iCs w:val="0"/>
                      <w:color w:val="000000"/>
                      <w:kern w:val="0"/>
                      <w:sz w:val="21"/>
                      <w:szCs w:val="21"/>
                      <w:u w:val="none"/>
                      <w:lang w:val="en-US" w:eastAsia="zh-CN" w:bidi="ar"/>
                    </w:rPr>
                  </w:pPr>
                </w:p>
              </w:tc>
            </w:tr>
            <w:tr w14:paraId="07D9165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7" w:type="pct"/>
                  <w:vMerge w:val="continue"/>
                  <w:tcBorders>
                    <w:tl2br w:val="nil"/>
                    <w:tr2bl w:val="nil"/>
                  </w:tcBorders>
                  <w:noWrap w:val="0"/>
                  <w:vAlign w:val="center"/>
                </w:tcPr>
                <w:p w14:paraId="4148A107">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eastAsia" w:cs="Times New Roman"/>
                      <w:b w:val="0"/>
                      <w:bCs w:val="0"/>
                      <w:color w:val="auto"/>
                      <w:sz w:val="21"/>
                      <w:szCs w:val="21"/>
                      <w:highlight w:val="none"/>
                      <w:lang w:val="en-US" w:eastAsia="zh-CN"/>
                    </w:rPr>
                  </w:pPr>
                </w:p>
              </w:tc>
              <w:tc>
                <w:tcPr>
                  <w:tcW w:w="801" w:type="pct"/>
                  <w:tcBorders>
                    <w:tl2br w:val="nil"/>
                    <w:tr2bl w:val="nil"/>
                  </w:tcBorders>
                  <w:noWrap w:val="0"/>
                  <w:vAlign w:val="center"/>
                </w:tcPr>
                <w:p w14:paraId="743F22FE">
                  <w:pPr>
                    <w:keepNext w:val="0"/>
                    <w:keepLines w:val="0"/>
                    <w:suppressLineNumbers w:val="0"/>
                    <w:adjustRightInd w:val="0"/>
                    <w:snapToGrid w:val="0"/>
                    <w:spacing w:before="0" w:beforeAutospacing="0" w:after="0" w:afterAutospacing="0"/>
                    <w:ind w:left="0" w:leftChars="0" w:right="0" w:rightChars="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3#车间</w:t>
                  </w:r>
                </w:p>
              </w:tc>
              <w:tc>
                <w:tcPr>
                  <w:tcW w:w="774" w:type="pct"/>
                  <w:tcBorders>
                    <w:tl2br w:val="nil"/>
                    <w:tr2bl w:val="nil"/>
                  </w:tcBorders>
                  <w:noWrap w:val="0"/>
                  <w:vAlign w:val="center"/>
                </w:tcPr>
                <w:p w14:paraId="273BE03C">
                  <w:pPr>
                    <w:keepNext w:val="0"/>
                    <w:keepLines w:val="0"/>
                    <w:suppressLineNumbers w:val="0"/>
                    <w:spacing w:before="0" w:beforeAutospacing="0" w:after="0" w:afterAutospacing="0" w:line="240" w:lineRule="auto"/>
                    <w:ind w:left="0" w:leftChars="0" w:right="0" w:rightChars="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46.49</w:t>
                  </w:r>
                </w:p>
              </w:tc>
              <w:tc>
                <w:tcPr>
                  <w:tcW w:w="1053" w:type="pct"/>
                  <w:tcBorders>
                    <w:tl2br w:val="nil"/>
                    <w:tr2bl w:val="nil"/>
                  </w:tcBorders>
                  <w:noWrap w:val="0"/>
                  <w:vAlign w:val="center"/>
                </w:tcPr>
                <w:p w14:paraId="31E9E56D">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180.1</w:t>
                  </w:r>
                </w:p>
              </w:tc>
              <w:tc>
                <w:tcPr>
                  <w:tcW w:w="1406" w:type="dxa"/>
                  <w:tcBorders>
                    <w:tl2br w:val="nil"/>
                    <w:tr2bl w:val="nil"/>
                  </w:tcBorders>
                  <w:noWrap w:val="0"/>
                  <w:vAlign w:val="center"/>
                </w:tcPr>
                <w:p w14:paraId="3A3B048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1.77</w:t>
                  </w:r>
                </w:p>
              </w:tc>
              <w:tc>
                <w:tcPr>
                  <w:tcW w:w="816" w:type="pct"/>
                  <w:vMerge w:val="continue"/>
                  <w:tcBorders>
                    <w:tl2br w:val="nil"/>
                    <w:tr2bl w:val="nil"/>
                  </w:tcBorders>
                  <w:noWrap w:val="0"/>
                  <w:vAlign w:val="center"/>
                </w:tcPr>
                <w:p w14:paraId="3589EAD0">
                  <w:pPr>
                    <w:keepNext w:val="0"/>
                    <w:keepLines w:val="0"/>
                    <w:widowControl/>
                    <w:suppressLineNumbers w:val="0"/>
                    <w:spacing w:before="0" w:beforeAutospacing="0" w:after="0" w:afterAutospacing="0"/>
                    <w:ind w:left="0" w:right="0"/>
                    <w:jc w:val="center"/>
                    <w:textAlignment w:val="center"/>
                    <w:rPr>
                      <w:rFonts w:hint="eastAsia" w:cs="Times New Roman"/>
                      <w:i w:val="0"/>
                      <w:iCs w:val="0"/>
                      <w:color w:val="000000"/>
                      <w:kern w:val="0"/>
                      <w:sz w:val="21"/>
                      <w:szCs w:val="21"/>
                      <w:u w:val="none"/>
                      <w:lang w:val="en-US" w:eastAsia="zh-CN" w:bidi="ar"/>
                    </w:rPr>
                  </w:pPr>
                </w:p>
              </w:tc>
            </w:tr>
            <w:tr w14:paraId="5AEF768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7" w:type="pct"/>
                  <w:vMerge w:val="continue"/>
                  <w:tcBorders>
                    <w:tl2br w:val="nil"/>
                    <w:tr2bl w:val="nil"/>
                  </w:tcBorders>
                  <w:noWrap w:val="0"/>
                  <w:vAlign w:val="center"/>
                </w:tcPr>
                <w:p w14:paraId="5438B7D8">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eastAsia" w:cs="Times New Roman"/>
                      <w:b w:val="0"/>
                      <w:bCs w:val="0"/>
                      <w:color w:val="auto"/>
                      <w:sz w:val="21"/>
                      <w:szCs w:val="21"/>
                      <w:highlight w:val="none"/>
                      <w:lang w:val="en-US" w:eastAsia="zh-CN"/>
                    </w:rPr>
                  </w:pPr>
                </w:p>
              </w:tc>
              <w:tc>
                <w:tcPr>
                  <w:tcW w:w="801" w:type="pct"/>
                  <w:tcBorders>
                    <w:tl2br w:val="nil"/>
                    <w:tr2bl w:val="nil"/>
                  </w:tcBorders>
                  <w:noWrap w:val="0"/>
                  <w:vAlign w:val="center"/>
                </w:tcPr>
                <w:p w14:paraId="5CC469C5">
                  <w:pPr>
                    <w:keepNext w:val="0"/>
                    <w:keepLines w:val="0"/>
                    <w:suppressLineNumbers w:val="0"/>
                    <w:adjustRightInd w:val="0"/>
                    <w:snapToGrid w:val="0"/>
                    <w:spacing w:before="0" w:beforeAutospacing="0" w:after="0" w:afterAutospacing="0"/>
                    <w:ind w:left="0" w:leftChars="0" w:right="0" w:rightChars="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5#车间</w:t>
                  </w:r>
                </w:p>
              </w:tc>
              <w:tc>
                <w:tcPr>
                  <w:tcW w:w="774" w:type="pct"/>
                  <w:tcBorders>
                    <w:tl2br w:val="nil"/>
                    <w:tr2bl w:val="nil"/>
                  </w:tcBorders>
                  <w:noWrap w:val="0"/>
                  <w:vAlign w:val="center"/>
                </w:tcPr>
                <w:p w14:paraId="7F89DE7E">
                  <w:pPr>
                    <w:keepNext w:val="0"/>
                    <w:keepLines w:val="0"/>
                    <w:suppressLineNumbers w:val="0"/>
                    <w:spacing w:before="0" w:beforeAutospacing="0" w:after="0" w:afterAutospacing="0" w:line="240" w:lineRule="auto"/>
                    <w:ind w:left="0" w:leftChars="0" w:right="0" w:rightChars="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45.05</w:t>
                  </w:r>
                </w:p>
              </w:tc>
              <w:tc>
                <w:tcPr>
                  <w:tcW w:w="1053" w:type="pct"/>
                  <w:tcBorders>
                    <w:tl2br w:val="nil"/>
                    <w:tr2bl w:val="nil"/>
                  </w:tcBorders>
                  <w:noWrap w:val="0"/>
                  <w:vAlign w:val="center"/>
                </w:tcPr>
                <w:p w14:paraId="08679E49">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125</w:t>
                  </w:r>
                </w:p>
              </w:tc>
              <w:tc>
                <w:tcPr>
                  <w:tcW w:w="1406" w:type="dxa"/>
                  <w:tcBorders>
                    <w:tl2br w:val="nil"/>
                    <w:tr2bl w:val="nil"/>
                  </w:tcBorders>
                  <w:noWrap w:val="0"/>
                  <w:vAlign w:val="center"/>
                </w:tcPr>
                <w:p w14:paraId="7195E14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3.69</w:t>
                  </w:r>
                </w:p>
              </w:tc>
              <w:tc>
                <w:tcPr>
                  <w:tcW w:w="816" w:type="pct"/>
                  <w:vMerge w:val="continue"/>
                  <w:tcBorders>
                    <w:tl2br w:val="nil"/>
                    <w:tr2bl w:val="nil"/>
                  </w:tcBorders>
                  <w:noWrap w:val="0"/>
                  <w:vAlign w:val="center"/>
                </w:tcPr>
                <w:p w14:paraId="2589E3BD">
                  <w:pPr>
                    <w:keepNext w:val="0"/>
                    <w:keepLines w:val="0"/>
                    <w:widowControl/>
                    <w:suppressLineNumbers w:val="0"/>
                    <w:spacing w:before="0" w:beforeAutospacing="0" w:after="0" w:afterAutospacing="0"/>
                    <w:ind w:left="0" w:right="0"/>
                    <w:jc w:val="center"/>
                    <w:textAlignment w:val="center"/>
                    <w:rPr>
                      <w:rFonts w:hint="eastAsia" w:cs="Times New Roman"/>
                      <w:i w:val="0"/>
                      <w:iCs w:val="0"/>
                      <w:color w:val="000000"/>
                      <w:kern w:val="0"/>
                      <w:sz w:val="21"/>
                      <w:szCs w:val="21"/>
                      <w:u w:val="none"/>
                      <w:lang w:val="en-US" w:eastAsia="zh-CN" w:bidi="ar"/>
                    </w:rPr>
                  </w:pPr>
                </w:p>
              </w:tc>
            </w:tr>
            <w:tr w14:paraId="36007F1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7" w:type="pct"/>
                  <w:vMerge w:val="continue"/>
                  <w:tcBorders>
                    <w:tl2br w:val="nil"/>
                    <w:tr2bl w:val="nil"/>
                  </w:tcBorders>
                  <w:noWrap w:val="0"/>
                  <w:vAlign w:val="center"/>
                </w:tcPr>
                <w:p w14:paraId="40315801">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eastAsia" w:cs="Times New Roman"/>
                      <w:b w:val="0"/>
                      <w:bCs w:val="0"/>
                      <w:color w:val="auto"/>
                      <w:sz w:val="21"/>
                      <w:szCs w:val="21"/>
                      <w:highlight w:val="none"/>
                      <w:lang w:val="en-US" w:eastAsia="zh-CN"/>
                    </w:rPr>
                  </w:pPr>
                </w:p>
              </w:tc>
              <w:tc>
                <w:tcPr>
                  <w:tcW w:w="801" w:type="pct"/>
                  <w:tcBorders>
                    <w:tl2br w:val="nil"/>
                    <w:tr2bl w:val="nil"/>
                  </w:tcBorders>
                  <w:noWrap w:val="0"/>
                  <w:vAlign w:val="center"/>
                </w:tcPr>
                <w:p w14:paraId="273C4854">
                  <w:pPr>
                    <w:keepNext w:val="0"/>
                    <w:keepLines w:val="0"/>
                    <w:suppressLineNumbers w:val="0"/>
                    <w:adjustRightInd w:val="0"/>
                    <w:snapToGrid w:val="0"/>
                    <w:spacing w:before="0" w:beforeAutospacing="0" w:after="0" w:afterAutospacing="0"/>
                    <w:ind w:left="0" w:leftChars="0" w:right="0" w:rightChars="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6#车间</w:t>
                  </w:r>
                </w:p>
              </w:tc>
              <w:tc>
                <w:tcPr>
                  <w:tcW w:w="774" w:type="pct"/>
                  <w:tcBorders>
                    <w:tl2br w:val="nil"/>
                    <w:tr2bl w:val="nil"/>
                  </w:tcBorders>
                  <w:noWrap w:val="0"/>
                  <w:vAlign w:val="center"/>
                </w:tcPr>
                <w:p w14:paraId="3A68254C">
                  <w:pPr>
                    <w:keepNext w:val="0"/>
                    <w:keepLines w:val="0"/>
                    <w:suppressLineNumbers w:val="0"/>
                    <w:spacing w:before="0" w:beforeAutospacing="0" w:after="0" w:afterAutospacing="0" w:line="240" w:lineRule="auto"/>
                    <w:ind w:left="0" w:leftChars="0" w:right="0" w:rightChars="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45.94</w:t>
                  </w:r>
                </w:p>
              </w:tc>
              <w:tc>
                <w:tcPr>
                  <w:tcW w:w="1053" w:type="pct"/>
                  <w:tcBorders>
                    <w:tl2br w:val="nil"/>
                    <w:tr2bl w:val="nil"/>
                  </w:tcBorders>
                  <w:noWrap w:val="0"/>
                  <w:vAlign w:val="center"/>
                </w:tcPr>
                <w:p w14:paraId="4F09E9CB">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126.7</w:t>
                  </w:r>
                </w:p>
              </w:tc>
              <w:tc>
                <w:tcPr>
                  <w:tcW w:w="1406" w:type="dxa"/>
                  <w:tcBorders>
                    <w:tl2br w:val="nil"/>
                    <w:tr2bl w:val="nil"/>
                  </w:tcBorders>
                  <w:noWrap w:val="0"/>
                  <w:vAlign w:val="center"/>
                </w:tcPr>
                <w:p w14:paraId="4383AA4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4.45</w:t>
                  </w:r>
                </w:p>
              </w:tc>
              <w:tc>
                <w:tcPr>
                  <w:tcW w:w="816" w:type="pct"/>
                  <w:vMerge w:val="continue"/>
                  <w:tcBorders>
                    <w:tl2br w:val="nil"/>
                    <w:tr2bl w:val="nil"/>
                  </w:tcBorders>
                  <w:noWrap w:val="0"/>
                  <w:vAlign w:val="center"/>
                </w:tcPr>
                <w:p w14:paraId="3C4D13F7">
                  <w:pPr>
                    <w:keepNext w:val="0"/>
                    <w:keepLines w:val="0"/>
                    <w:widowControl/>
                    <w:suppressLineNumbers w:val="0"/>
                    <w:spacing w:before="0" w:beforeAutospacing="0" w:after="0" w:afterAutospacing="0"/>
                    <w:ind w:left="0" w:right="0"/>
                    <w:jc w:val="center"/>
                    <w:textAlignment w:val="center"/>
                    <w:rPr>
                      <w:rFonts w:hint="eastAsia" w:cs="Times New Roman"/>
                      <w:i w:val="0"/>
                      <w:iCs w:val="0"/>
                      <w:color w:val="000000"/>
                      <w:kern w:val="0"/>
                      <w:sz w:val="21"/>
                      <w:szCs w:val="21"/>
                      <w:u w:val="none"/>
                      <w:lang w:val="en-US" w:eastAsia="zh-CN" w:bidi="ar"/>
                    </w:rPr>
                  </w:pPr>
                </w:p>
              </w:tc>
            </w:tr>
          </w:tbl>
          <w:p w14:paraId="608CFAAA">
            <w:pPr>
              <w:keepNext w:val="0"/>
              <w:keepLines w:val="0"/>
              <w:suppressLineNumbers w:val="0"/>
              <w:adjustRightInd w:val="0"/>
              <w:snapToGrid w:val="0"/>
              <w:spacing w:before="0" w:beforeAutospacing="0" w:after="0" w:afterAutospacing="0" w:line="440" w:lineRule="exact"/>
              <w:ind w:left="0" w:right="0" w:firstLine="480" w:firstLineChars="200"/>
              <w:jc w:val="both"/>
              <w:rPr>
                <w:rFonts w:hint="default"/>
                <w:sz w:val="24"/>
                <w:highlight w:val="none"/>
              </w:rPr>
            </w:pPr>
            <w:r>
              <w:rPr>
                <w:rFonts w:hint="eastAsia"/>
                <w:sz w:val="24"/>
                <w:highlight w:val="none"/>
              </w:rPr>
              <w:t>由上表可知，</w:t>
            </w:r>
            <w:r>
              <w:rPr>
                <w:rFonts w:hint="default"/>
                <w:sz w:val="24"/>
                <w:highlight w:val="none"/>
              </w:rPr>
              <w:t>经过车间</w:t>
            </w:r>
            <w:r>
              <w:rPr>
                <w:rFonts w:hint="eastAsia"/>
                <w:sz w:val="24"/>
                <w:highlight w:val="none"/>
                <w:lang w:val="en-US" w:eastAsia="zh-CN"/>
              </w:rPr>
              <w:t>封闭</w:t>
            </w:r>
            <w:r>
              <w:rPr>
                <w:rFonts w:hint="default"/>
                <w:sz w:val="24"/>
                <w:highlight w:val="none"/>
              </w:rPr>
              <w:t>、距离衰减等措施后，项目厂区四周噪声值</w:t>
            </w:r>
            <w:r>
              <w:rPr>
                <w:rFonts w:hint="eastAsia"/>
                <w:sz w:val="24"/>
                <w:highlight w:val="none"/>
              </w:rPr>
              <w:t>均</w:t>
            </w:r>
            <w:r>
              <w:rPr>
                <w:rFonts w:hint="default"/>
                <w:sz w:val="24"/>
                <w:highlight w:val="none"/>
              </w:rPr>
              <w:t>满足《工业企业厂界环境噪声排放标准》（GB12348-2008）</w:t>
            </w:r>
            <w:r>
              <w:rPr>
                <w:rFonts w:hint="eastAsia"/>
                <w:sz w:val="24"/>
                <w:highlight w:val="none"/>
                <w:lang w:val="en-US" w:eastAsia="zh-CN"/>
              </w:rPr>
              <w:t>3</w:t>
            </w:r>
            <w:r>
              <w:rPr>
                <w:rFonts w:hint="default"/>
                <w:sz w:val="24"/>
                <w:highlight w:val="none"/>
              </w:rPr>
              <w:t>类标准的要求</w:t>
            </w:r>
            <w:r>
              <w:rPr>
                <w:rFonts w:hint="eastAsia"/>
                <w:sz w:val="24"/>
                <w:highlight w:val="none"/>
              </w:rPr>
              <w:t>。</w:t>
            </w:r>
          </w:p>
          <w:p w14:paraId="7E84A351">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default" w:ascii="宋体" w:hAnsi="宋体"/>
                <w:b/>
                <w:color w:val="auto"/>
                <w:sz w:val="24"/>
                <w:highlight w:val="none"/>
              </w:rPr>
            </w:pPr>
            <w:r>
              <w:rPr>
                <w:rFonts w:hint="eastAsia"/>
                <w:color w:val="auto"/>
                <w:sz w:val="24"/>
                <w:highlight w:val="none"/>
              </w:rPr>
              <w:t>根据</w:t>
            </w:r>
            <w:r>
              <w:rPr>
                <w:rFonts w:hint="eastAsia"/>
                <w:color w:val="auto"/>
                <w:sz w:val="24"/>
                <w:highlight w:val="none"/>
                <w:lang w:eastAsia="zh-CN"/>
              </w:rPr>
              <w:t>《</w:t>
            </w:r>
            <w:r>
              <w:rPr>
                <w:rFonts w:hint="eastAsia"/>
                <w:color w:val="auto"/>
                <w:sz w:val="24"/>
                <w:highlight w:val="none"/>
              </w:rPr>
              <w:t>排污许可证申请与核发技术规范 工业噪声</w:t>
            </w:r>
            <w:r>
              <w:rPr>
                <w:rFonts w:hint="eastAsia"/>
                <w:color w:val="auto"/>
                <w:sz w:val="24"/>
                <w:highlight w:val="none"/>
                <w:lang w:eastAsia="zh-CN"/>
              </w:rPr>
              <w:t>》</w:t>
            </w:r>
            <w:r>
              <w:rPr>
                <w:rFonts w:hint="eastAsia"/>
                <w:color w:val="auto"/>
                <w:sz w:val="24"/>
                <w:highlight w:val="none"/>
              </w:rPr>
              <w:t>（HJ 1301—2023）</w:t>
            </w:r>
            <w:r>
              <w:rPr>
                <w:rFonts w:hint="default"/>
                <w:color w:val="auto"/>
                <w:sz w:val="24"/>
                <w:highlight w:val="none"/>
              </w:rPr>
              <w:t>，本项目噪声监测要求见下表。</w:t>
            </w:r>
          </w:p>
          <w:p w14:paraId="4CE4B307">
            <w:pPr>
              <w:keepNext w:val="0"/>
              <w:keepLines w:val="0"/>
              <w:suppressLineNumbers w:val="0"/>
              <w:adjustRightInd w:val="0"/>
              <w:snapToGrid w:val="0"/>
              <w:spacing w:before="0" w:beforeAutospacing="0" w:after="0" w:afterAutospacing="0" w:line="420" w:lineRule="exact"/>
              <w:ind w:left="0" w:right="0"/>
              <w:jc w:val="center"/>
              <w:textAlignment w:val="baseline"/>
              <w:rPr>
                <w:rFonts w:hint="default" w:ascii="宋体" w:hAnsi="宋体"/>
                <w:b/>
                <w:color w:val="auto"/>
                <w:sz w:val="24"/>
                <w:highlight w:val="none"/>
              </w:rPr>
            </w:pPr>
            <w:r>
              <w:rPr>
                <w:rFonts w:hint="default" w:ascii="宋体" w:hAnsi="宋体"/>
                <w:b/>
                <w:color w:val="auto"/>
                <w:sz w:val="24"/>
                <w:highlight w:val="none"/>
              </w:rPr>
              <w:t>表</w:t>
            </w:r>
            <w:r>
              <w:rPr>
                <w:rFonts w:hint="eastAsia" w:cs="Times New Roman"/>
                <w:b/>
                <w:color w:val="auto"/>
                <w:sz w:val="24"/>
                <w:highlight w:val="none"/>
                <w:lang w:val="en-US" w:eastAsia="zh-CN"/>
              </w:rPr>
              <w:t>33</w:t>
            </w:r>
            <w:r>
              <w:rPr>
                <w:rFonts w:hint="eastAsia" w:ascii="宋体" w:hAnsi="宋体"/>
                <w:b/>
                <w:color w:val="auto"/>
                <w:sz w:val="24"/>
                <w:highlight w:val="none"/>
                <w:lang w:val="en-US" w:eastAsia="zh-CN"/>
              </w:rPr>
              <w:t xml:space="preserve">  </w:t>
            </w:r>
            <w:r>
              <w:rPr>
                <w:rFonts w:hint="default" w:ascii="宋体" w:hAnsi="宋体"/>
                <w:b/>
                <w:color w:val="auto"/>
                <w:sz w:val="24"/>
                <w:highlight w:val="none"/>
              </w:rPr>
              <w:t>本项目噪声监测要求</w:t>
            </w:r>
          </w:p>
          <w:tbl>
            <w:tblPr>
              <w:tblStyle w:val="23"/>
              <w:tblW w:w="5000" w:type="pct"/>
              <w:tblInd w:w="0" w:type="dxa"/>
              <w:tblBorders>
                <w:top w:val="single" w:color="auto" w:sz="8" w:space="0"/>
                <w:left w:val="none" w:color="auto" w:sz="0" w:space="0"/>
                <w:bottom w:val="single" w:color="auto" w:sz="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885"/>
              <w:gridCol w:w="1883"/>
              <w:gridCol w:w="2597"/>
              <w:gridCol w:w="2251"/>
            </w:tblGrid>
            <w:tr w14:paraId="41F4CBBB">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094" w:type="pct"/>
                  <w:tcBorders>
                    <w:bottom w:val="single" w:color="auto" w:sz="8" w:space="0"/>
                    <w:right w:val="single" w:color="auto" w:sz="4" w:space="0"/>
                  </w:tcBorders>
                  <w:noWrap w:val="0"/>
                  <w:vAlign w:val="center"/>
                </w:tcPr>
                <w:p w14:paraId="307982FD">
                  <w:pPr>
                    <w:keepNext w:val="0"/>
                    <w:keepLines w:val="0"/>
                    <w:suppressLineNumbers w:val="0"/>
                    <w:tabs>
                      <w:tab w:val="left" w:pos="3620"/>
                    </w:tabs>
                    <w:adjustRightInd w:val="0"/>
                    <w:snapToGrid w:val="0"/>
                    <w:spacing w:before="0" w:beforeAutospacing="0" w:after="0" w:afterAutospacing="0"/>
                    <w:ind w:left="0" w:right="0"/>
                    <w:jc w:val="center"/>
                    <w:rPr>
                      <w:rFonts w:hint="default"/>
                      <w:b/>
                      <w:color w:val="auto"/>
                      <w:sz w:val="21"/>
                      <w:szCs w:val="21"/>
                      <w:highlight w:val="none"/>
                    </w:rPr>
                  </w:pPr>
                  <w:r>
                    <w:rPr>
                      <w:rFonts w:hint="default" w:hAnsi="宋体"/>
                      <w:b/>
                      <w:color w:val="auto"/>
                      <w:sz w:val="21"/>
                      <w:szCs w:val="21"/>
                      <w:highlight w:val="none"/>
                    </w:rPr>
                    <w:t>污染物</w:t>
                  </w:r>
                </w:p>
              </w:tc>
              <w:tc>
                <w:tcPr>
                  <w:tcW w:w="1093" w:type="pct"/>
                  <w:tcBorders>
                    <w:left w:val="single" w:color="auto" w:sz="4" w:space="0"/>
                    <w:bottom w:val="single" w:color="auto" w:sz="8" w:space="0"/>
                    <w:right w:val="single" w:color="auto" w:sz="4" w:space="0"/>
                  </w:tcBorders>
                  <w:noWrap w:val="0"/>
                  <w:vAlign w:val="center"/>
                </w:tcPr>
                <w:p w14:paraId="04E2F362">
                  <w:pPr>
                    <w:keepNext w:val="0"/>
                    <w:keepLines w:val="0"/>
                    <w:suppressLineNumbers w:val="0"/>
                    <w:tabs>
                      <w:tab w:val="left" w:pos="3620"/>
                    </w:tabs>
                    <w:adjustRightInd w:val="0"/>
                    <w:snapToGrid w:val="0"/>
                    <w:spacing w:before="0" w:beforeAutospacing="0" w:after="0" w:afterAutospacing="0"/>
                    <w:ind w:left="0" w:right="0"/>
                    <w:jc w:val="center"/>
                    <w:rPr>
                      <w:rFonts w:hint="default"/>
                      <w:b/>
                      <w:color w:val="auto"/>
                      <w:sz w:val="21"/>
                      <w:szCs w:val="21"/>
                      <w:highlight w:val="none"/>
                    </w:rPr>
                  </w:pPr>
                  <w:r>
                    <w:rPr>
                      <w:rFonts w:hint="default" w:hAnsi="宋体"/>
                      <w:b/>
                      <w:color w:val="auto"/>
                      <w:sz w:val="21"/>
                      <w:szCs w:val="21"/>
                      <w:highlight w:val="none"/>
                    </w:rPr>
                    <w:t>监测点位</w:t>
                  </w:r>
                </w:p>
              </w:tc>
              <w:tc>
                <w:tcPr>
                  <w:tcW w:w="1507" w:type="pct"/>
                  <w:tcBorders>
                    <w:left w:val="single" w:color="auto" w:sz="4" w:space="0"/>
                    <w:bottom w:val="single" w:color="auto" w:sz="8" w:space="0"/>
                    <w:right w:val="single" w:color="auto" w:sz="4" w:space="0"/>
                  </w:tcBorders>
                  <w:noWrap w:val="0"/>
                  <w:vAlign w:val="center"/>
                </w:tcPr>
                <w:p w14:paraId="28756A90">
                  <w:pPr>
                    <w:keepNext w:val="0"/>
                    <w:keepLines w:val="0"/>
                    <w:suppressLineNumbers w:val="0"/>
                    <w:tabs>
                      <w:tab w:val="left" w:pos="3620"/>
                    </w:tabs>
                    <w:adjustRightInd w:val="0"/>
                    <w:snapToGrid w:val="0"/>
                    <w:spacing w:before="0" w:beforeAutospacing="0" w:after="0" w:afterAutospacing="0"/>
                    <w:ind w:left="0" w:right="0"/>
                    <w:jc w:val="center"/>
                    <w:rPr>
                      <w:rFonts w:hint="default"/>
                      <w:b/>
                      <w:color w:val="auto"/>
                      <w:sz w:val="21"/>
                      <w:szCs w:val="21"/>
                      <w:highlight w:val="none"/>
                    </w:rPr>
                  </w:pPr>
                  <w:r>
                    <w:rPr>
                      <w:rFonts w:hint="default" w:hAnsi="宋体"/>
                      <w:b/>
                      <w:color w:val="auto"/>
                      <w:sz w:val="21"/>
                      <w:szCs w:val="21"/>
                      <w:highlight w:val="none"/>
                    </w:rPr>
                    <w:t>监测因子</w:t>
                  </w:r>
                </w:p>
              </w:tc>
              <w:tc>
                <w:tcPr>
                  <w:tcW w:w="1307" w:type="pct"/>
                  <w:tcBorders>
                    <w:left w:val="single" w:color="auto" w:sz="4" w:space="0"/>
                    <w:bottom w:val="single" w:color="auto" w:sz="8" w:space="0"/>
                  </w:tcBorders>
                  <w:noWrap w:val="0"/>
                  <w:vAlign w:val="center"/>
                </w:tcPr>
                <w:p w14:paraId="1FA41055">
                  <w:pPr>
                    <w:keepNext w:val="0"/>
                    <w:keepLines w:val="0"/>
                    <w:suppressLineNumbers w:val="0"/>
                    <w:tabs>
                      <w:tab w:val="left" w:pos="3620"/>
                    </w:tabs>
                    <w:adjustRightInd w:val="0"/>
                    <w:snapToGrid w:val="0"/>
                    <w:spacing w:before="0" w:beforeAutospacing="0" w:after="0" w:afterAutospacing="0"/>
                    <w:ind w:left="0" w:right="0"/>
                    <w:jc w:val="center"/>
                    <w:rPr>
                      <w:rFonts w:hint="default"/>
                      <w:b/>
                      <w:color w:val="auto"/>
                      <w:sz w:val="21"/>
                      <w:szCs w:val="21"/>
                      <w:highlight w:val="none"/>
                    </w:rPr>
                  </w:pPr>
                  <w:r>
                    <w:rPr>
                      <w:rFonts w:hint="default" w:hAnsi="宋体"/>
                      <w:b/>
                      <w:color w:val="auto"/>
                      <w:sz w:val="21"/>
                      <w:szCs w:val="21"/>
                      <w:highlight w:val="none"/>
                    </w:rPr>
                    <w:t>监测频率</w:t>
                  </w:r>
                </w:p>
              </w:tc>
            </w:tr>
            <w:tr w14:paraId="347250DF">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094" w:type="pct"/>
                  <w:tcBorders>
                    <w:top w:val="single" w:color="auto" w:sz="8" w:space="0"/>
                  </w:tcBorders>
                  <w:noWrap w:val="0"/>
                  <w:vAlign w:val="center"/>
                </w:tcPr>
                <w:p w14:paraId="2F6A39FE">
                  <w:pPr>
                    <w:keepNext w:val="0"/>
                    <w:keepLines w:val="0"/>
                    <w:suppressLineNumbers w:val="0"/>
                    <w:tabs>
                      <w:tab w:val="left" w:pos="3620"/>
                    </w:tabs>
                    <w:adjustRightInd w:val="0"/>
                    <w:snapToGrid w:val="0"/>
                    <w:spacing w:before="0" w:beforeAutospacing="0" w:after="0" w:afterAutospacing="0"/>
                    <w:ind w:left="0" w:right="0"/>
                    <w:jc w:val="center"/>
                    <w:rPr>
                      <w:rFonts w:hint="default"/>
                      <w:color w:val="auto"/>
                      <w:sz w:val="21"/>
                      <w:szCs w:val="21"/>
                      <w:highlight w:val="none"/>
                    </w:rPr>
                  </w:pPr>
                  <w:r>
                    <w:rPr>
                      <w:rFonts w:hint="default" w:hAnsi="宋体"/>
                      <w:color w:val="auto"/>
                      <w:sz w:val="21"/>
                      <w:szCs w:val="21"/>
                      <w:highlight w:val="none"/>
                    </w:rPr>
                    <w:t>噪声</w:t>
                  </w:r>
                </w:p>
              </w:tc>
              <w:tc>
                <w:tcPr>
                  <w:tcW w:w="1093" w:type="pct"/>
                  <w:tcBorders>
                    <w:top w:val="single" w:color="auto" w:sz="8" w:space="0"/>
                  </w:tcBorders>
                  <w:noWrap w:val="0"/>
                  <w:vAlign w:val="center"/>
                </w:tcPr>
                <w:p w14:paraId="665776A5">
                  <w:pPr>
                    <w:keepNext w:val="0"/>
                    <w:keepLines w:val="0"/>
                    <w:suppressLineNumbers w:val="0"/>
                    <w:tabs>
                      <w:tab w:val="left" w:pos="3620"/>
                    </w:tabs>
                    <w:adjustRightInd w:val="0"/>
                    <w:snapToGrid w:val="0"/>
                    <w:spacing w:before="0" w:beforeAutospacing="0" w:after="0" w:afterAutospacing="0"/>
                    <w:ind w:left="0" w:right="0"/>
                    <w:jc w:val="center"/>
                    <w:rPr>
                      <w:rFonts w:hint="default"/>
                      <w:color w:val="auto"/>
                      <w:sz w:val="21"/>
                      <w:szCs w:val="21"/>
                      <w:highlight w:val="none"/>
                      <w:lang w:val="en-GB"/>
                    </w:rPr>
                  </w:pPr>
                  <w:r>
                    <w:rPr>
                      <w:rFonts w:hint="default" w:hAnsi="宋体"/>
                      <w:color w:val="auto"/>
                      <w:sz w:val="21"/>
                      <w:szCs w:val="21"/>
                      <w:highlight w:val="none"/>
                      <w:lang w:val="en-GB"/>
                    </w:rPr>
                    <w:t>厂界四周外</w:t>
                  </w:r>
                  <w:r>
                    <w:rPr>
                      <w:rFonts w:hint="default"/>
                      <w:color w:val="auto"/>
                      <w:sz w:val="21"/>
                      <w:szCs w:val="21"/>
                      <w:highlight w:val="none"/>
                      <w:lang w:val="en-GB"/>
                    </w:rPr>
                    <w:t>1</w:t>
                  </w:r>
                  <w:r>
                    <w:rPr>
                      <w:rFonts w:hint="default" w:hAnsi="宋体"/>
                      <w:color w:val="auto"/>
                      <w:sz w:val="21"/>
                      <w:szCs w:val="21"/>
                      <w:highlight w:val="none"/>
                      <w:lang w:val="en-GB"/>
                    </w:rPr>
                    <w:t>米</w:t>
                  </w:r>
                </w:p>
              </w:tc>
              <w:tc>
                <w:tcPr>
                  <w:tcW w:w="1507" w:type="pct"/>
                  <w:tcBorders>
                    <w:top w:val="single" w:color="auto" w:sz="8" w:space="0"/>
                  </w:tcBorders>
                  <w:noWrap w:val="0"/>
                  <w:vAlign w:val="center"/>
                </w:tcPr>
                <w:p w14:paraId="5971262A">
                  <w:pPr>
                    <w:keepNext w:val="0"/>
                    <w:keepLines w:val="0"/>
                    <w:suppressLineNumbers w:val="0"/>
                    <w:tabs>
                      <w:tab w:val="left" w:pos="3620"/>
                    </w:tabs>
                    <w:adjustRightInd w:val="0"/>
                    <w:snapToGrid w:val="0"/>
                    <w:spacing w:before="0" w:beforeAutospacing="0" w:after="0" w:afterAutospacing="0"/>
                    <w:ind w:left="0" w:right="0"/>
                    <w:jc w:val="center"/>
                    <w:rPr>
                      <w:rFonts w:hint="default"/>
                      <w:color w:val="auto"/>
                      <w:sz w:val="21"/>
                      <w:szCs w:val="21"/>
                      <w:highlight w:val="none"/>
                      <w:lang w:val="en-GB"/>
                    </w:rPr>
                  </w:pPr>
                  <w:r>
                    <w:rPr>
                      <w:rFonts w:hint="default" w:hAnsi="宋体"/>
                      <w:color w:val="auto"/>
                      <w:sz w:val="21"/>
                      <w:szCs w:val="21"/>
                      <w:highlight w:val="none"/>
                      <w:lang w:val="en-GB"/>
                    </w:rPr>
                    <w:t>等效连续</w:t>
                  </w:r>
                  <w:r>
                    <w:rPr>
                      <w:rFonts w:hint="default"/>
                      <w:color w:val="auto"/>
                      <w:sz w:val="21"/>
                      <w:szCs w:val="21"/>
                      <w:highlight w:val="none"/>
                      <w:lang w:val="en-GB"/>
                    </w:rPr>
                    <w:t>A</w:t>
                  </w:r>
                  <w:r>
                    <w:rPr>
                      <w:rFonts w:hint="default" w:hAnsi="宋体"/>
                      <w:color w:val="auto"/>
                      <w:sz w:val="21"/>
                      <w:szCs w:val="21"/>
                      <w:highlight w:val="none"/>
                      <w:lang w:val="en-GB"/>
                    </w:rPr>
                    <w:t>声级</w:t>
                  </w:r>
                </w:p>
              </w:tc>
              <w:tc>
                <w:tcPr>
                  <w:tcW w:w="1307" w:type="pct"/>
                  <w:tcBorders>
                    <w:top w:val="single" w:color="auto" w:sz="8" w:space="0"/>
                  </w:tcBorders>
                  <w:noWrap w:val="0"/>
                  <w:vAlign w:val="center"/>
                </w:tcPr>
                <w:p w14:paraId="1A1AFA3C">
                  <w:pPr>
                    <w:keepNext w:val="0"/>
                    <w:keepLines w:val="0"/>
                    <w:suppressLineNumbers w:val="0"/>
                    <w:tabs>
                      <w:tab w:val="left" w:pos="3620"/>
                    </w:tabs>
                    <w:adjustRightInd w:val="0"/>
                    <w:snapToGrid w:val="0"/>
                    <w:spacing w:before="0" w:beforeAutospacing="0" w:after="0" w:afterAutospacing="0"/>
                    <w:ind w:left="0" w:right="0"/>
                    <w:jc w:val="center"/>
                    <w:rPr>
                      <w:rFonts w:hint="default"/>
                      <w:color w:val="auto"/>
                      <w:sz w:val="21"/>
                      <w:szCs w:val="21"/>
                      <w:highlight w:val="none"/>
                      <w:lang w:val="en-GB"/>
                    </w:rPr>
                  </w:pPr>
                  <w:r>
                    <w:rPr>
                      <w:rFonts w:hint="default" w:hAnsi="宋体"/>
                      <w:color w:val="auto"/>
                      <w:sz w:val="21"/>
                      <w:szCs w:val="21"/>
                      <w:highlight w:val="none"/>
                      <w:lang w:val="en-GB"/>
                    </w:rPr>
                    <w:t>每季度</w:t>
                  </w:r>
                  <w:r>
                    <w:rPr>
                      <w:rFonts w:hint="default" w:hAnsi="宋体"/>
                      <w:color w:val="auto"/>
                      <w:sz w:val="21"/>
                      <w:szCs w:val="21"/>
                      <w:highlight w:val="none"/>
                    </w:rPr>
                    <w:t>一</w:t>
                  </w:r>
                  <w:r>
                    <w:rPr>
                      <w:rFonts w:hint="default" w:hAnsi="宋体"/>
                      <w:color w:val="auto"/>
                      <w:sz w:val="21"/>
                      <w:szCs w:val="21"/>
                      <w:highlight w:val="none"/>
                      <w:lang w:val="en-GB"/>
                    </w:rPr>
                    <w:t>次</w:t>
                  </w:r>
                </w:p>
              </w:tc>
            </w:tr>
          </w:tbl>
          <w:p w14:paraId="0ADB1CA3">
            <w:pPr>
              <w:keepNext w:val="0"/>
              <w:keepLines w:val="0"/>
              <w:suppressLineNumbers w:val="0"/>
              <w:shd w:val="clear"/>
              <w:tabs>
                <w:tab w:val="left" w:pos="3620"/>
              </w:tabs>
              <w:adjustRightInd w:val="0"/>
              <w:snapToGrid w:val="0"/>
              <w:spacing w:before="0" w:beforeAutospacing="0" w:after="0" w:afterAutospacing="0" w:line="440" w:lineRule="exact"/>
              <w:ind w:left="0" w:right="0" w:firstLine="482" w:firstLineChars="200"/>
              <w:rPr>
                <w:rFonts w:hint="default"/>
                <w:color w:val="auto"/>
                <w:sz w:val="24"/>
                <w:highlight w:val="none"/>
                <w:lang w:val="en-US" w:eastAsia="zh-CN"/>
              </w:rPr>
            </w:pPr>
            <w:r>
              <w:rPr>
                <w:rFonts w:hint="eastAsia" w:ascii="宋体" w:hAnsi="宋体"/>
                <w:b/>
                <w:sz w:val="24"/>
                <w:highlight w:val="none"/>
              </w:rPr>
              <w:t>四、固废</w:t>
            </w:r>
          </w:p>
          <w:p w14:paraId="25CB350F">
            <w:pPr>
              <w:keepNext w:val="0"/>
              <w:keepLines w:val="0"/>
              <w:pageBreakBefore w:val="0"/>
              <w:widowControl w:val="0"/>
              <w:suppressLineNumbers w:val="0"/>
              <w:kinsoku/>
              <w:wordWrap/>
              <w:overflowPunct/>
              <w:topLinePunct w:val="0"/>
              <w:bidi w:val="0"/>
              <w:snapToGrid/>
              <w:spacing w:before="0" w:beforeAutospacing="0" w:after="0" w:afterAutospacing="0" w:line="440" w:lineRule="exact"/>
              <w:ind w:left="0" w:right="0" w:firstLine="480" w:firstLineChars="200"/>
              <w:contextualSpacing/>
              <w:textAlignment w:val="auto"/>
              <w:rPr>
                <w:rFonts w:hint="eastAsia"/>
                <w:color w:val="auto"/>
                <w:sz w:val="24"/>
              </w:rPr>
            </w:pPr>
            <w:r>
              <w:rPr>
                <w:rFonts w:hint="eastAsia"/>
                <w:color w:val="auto"/>
                <w:sz w:val="24"/>
                <w:lang w:val="en-US" w:eastAsia="zh-CN"/>
              </w:rPr>
              <w:t>本项目不新增固体废物。全厂固体废物及处理方式见下表</w:t>
            </w:r>
            <w:r>
              <w:rPr>
                <w:rFonts w:hint="eastAsia"/>
                <w:color w:val="auto"/>
                <w:sz w:val="24"/>
              </w:rPr>
              <w:t>。</w:t>
            </w:r>
          </w:p>
          <w:p w14:paraId="4315EAED">
            <w:pPr>
              <w:keepNext w:val="0"/>
              <w:keepLines w:val="0"/>
              <w:suppressLineNumbers w:val="0"/>
              <w:autoSpaceDE w:val="0"/>
              <w:autoSpaceDN w:val="0"/>
              <w:adjustRightInd w:val="0"/>
              <w:spacing w:before="0" w:beforeAutospacing="0" w:after="0" w:afterAutospacing="0" w:line="440" w:lineRule="exact"/>
              <w:ind w:left="0" w:right="0" w:firstLine="723" w:firstLineChars="300"/>
              <w:rPr>
                <w:rFonts w:hint="default" w:eastAsia="黑体"/>
                <w:bCs/>
                <w:color w:val="000000"/>
              </w:rPr>
            </w:pPr>
            <w:r>
              <w:rPr>
                <w:rFonts w:hint="default" w:ascii="Times New Roman" w:hAnsi="Times New Roman" w:eastAsia="宋体" w:cs="Times New Roman"/>
                <w:b/>
                <w:bCs w:val="0"/>
                <w:color w:val="000000"/>
              </w:rPr>
              <w:t>表</w:t>
            </w:r>
            <w:r>
              <w:rPr>
                <w:rFonts w:hint="eastAsia" w:cs="Times New Roman"/>
                <w:b/>
                <w:bCs w:val="0"/>
                <w:color w:val="000000"/>
                <w:lang w:val="en-US" w:eastAsia="zh-CN"/>
              </w:rPr>
              <w:t>34</w:t>
            </w:r>
            <w:r>
              <w:rPr>
                <w:rFonts w:hint="default" w:ascii="Times New Roman" w:hAnsi="Times New Roman" w:eastAsia="宋体" w:cs="Times New Roman"/>
                <w:b/>
                <w:bCs w:val="0"/>
                <w:color w:val="000000"/>
              </w:rPr>
              <w:t xml:space="preserve">              现有工程固废治理情况汇总</w:t>
            </w:r>
          </w:p>
          <w:tbl>
            <w:tblPr>
              <w:tblStyle w:val="23"/>
              <w:tblW w:w="8616"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40"/>
              <w:gridCol w:w="1404"/>
              <w:gridCol w:w="1405"/>
              <w:gridCol w:w="1309"/>
              <w:gridCol w:w="2658"/>
            </w:tblGrid>
            <w:tr w14:paraId="1081EAD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0" w:type="dxa"/>
                  <w:tcBorders>
                    <w:top w:val="single" w:color="auto" w:sz="8" w:space="0"/>
                    <w:bottom w:val="single" w:color="auto" w:sz="8" w:space="0"/>
                  </w:tcBorders>
                  <w:noWrap/>
                  <w:vAlign w:val="center"/>
                </w:tcPr>
                <w:p w14:paraId="4FED9688">
                  <w:pPr>
                    <w:pStyle w:val="51"/>
                    <w:keepNext w:val="0"/>
                    <w:keepLines w:val="0"/>
                    <w:suppressLineNumbers w:val="0"/>
                    <w:spacing w:before="0" w:beforeAutospacing="0" w:after="0" w:afterAutospacing="0"/>
                    <w:ind w:left="0" w:right="0"/>
                    <w:rPr>
                      <w:rFonts w:hint="default" w:ascii="Times New Roman" w:hAnsi="Times New Roman" w:cs="Times New Roman"/>
                      <w:b/>
                      <w:bCs/>
                      <w:sz w:val="21"/>
                      <w:szCs w:val="21"/>
                    </w:rPr>
                  </w:pPr>
                  <w:r>
                    <w:rPr>
                      <w:rFonts w:hint="default" w:ascii="Times New Roman" w:hAnsi="Times New Roman" w:cs="Times New Roman"/>
                      <w:b/>
                      <w:bCs/>
                      <w:sz w:val="21"/>
                      <w:szCs w:val="21"/>
                    </w:rPr>
                    <w:t>排放源</w:t>
                  </w:r>
                </w:p>
              </w:tc>
              <w:tc>
                <w:tcPr>
                  <w:tcW w:w="1404" w:type="dxa"/>
                  <w:tcBorders>
                    <w:top w:val="single" w:color="auto" w:sz="8" w:space="0"/>
                    <w:bottom w:val="single" w:color="auto" w:sz="8" w:space="0"/>
                  </w:tcBorders>
                  <w:noWrap/>
                  <w:vAlign w:val="center"/>
                </w:tcPr>
                <w:p w14:paraId="502492AF">
                  <w:pPr>
                    <w:pStyle w:val="51"/>
                    <w:keepNext w:val="0"/>
                    <w:keepLines w:val="0"/>
                    <w:suppressLineNumbers w:val="0"/>
                    <w:spacing w:before="0" w:beforeAutospacing="0" w:after="0" w:afterAutospacing="0"/>
                    <w:ind w:left="0" w:right="0"/>
                    <w:rPr>
                      <w:rFonts w:hint="default" w:ascii="Times New Roman" w:hAnsi="Times New Roman" w:cs="Times New Roman"/>
                      <w:b/>
                      <w:bCs/>
                      <w:sz w:val="21"/>
                      <w:szCs w:val="21"/>
                    </w:rPr>
                  </w:pPr>
                  <w:r>
                    <w:rPr>
                      <w:rFonts w:hint="default" w:ascii="Times New Roman" w:hAnsi="Times New Roman" w:cs="Times New Roman"/>
                      <w:b/>
                      <w:bCs/>
                      <w:sz w:val="21"/>
                      <w:szCs w:val="21"/>
                    </w:rPr>
                    <w:t>固废名称</w:t>
                  </w:r>
                </w:p>
              </w:tc>
              <w:tc>
                <w:tcPr>
                  <w:tcW w:w="1405" w:type="dxa"/>
                  <w:tcBorders>
                    <w:top w:val="single" w:color="auto" w:sz="8" w:space="0"/>
                    <w:bottom w:val="single" w:color="auto" w:sz="8" w:space="0"/>
                  </w:tcBorders>
                  <w:noWrap/>
                  <w:vAlign w:val="center"/>
                </w:tcPr>
                <w:p w14:paraId="230DC34B">
                  <w:pPr>
                    <w:pStyle w:val="51"/>
                    <w:keepNext w:val="0"/>
                    <w:keepLines w:val="0"/>
                    <w:suppressLineNumbers w:val="0"/>
                    <w:spacing w:before="0" w:beforeAutospacing="0" w:after="0" w:afterAutospacing="0"/>
                    <w:ind w:left="0" w:right="0"/>
                    <w:rPr>
                      <w:rFonts w:hint="default" w:ascii="Times New Roman" w:hAnsi="Times New Roman" w:eastAsia="宋体" w:cs="Times New Roman"/>
                      <w:b/>
                      <w:bCs/>
                      <w:sz w:val="21"/>
                      <w:szCs w:val="21"/>
                      <w:lang w:val="en-US" w:eastAsia="zh-CN"/>
                    </w:rPr>
                  </w:pPr>
                  <w:r>
                    <w:rPr>
                      <w:rFonts w:hint="eastAsia" w:ascii="Times New Roman" w:cs="Times New Roman"/>
                      <w:b/>
                      <w:bCs/>
                      <w:sz w:val="21"/>
                      <w:szCs w:val="21"/>
                      <w:lang w:val="en-US" w:eastAsia="zh-CN"/>
                    </w:rPr>
                    <w:t>固废类别</w:t>
                  </w:r>
                </w:p>
              </w:tc>
              <w:tc>
                <w:tcPr>
                  <w:tcW w:w="1309" w:type="dxa"/>
                  <w:tcBorders>
                    <w:top w:val="single" w:color="auto" w:sz="8" w:space="0"/>
                    <w:bottom w:val="single" w:color="auto" w:sz="8" w:space="0"/>
                  </w:tcBorders>
                  <w:noWrap/>
                  <w:vAlign w:val="center"/>
                </w:tcPr>
                <w:p w14:paraId="690EA436">
                  <w:pPr>
                    <w:pStyle w:val="51"/>
                    <w:keepNext w:val="0"/>
                    <w:keepLines w:val="0"/>
                    <w:suppressLineNumbers w:val="0"/>
                    <w:spacing w:before="0" w:beforeAutospacing="0" w:after="0" w:afterAutospacing="0"/>
                    <w:ind w:left="0" w:right="0"/>
                    <w:rPr>
                      <w:rFonts w:hint="default" w:ascii="Times New Roman" w:hAnsi="Times New Roman" w:cs="Times New Roman"/>
                      <w:b/>
                      <w:bCs/>
                      <w:sz w:val="21"/>
                      <w:szCs w:val="21"/>
                    </w:rPr>
                  </w:pPr>
                  <w:r>
                    <w:rPr>
                      <w:rFonts w:hint="default" w:ascii="Times New Roman" w:hAnsi="Times New Roman" w:cs="Times New Roman"/>
                      <w:b/>
                      <w:bCs/>
                      <w:sz w:val="21"/>
                      <w:szCs w:val="21"/>
                    </w:rPr>
                    <w:t>产生量（t/a）</w:t>
                  </w:r>
                </w:p>
              </w:tc>
              <w:tc>
                <w:tcPr>
                  <w:tcW w:w="2658" w:type="dxa"/>
                  <w:tcBorders>
                    <w:top w:val="single" w:color="auto" w:sz="8" w:space="0"/>
                    <w:bottom w:val="single" w:color="auto" w:sz="8" w:space="0"/>
                  </w:tcBorders>
                  <w:noWrap/>
                  <w:vAlign w:val="center"/>
                </w:tcPr>
                <w:p w14:paraId="46C7551F">
                  <w:pPr>
                    <w:pStyle w:val="51"/>
                    <w:keepNext w:val="0"/>
                    <w:keepLines w:val="0"/>
                    <w:suppressLineNumbers w:val="0"/>
                    <w:spacing w:before="0" w:beforeAutospacing="0" w:after="0" w:afterAutospacing="0"/>
                    <w:ind w:left="0" w:right="0"/>
                    <w:rPr>
                      <w:rFonts w:hint="default" w:ascii="Times New Roman" w:hAnsi="Times New Roman" w:cs="Times New Roman"/>
                      <w:b/>
                      <w:bCs/>
                      <w:sz w:val="21"/>
                      <w:szCs w:val="21"/>
                    </w:rPr>
                  </w:pPr>
                  <w:r>
                    <w:rPr>
                      <w:rFonts w:hint="default" w:ascii="Times New Roman" w:hAnsi="Times New Roman" w:cs="Times New Roman"/>
                      <w:b/>
                      <w:bCs/>
                      <w:sz w:val="21"/>
                      <w:szCs w:val="21"/>
                    </w:rPr>
                    <w:t>处理措施</w:t>
                  </w:r>
                </w:p>
              </w:tc>
            </w:tr>
            <w:tr w14:paraId="6E69A23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0" w:type="dxa"/>
                  <w:vMerge w:val="restart"/>
                  <w:noWrap/>
                  <w:vAlign w:val="center"/>
                </w:tcPr>
                <w:p w14:paraId="1122E210">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生产过程</w:t>
                  </w:r>
                </w:p>
              </w:tc>
              <w:tc>
                <w:tcPr>
                  <w:tcW w:w="1404" w:type="dxa"/>
                  <w:noWrap/>
                  <w:vAlign w:val="center"/>
                </w:tcPr>
                <w:p w14:paraId="20F19BB9">
                  <w:pPr>
                    <w:pStyle w:val="51"/>
                    <w:keepNext w:val="0"/>
                    <w:keepLines w:val="0"/>
                    <w:suppressLineNumbers w:val="0"/>
                    <w:spacing w:before="0" w:beforeAutospacing="0" w:after="0" w:afterAutospacing="0"/>
                    <w:ind w:left="0" w:right="0"/>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rPr>
                    <w:t>废边角料</w:t>
                  </w:r>
                  <w:r>
                    <w:rPr>
                      <w:rFonts w:hint="eastAsia" w:ascii="Times New Roman" w:cs="Times New Roman"/>
                      <w:sz w:val="21"/>
                      <w:szCs w:val="21"/>
                      <w:lang w:eastAsia="zh-CN"/>
                    </w:rPr>
                    <w:t>、</w:t>
                  </w:r>
                  <w:r>
                    <w:rPr>
                      <w:rFonts w:hint="eastAsia" w:ascii="Times New Roman" w:cs="Times New Roman"/>
                      <w:sz w:val="21"/>
                      <w:szCs w:val="21"/>
                      <w:lang w:val="en-US" w:eastAsia="zh-CN"/>
                    </w:rPr>
                    <w:t>次品、废电池钢壳、盖帽、钢带、铝箔等</w:t>
                  </w:r>
                </w:p>
              </w:tc>
              <w:tc>
                <w:tcPr>
                  <w:tcW w:w="1405" w:type="dxa"/>
                  <w:vMerge w:val="restart"/>
                  <w:noWrap/>
                  <w:vAlign w:val="center"/>
                </w:tcPr>
                <w:p w14:paraId="5E6E3E90">
                  <w:pPr>
                    <w:pStyle w:val="51"/>
                    <w:keepNext w:val="0"/>
                    <w:keepLines w:val="0"/>
                    <w:suppressLineNumbers w:val="0"/>
                    <w:spacing w:before="0" w:beforeAutospacing="0" w:after="0" w:afterAutospacing="0"/>
                    <w:ind w:left="0" w:right="0"/>
                    <w:rPr>
                      <w:rFonts w:hint="default" w:ascii="Times New Roman" w:hAnsi="Times New Roman" w:eastAsia="宋体" w:cs="Times New Roman"/>
                      <w:sz w:val="21"/>
                      <w:szCs w:val="21"/>
                      <w:lang w:val="en-US" w:eastAsia="zh-CN"/>
                    </w:rPr>
                  </w:pPr>
                  <w:r>
                    <w:rPr>
                      <w:rFonts w:hint="eastAsia" w:ascii="Times New Roman" w:cs="Times New Roman"/>
                      <w:sz w:val="21"/>
                      <w:szCs w:val="21"/>
                      <w:lang w:val="en-US" w:eastAsia="zh-CN"/>
                    </w:rPr>
                    <w:t>一般固废</w:t>
                  </w:r>
                </w:p>
              </w:tc>
              <w:tc>
                <w:tcPr>
                  <w:tcW w:w="1309" w:type="dxa"/>
                  <w:vMerge w:val="restart"/>
                  <w:noWrap/>
                  <w:vAlign w:val="center"/>
                </w:tcPr>
                <w:p w14:paraId="441C0111">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eastAsia" w:ascii="Times New Roman" w:hAnsi="Times New Roman" w:cs="Times New Roman"/>
                      <w:sz w:val="21"/>
                      <w:szCs w:val="21"/>
                      <w:lang w:val="en-US" w:eastAsia="zh-CN"/>
                    </w:rPr>
                    <w:t>82.5</w:t>
                  </w:r>
                  <w:r>
                    <w:rPr>
                      <w:rFonts w:hint="default" w:ascii="Times New Roman" w:hAnsi="Times New Roman" w:cs="Times New Roman"/>
                      <w:sz w:val="21"/>
                      <w:szCs w:val="21"/>
                    </w:rPr>
                    <w:t>t/a</w:t>
                  </w:r>
                </w:p>
              </w:tc>
              <w:tc>
                <w:tcPr>
                  <w:tcW w:w="2658" w:type="dxa"/>
                  <w:noWrap/>
                  <w:vAlign w:val="center"/>
                </w:tcPr>
                <w:p w14:paraId="305FB7C7">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r>
                    <w:rPr>
                      <w:rFonts w:hint="default" w:ascii="Times New Roman" w:hAnsi="Times New Roman" w:cs="Times New Roman"/>
                      <w:sz w:val="21"/>
                      <w:szCs w:val="21"/>
                    </w:rPr>
                    <w:t>外售</w:t>
                  </w:r>
                </w:p>
              </w:tc>
            </w:tr>
            <w:tr w14:paraId="7484BCB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0" w:type="dxa"/>
                  <w:vMerge w:val="continue"/>
                  <w:noWrap/>
                  <w:vAlign w:val="center"/>
                </w:tcPr>
                <w:p w14:paraId="5F00B186">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1404" w:type="dxa"/>
                  <w:noWrap/>
                  <w:vAlign w:val="center"/>
                </w:tcPr>
                <w:p w14:paraId="54F9CDC5">
                  <w:pPr>
                    <w:pStyle w:val="51"/>
                    <w:keepNext w:val="0"/>
                    <w:keepLines w:val="0"/>
                    <w:suppressLineNumbers w:val="0"/>
                    <w:spacing w:before="0" w:beforeAutospacing="0" w:after="0" w:afterAutospacing="0"/>
                    <w:ind w:left="0" w:right="0"/>
                    <w:rPr>
                      <w:rFonts w:hint="default" w:ascii="Times New Roman" w:hAnsi="Times New Roman" w:eastAsia="宋体" w:cs="Times New Roman"/>
                      <w:sz w:val="21"/>
                      <w:szCs w:val="21"/>
                      <w:lang w:val="en-US" w:eastAsia="zh-CN"/>
                    </w:rPr>
                  </w:pPr>
                  <w:r>
                    <w:rPr>
                      <w:rFonts w:hint="eastAsia" w:ascii="Times New Roman" w:cs="Times New Roman"/>
                      <w:sz w:val="21"/>
                      <w:szCs w:val="21"/>
                      <w:lang w:val="en-US" w:eastAsia="zh-CN"/>
                    </w:rPr>
                    <w:t>废包装物（纸箱、纸板、隔膜、吨包、废隔膜纸等）</w:t>
                  </w:r>
                </w:p>
              </w:tc>
              <w:tc>
                <w:tcPr>
                  <w:tcW w:w="1405" w:type="dxa"/>
                  <w:vMerge w:val="continue"/>
                  <w:noWrap/>
                  <w:vAlign w:val="center"/>
                </w:tcPr>
                <w:p w14:paraId="49A2352C">
                  <w:pPr>
                    <w:pStyle w:val="51"/>
                    <w:keepNext w:val="0"/>
                    <w:keepLines w:val="0"/>
                    <w:suppressLineNumbers w:val="0"/>
                    <w:spacing w:before="0" w:beforeAutospacing="0" w:after="0" w:afterAutospacing="0"/>
                    <w:ind w:left="0" w:right="0"/>
                    <w:rPr>
                      <w:rFonts w:hint="eastAsia" w:ascii="Times New Roman" w:cs="Times New Roman"/>
                      <w:sz w:val="21"/>
                      <w:szCs w:val="21"/>
                      <w:lang w:val="en-US" w:eastAsia="zh-CN"/>
                    </w:rPr>
                  </w:pPr>
                </w:p>
              </w:tc>
              <w:tc>
                <w:tcPr>
                  <w:tcW w:w="1309" w:type="dxa"/>
                  <w:vMerge w:val="continue"/>
                  <w:noWrap/>
                  <w:vAlign w:val="center"/>
                </w:tcPr>
                <w:p w14:paraId="76A90219">
                  <w:pPr>
                    <w:pStyle w:val="51"/>
                    <w:keepNext w:val="0"/>
                    <w:keepLines w:val="0"/>
                    <w:suppressLineNumbers w:val="0"/>
                    <w:spacing w:before="0" w:beforeAutospacing="0" w:after="0" w:afterAutospacing="0"/>
                    <w:ind w:left="0" w:right="0"/>
                    <w:rPr>
                      <w:rFonts w:hint="eastAsia" w:ascii="Times New Roman" w:hAnsi="Times New Roman" w:cs="Times New Roman"/>
                      <w:sz w:val="21"/>
                      <w:szCs w:val="21"/>
                      <w:lang w:val="en-US" w:eastAsia="zh-CN"/>
                    </w:rPr>
                  </w:pPr>
                </w:p>
              </w:tc>
              <w:tc>
                <w:tcPr>
                  <w:tcW w:w="2658" w:type="dxa"/>
                  <w:noWrap/>
                  <w:vAlign w:val="center"/>
                </w:tcPr>
                <w:p w14:paraId="5D136826">
                  <w:pPr>
                    <w:keepNext w:val="0"/>
                    <w:keepLines w:val="0"/>
                    <w:suppressLineNumbers w:val="0"/>
                    <w:spacing w:before="0" w:beforeAutospacing="0" w:after="0" w:afterAutospacing="0"/>
                    <w:ind w:left="0" w:right="0"/>
                    <w:jc w:val="center"/>
                    <w:rPr>
                      <w:rFonts w:hint="default" w:ascii="Times New Roman" w:hAnsi="Times New Roman" w:cs="Times New Roman"/>
                      <w:sz w:val="21"/>
                      <w:szCs w:val="21"/>
                    </w:rPr>
                  </w:pPr>
                  <w:r>
                    <w:rPr>
                      <w:rFonts w:hint="default" w:ascii="Times New Roman" w:hAnsi="Times New Roman" w:cs="Times New Roman"/>
                      <w:sz w:val="21"/>
                      <w:szCs w:val="21"/>
                    </w:rPr>
                    <w:t>外售</w:t>
                  </w:r>
                </w:p>
              </w:tc>
            </w:tr>
            <w:tr w14:paraId="2EC22B0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0" w:type="dxa"/>
                  <w:vMerge w:val="continue"/>
                  <w:noWrap/>
                  <w:vAlign w:val="center"/>
                </w:tcPr>
                <w:p w14:paraId="2DF362EF">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1404" w:type="dxa"/>
                  <w:noWrap/>
                  <w:vAlign w:val="center"/>
                </w:tcPr>
                <w:p w14:paraId="24D8D97D">
                  <w:pPr>
                    <w:pStyle w:val="51"/>
                    <w:keepNext w:val="0"/>
                    <w:keepLines w:val="0"/>
                    <w:suppressLineNumbers w:val="0"/>
                    <w:spacing w:before="0" w:beforeAutospacing="0" w:after="0" w:afterAutospacing="0"/>
                    <w:ind w:left="0" w:right="0"/>
                    <w:rPr>
                      <w:rFonts w:hint="default" w:ascii="Times New Roman" w:hAnsi="Times New Roman" w:eastAsia="宋体" w:cs="Times New Roman"/>
                      <w:sz w:val="21"/>
                      <w:szCs w:val="21"/>
                      <w:lang w:val="en-US" w:eastAsia="zh-CN"/>
                    </w:rPr>
                  </w:pPr>
                  <w:r>
                    <w:rPr>
                      <w:rFonts w:hint="eastAsia" w:ascii="Times New Roman" w:cs="Times New Roman"/>
                      <w:sz w:val="21"/>
                      <w:szCs w:val="21"/>
                      <w:lang w:val="en-US" w:eastAsia="zh-CN"/>
                    </w:rPr>
                    <w:t>除尘器集尘</w:t>
                  </w:r>
                </w:p>
              </w:tc>
              <w:tc>
                <w:tcPr>
                  <w:tcW w:w="1405" w:type="dxa"/>
                  <w:vMerge w:val="continue"/>
                  <w:noWrap/>
                  <w:vAlign w:val="center"/>
                </w:tcPr>
                <w:p w14:paraId="537C7234">
                  <w:pPr>
                    <w:pStyle w:val="51"/>
                    <w:keepNext w:val="0"/>
                    <w:keepLines w:val="0"/>
                    <w:suppressLineNumbers w:val="0"/>
                    <w:spacing w:before="0" w:beforeAutospacing="0" w:after="0" w:afterAutospacing="0"/>
                    <w:ind w:left="0" w:right="0"/>
                    <w:rPr>
                      <w:rFonts w:hint="eastAsia" w:ascii="Times New Roman" w:cs="Times New Roman"/>
                      <w:sz w:val="21"/>
                      <w:szCs w:val="21"/>
                      <w:lang w:val="en-US" w:eastAsia="zh-CN"/>
                    </w:rPr>
                  </w:pPr>
                </w:p>
              </w:tc>
              <w:tc>
                <w:tcPr>
                  <w:tcW w:w="1309" w:type="dxa"/>
                  <w:vMerge w:val="continue"/>
                  <w:noWrap/>
                  <w:vAlign w:val="center"/>
                </w:tcPr>
                <w:p w14:paraId="4474E05C">
                  <w:pPr>
                    <w:pStyle w:val="51"/>
                    <w:keepNext w:val="0"/>
                    <w:keepLines w:val="0"/>
                    <w:suppressLineNumbers w:val="0"/>
                    <w:spacing w:before="0" w:beforeAutospacing="0" w:after="0" w:afterAutospacing="0"/>
                    <w:ind w:left="0" w:right="0"/>
                    <w:rPr>
                      <w:rFonts w:hint="eastAsia" w:ascii="Times New Roman" w:hAnsi="Times New Roman" w:cs="Times New Roman"/>
                      <w:sz w:val="21"/>
                      <w:szCs w:val="21"/>
                      <w:lang w:val="en-US" w:eastAsia="zh-CN"/>
                    </w:rPr>
                  </w:pPr>
                </w:p>
              </w:tc>
              <w:tc>
                <w:tcPr>
                  <w:tcW w:w="2658" w:type="dxa"/>
                  <w:noWrap/>
                  <w:vAlign w:val="center"/>
                </w:tcPr>
                <w:p w14:paraId="29D7CCD5">
                  <w:pPr>
                    <w:keepNext w:val="0"/>
                    <w:keepLines w:val="0"/>
                    <w:suppressLineNumbers w:val="0"/>
                    <w:spacing w:before="0" w:beforeAutospacing="0" w:after="0" w:afterAutospacing="0"/>
                    <w:ind w:left="0" w:right="0"/>
                    <w:rPr>
                      <w:rFonts w:hint="default" w:ascii="Times New Roman" w:hAnsi="Times New Roman" w:eastAsia="宋体" w:cs="Times New Roman"/>
                      <w:sz w:val="21"/>
                      <w:szCs w:val="21"/>
                      <w:lang w:val="en-US" w:eastAsia="zh-CN"/>
                    </w:rPr>
                  </w:pPr>
                  <w:r>
                    <w:rPr>
                      <w:rFonts w:hint="eastAsia" w:cs="Times New Roman"/>
                      <w:sz w:val="21"/>
                      <w:szCs w:val="21"/>
                      <w:lang w:val="en-US" w:eastAsia="zh-CN"/>
                    </w:rPr>
                    <w:t>部分回用于投料机、部分回用于混料机</w:t>
                  </w:r>
                </w:p>
              </w:tc>
            </w:tr>
            <w:tr w14:paraId="20D2506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0" w:type="dxa"/>
                  <w:noWrap/>
                  <w:vAlign w:val="center"/>
                </w:tcPr>
                <w:p w14:paraId="7CD57F52">
                  <w:pPr>
                    <w:pStyle w:val="51"/>
                    <w:keepNext w:val="0"/>
                    <w:keepLines w:val="0"/>
                    <w:suppressLineNumbers w:val="0"/>
                    <w:spacing w:before="0" w:beforeAutospacing="0" w:after="0" w:afterAutospacing="0"/>
                    <w:ind w:left="0" w:leftChars="0" w:right="0" w:rightChars="0"/>
                    <w:rPr>
                      <w:rFonts w:hint="default" w:ascii="Times New Roman" w:hAnsi="Times New Roman" w:cs="Times New Roman"/>
                      <w:sz w:val="21"/>
                      <w:szCs w:val="21"/>
                    </w:rPr>
                  </w:pPr>
                  <w:r>
                    <w:rPr>
                      <w:rFonts w:hint="default" w:ascii="Times New Roman" w:hAnsi="Times New Roman" w:cs="Times New Roman"/>
                      <w:sz w:val="21"/>
                      <w:szCs w:val="21"/>
                    </w:rPr>
                    <w:t>污水处理站</w:t>
                  </w:r>
                </w:p>
              </w:tc>
              <w:tc>
                <w:tcPr>
                  <w:tcW w:w="1404" w:type="dxa"/>
                  <w:shd w:val="clear" w:color="auto" w:fill="auto"/>
                  <w:noWrap/>
                  <w:vAlign w:val="center"/>
                </w:tcPr>
                <w:p w14:paraId="130C9519">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kern w:val="2"/>
                      <w:sz w:val="21"/>
                      <w:szCs w:val="21"/>
                      <w:lang w:val="en-US" w:eastAsia="zh-CN" w:bidi="ar-SA"/>
                    </w:rPr>
                  </w:pPr>
                  <w:r>
                    <w:rPr>
                      <w:rFonts w:hint="eastAsia" w:cs="Times New Roman"/>
                      <w:sz w:val="21"/>
                      <w:szCs w:val="21"/>
                      <w:lang w:val="en-US" w:eastAsia="zh-CN"/>
                    </w:rPr>
                    <w:t>污泥</w:t>
                  </w:r>
                </w:p>
              </w:tc>
              <w:tc>
                <w:tcPr>
                  <w:tcW w:w="1405" w:type="dxa"/>
                  <w:vMerge w:val="continue"/>
                  <w:shd w:val="clear" w:color="auto" w:fill="auto"/>
                  <w:noWrap/>
                  <w:vAlign w:val="center"/>
                </w:tcPr>
                <w:p w14:paraId="2244824A">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sz w:val="21"/>
                      <w:szCs w:val="21"/>
                    </w:rPr>
                  </w:pPr>
                </w:p>
              </w:tc>
              <w:tc>
                <w:tcPr>
                  <w:tcW w:w="1309" w:type="dxa"/>
                  <w:noWrap/>
                  <w:vAlign w:val="center"/>
                </w:tcPr>
                <w:p w14:paraId="1415E55E">
                  <w:pPr>
                    <w:pStyle w:val="51"/>
                    <w:keepNext w:val="0"/>
                    <w:keepLines w:val="0"/>
                    <w:suppressLineNumbers w:val="0"/>
                    <w:spacing w:before="0" w:beforeAutospacing="0" w:after="0" w:afterAutospacing="0"/>
                    <w:ind w:left="0" w:leftChars="0" w:right="0" w:rightChars="0"/>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11.8</w:t>
                  </w:r>
                  <w:r>
                    <w:rPr>
                      <w:rFonts w:hint="default" w:ascii="Times New Roman" w:hAnsi="Times New Roman" w:cs="Times New Roman"/>
                      <w:sz w:val="21"/>
                      <w:szCs w:val="21"/>
                    </w:rPr>
                    <w:t>t/a</w:t>
                  </w:r>
                </w:p>
              </w:tc>
              <w:tc>
                <w:tcPr>
                  <w:tcW w:w="2658" w:type="dxa"/>
                  <w:noWrap/>
                  <w:vAlign w:val="center"/>
                </w:tcPr>
                <w:p w14:paraId="02C6BCA9">
                  <w:pPr>
                    <w:pStyle w:val="51"/>
                    <w:keepNext w:val="0"/>
                    <w:keepLines w:val="0"/>
                    <w:suppressLineNumbers w:val="0"/>
                    <w:spacing w:before="0" w:beforeAutospacing="0" w:after="0" w:afterAutospacing="0"/>
                    <w:ind w:left="0" w:leftChars="0" w:right="0" w:rightChars="0"/>
                    <w:rPr>
                      <w:rFonts w:hint="default" w:ascii="Times New Roman" w:hAnsi="Times New Roman" w:cs="Times New Roman"/>
                      <w:sz w:val="21"/>
                      <w:szCs w:val="21"/>
                    </w:rPr>
                  </w:pPr>
                  <w:r>
                    <w:rPr>
                      <w:rFonts w:hint="eastAsia" w:ascii="Times New Roman" w:cs="Times New Roman"/>
                      <w:sz w:val="21"/>
                      <w:szCs w:val="21"/>
                      <w:lang w:val="en-US" w:eastAsia="zh-CN"/>
                    </w:rPr>
                    <w:t>一般固废间暂存，定期处置</w:t>
                  </w:r>
                </w:p>
              </w:tc>
            </w:tr>
            <w:tr w14:paraId="3E48D49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0" w:type="dxa"/>
                  <w:noWrap/>
                  <w:vAlign w:val="center"/>
                </w:tcPr>
                <w:p w14:paraId="0AA1D422">
                  <w:pPr>
                    <w:pStyle w:val="51"/>
                    <w:keepNext w:val="0"/>
                    <w:keepLines w:val="0"/>
                    <w:suppressLineNumbers w:val="0"/>
                    <w:spacing w:before="0" w:beforeAutospacing="0" w:after="0" w:afterAutospacing="0"/>
                    <w:ind w:left="0" w:right="0"/>
                    <w:rPr>
                      <w:rFonts w:hint="eastAsia" w:ascii="Times New Roman" w:hAnsi="Times New Roman" w:eastAsia="宋体" w:cs="Times New Roman"/>
                      <w:sz w:val="21"/>
                      <w:szCs w:val="21"/>
                      <w:lang w:val="en-US" w:eastAsia="zh-CN"/>
                    </w:rPr>
                  </w:pPr>
                  <w:r>
                    <w:rPr>
                      <w:rFonts w:hint="eastAsia" w:ascii="Times New Roman" w:cs="Times New Roman"/>
                      <w:sz w:val="21"/>
                      <w:szCs w:val="21"/>
                      <w:lang w:val="en-US" w:eastAsia="zh-CN"/>
                    </w:rPr>
                    <w:t>沉淀池</w:t>
                  </w:r>
                </w:p>
              </w:tc>
              <w:tc>
                <w:tcPr>
                  <w:tcW w:w="1404" w:type="dxa"/>
                  <w:shd w:val="clear" w:color="auto" w:fill="auto"/>
                  <w:noWrap/>
                  <w:vAlign w:val="center"/>
                </w:tcPr>
                <w:p w14:paraId="126DFEFF">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kern w:val="2"/>
                      <w:sz w:val="21"/>
                      <w:szCs w:val="21"/>
                      <w:lang w:val="en-US" w:eastAsia="zh-CN" w:bidi="ar-SA"/>
                    </w:rPr>
                  </w:pPr>
                  <w:r>
                    <w:rPr>
                      <w:rFonts w:hint="eastAsia" w:cs="Times New Roman"/>
                      <w:sz w:val="21"/>
                      <w:szCs w:val="21"/>
                      <w:lang w:val="en-US" w:eastAsia="zh-CN"/>
                    </w:rPr>
                    <w:t>污泥</w:t>
                  </w:r>
                </w:p>
              </w:tc>
              <w:tc>
                <w:tcPr>
                  <w:tcW w:w="1405" w:type="dxa"/>
                  <w:vMerge w:val="continue"/>
                  <w:shd w:val="clear" w:color="auto" w:fill="auto"/>
                  <w:noWrap/>
                  <w:vAlign w:val="center"/>
                </w:tcPr>
                <w:p w14:paraId="3F40A71F">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sz w:val="21"/>
                      <w:szCs w:val="21"/>
                    </w:rPr>
                  </w:pPr>
                </w:p>
              </w:tc>
              <w:tc>
                <w:tcPr>
                  <w:tcW w:w="1309" w:type="dxa"/>
                  <w:noWrap/>
                  <w:vAlign w:val="center"/>
                </w:tcPr>
                <w:p w14:paraId="77BF939F">
                  <w:pPr>
                    <w:pStyle w:val="51"/>
                    <w:keepNext w:val="0"/>
                    <w:keepLines w:val="0"/>
                    <w:suppressLineNumbers w:val="0"/>
                    <w:spacing w:before="0" w:beforeAutospacing="0" w:after="0" w:afterAutospacing="0"/>
                    <w:ind w:left="0" w:right="0"/>
                    <w:rPr>
                      <w:rFonts w:hint="default" w:ascii="Times New Roman" w:hAnsi="Times New Roman" w:cs="Times New Roman"/>
                      <w:sz w:val="21"/>
                      <w:szCs w:val="21"/>
                      <w:lang w:val="en-US" w:eastAsia="zh-CN"/>
                    </w:rPr>
                  </w:pPr>
                  <w:r>
                    <w:rPr>
                      <w:rFonts w:hint="eastAsia" w:ascii="Times New Roman" w:cs="Times New Roman"/>
                      <w:sz w:val="21"/>
                      <w:szCs w:val="21"/>
                      <w:lang w:val="en-US" w:eastAsia="zh-CN"/>
                    </w:rPr>
                    <w:t>0.5t/a</w:t>
                  </w:r>
                </w:p>
              </w:tc>
              <w:tc>
                <w:tcPr>
                  <w:tcW w:w="2658" w:type="dxa"/>
                  <w:noWrap/>
                  <w:vAlign w:val="center"/>
                </w:tcPr>
                <w:p w14:paraId="5226BFB0">
                  <w:pPr>
                    <w:pStyle w:val="51"/>
                    <w:keepNext w:val="0"/>
                    <w:keepLines w:val="0"/>
                    <w:suppressLineNumbers w:val="0"/>
                    <w:spacing w:before="0" w:beforeAutospacing="0" w:after="0" w:afterAutospacing="0"/>
                    <w:ind w:left="0" w:right="0"/>
                    <w:rPr>
                      <w:rFonts w:hint="default" w:ascii="Times New Roman" w:hAnsi="Times New Roman" w:eastAsia="宋体" w:cs="Times New Roman"/>
                      <w:sz w:val="21"/>
                      <w:szCs w:val="21"/>
                      <w:lang w:val="en-US" w:eastAsia="zh-CN"/>
                    </w:rPr>
                  </w:pPr>
                  <w:r>
                    <w:rPr>
                      <w:rFonts w:hint="eastAsia" w:ascii="Times New Roman" w:cs="Times New Roman"/>
                      <w:sz w:val="21"/>
                      <w:szCs w:val="21"/>
                      <w:lang w:val="en-US" w:eastAsia="zh-CN"/>
                    </w:rPr>
                    <w:t>沉淀池储存，定期出售</w:t>
                  </w:r>
                </w:p>
              </w:tc>
            </w:tr>
            <w:tr w14:paraId="22F5DFF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0" w:type="dxa"/>
                  <w:noWrap/>
                  <w:vAlign w:val="center"/>
                </w:tcPr>
                <w:p w14:paraId="60813D3E">
                  <w:pPr>
                    <w:pStyle w:val="51"/>
                    <w:keepNext w:val="0"/>
                    <w:keepLines w:val="0"/>
                    <w:suppressLineNumbers w:val="0"/>
                    <w:spacing w:before="0" w:beforeAutospacing="0" w:after="0" w:afterAutospacing="0"/>
                    <w:ind w:left="0" w:leftChars="0" w:right="0" w:rightChars="0"/>
                    <w:rPr>
                      <w:rFonts w:hint="eastAsia" w:ascii="Times New Roman" w:cs="Times New Roman"/>
                      <w:sz w:val="21"/>
                      <w:szCs w:val="21"/>
                      <w:lang w:val="en-US" w:eastAsia="zh-CN"/>
                    </w:rPr>
                  </w:pPr>
                  <w:r>
                    <w:rPr>
                      <w:rFonts w:hint="default" w:ascii="Times New Roman" w:hAnsi="Times New Roman" w:cs="Times New Roman"/>
                      <w:sz w:val="21"/>
                      <w:szCs w:val="21"/>
                    </w:rPr>
                    <w:t>NMP高塔回收系统</w:t>
                  </w:r>
                </w:p>
              </w:tc>
              <w:tc>
                <w:tcPr>
                  <w:tcW w:w="1404" w:type="dxa"/>
                  <w:shd w:val="clear" w:color="auto" w:fill="auto"/>
                  <w:noWrap/>
                  <w:vAlign w:val="center"/>
                </w:tcPr>
                <w:p w14:paraId="12855E24">
                  <w:pPr>
                    <w:pStyle w:val="51"/>
                    <w:keepNext w:val="0"/>
                    <w:keepLines w:val="0"/>
                    <w:suppressLineNumbers w:val="0"/>
                    <w:spacing w:before="0" w:beforeAutospacing="0" w:after="0" w:afterAutospacing="0"/>
                    <w:ind w:left="0" w:leftChars="0" w:right="0" w:rightChars="0"/>
                    <w:rPr>
                      <w:rFonts w:hint="default" w:ascii="Times New Roman" w:hAnsi="Times New Roman" w:cs="Times New Roman"/>
                      <w:sz w:val="21"/>
                      <w:szCs w:val="21"/>
                    </w:rPr>
                  </w:pPr>
                  <w:r>
                    <w:rPr>
                      <w:rFonts w:hint="default" w:ascii="Times New Roman" w:hAnsi="Times New Roman" w:cs="Times New Roman"/>
                      <w:sz w:val="21"/>
                      <w:szCs w:val="21"/>
                    </w:rPr>
                    <w:t>NMP溶剂、含NMP废水</w:t>
                  </w:r>
                </w:p>
              </w:tc>
              <w:tc>
                <w:tcPr>
                  <w:tcW w:w="1405" w:type="dxa"/>
                  <w:vMerge w:val="restart"/>
                  <w:shd w:val="clear" w:color="auto" w:fill="auto"/>
                  <w:noWrap/>
                  <w:vAlign w:val="center"/>
                </w:tcPr>
                <w:p w14:paraId="430555B6">
                  <w:pPr>
                    <w:pStyle w:val="51"/>
                    <w:keepNext w:val="0"/>
                    <w:keepLines w:val="0"/>
                    <w:suppressLineNumbers w:val="0"/>
                    <w:spacing w:before="0" w:beforeAutospacing="0" w:after="0" w:afterAutospacing="0"/>
                    <w:ind w:left="0" w:leftChars="0" w:right="0" w:rightChars="0"/>
                    <w:rPr>
                      <w:rFonts w:hint="default" w:ascii="Times New Roman" w:hAnsi="Times New Roman" w:cs="Times New Roman"/>
                      <w:sz w:val="21"/>
                      <w:szCs w:val="21"/>
                    </w:rPr>
                  </w:pPr>
                  <w:r>
                    <w:rPr>
                      <w:rFonts w:hint="eastAsia" w:ascii="Times New Roman" w:cs="Times New Roman"/>
                      <w:sz w:val="21"/>
                      <w:szCs w:val="21"/>
                      <w:lang w:val="en-US" w:eastAsia="zh-CN"/>
                    </w:rPr>
                    <w:t>危险废物</w:t>
                  </w:r>
                </w:p>
              </w:tc>
              <w:tc>
                <w:tcPr>
                  <w:tcW w:w="1309" w:type="dxa"/>
                  <w:noWrap/>
                  <w:vAlign w:val="center"/>
                </w:tcPr>
                <w:p w14:paraId="76E1EEFA">
                  <w:pPr>
                    <w:pStyle w:val="51"/>
                    <w:keepNext w:val="0"/>
                    <w:keepLines w:val="0"/>
                    <w:suppressLineNumbers w:val="0"/>
                    <w:spacing w:before="0" w:beforeAutospacing="0" w:after="0" w:afterAutospacing="0"/>
                    <w:ind w:left="0" w:leftChars="0" w:right="0" w:rightChars="0"/>
                    <w:rPr>
                      <w:rFonts w:hint="eastAsia" w:ascii="Times New Roman" w:cs="Times New Roman"/>
                      <w:sz w:val="21"/>
                      <w:szCs w:val="21"/>
                      <w:lang w:val="en-US" w:eastAsia="zh-CN"/>
                    </w:rPr>
                  </w:pPr>
                  <w:r>
                    <w:rPr>
                      <w:rFonts w:hint="eastAsia" w:ascii="Times New Roman" w:hAnsi="Times New Roman" w:cs="Times New Roman"/>
                      <w:sz w:val="21"/>
                      <w:szCs w:val="21"/>
                      <w:lang w:val="en-US" w:eastAsia="zh-CN"/>
                    </w:rPr>
                    <w:t>8358.5</w:t>
                  </w:r>
                  <w:r>
                    <w:rPr>
                      <w:rFonts w:hint="default" w:ascii="Times New Roman" w:hAnsi="Times New Roman" w:cs="Times New Roman"/>
                      <w:sz w:val="21"/>
                      <w:szCs w:val="21"/>
                    </w:rPr>
                    <w:t>t/a</w:t>
                  </w:r>
                </w:p>
              </w:tc>
              <w:tc>
                <w:tcPr>
                  <w:tcW w:w="2658" w:type="dxa"/>
                  <w:noWrap/>
                  <w:vAlign w:val="center"/>
                </w:tcPr>
                <w:p w14:paraId="27E2952D">
                  <w:pPr>
                    <w:pStyle w:val="51"/>
                    <w:keepNext w:val="0"/>
                    <w:keepLines w:val="0"/>
                    <w:suppressLineNumbers w:val="0"/>
                    <w:spacing w:before="0" w:beforeAutospacing="0" w:after="0" w:afterAutospacing="0"/>
                    <w:ind w:left="0" w:leftChars="0" w:right="0" w:rightChars="0"/>
                    <w:rPr>
                      <w:rFonts w:hint="eastAsia" w:ascii="Times New Roman" w:cs="Times New Roman"/>
                      <w:sz w:val="21"/>
                      <w:szCs w:val="21"/>
                      <w:lang w:val="en-US" w:eastAsia="zh-CN"/>
                    </w:rPr>
                  </w:pPr>
                  <w:r>
                    <w:rPr>
                      <w:rFonts w:hint="default" w:ascii="Times New Roman" w:hAnsi="Times New Roman" w:cs="Times New Roman"/>
                      <w:sz w:val="21"/>
                      <w:szCs w:val="21"/>
                    </w:rPr>
                    <w:t>厂家回收</w:t>
                  </w:r>
                </w:p>
              </w:tc>
            </w:tr>
            <w:tr w14:paraId="5973BFF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0" w:type="dxa"/>
                  <w:noWrap/>
                  <w:vAlign w:val="center"/>
                </w:tcPr>
                <w:p w14:paraId="098350F8">
                  <w:pPr>
                    <w:pStyle w:val="51"/>
                    <w:keepNext w:val="0"/>
                    <w:keepLines w:val="0"/>
                    <w:suppressLineNumbers w:val="0"/>
                    <w:spacing w:before="0" w:beforeAutospacing="0" w:after="0" w:afterAutospacing="0"/>
                    <w:ind w:left="0" w:right="0"/>
                    <w:rPr>
                      <w:rFonts w:hint="default" w:ascii="Times New Roman" w:cs="Times New Roman"/>
                      <w:sz w:val="21"/>
                      <w:szCs w:val="21"/>
                      <w:lang w:val="en-US" w:eastAsia="zh-CN"/>
                    </w:rPr>
                  </w:pPr>
                  <w:r>
                    <w:rPr>
                      <w:rFonts w:hint="eastAsia" w:ascii="Times New Roman" w:cs="Times New Roman"/>
                      <w:sz w:val="21"/>
                      <w:szCs w:val="21"/>
                      <w:lang w:val="en-US" w:eastAsia="zh-CN"/>
                    </w:rPr>
                    <w:t>设备维修</w:t>
                  </w:r>
                </w:p>
              </w:tc>
              <w:tc>
                <w:tcPr>
                  <w:tcW w:w="1404" w:type="dxa"/>
                  <w:noWrap/>
                  <w:vAlign w:val="center"/>
                </w:tcPr>
                <w:p w14:paraId="290C352E">
                  <w:pPr>
                    <w:pStyle w:val="51"/>
                    <w:keepNext w:val="0"/>
                    <w:keepLines w:val="0"/>
                    <w:suppressLineNumbers w:val="0"/>
                    <w:spacing w:before="0" w:beforeAutospacing="0" w:after="0" w:afterAutospacing="0"/>
                    <w:ind w:left="0" w:right="0"/>
                    <w:rPr>
                      <w:rFonts w:hint="eastAsia" w:ascii="Times New Roman" w:cs="Times New Roman"/>
                      <w:sz w:val="21"/>
                      <w:szCs w:val="21"/>
                      <w:lang w:val="en-US" w:eastAsia="zh-CN"/>
                    </w:rPr>
                  </w:pPr>
                  <w:r>
                    <w:rPr>
                      <w:rFonts w:hint="eastAsia" w:ascii="Times New Roman" w:cs="Times New Roman"/>
                      <w:sz w:val="21"/>
                      <w:szCs w:val="21"/>
                      <w:lang w:val="en-US" w:eastAsia="zh-CN"/>
                    </w:rPr>
                    <w:t>废机油（润滑油）</w:t>
                  </w:r>
                </w:p>
              </w:tc>
              <w:tc>
                <w:tcPr>
                  <w:tcW w:w="1405" w:type="dxa"/>
                  <w:vMerge w:val="continue"/>
                  <w:noWrap/>
                  <w:vAlign w:val="center"/>
                </w:tcPr>
                <w:p w14:paraId="3A21D2A8">
                  <w:pPr>
                    <w:pStyle w:val="51"/>
                    <w:keepNext w:val="0"/>
                    <w:keepLines w:val="0"/>
                    <w:suppressLineNumbers w:val="0"/>
                    <w:spacing w:before="0" w:beforeAutospacing="0" w:after="0" w:afterAutospacing="0"/>
                    <w:ind w:left="0" w:right="0"/>
                    <w:rPr>
                      <w:rFonts w:hint="eastAsia" w:ascii="Times New Roman" w:cs="Times New Roman"/>
                      <w:sz w:val="21"/>
                      <w:szCs w:val="21"/>
                      <w:lang w:val="en-US" w:eastAsia="zh-CN"/>
                    </w:rPr>
                  </w:pPr>
                </w:p>
              </w:tc>
              <w:tc>
                <w:tcPr>
                  <w:tcW w:w="1309" w:type="dxa"/>
                  <w:noWrap/>
                  <w:vAlign w:val="center"/>
                </w:tcPr>
                <w:p w14:paraId="6775F576">
                  <w:pPr>
                    <w:pStyle w:val="51"/>
                    <w:keepNext w:val="0"/>
                    <w:keepLines w:val="0"/>
                    <w:suppressLineNumbers w:val="0"/>
                    <w:spacing w:before="0" w:beforeAutospacing="0" w:after="0" w:afterAutospacing="0"/>
                    <w:ind w:left="0" w:right="0"/>
                    <w:rPr>
                      <w:rFonts w:hint="default" w:ascii="Times New Roman" w:cs="Times New Roman"/>
                      <w:sz w:val="21"/>
                      <w:szCs w:val="21"/>
                      <w:lang w:val="en-US" w:eastAsia="zh-CN"/>
                    </w:rPr>
                  </w:pPr>
                  <w:r>
                    <w:rPr>
                      <w:rFonts w:hint="eastAsia" w:ascii="Times New Roman" w:cs="Times New Roman"/>
                      <w:sz w:val="21"/>
                      <w:szCs w:val="21"/>
                      <w:lang w:val="en-US" w:eastAsia="zh-CN"/>
                    </w:rPr>
                    <w:t>0.7t/a</w:t>
                  </w:r>
                </w:p>
              </w:tc>
              <w:tc>
                <w:tcPr>
                  <w:tcW w:w="2658" w:type="dxa"/>
                  <w:vMerge w:val="restart"/>
                  <w:noWrap/>
                  <w:vAlign w:val="center"/>
                </w:tcPr>
                <w:p w14:paraId="0D50902D">
                  <w:pPr>
                    <w:pStyle w:val="51"/>
                    <w:keepNext w:val="0"/>
                    <w:keepLines w:val="0"/>
                    <w:suppressLineNumbers w:val="0"/>
                    <w:spacing w:before="0" w:beforeAutospacing="0" w:after="0" w:afterAutospacing="0"/>
                    <w:ind w:left="0" w:right="0"/>
                    <w:rPr>
                      <w:rFonts w:hint="eastAsia" w:ascii="Times New Roman" w:cs="Times New Roman"/>
                      <w:sz w:val="21"/>
                      <w:szCs w:val="21"/>
                      <w:lang w:val="en-US" w:eastAsia="zh-CN"/>
                    </w:rPr>
                  </w:pPr>
                  <w:r>
                    <w:rPr>
                      <w:rFonts w:hint="default" w:ascii="Times New Roman" w:hAnsi="Times New Roman" w:cs="Times New Roman"/>
                      <w:sz w:val="21"/>
                      <w:szCs w:val="21"/>
                    </w:rPr>
                    <w:t>危废暂存间暂存后定期委托有相关危废处理资质的单位处理</w:t>
                  </w:r>
                </w:p>
              </w:tc>
            </w:tr>
            <w:tr w14:paraId="4636B70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0" w:type="dxa"/>
                  <w:noWrap/>
                  <w:vAlign w:val="center"/>
                </w:tcPr>
                <w:p w14:paraId="41AD6010">
                  <w:pPr>
                    <w:pStyle w:val="51"/>
                    <w:keepNext w:val="0"/>
                    <w:keepLines w:val="0"/>
                    <w:suppressLineNumbers w:val="0"/>
                    <w:spacing w:before="0" w:beforeAutospacing="0" w:after="0" w:afterAutospacing="0"/>
                    <w:ind w:left="0" w:right="0"/>
                    <w:rPr>
                      <w:rFonts w:hint="default" w:ascii="Times New Roman" w:cs="Times New Roman"/>
                      <w:sz w:val="21"/>
                      <w:szCs w:val="21"/>
                      <w:lang w:val="en-US" w:eastAsia="zh-CN"/>
                    </w:rPr>
                  </w:pPr>
                  <w:r>
                    <w:rPr>
                      <w:rFonts w:hint="eastAsia" w:ascii="Times New Roman" w:cs="Times New Roman"/>
                      <w:sz w:val="21"/>
                      <w:szCs w:val="21"/>
                      <w:lang w:val="en-US" w:eastAsia="zh-CN"/>
                    </w:rPr>
                    <w:t>废水在线监测装置</w:t>
                  </w:r>
                </w:p>
              </w:tc>
              <w:tc>
                <w:tcPr>
                  <w:tcW w:w="1404" w:type="dxa"/>
                  <w:noWrap/>
                  <w:vAlign w:val="center"/>
                </w:tcPr>
                <w:p w14:paraId="6F104AAB">
                  <w:pPr>
                    <w:pStyle w:val="51"/>
                    <w:keepNext w:val="0"/>
                    <w:keepLines w:val="0"/>
                    <w:suppressLineNumbers w:val="0"/>
                    <w:spacing w:before="0" w:beforeAutospacing="0" w:after="0" w:afterAutospacing="0"/>
                    <w:ind w:left="0" w:right="0"/>
                    <w:rPr>
                      <w:rFonts w:hint="default" w:ascii="Times New Roman" w:cs="Times New Roman"/>
                      <w:sz w:val="21"/>
                      <w:szCs w:val="21"/>
                      <w:lang w:val="en-US" w:eastAsia="zh-CN"/>
                    </w:rPr>
                  </w:pPr>
                  <w:r>
                    <w:rPr>
                      <w:rFonts w:hint="eastAsia" w:ascii="Times New Roman" w:cs="Times New Roman"/>
                      <w:sz w:val="21"/>
                      <w:szCs w:val="21"/>
                      <w:lang w:val="en-US" w:eastAsia="zh-CN"/>
                    </w:rPr>
                    <w:t>检测废液</w:t>
                  </w:r>
                </w:p>
              </w:tc>
              <w:tc>
                <w:tcPr>
                  <w:tcW w:w="1405" w:type="dxa"/>
                  <w:vMerge w:val="continue"/>
                  <w:noWrap/>
                  <w:vAlign w:val="center"/>
                </w:tcPr>
                <w:p w14:paraId="11C7A1CE">
                  <w:pPr>
                    <w:pStyle w:val="51"/>
                    <w:keepNext w:val="0"/>
                    <w:keepLines w:val="0"/>
                    <w:suppressLineNumbers w:val="0"/>
                    <w:spacing w:before="0" w:beforeAutospacing="0" w:after="0" w:afterAutospacing="0"/>
                    <w:ind w:left="0" w:right="0"/>
                    <w:rPr>
                      <w:rFonts w:hint="eastAsia" w:ascii="Times New Roman" w:cs="Times New Roman"/>
                      <w:sz w:val="21"/>
                      <w:szCs w:val="21"/>
                      <w:lang w:val="en-US" w:eastAsia="zh-CN"/>
                    </w:rPr>
                  </w:pPr>
                </w:p>
              </w:tc>
              <w:tc>
                <w:tcPr>
                  <w:tcW w:w="1309" w:type="dxa"/>
                  <w:noWrap/>
                  <w:vAlign w:val="center"/>
                </w:tcPr>
                <w:p w14:paraId="3AB6E6E2">
                  <w:pPr>
                    <w:pStyle w:val="51"/>
                    <w:keepNext w:val="0"/>
                    <w:keepLines w:val="0"/>
                    <w:suppressLineNumbers w:val="0"/>
                    <w:spacing w:before="0" w:beforeAutospacing="0" w:after="0" w:afterAutospacing="0"/>
                    <w:ind w:left="0" w:right="0"/>
                    <w:rPr>
                      <w:rFonts w:hint="default" w:ascii="Times New Roman" w:cs="Times New Roman"/>
                      <w:sz w:val="21"/>
                      <w:szCs w:val="21"/>
                      <w:lang w:val="en-US" w:eastAsia="zh-CN"/>
                    </w:rPr>
                  </w:pPr>
                  <w:r>
                    <w:rPr>
                      <w:rFonts w:hint="eastAsia" w:ascii="Times New Roman" w:cs="Times New Roman"/>
                      <w:sz w:val="21"/>
                      <w:szCs w:val="21"/>
                      <w:lang w:val="en-US" w:eastAsia="zh-CN"/>
                    </w:rPr>
                    <w:t>0.5t/a</w:t>
                  </w:r>
                </w:p>
              </w:tc>
              <w:tc>
                <w:tcPr>
                  <w:tcW w:w="2658" w:type="dxa"/>
                  <w:vMerge w:val="continue"/>
                  <w:noWrap/>
                  <w:vAlign w:val="center"/>
                </w:tcPr>
                <w:p w14:paraId="169B6719">
                  <w:pPr>
                    <w:pStyle w:val="51"/>
                    <w:keepNext w:val="0"/>
                    <w:keepLines w:val="0"/>
                    <w:suppressLineNumbers w:val="0"/>
                    <w:spacing w:before="0" w:beforeAutospacing="0" w:after="0" w:afterAutospacing="0"/>
                    <w:ind w:left="0" w:right="0"/>
                    <w:rPr>
                      <w:rFonts w:hint="eastAsia" w:ascii="Times New Roman" w:cs="Times New Roman"/>
                      <w:sz w:val="21"/>
                      <w:szCs w:val="21"/>
                      <w:lang w:val="en-US" w:eastAsia="zh-CN"/>
                    </w:rPr>
                  </w:pPr>
                </w:p>
              </w:tc>
            </w:tr>
            <w:tr w14:paraId="75336E3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0" w:type="dxa"/>
                  <w:vMerge w:val="restart"/>
                  <w:noWrap/>
                  <w:vAlign w:val="center"/>
                </w:tcPr>
                <w:p w14:paraId="38CA80EF">
                  <w:pPr>
                    <w:pStyle w:val="51"/>
                    <w:keepNext w:val="0"/>
                    <w:keepLines w:val="0"/>
                    <w:suppressLineNumbers w:val="0"/>
                    <w:spacing w:before="0" w:beforeAutospacing="0" w:after="0" w:afterAutospacing="0"/>
                    <w:ind w:left="0" w:leftChars="0" w:right="0" w:rightChars="0"/>
                    <w:rPr>
                      <w:rFonts w:hint="eastAsia" w:ascii="Times New Roman" w:cs="Times New Roman"/>
                      <w:sz w:val="21"/>
                      <w:szCs w:val="21"/>
                      <w:lang w:val="en-US" w:eastAsia="zh-CN"/>
                    </w:rPr>
                  </w:pPr>
                  <w:r>
                    <w:rPr>
                      <w:rFonts w:hint="default" w:ascii="Times New Roman" w:hAnsi="Times New Roman" w:cs="Times New Roman"/>
                      <w:sz w:val="21"/>
                      <w:szCs w:val="21"/>
                    </w:rPr>
                    <w:t>废气治理措施</w:t>
                  </w:r>
                </w:p>
              </w:tc>
              <w:tc>
                <w:tcPr>
                  <w:tcW w:w="1404" w:type="dxa"/>
                  <w:noWrap/>
                  <w:vAlign w:val="center"/>
                </w:tcPr>
                <w:p w14:paraId="4B99F6B7">
                  <w:pPr>
                    <w:pStyle w:val="51"/>
                    <w:keepNext w:val="0"/>
                    <w:keepLines w:val="0"/>
                    <w:suppressLineNumbers w:val="0"/>
                    <w:spacing w:before="0" w:beforeAutospacing="0" w:after="0" w:afterAutospacing="0"/>
                    <w:ind w:left="0" w:leftChars="0" w:right="0" w:rightChars="0"/>
                    <w:rPr>
                      <w:rFonts w:hint="eastAsia" w:ascii="Times New Roman" w:cs="Times New Roman"/>
                      <w:sz w:val="21"/>
                      <w:szCs w:val="21"/>
                      <w:lang w:val="en-US" w:eastAsia="zh-CN"/>
                    </w:rPr>
                  </w:pPr>
                  <w:r>
                    <w:rPr>
                      <w:rFonts w:hint="default" w:ascii="Times New Roman" w:hAnsi="Times New Roman" w:cs="Times New Roman"/>
                      <w:sz w:val="21"/>
                      <w:szCs w:val="21"/>
                    </w:rPr>
                    <w:t>废活性炭</w:t>
                  </w:r>
                </w:p>
              </w:tc>
              <w:tc>
                <w:tcPr>
                  <w:tcW w:w="1405" w:type="dxa"/>
                  <w:vMerge w:val="continue"/>
                  <w:noWrap/>
                  <w:vAlign w:val="center"/>
                </w:tcPr>
                <w:p w14:paraId="1D3D5318">
                  <w:pPr>
                    <w:pStyle w:val="51"/>
                    <w:keepNext w:val="0"/>
                    <w:keepLines w:val="0"/>
                    <w:suppressLineNumbers w:val="0"/>
                    <w:spacing w:before="0" w:beforeAutospacing="0" w:after="0" w:afterAutospacing="0"/>
                    <w:ind w:left="0" w:leftChars="0" w:right="0" w:rightChars="0"/>
                    <w:rPr>
                      <w:rFonts w:hint="default" w:ascii="Times New Roman" w:hAnsi="Times New Roman" w:cs="Times New Roman"/>
                      <w:sz w:val="21"/>
                      <w:szCs w:val="21"/>
                    </w:rPr>
                  </w:pPr>
                </w:p>
              </w:tc>
              <w:tc>
                <w:tcPr>
                  <w:tcW w:w="1309" w:type="dxa"/>
                  <w:noWrap/>
                  <w:vAlign w:val="center"/>
                </w:tcPr>
                <w:p w14:paraId="454E89A4">
                  <w:pPr>
                    <w:pStyle w:val="51"/>
                    <w:keepNext w:val="0"/>
                    <w:keepLines w:val="0"/>
                    <w:suppressLineNumbers w:val="0"/>
                    <w:spacing w:before="0" w:beforeAutospacing="0" w:after="0" w:afterAutospacing="0"/>
                    <w:ind w:left="0" w:leftChars="0" w:right="0" w:rightChars="0"/>
                    <w:rPr>
                      <w:rFonts w:hint="eastAsia" w:ascii="Times New Roman" w:cs="Times New Roman"/>
                      <w:sz w:val="21"/>
                      <w:szCs w:val="21"/>
                      <w:lang w:val="en-US" w:eastAsia="zh-CN"/>
                    </w:rPr>
                  </w:pPr>
                  <w:r>
                    <w:rPr>
                      <w:rFonts w:hint="eastAsia" w:ascii="Times New Roman" w:cs="Times New Roman"/>
                      <w:sz w:val="21"/>
                      <w:szCs w:val="21"/>
                      <w:lang w:val="en-US" w:eastAsia="zh-CN"/>
                    </w:rPr>
                    <w:t>1.5</w:t>
                  </w:r>
                  <w:r>
                    <w:rPr>
                      <w:rFonts w:hint="default" w:ascii="Times New Roman" w:hAnsi="Times New Roman" w:cs="Times New Roman"/>
                      <w:sz w:val="21"/>
                      <w:szCs w:val="21"/>
                    </w:rPr>
                    <w:t>t/a</w:t>
                  </w:r>
                </w:p>
              </w:tc>
              <w:tc>
                <w:tcPr>
                  <w:tcW w:w="2658" w:type="dxa"/>
                  <w:vMerge w:val="restart"/>
                  <w:noWrap/>
                  <w:vAlign w:val="center"/>
                </w:tcPr>
                <w:p w14:paraId="7CE0555E">
                  <w:pPr>
                    <w:pStyle w:val="51"/>
                    <w:keepNext w:val="0"/>
                    <w:keepLines w:val="0"/>
                    <w:suppressLineNumbers w:val="0"/>
                    <w:spacing w:before="0" w:beforeAutospacing="0" w:after="0" w:afterAutospacing="0"/>
                    <w:ind w:left="0" w:right="0"/>
                    <w:rPr>
                      <w:rFonts w:hint="eastAsia" w:ascii="Times New Roman" w:cs="Times New Roman"/>
                      <w:sz w:val="21"/>
                      <w:szCs w:val="21"/>
                      <w:lang w:val="en-US" w:eastAsia="zh-CN"/>
                    </w:rPr>
                  </w:pPr>
                  <w:r>
                    <w:rPr>
                      <w:rFonts w:hint="default" w:ascii="Times New Roman" w:hAnsi="Times New Roman" w:cs="Times New Roman"/>
                      <w:sz w:val="21"/>
                      <w:szCs w:val="21"/>
                    </w:rPr>
                    <w:t>危废暂存间暂存后定期委托有相关危废处理资质的单位处理</w:t>
                  </w:r>
                </w:p>
              </w:tc>
            </w:tr>
            <w:tr w14:paraId="5066288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0" w:type="dxa"/>
                  <w:vMerge w:val="continue"/>
                  <w:noWrap/>
                  <w:vAlign w:val="center"/>
                </w:tcPr>
                <w:p w14:paraId="48B5BB75">
                  <w:pPr>
                    <w:pStyle w:val="51"/>
                    <w:keepNext w:val="0"/>
                    <w:keepLines w:val="0"/>
                    <w:suppressLineNumbers w:val="0"/>
                    <w:spacing w:before="0" w:beforeAutospacing="0" w:after="0" w:afterAutospacing="0"/>
                    <w:ind w:left="0" w:leftChars="0" w:right="0" w:rightChars="0"/>
                    <w:rPr>
                      <w:rFonts w:hint="eastAsia" w:ascii="Times New Roman" w:cs="Times New Roman"/>
                      <w:sz w:val="21"/>
                      <w:szCs w:val="21"/>
                      <w:lang w:val="en-US" w:eastAsia="zh-CN"/>
                    </w:rPr>
                  </w:pPr>
                </w:p>
              </w:tc>
              <w:tc>
                <w:tcPr>
                  <w:tcW w:w="1404" w:type="dxa"/>
                  <w:noWrap/>
                  <w:vAlign w:val="center"/>
                </w:tcPr>
                <w:p w14:paraId="2FC61959">
                  <w:pPr>
                    <w:pStyle w:val="51"/>
                    <w:keepNext w:val="0"/>
                    <w:keepLines w:val="0"/>
                    <w:suppressLineNumbers w:val="0"/>
                    <w:spacing w:before="0" w:beforeAutospacing="0" w:after="0" w:afterAutospacing="0"/>
                    <w:ind w:left="0" w:leftChars="0" w:right="0" w:rightChars="0"/>
                    <w:rPr>
                      <w:rFonts w:hint="eastAsia" w:ascii="Times New Roman" w:cs="Times New Roman"/>
                      <w:sz w:val="21"/>
                      <w:szCs w:val="21"/>
                      <w:lang w:val="en-US" w:eastAsia="zh-CN"/>
                    </w:rPr>
                  </w:pPr>
                  <w:r>
                    <w:rPr>
                      <w:rFonts w:hint="default" w:ascii="Times New Roman" w:hAnsi="Times New Roman" w:cs="Times New Roman"/>
                      <w:sz w:val="21"/>
                      <w:szCs w:val="21"/>
                    </w:rPr>
                    <w:t>废催化剂</w:t>
                  </w:r>
                </w:p>
              </w:tc>
              <w:tc>
                <w:tcPr>
                  <w:tcW w:w="1405" w:type="dxa"/>
                  <w:vMerge w:val="continue"/>
                  <w:noWrap/>
                  <w:vAlign w:val="center"/>
                </w:tcPr>
                <w:p w14:paraId="67DAC325">
                  <w:pPr>
                    <w:pStyle w:val="51"/>
                    <w:keepNext w:val="0"/>
                    <w:keepLines w:val="0"/>
                    <w:suppressLineNumbers w:val="0"/>
                    <w:spacing w:before="0" w:beforeAutospacing="0" w:after="0" w:afterAutospacing="0"/>
                    <w:ind w:left="0" w:leftChars="0" w:right="0" w:rightChars="0"/>
                    <w:rPr>
                      <w:rFonts w:hint="default" w:ascii="Times New Roman" w:hAnsi="Times New Roman" w:cs="Times New Roman"/>
                      <w:sz w:val="21"/>
                      <w:szCs w:val="21"/>
                    </w:rPr>
                  </w:pPr>
                </w:p>
              </w:tc>
              <w:tc>
                <w:tcPr>
                  <w:tcW w:w="1309" w:type="dxa"/>
                  <w:noWrap/>
                  <w:vAlign w:val="center"/>
                </w:tcPr>
                <w:p w14:paraId="3D884F6D">
                  <w:pPr>
                    <w:pStyle w:val="51"/>
                    <w:keepNext w:val="0"/>
                    <w:keepLines w:val="0"/>
                    <w:suppressLineNumbers w:val="0"/>
                    <w:spacing w:before="0" w:beforeAutospacing="0" w:after="0" w:afterAutospacing="0"/>
                    <w:ind w:left="0" w:leftChars="0" w:right="0" w:rightChars="0"/>
                    <w:rPr>
                      <w:rFonts w:hint="eastAsia" w:ascii="Times New Roman" w:cs="Times New Roman"/>
                      <w:sz w:val="21"/>
                      <w:szCs w:val="21"/>
                      <w:lang w:val="en-US" w:eastAsia="zh-CN"/>
                    </w:rPr>
                  </w:pPr>
                  <w:r>
                    <w:rPr>
                      <w:rFonts w:hint="eastAsia" w:ascii="Times New Roman" w:hAnsi="Times New Roman" w:cs="Times New Roman"/>
                      <w:sz w:val="21"/>
                      <w:szCs w:val="21"/>
                      <w:lang w:val="en-US" w:eastAsia="zh-CN"/>
                    </w:rPr>
                    <w:t>0.06</w:t>
                  </w:r>
                  <w:r>
                    <w:rPr>
                      <w:rFonts w:hint="default" w:ascii="Times New Roman" w:hAnsi="Times New Roman" w:cs="Times New Roman"/>
                      <w:sz w:val="21"/>
                      <w:szCs w:val="21"/>
                    </w:rPr>
                    <w:t>t/a</w:t>
                  </w:r>
                </w:p>
              </w:tc>
              <w:tc>
                <w:tcPr>
                  <w:tcW w:w="2658" w:type="dxa"/>
                  <w:vMerge w:val="continue"/>
                  <w:noWrap/>
                  <w:vAlign w:val="center"/>
                </w:tcPr>
                <w:p w14:paraId="663DA844">
                  <w:pPr>
                    <w:pStyle w:val="51"/>
                    <w:keepNext w:val="0"/>
                    <w:keepLines w:val="0"/>
                    <w:suppressLineNumbers w:val="0"/>
                    <w:spacing w:before="0" w:beforeAutospacing="0" w:after="0" w:afterAutospacing="0"/>
                    <w:ind w:left="0" w:right="0"/>
                    <w:rPr>
                      <w:rFonts w:hint="eastAsia" w:ascii="Times New Roman" w:cs="Times New Roman"/>
                      <w:sz w:val="21"/>
                      <w:szCs w:val="21"/>
                      <w:lang w:val="en-US" w:eastAsia="zh-CN"/>
                    </w:rPr>
                  </w:pPr>
                </w:p>
              </w:tc>
            </w:tr>
          </w:tbl>
          <w:p w14:paraId="2C135722">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sz w:val="24"/>
                <w:lang w:val="en-US" w:eastAsia="zh-CN"/>
              </w:rPr>
            </w:pPr>
            <w:r>
              <w:rPr>
                <w:rFonts w:hint="eastAsia"/>
                <w:sz w:val="24"/>
                <w:lang w:val="en-US" w:eastAsia="zh-CN"/>
              </w:rPr>
              <w:t>本企业严格按照《一般工业固体废物贮存和填埋污染控制标准》（GB18599-2020）的相关要求对一般固废进行暂存，一般固废暂存间做到防风、防雨、防渗漏等措施。综上所述，本项目所产生的固体废物经收集后外可以妥善处理，能够避免固体废物排放对环境的二次污染，不会对当地环境产生不利影响。</w:t>
            </w:r>
          </w:p>
          <w:p w14:paraId="6F2298C8">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sz w:val="24"/>
                <w:lang w:val="en-US" w:eastAsia="zh-CN"/>
              </w:rPr>
            </w:pPr>
            <w:r>
              <w:rPr>
                <w:rFonts w:hint="eastAsia" w:cs="Times New Roman"/>
                <w:sz w:val="24"/>
                <w:lang w:val="en-US" w:eastAsia="zh-CN"/>
              </w:rPr>
              <w:t>严格</w:t>
            </w:r>
            <w:r>
              <w:rPr>
                <w:rFonts w:hint="default" w:ascii="Times New Roman" w:hAnsi="Times New Roman" w:eastAsia="宋体" w:cs="Times New Roman"/>
                <w:sz w:val="24"/>
              </w:rPr>
              <w:t>按照《危险废物贮存污染控制标准》（GB</w:t>
            </w:r>
            <w:r>
              <w:rPr>
                <w:rFonts w:hint="eastAsia" w:cs="Times New Roman"/>
                <w:sz w:val="24"/>
                <w:lang w:val="en-US" w:eastAsia="zh-CN"/>
              </w:rPr>
              <w:t xml:space="preserve"> 18597</w:t>
            </w:r>
            <w:r>
              <w:rPr>
                <w:rFonts w:hint="default" w:ascii="Times New Roman" w:hAnsi="Times New Roman" w:eastAsia="宋体" w:cs="Times New Roman"/>
                <w:sz w:val="24"/>
              </w:rPr>
              <w:t>-</w:t>
            </w:r>
            <w:r>
              <w:rPr>
                <w:rFonts w:hint="eastAsia" w:cs="Times New Roman"/>
                <w:sz w:val="24"/>
                <w:lang w:val="en-US" w:eastAsia="zh-CN"/>
              </w:rPr>
              <w:t>2023</w:t>
            </w:r>
            <w:r>
              <w:rPr>
                <w:rFonts w:hint="default" w:ascii="Times New Roman" w:hAnsi="Times New Roman" w:eastAsia="宋体" w:cs="Times New Roman"/>
                <w:sz w:val="24"/>
              </w:rPr>
              <w:t>）规定，要求企业将危险废物分装于专门的容器内，存放在厂区内</w:t>
            </w:r>
            <w:r>
              <w:rPr>
                <w:rFonts w:hint="default" w:ascii="Times New Roman" w:hAnsi="Times New Roman" w:eastAsia="宋体" w:cs="Times New Roman"/>
                <w:sz w:val="24"/>
                <w:lang w:val="en-US" w:eastAsia="zh-CN"/>
              </w:rPr>
              <w:t>危险废物暂存间</w:t>
            </w:r>
            <w:r>
              <w:rPr>
                <w:rFonts w:hint="default" w:ascii="Times New Roman" w:hAnsi="Times New Roman" w:eastAsia="宋体" w:cs="Times New Roman"/>
                <w:sz w:val="24"/>
              </w:rPr>
              <w:t>内，贮存期间注意防风、防晒、防雨、防渗措施，并设立危险废物标志。建设单位须做好危险废物情况的记录，记录上注明危险废物的名称、来源、数量、特征和包装容器的类别、入库日期、存放库位、废物出库日期及接受单位名称；必须定期对贮存危险废物的包装容器及危废暂存室进行检查，发现破损应及时采取措施清理更换。危险废物统一收集后定期送往有资质单位进行处理。</w:t>
            </w:r>
          </w:p>
          <w:p w14:paraId="6486351A">
            <w:pPr>
              <w:keepNext w:val="0"/>
              <w:keepLines w:val="0"/>
              <w:widowControl/>
              <w:suppressLineNumbers w:val="0"/>
              <w:spacing w:before="0" w:beforeAutospacing="0" w:after="0" w:afterAutospacing="0" w:line="440" w:lineRule="exact"/>
              <w:ind w:left="0" w:right="0" w:firstLine="480" w:firstLineChars="200"/>
              <w:jc w:val="both"/>
              <w:rPr>
                <w:rFonts w:hint="default" w:eastAsia="宋体"/>
                <w:sz w:val="24"/>
                <w:highlight w:val="none"/>
                <w:lang w:val="en-US" w:eastAsia="zh-CN"/>
              </w:rPr>
            </w:pPr>
            <w:r>
              <w:rPr>
                <w:rFonts w:hint="eastAsia"/>
                <w:sz w:val="24"/>
                <w:lang w:val="en-US" w:eastAsia="zh-CN"/>
              </w:rPr>
              <w:t>综上所述，项目产生的固体废物均能得到妥善的处理和处置，不会对周围环境造成二次污染</w:t>
            </w:r>
            <w:r>
              <w:rPr>
                <w:rFonts w:hint="default" w:ascii="Times New Roman" w:hAnsi="Times New Roman" w:eastAsia="宋体" w:cs="Times New Roman"/>
                <w:sz w:val="24"/>
                <w:lang w:val="zh-CN"/>
              </w:rPr>
              <w:t>。</w:t>
            </w:r>
          </w:p>
          <w:p w14:paraId="24744C0D">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2" w:firstLineChars="200"/>
              <w:jc w:val="left"/>
              <w:textAlignment w:val="auto"/>
              <w:rPr>
                <w:rFonts w:hint="default"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五、</w:t>
            </w:r>
            <w:r>
              <w:rPr>
                <w:rFonts w:hint="eastAsia" w:ascii="宋体" w:hAnsi="宋体" w:cs="宋体"/>
                <w:b/>
                <w:bCs/>
                <w:sz w:val="24"/>
                <w:szCs w:val="24"/>
                <w:lang w:val="en-US" w:eastAsia="zh-CN"/>
              </w:rPr>
              <w:t>地下水、土壤</w:t>
            </w:r>
          </w:p>
          <w:p w14:paraId="1A715F4D">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sz w:val="24"/>
                <w:highlight w:val="none"/>
                <w:lang w:val="en-US" w:eastAsia="zh-CN"/>
              </w:rPr>
            </w:pPr>
            <w:r>
              <w:rPr>
                <w:rFonts w:hint="eastAsia"/>
                <w:sz w:val="24"/>
                <w:highlight w:val="none"/>
                <w:lang w:val="en-US" w:eastAsia="zh-CN"/>
              </w:rPr>
              <w:t>根据《建设项目环境影响报告表编制技术指南(污染影响类)(试行)》原则上不开展地下水和土壤环境质量现状调查。本项目不存在土壤、地下水环境污染途径。因此不进行地下水、土壤质量现状调查。</w:t>
            </w:r>
          </w:p>
          <w:p w14:paraId="609669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textAlignment w:val="auto"/>
              <w:rPr>
                <w:rFonts w:hint="eastAsia"/>
                <w:b/>
                <w:bCs/>
                <w:lang w:val="en-US" w:eastAsia="zh-CN"/>
              </w:rPr>
            </w:pPr>
            <w:r>
              <w:rPr>
                <w:rFonts w:hint="eastAsia"/>
                <w:b/>
                <w:bCs/>
                <w:lang w:val="en-US" w:eastAsia="zh-CN"/>
              </w:rPr>
              <w:t>六、生态</w:t>
            </w:r>
          </w:p>
          <w:p w14:paraId="2B3D05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rPr>
            </w:pPr>
            <w:r>
              <w:rPr>
                <w:rFonts w:hint="default"/>
              </w:rPr>
              <w:t>本</w:t>
            </w:r>
            <w:r>
              <w:rPr>
                <w:rFonts w:hint="default" w:ascii="Times New Roman" w:hAnsi="Times New Roman" w:cs="Times New Roman"/>
              </w:rPr>
              <w:t>项目位于</w:t>
            </w:r>
            <w:r>
              <w:rPr>
                <w:rFonts w:hint="default" w:ascii="Times New Roman" w:hAnsi="Times New Roman" w:cs="Times New Roman"/>
                <w:color w:val="auto"/>
                <w:sz w:val="24"/>
                <w:szCs w:val="24"/>
                <w:lang w:val="en-US" w:eastAsia="zh-CN"/>
              </w:rPr>
              <w:t>河南省新乡市新乡县经济开发区兴隆路西段</w:t>
            </w:r>
            <w:r>
              <w:rPr>
                <w:rFonts w:hint="default" w:ascii="Times New Roman" w:hAnsi="Times New Roman" w:cs="Times New Roman"/>
              </w:rPr>
              <w:t>，项目周围500m</w:t>
            </w:r>
            <w:r>
              <w:rPr>
                <w:rFonts w:hint="default"/>
              </w:rPr>
              <w:t>范围内无重点保护的野生动植物、风景名胜区、自然保护区及文化遗产等特殊保护目标</w:t>
            </w:r>
            <w:r>
              <w:rPr>
                <w:rFonts w:hint="eastAsia"/>
                <w:lang w:eastAsia="zh-CN"/>
              </w:rPr>
              <w:t>，</w:t>
            </w:r>
            <w:r>
              <w:rPr>
                <w:rFonts w:hint="eastAsia"/>
              </w:rPr>
              <w:t>因此不再对生态进行分析。</w:t>
            </w:r>
          </w:p>
          <w:p w14:paraId="60630B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textAlignment w:val="auto"/>
              <w:rPr>
                <w:rFonts w:hint="default"/>
                <w:b/>
                <w:bCs/>
                <w:lang w:val="en-US" w:eastAsia="zh-CN"/>
              </w:rPr>
            </w:pPr>
            <w:r>
              <w:rPr>
                <w:rFonts w:hint="eastAsia"/>
                <w:b/>
                <w:bCs/>
                <w:lang w:val="en-US" w:eastAsia="zh-CN"/>
              </w:rPr>
              <w:t>七、环境风险</w:t>
            </w:r>
          </w:p>
          <w:p w14:paraId="1CEDC0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rPr>
            </w:pPr>
            <w:r>
              <w:rPr>
                <w:rFonts w:hint="eastAsia"/>
                <w:lang w:val="en-US" w:eastAsia="zh-CN"/>
              </w:rPr>
              <w:t>本项目不新增原辅材料，不新增风险物质。</w:t>
            </w:r>
            <w:r>
              <w:rPr>
                <w:rFonts w:hint="eastAsia"/>
              </w:rPr>
              <w:t>本项目的环境风险可防控。</w:t>
            </w:r>
          </w:p>
          <w:p w14:paraId="33AB8A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textAlignment w:val="auto"/>
              <w:rPr>
                <w:rFonts w:hint="default" w:eastAsia="宋体"/>
                <w:lang w:val="en-US" w:eastAsia="zh-CN"/>
              </w:rPr>
            </w:pPr>
            <w:r>
              <w:rPr>
                <w:rFonts w:hint="eastAsia"/>
                <w:b/>
                <w:bCs/>
                <w:lang w:val="en-US" w:eastAsia="zh-CN"/>
              </w:rPr>
              <w:t>八、电磁辐射</w:t>
            </w:r>
          </w:p>
          <w:p w14:paraId="078B25FE">
            <w:pPr>
              <w:pStyle w:val="11"/>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rightChars="0" w:firstLine="480" w:firstLineChars="200"/>
              <w:jc w:val="both"/>
              <w:textAlignment w:val="auto"/>
              <w:rPr>
                <w:rFonts w:hint="eastAsia" w:eastAsia="宋体"/>
                <w:bCs/>
                <w:spacing w:val="-10"/>
                <w:sz w:val="24"/>
                <w:lang w:eastAsia="zh-CN"/>
              </w:rPr>
            </w:pPr>
            <w:r>
              <w:rPr>
                <w:rFonts w:hint="default" w:ascii="Times New Roman" w:hAnsi="Times New Roman" w:eastAsia="宋体" w:cs="Times New Roman"/>
                <w:b w:val="0"/>
                <w:bCs/>
                <w:color w:val="000000"/>
                <w:sz w:val="24"/>
                <w:highlight w:val="none"/>
                <w:lang w:val="en-US" w:eastAsia="zh-CN"/>
              </w:rPr>
              <w:t>本项目不涉及辐射源，故不对电磁辐射做评价分析</w:t>
            </w:r>
            <w:r>
              <w:rPr>
                <w:rFonts w:hint="eastAsia" w:cs="Times New Roman"/>
                <w:b w:val="0"/>
                <w:bCs/>
                <w:color w:val="000000"/>
                <w:sz w:val="24"/>
                <w:highlight w:val="none"/>
                <w:lang w:val="en-US" w:eastAsia="zh-CN"/>
              </w:rPr>
              <w:t>。</w:t>
            </w:r>
          </w:p>
          <w:p w14:paraId="092F1E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textAlignment w:val="auto"/>
              <w:rPr>
                <w:rFonts w:hint="default"/>
                <w:b/>
                <w:bCs/>
                <w:lang w:val="en-US" w:eastAsia="zh-CN"/>
              </w:rPr>
            </w:pPr>
            <w:r>
              <w:rPr>
                <w:rFonts w:hint="eastAsia"/>
                <w:b/>
                <w:bCs/>
                <w:lang w:val="en-US" w:eastAsia="zh-CN"/>
              </w:rPr>
              <w:t>九、环保治理措施及投资金额</w:t>
            </w:r>
          </w:p>
          <w:p w14:paraId="6B6D43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14:textFill>
                  <w14:solidFill>
                    <w14:schemeClr w14:val="tx1"/>
                  </w14:solidFill>
                </w14:textFill>
              </w:rPr>
            </w:pPr>
            <w:r>
              <w:rPr>
                <w:rFonts w:hint="eastAsia" w:cs="Times New Roman"/>
                <w:b w:val="0"/>
                <w:bCs w:val="0"/>
                <w:sz w:val="24"/>
                <w:szCs w:val="24"/>
                <w:lang w:val="en-US" w:eastAsia="zh-CN"/>
              </w:rPr>
              <w:t>本项目</w:t>
            </w:r>
            <w:r>
              <w:rPr>
                <w:rFonts w:hint="eastAsia" w:cs="Times New Roman"/>
                <w:b w:val="0"/>
                <w:bCs w:val="0"/>
                <w:color w:val="000000" w:themeColor="text1"/>
                <w:sz w:val="24"/>
                <w:szCs w:val="24"/>
                <w:lang w:val="en-US" w:eastAsia="zh-CN"/>
                <w14:textFill>
                  <w14:solidFill>
                    <w14:schemeClr w14:val="tx1"/>
                  </w14:solidFill>
                </w14:textFill>
              </w:rPr>
              <w:t>不新增污染物排放，企业依托现有治理措施治理。</w:t>
            </w:r>
            <w:r>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t>本项目总投资为</w:t>
            </w:r>
            <w:r>
              <w:rPr>
                <w:rFonts w:hint="eastAsia" w:cs="Times New Roman"/>
                <w:b w:val="0"/>
                <w:bCs w:val="0"/>
                <w:color w:val="000000" w:themeColor="text1"/>
                <w:sz w:val="24"/>
                <w:szCs w:val="24"/>
                <w:lang w:val="en-US" w:eastAsia="zh-CN"/>
                <w14:textFill>
                  <w14:solidFill>
                    <w14:schemeClr w14:val="tx1"/>
                  </w14:solidFill>
                </w14:textFill>
              </w:rPr>
              <w:t>3000</w:t>
            </w:r>
            <w:r>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t>万元，</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环保</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投资为</w:t>
            </w:r>
            <w:r>
              <w:rPr>
                <w:rFonts w:hint="eastAsia" w:cs="Times New Roman"/>
                <w:color w:val="000000" w:themeColor="text1"/>
                <w:sz w:val="24"/>
                <w:szCs w:val="24"/>
                <w:highlight w:val="none"/>
                <w:u w:val="none"/>
                <w:lang w:val="en-US" w:eastAsia="zh-CN"/>
                <w14:textFill>
                  <w14:solidFill>
                    <w14:schemeClr w14:val="tx1"/>
                  </w14:solidFill>
                </w14:textFill>
              </w:rPr>
              <w:t>0</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万元，环保投资占总投资的</w:t>
            </w:r>
            <w:r>
              <w:rPr>
                <w:rFonts w:hint="eastAsia" w:cs="Times New Roman"/>
                <w:color w:val="000000" w:themeColor="text1"/>
                <w:sz w:val="24"/>
                <w:szCs w:val="24"/>
                <w:highlight w:val="none"/>
                <w:u w:val="none"/>
                <w:lang w:val="en-US" w:eastAsia="zh-CN"/>
                <w14:textFill>
                  <w14:solidFill>
                    <w14:schemeClr w14:val="tx1"/>
                  </w14:solidFill>
                </w14:textFill>
              </w:rPr>
              <w:t>0</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w:t>
            </w:r>
          </w:p>
          <w:p w14:paraId="20A8B349">
            <w:pPr>
              <w:pStyle w:val="7"/>
              <w:keepNext w:val="0"/>
              <w:keepLines w:val="0"/>
              <w:suppressLineNumbers w:val="0"/>
              <w:bidi w:val="0"/>
              <w:spacing w:before="0" w:beforeAutospacing="0" w:after="0" w:afterAutospacing="0"/>
              <w:ind w:left="0" w:right="0"/>
              <w:rPr>
                <w:rFonts w:hint="default"/>
                <w:color w:val="000000" w:themeColor="text1"/>
                <w:u w:val="none"/>
                <w14:textFill>
                  <w14:solidFill>
                    <w14:schemeClr w14:val="tx1"/>
                  </w14:solidFill>
                </w14:textFill>
              </w:rPr>
            </w:pPr>
          </w:p>
          <w:p w14:paraId="7082784B">
            <w:pPr>
              <w:pStyle w:val="7"/>
              <w:keepNext w:val="0"/>
              <w:keepLines w:val="0"/>
              <w:suppressLineNumbers w:val="0"/>
              <w:bidi w:val="0"/>
              <w:spacing w:before="0" w:beforeAutospacing="0" w:after="0" w:afterAutospacing="0"/>
              <w:ind w:left="0" w:right="0"/>
              <w:rPr>
                <w:rFonts w:hint="default"/>
                <w:color w:val="000000" w:themeColor="text1"/>
                <w:u w:val="none"/>
                <w14:textFill>
                  <w14:solidFill>
                    <w14:schemeClr w14:val="tx1"/>
                  </w14:solidFill>
                </w14:textFill>
              </w:rPr>
            </w:pPr>
          </w:p>
          <w:p w14:paraId="68F8F9DD">
            <w:pPr>
              <w:keepNext w:val="0"/>
              <w:keepLines w:val="0"/>
              <w:suppressLineNumbers w:val="0"/>
              <w:spacing w:before="0" w:beforeAutospacing="0" w:after="0" w:afterAutospacing="0"/>
              <w:ind w:left="0" w:right="0"/>
              <w:rPr>
                <w:rFonts w:hint="eastAsia"/>
                <w:lang w:eastAsia="zh-CN"/>
              </w:rPr>
            </w:pPr>
          </w:p>
        </w:tc>
      </w:tr>
    </w:tbl>
    <w:p w14:paraId="00462324">
      <w:pPr>
        <w:adjustRightInd w:val="0"/>
        <w:snapToGrid w:val="0"/>
        <w:spacing w:line="360" w:lineRule="auto"/>
        <w:rPr>
          <w:rFonts w:hint="eastAsia" w:ascii="宋体" w:cs="宋体"/>
          <w:b/>
          <w:kern w:val="0"/>
          <w:sz w:val="28"/>
          <w:szCs w:val="28"/>
        </w:rPr>
        <w:sectPr>
          <w:pgSz w:w="11907" w:h="16840"/>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4B807E96">
      <w:pPr>
        <w:pStyle w:val="19"/>
        <w:jc w:val="center"/>
        <w:outlineLvl w:val="0"/>
        <w:rPr>
          <w:rFonts w:hint="eastAsia" w:ascii="黑体" w:hAnsi="黑体" w:eastAsia="黑体" w:cs="黑体"/>
          <w:b w:val="0"/>
          <w:bCs w:val="0"/>
          <w:snapToGrid w:val="0"/>
          <w:sz w:val="30"/>
          <w:szCs w:val="30"/>
        </w:rPr>
      </w:pPr>
      <w:r>
        <w:rPr>
          <w:rFonts w:hint="eastAsia" w:ascii="黑体" w:hAnsi="黑体" w:eastAsia="黑体" w:cs="黑体"/>
          <w:b w:val="0"/>
          <w:bCs w:val="0"/>
          <w:snapToGrid w:val="0"/>
          <w:sz w:val="30"/>
          <w:szCs w:val="30"/>
        </w:rPr>
        <w:t>五、</w:t>
      </w:r>
      <w:bookmarkStart w:id="6" w:name="_Hlk54167917"/>
      <w:r>
        <w:rPr>
          <w:rFonts w:hint="eastAsia" w:ascii="黑体" w:hAnsi="黑体" w:eastAsia="黑体" w:cs="黑体"/>
          <w:b w:val="0"/>
          <w:bCs w:val="0"/>
          <w:snapToGrid w:val="0"/>
          <w:sz w:val="30"/>
          <w:szCs w:val="30"/>
        </w:rPr>
        <w:t>环境保护措施监督检查清单</w:t>
      </w:r>
      <w:bookmarkEnd w:id="6"/>
    </w:p>
    <w:tbl>
      <w:tblPr>
        <w:tblStyle w:val="23"/>
        <w:tblW w:w="532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32"/>
        <w:gridCol w:w="1707"/>
        <w:gridCol w:w="1015"/>
        <w:gridCol w:w="2685"/>
        <w:gridCol w:w="3552"/>
      </w:tblGrid>
      <w:tr w14:paraId="51839A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32" w:type="dxa"/>
            <w:tcBorders>
              <w:tl2br w:val="single" w:color="auto" w:sz="4" w:space="0"/>
            </w:tcBorders>
            <w:noWrap w:val="0"/>
            <w:vAlign w:val="center"/>
          </w:tcPr>
          <w:p w14:paraId="04D018C7">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right"/>
              <w:rPr>
                <w:rFonts w:hint="default" w:hAnsi="宋体"/>
                <w:b/>
                <w:sz w:val="24"/>
                <w:szCs w:val="24"/>
                <w:highlight w:val="none"/>
              </w:rPr>
            </w:pPr>
            <w:r>
              <w:rPr>
                <w:rFonts w:hint="default" w:hAnsi="宋体"/>
                <w:b/>
                <w:sz w:val="24"/>
                <w:szCs w:val="24"/>
                <w:highlight w:val="none"/>
              </w:rPr>
              <w:t>内容</w:t>
            </w:r>
          </w:p>
          <w:p w14:paraId="34545A8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rPr>
                <w:rFonts w:hint="default"/>
                <w:b/>
                <w:sz w:val="24"/>
                <w:szCs w:val="24"/>
                <w:highlight w:val="none"/>
              </w:rPr>
            </w:pPr>
            <w:r>
              <w:rPr>
                <w:rFonts w:hint="default" w:hAnsi="宋体"/>
                <w:b/>
                <w:sz w:val="24"/>
                <w:szCs w:val="24"/>
                <w:highlight w:val="none"/>
              </w:rPr>
              <w:t>要素</w:t>
            </w:r>
          </w:p>
        </w:tc>
        <w:tc>
          <w:tcPr>
            <w:tcW w:w="1707" w:type="dxa"/>
            <w:noWrap w:val="0"/>
            <w:vAlign w:val="center"/>
          </w:tcPr>
          <w:p w14:paraId="37E4CCC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b/>
                <w:sz w:val="24"/>
                <w:szCs w:val="24"/>
                <w:highlight w:val="none"/>
              </w:rPr>
            </w:pPr>
            <w:r>
              <w:rPr>
                <w:rFonts w:hint="default" w:hAnsi="宋体"/>
                <w:b/>
                <w:sz w:val="24"/>
                <w:szCs w:val="24"/>
                <w:highlight w:val="none"/>
              </w:rPr>
              <w:t>排放口</w:t>
            </w:r>
            <w:r>
              <w:rPr>
                <w:rFonts w:hint="default"/>
                <w:b/>
                <w:sz w:val="24"/>
                <w:szCs w:val="24"/>
                <w:highlight w:val="none"/>
              </w:rPr>
              <w:t>(</w:t>
            </w:r>
            <w:r>
              <w:rPr>
                <w:rFonts w:hint="default" w:hAnsi="宋体"/>
                <w:b/>
                <w:sz w:val="24"/>
                <w:szCs w:val="24"/>
                <w:highlight w:val="none"/>
              </w:rPr>
              <w:t>编号、名称</w:t>
            </w:r>
            <w:r>
              <w:rPr>
                <w:rFonts w:hint="default"/>
                <w:b/>
                <w:sz w:val="24"/>
                <w:szCs w:val="24"/>
                <w:highlight w:val="none"/>
              </w:rPr>
              <w:t>)/</w:t>
            </w:r>
            <w:r>
              <w:rPr>
                <w:rFonts w:hint="default" w:hAnsi="宋体"/>
                <w:b/>
                <w:sz w:val="24"/>
                <w:szCs w:val="24"/>
                <w:highlight w:val="none"/>
              </w:rPr>
              <w:t>污染源</w:t>
            </w:r>
          </w:p>
        </w:tc>
        <w:tc>
          <w:tcPr>
            <w:tcW w:w="1015" w:type="dxa"/>
            <w:noWrap w:val="0"/>
            <w:vAlign w:val="center"/>
          </w:tcPr>
          <w:p w14:paraId="528C441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b/>
                <w:sz w:val="24"/>
                <w:szCs w:val="24"/>
                <w:highlight w:val="none"/>
              </w:rPr>
            </w:pPr>
            <w:r>
              <w:rPr>
                <w:rFonts w:hint="default" w:hAnsi="宋体"/>
                <w:b/>
                <w:sz w:val="24"/>
                <w:szCs w:val="24"/>
                <w:highlight w:val="none"/>
              </w:rPr>
              <w:t>污染物项目</w:t>
            </w:r>
          </w:p>
        </w:tc>
        <w:tc>
          <w:tcPr>
            <w:tcW w:w="2685" w:type="dxa"/>
            <w:noWrap w:val="0"/>
            <w:vAlign w:val="center"/>
          </w:tcPr>
          <w:p w14:paraId="2931984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b/>
                <w:sz w:val="24"/>
                <w:szCs w:val="24"/>
                <w:highlight w:val="none"/>
              </w:rPr>
            </w:pPr>
            <w:r>
              <w:rPr>
                <w:rFonts w:hint="default" w:hAnsi="宋体"/>
                <w:b/>
                <w:sz w:val="24"/>
                <w:szCs w:val="24"/>
                <w:highlight w:val="none"/>
              </w:rPr>
              <w:t>环境保护措施</w:t>
            </w:r>
          </w:p>
        </w:tc>
        <w:tc>
          <w:tcPr>
            <w:tcW w:w="3552" w:type="dxa"/>
            <w:noWrap w:val="0"/>
            <w:vAlign w:val="center"/>
          </w:tcPr>
          <w:p w14:paraId="71CC3FB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b/>
                <w:sz w:val="24"/>
                <w:szCs w:val="24"/>
                <w:highlight w:val="none"/>
              </w:rPr>
            </w:pPr>
            <w:r>
              <w:rPr>
                <w:rFonts w:hint="default" w:hAnsi="宋体"/>
                <w:b/>
                <w:sz w:val="24"/>
                <w:szCs w:val="24"/>
                <w:highlight w:val="none"/>
              </w:rPr>
              <w:t>执行标准</w:t>
            </w:r>
          </w:p>
        </w:tc>
      </w:tr>
      <w:tr w14:paraId="5C7BE9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32" w:hRule="atLeast"/>
          <w:jc w:val="center"/>
        </w:trPr>
        <w:tc>
          <w:tcPr>
            <w:tcW w:w="932" w:type="dxa"/>
            <w:vMerge w:val="restart"/>
            <w:noWrap w:val="0"/>
            <w:vAlign w:val="center"/>
          </w:tcPr>
          <w:p w14:paraId="0509668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hAnsi="宋体"/>
                <w:sz w:val="24"/>
                <w:szCs w:val="24"/>
                <w:highlight w:val="none"/>
              </w:rPr>
            </w:pPr>
            <w:r>
              <w:rPr>
                <w:rFonts w:hint="default" w:hAnsi="宋体"/>
                <w:sz w:val="24"/>
                <w:szCs w:val="24"/>
                <w:highlight w:val="none"/>
              </w:rPr>
              <w:t>大气</w:t>
            </w:r>
          </w:p>
          <w:p w14:paraId="08F0A97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sz w:val="24"/>
                <w:szCs w:val="24"/>
                <w:highlight w:val="none"/>
              </w:rPr>
            </w:pPr>
            <w:r>
              <w:rPr>
                <w:rFonts w:hint="default" w:hAnsi="宋体"/>
                <w:sz w:val="24"/>
                <w:szCs w:val="24"/>
                <w:highlight w:val="none"/>
              </w:rPr>
              <w:t>环境</w:t>
            </w:r>
          </w:p>
        </w:tc>
        <w:tc>
          <w:tcPr>
            <w:tcW w:w="1707" w:type="dxa"/>
            <w:noWrap w:val="0"/>
            <w:vAlign w:val="center"/>
          </w:tcPr>
          <w:p w14:paraId="2D7A738E">
            <w:pPr>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440" w:lineRule="exact"/>
              <w:ind w:left="0" w:leftChars="0" w:right="0" w:rightChars="0"/>
              <w:jc w:val="center"/>
              <w:textAlignment w:val="auto"/>
              <w:rPr>
                <w:rFonts w:hint="eastAsia"/>
                <w:sz w:val="24"/>
                <w:szCs w:val="24"/>
                <w:lang w:val="en-US" w:eastAsia="zh-CN"/>
              </w:rPr>
            </w:pPr>
            <w:r>
              <w:rPr>
                <w:rFonts w:hint="eastAsia"/>
                <w:sz w:val="24"/>
                <w:szCs w:val="24"/>
              </w:rPr>
              <w:t>排气</w:t>
            </w:r>
            <w:r>
              <w:rPr>
                <w:rFonts w:hint="eastAsia"/>
                <w:sz w:val="24"/>
                <w:szCs w:val="24"/>
                <w:lang w:val="en-US" w:eastAsia="zh-CN"/>
              </w:rPr>
              <w:t>筒</w:t>
            </w:r>
          </w:p>
          <w:p w14:paraId="60EB50AA">
            <w:pPr>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440" w:lineRule="exact"/>
              <w:ind w:left="0" w:leftChars="0" w:right="0" w:rightChars="0"/>
              <w:jc w:val="center"/>
              <w:textAlignment w:val="auto"/>
              <w:rPr>
                <w:rFonts w:hint="eastAsia"/>
                <w:sz w:val="24"/>
                <w:szCs w:val="24"/>
              </w:rPr>
            </w:pPr>
            <w:r>
              <w:rPr>
                <w:rFonts w:hint="eastAsia"/>
                <w:sz w:val="24"/>
                <w:szCs w:val="24"/>
              </w:rPr>
              <w:t>（DA001）</w:t>
            </w:r>
          </w:p>
          <w:p w14:paraId="5F3C81C8">
            <w:pPr>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440" w:lineRule="exact"/>
              <w:ind w:left="0" w:leftChars="0" w:right="0" w:rightChars="0"/>
              <w:jc w:val="center"/>
              <w:textAlignment w:val="auto"/>
              <w:rPr>
                <w:rFonts w:hint="default" w:ascii="宋体" w:eastAsia="宋体" w:cs="宋体"/>
                <w:kern w:val="0"/>
                <w:sz w:val="24"/>
                <w:szCs w:val="24"/>
                <w:highlight w:val="none"/>
                <w:lang w:val="en-US" w:eastAsia="zh-CN"/>
              </w:rPr>
            </w:pPr>
            <w:r>
              <w:rPr>
                <w:rFonts w:hint="eastAsia" w:ascii="宋体" w:cs="宋体"/>
                <w:kern w:val="0"/>
                <w:sz w:val="24"/>
                <w:szCs w:val="24"/>
              </w:rPr>
              <w:t>污染源</w:t>
            </w:r>
            <w:r>
              <w:rPr>
                <w:rFonts w:hint="eastAsia" w:ascii="宋体" w:cs="宋体"/>
                <w:color w:val="000000" w:themeColor="text1"/>
                <w:kern w:val="0"/>
                <w:sz w:val="24"/>
                <w:szCs w:val="24"/>
                <w14:textFill>
                  <w14:solidFill>
                    <w14:schemeClr w14:val="tx1"/>
                  </w14:solidFill>
                </w14:textFill>
              </w:rPr>
              <w:t>：</w:t>
            </w:r>
            <w:r>
              <w:rPr>
                <w:rFonts w:hint="eastAsia" w:ascii="宋体" w:cs="宋体"/>
                <w:color w:val="000000" w:themeColor="text1"/>
                <w:kern w:val="0"/>
                <w:sz w:val="24"/>
                <w:szCs w:val="24"/>
                <w:lang w:val="en-US" w:eastAsia="zh-CN"/>
                <w14:textFill>
                  <w14:solidFill>
                    <w14:schemeClr w14:val="tx1"/>
                  </w14:solidFill>
                </w14:textFill>
              </w:rPr>
              <w:t>北厂区正极材料配料投料废气</w:t>
            </w:r>
          </w:p>
        </w:tc>
        <w:tc>
          <w:tcPr>
            <w:tcW w:w="1015" w:type="dxa"/>
            <w:noWrap w:val="0"/>
            <w:vAlign w:val="center"/>
          </w:tcPr>
          <w:p w14:paraId="7C8CED65">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leftChars="0" w:right="0" w:rightChars="0"/>
              <w:jc w:val="center"/>
              <w:rPr>
                <w:rFonts w:hint="default"/>
                <w:sz w:val="24"/>
                <w:szCs w:val="24"/>
                <w:highlight w:val="none"/>
                <w:lang w:val="en-US" w:eastAsia="zh-CN"/>
              </w:rPr>
            </w:pPr>
            <w:r>
              <w:rPr>
                <w:rFonts w:hint="eastAsia"/>
                <w:sz w:val="24"/>
                <w:szCs w:val="24"/>
                <w:highlight w:val="none"/>
                <w:lang w:val="en-US" w:eastAsia="zh-CN"/>
              </w:rPr>
              <w:t>颗粒物</w:t>
            </w:r>
          </w:p>
        </w:tc>
        <w:tc>
          <w:tcPr>
            <w:tcW w:w="2685" w:type="dxa"/>
            <w:noWrap w:val="0"/>
            <w:vAlign w:val="center"/>
          </w:tcPr>
          <w:p w14:paraId="40F42C1D">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leftChars="0" w:right="0" w:rightChars="0"/>
              <w:jc w:val="both"/>
              <w:rPr>
                <w:rFonts w:hint="default" w:hAnsi="宋体" w:eastAsia="宋体"/>
                <w:bCs/>
                <w:color w:val="000000"/>
                <w:sz w:val="24"/>
                <w:szCs w:val="24"/>
                <w:highlight w:val="none"/>
                <w:lang w:val="en-US" w:eastAsia="zh-CN"/>
              </w:rPr>
            </w:pPr>
            <w:r>
              <w:rPr>
                <w:rFonts w:hint="eastAsia" w:cs="Times New Roman"/>
                <w:sz w:val="24"/>
                <w:lang w:val="en-US" w:eastAsia="zh-CN"/>
              </w:rPr>
              <w:t>废气经负压收集至袋式除尘器治理后通过15米高排气筒（DA001）排放。</w:t>
            </w:r>
          </w:p>
        </w:tc>
        <w:tc>
          <w:tcPr>
            <w:tcW w:w="3552" w:type="dxa"/>
            <w:noWrap w:val="0"/>
            <w:vAlign w:val="center"/>
          </w:tcPr>
          <w:p w14:paraId="63640B0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leftChars="0" w:right="0" w:rightChars="0"/>
              <w:jc w:val="both"/>
              <w:rPr>
                <w:rFonts w:hint="default" w:eastAsia="宋体"/>
                <w:color w:val="000000"/>
                <w:sz w:val="24"/>
                <w:szCs w:val="24"/>
                <w:highlight w:val="none"/>
                <w:u w:val="none"/>
                <w:vertAlign w:val="baseline"/>
                <w:lang w:val="en-US" w:eastAsia="zh-CN"/>
              </w:rPr>
            </w:pPr>
            <w:r>
              <w:rPr>
                <w:rFonts w:hint="default"/>
                <w:lang w:bidi="en-US"/>
              </w:rPr>
              <w:t>《电池工业污染物排放标准》</w:t>
            </w:r>
            <w:r>
              <w:rPr>
                <w:rFonts w:hint="eastAsia"/>
                <w:color w:val="auto"/>
                <w:sz w:val="24"/>
                <w:szCs w:val="24"/>
                <w:highlight w:val="none"/>
              </w:rPr>
              <w:t>（GB30484-2013）</w:t>
            </w:r>
            <w:r>
              <w:rPr>
                <w:rFonts w:hint="eastAsia"/>
                <w:color w:val="auto"/>
                <w:sz w:val="24"/>
                <w:szCs w:val="24"/>
                <w:highlight w:val="none"/>
                <w:lang w:eastAsia="zh-CN"/>
              </w:rPr>
              <w:t>；</w:t>
            </w:r>
            <w:r>
              <w:rPr>
                <w:rFonts w:hint="eastAsia"/>
                <w:color w:val="auto"/>
                <w:sz w:val="24"/>
                <w:szCs w:val="24"/>
                <w:highlight w:val="none"/>
                <w:lang w:val="en-US" w:eastAsia="zh-CN"/>
              </w:rPr>
              <w:t>《新乡市生态环境局关于进一步规范工业企业颗粒物排放限值的通知》；</w:t>
            </w:r>
            <w:r>
              <w:rPr>
                <w:rFonts w:hint="eastAsia"/>
                <w:color w:val="auto"/>
                <w:sz w:val="24"/>
                <w:szCs w:val="24"/>
                <w:highlight w:val="none"/>
                <w:lang w:eastAsia="zh-CN"/>
              </w:rPr>
              <w:t>《大气污染物综合排放标准》（GB16297-1996）；</w:t>
            </w:r>
            <w:r>
              <w:rPr>
                <w:rFonts w:hint="eastAsia"/>
                <w:color w:val="auto"/>
                <w:sz w:val="24"/>
                <w:szCs w:val="24"/>
                <w:highlight w:val="none"/>
                <w:lang w:val="en-US" w:eastAsia="zh-CN"/>
              </w:rPr>
              <w:t>《河南省重污染天气重点行业应急减排措施制定技术指南》（2024年修订版）电池制造A级要求</w:t>
            </w:r>
          </w:p>
        </w:tc>
      </w:tr>
      <w:tr w14:paraId="5E4E8C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32" w:hRule="atLeast"/>
          <w:jc w:val="center"/>
        </w:trPr>
        <w:tc>
          <w:tcPr>
            <w:tcW w:w="932" w:type="dxa"/>
            <w:vMerge w:val="continue"/>
            <w:noWrap w:val="0"/>
            <w:vAlign w:val="center"/>
          </w:tcPr>
          <w:p w14:paraId="693D4B8C">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hAnsi="宋体"/>
                <w:sz w:val="24"/>
                <w:szCs w:val="24"/>
                <w:highlight w:val="none"/>
              </w:rPr>
            </w:pPr>
          </w:p>
        </w:tc>
        <w:tc>
          <w:tcPr>
            <w:tcW w:w="1707" w:type="dxa"/>
            <w:noWrap w:val="0"/>
            <w:vAlign w:val="center"/>
          </w:tcPr>
          <w:p w14:paraId="442D8C54">
            <w:pPr>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440" w:lineRule="exact"/>
              <w:ind w:left="0" w:leftChars="0" w:right="0" w:rightChars="0"/>
              <w:jc w:val="center"/>
              <w:textAlignment w:val="auto"/>
              <w:rPr>
                <w:rFonts w:hint="eastAsia"/>
                <w:sz w:val="24"/>
                <w:szCs w:val="24"/>
                <w:lang w:val="en-US" w:eastAsia="zh-CN"/>
              </w:rPr>
            </w:pPr>
            <w:r>
              <w:rPr>
                <w:rFonts w:hint="eastAsia"/>
                <w:sz w:val="24"/>
                <w:szCs w:val="24"/>
              </w:rPr>
              <w:t>排气</w:t>
            </w:r>
            <w:r>
              <w:rPr>
                <w:rFonts w:hint="eastAsia"/>
                <w:sz w:val="24"/>
                <w:szCs w:val="24"/>
                <w:lang w:val="en-US" w:eastAsia="zh-CN"/>
              </w:rPr>
              <w:t>筒</w:t>
            </w:r>
          </w:p>
          <w:p w14:paraId="4476F473">
            <w:pPr>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440" w:lineRule="exact"/>
              <w:ind w:left="0" w:leftChars="0" w:right="0" w:rightChars="0"/>
              <w:jc w:val="center"/>
              <w:textAlignment w:val="auto"/>
              <w:rPr>
                <w:rFonts w:hint="eastAsia"/>
                <w:sz w:val="24"/>
                <w:szCs w:val="24"/>
              </w:rPr>
            </w:pPr>
            <w:r>
              <w:rPr>
                <w:rFonts w:hint="eastAsia"/>
                <w:sz w:val="24"/>
                <w:szCs w:val="24"/>
              </w:rPr>
              <w:t>（DA00</w:t>
            </w:r>
            <w:r>
              <w:rPr>
                <w:rFonts w:hint="eastAsia"/>
                <w:sz w:val="24"/>
                <w:szCs w:val="24"/>
                <w:lang w:val="en-US" w:eastAsia="zh-CN"/>
              </w:rPr>
              <w:t>2</w:t>
            </w:r>
            <w:r>
              <w:rPr>
                <w:rFonts w:hint="eastAsia"/>
                <w:sz w:val="24"/>
                <w:szCs w:val="24"/>
              </w:rPr>
              <w:t>）</w:t>
            </w:r>
          </w:p>
          <w:p w14:paraId="67C84C11">
            <w:pPr>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440" w:lineRule="exact"/>
              <w:ind w:left="0" w:leftChars="0" w:right="0" w:rightChars="0"/>
              <w:jc w:val="center"/>
              <w:textAlignment w:val="auto"/>
              <w:rPr>
                <w:rFonts w:hint="eastAsia" w:ascii="宋体" w:cs="宋体"/>
                <w:kern w:val="0"/>
                <w:sz w:val="24"/>
                <w:szCs w:val="24"/>
              </w:rPr>
            </w:pPr>
            <w:r>
              <w:rPr>
                <w:rFonts w:hint="eastAsia" w:ascii="宋体" w:cs="宋体"/>
                <w:kern w:val="0"/>
                <w:sz w:val="24"/>
                <w:szCs w:val="24"/>
              </w:rPr>
              <w:t>污染源</w:t>
            </w:r>
            <w:r>
              <w:rPr>
                <w:rFonts w:hint="eastAsia" w:ascii="宋体" w:cs="宋体"/>
                <w:color w:val="000000" w:themeColor="text1"/>
                <w:kern w:val="0"/>
                <w:sz w:val="24"/>
                <w:szCs w:val="24"/>
                <w14:textFill>
                  <w14:solidFill>
                    <w14:schemeClr w14:val="tx1"/>
                  </w14:solidFill>
                </w14:textFill>
              </w:rPr>
              <w:t>：</w:t>
            </w:r>
            <w:r>
              <w:rPr>
                <w:rFonts w:hint="eastAsia" w:ascii="宋体" w:cs="宋体"/>
                <w:color w:val="000000" w:themeColor="text1"/>
                <w:kern w:val="0"/>
                <w:sz w:val="24"/>
                <w:szCs w:val="24"/>
                <w:lang w:val="en-US" w:eastAsia="zh-CN"/>
                <w14:textFill>
                  <w14:solidFill>
                    <w14:schemeClr w14:val="tx1"/>
                  </w14:solidFill>
                </w14:textFill>
              </w:rPr>
              <w:t>南厂区投料废气</w:t>
            </w:r>
          </w:p>
        </w:tc>
        <w:tc>
          <w:tcPr>
            <w:tcW w:w="1015" w:type="dxa"/>
            <w:noWrap w:val="0"/>
            <w:vAlign w:val="center"/>
          </w:tcPr>
          <w:p w14:paraId="027BBB25">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leftChars="0" w:right="0" w:rightChars="0"/>
              <w:jc w:val="center"/>
              <w:rPr>
                <w:rFonts w:hint="eastAsia"/>
                <w:sz w:val="24"/>
                <w:szCs w:val="24"/>
                <w:highlight w:val="none"/>
                <w:lang w:val="en-US" w:eastAsia="zh-CN"/>
              </w:rPr>
            </w:pPr>
            <w:r>
              <w:rPr>
                <w:rFonts w:hint="eastAsia"/>
                <w:sz w:val="24"/>
                <w:szCs w:val="24"/>
                <w:highlight w:val="none"/>
                <w:lang w:val="en-US" w:eastAsia="zh-CN"/>
              </w:rPr>
              <w:t>颗粒物</w:t>
            </w:r>
          </w:p>
        </w:tc>
        <w:tc>
          <w:tcPr>
            <w:tcW w:w="2685" w:type="dxa"/>
            <w:noWrap w:val="0"/>
            <w:vAlign w:val="center"/>
          </w:tcPr>
          <w:p w14:paraId="257E3869">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leftChars="0" w:right="0" w:rightChars="0"/>
              <w:jc w:val="both"/>
              <w:rPr>
                <w:rFonts w:hint="eastAsia" w:cs="Times New Roman"/>
                <w:sz w:val="24"/>
                <w:lang w:val="en-US" w:eastAsia="zh-CN"/>
              </w:rPr>
            </w:pPr>
            <w:r>
              <w:rPr>
                <w:rFonts w:hint="eastAsia" w:cs="Times New Roman"/>
                <w:sz w:val="24"/>
                <w:lang w:val="en-US" w:eastAsia="zh-CN"/>
              </w:rPr>
              <w:t>废气经负压收集至袋式除尘器治理后通过15米高排气筒（DA002）排放。</w:t>
            </w:r>
          </w:p>
        </w:tc>
        <w:tc>
          <w:tcPr>
            <w:tcW w:w="3552" w:type="dxa"/>
            <w:noWrap w:val="0"/>
            <w:vAlign w:val="center"/>
          </w:tcPr>
          <w:p w14:paraId="1FB079CB">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leftChars="0" w:right="0" w:rightChars="0"/>
              <w:jc w:val="both"/>
              <w:rPr>
                <w:rFonts w:hint="eastAsia"/>
                <w:color w:val="auto"/>
                <w:sz w:val="24"/>
                <w:szCs w:val="24"/>
                <w:highlight w:val="none"/>
              </w:rPr>
            </w:pPr>
            <w:r>
              <w:rPr>
                <w:rFonts w:hint="default"/>
                <w:lang w:bidi="en-US"/>
              </w:rPr>
              <w:t>《电池工业污染物排放标准》</w:t>
            </w:r>
            <w:r>
              <w:rPr>
                <w:rFonts w:hint="eastAsia"/>
                <w:color w:val="auto"/>
                <w:sz w:val="24"/>
                <w:szCs w:val="24"/>
                <w:highlight w:val="none"/>
              </w:rPr>
              <w:t>（GB30484-2013）</w:t>
            </w:r>
            <w:r>
              <w:rPr>
                <w:rFonts w:hint="eastAsia"/>
                <w:color w:val="auto"/>
                <w:sz w:val="24"/>
                <w:szCs w:val="24"/>
                <w:highlight w:val="none"/>
                <w:lang w:eastAsia="zh-CN"/>
              </w:rPr>
              <w:t>；</w:t>
            </w:r>
            <w:r>
              <w:rPr>
                <w:rFonts w:hint="eastAsia"/>
                <w:color w:val="auto"/>
                <w:sz w:val="24"/>
                <w:szCs w:val="24"/>
                <w:highlight w:val="none"/>
                <w:lang w:val="en-US" w:eastAsia="zh-CN"/>
              </w:rPr>
              <w:t>《新乡市生态环境局关于进一步规范工业企业颗粒物排放限值的通知》；</w:t>
            </w:r>
            <w:r>
              <w:rPr>
                <w:rFonts w:hint="eastAsia"/>
                <w:color w:val="auto"/>
                <w:sz w:val="24"/>
                <w:szCs w:val="24"/>
                <w:highlight w:val="none"/>
                <w:lang w:eastAsia="zh-CN"/>
              </w:rPr>
              <w:t>《大气污染物综合排放标准》（GB16297-1996）；</w:t>
            </w:r>
            <w:r>
              <w:rPr>
                <w:rFonts w:hint="eastAsia"/>
                <w:color w:val="auto"/>
                <w:sz w:val="24"/>
                <w:szCs w:val="24"/>
                <w:highlight w:val="none"/>
                <w:lang w:val="en-US" w:eastAsia="zh-CN"/>
              </w:rPr>
              <w:t>《河南省重污染天气重点行业应急减排措施制定技术指南》（2024年修订版）电池制造A级要求</w:t>
            </w:r>
          </w:p>
        </w:tc>
      </w:tr>
      <w:tr w14:paraId="62854C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72" w:hRule="atLeast"/>
          <w:jc w:val="center"/>
        </w:trPr>
        <w:tc>
          <w:tcPr>
            <w:tcW w:w="932" w:type="dxa"/>
            <w:vMerge w:val="continue"/>
            <w:noWrap w:val="0"/>
            <w:vAlign w:val="center"/>
          </w:tcPr>
          <w:p w14:paraId="273CC2C1">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hAnsi="宋体"/>
                <w:sz w:val="24"/>
                <w:szCs w:val="24"/>
                <w:highlight w:val="none"/>
              </w:rPr>
            </w:pPr>
          </w:p>
        </w:tc>
        <w:tc>
          <w:tcPr>
            <w:tcW w:w="1707" w:type="dxa"/>
            <w:noWrap w:val="0"/>
            <w:vAlign w:val="center"/>
          </w:tcPr>
          <w:p w14:paraId="258C514C">
            <w:pPr>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440" w:lineRule="exact"/>
              <w:ind w:left="0" w:leftChars="0" w:right="0" w:rightChars="0"/>
              <w:jc w:val="center"/>
              <w:textAlignment w:val="auto"/>
              <w:rPr>
                <w:rFonts w:hint="eastAsia"/>
                <w:sz w:val="24"/>
                <w:szCs w:val="24"/>
                <w:lang w:val="en-US" w:eastAsia="zh-CN"/>
              </w:rPr>
            </w:pPr>
            <w:r>
              <w:rPr>
                <w:rFonts w:hint="eastAsia"/>
                <w:sz w:val="24"/>
                <w:szCs w:val="24"/>
              </w:rPr>
              <w:t>排气</w:t>
            </w:r>
            <w:r>
              <w:rPr>
                <w:rFonts w:hint="eastAsia"/>
                <w:sz w:val="24"/>
                <w:szCs w:val="24"/>
                <w:lang w:val="en-US" w:eastAsia="zh-CN"/>
              </w:rPr>
              <w:t>筒</w:t>
            </w:r>
          </w:p>
          <w:p w14:paraId="1EACC520">
            <w:pPr>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440" w:lineRule="exact"/>
              <w:ind w:left="0" w:leftChars="0" w:right="0" w:rightChars="0"/>
              <w:jc w:val="center"/>
              <w:textAlignment w:val="auto"/>
              <w:rPr>
                <w:rFonts w:hint="eastAsia"/>
                <w:sz w:val="24"/>
                <w:szCs w:val="24"/>
              </w:rPr>
            </w:pPr>
            <w:r>
              <w:rPr>
                <w:rFonts w:hint="eastAsia"/>
                <w:sz w:val="24"/>
                <w:szCs w:val="24"/>
              </w:rPr>
              <w:t>（DA00</w:t>
            </w:r>
            <w:r>
              <w:rPr>
                <w:rFonts w:hint="eastAsia"/>
                <w:sz w:val="24"/>
                <w:szCs w:val="24"/>
                <w:lang w:val="en-US" w:eastAsia="zh-CN"/>
              </w:rPr>
              <w:t>3</w:t>
            </w:r>
            <w:r>
              <w:rPr>
                <w:rFonts w:hint="eastAsia"/>
                <w:sz w:val="24"/>
                <w:szCs w:val="24"/>
              </w:rPr>
              <w:t>）</w:t>
            </w:r>
          </w:p>
          <w:p w14:paraId="55C9F4FA">
            <w:pPr>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440" w:lineRule="exact"/>
              <w:ind w:left="0" w:leftChars="0" w:right="0" w:rightChars="0"/>
              <w:jc w:val="center"/>
              <w:textAlignment w:val="auto"/>
              <w:rPr>
                <w:rFonts w:hint="eastAsia" w:ascii="宋体" w:cs="宋体"/>
                <w:kern w:val="0"/>
                <w:sz w:val="24"/>
                <w:szCs w:val="24"/>
              </w:rPr>
            </w:pPr>
            <w:r>
              <w:rPr>
                <w:rFonts w:hint="eastAsia" w:ascii="宋体" w:cs="宋体"/>
                <w:kern w:val="0"/>
                <w:sz w:val="24"/>
                <w:szCs w:val="24"/>
              </w:rPr>
              <w:t>污染源</w:t>
            </w:r>
            <w:r>
              <w:rPr>
                <w:rFonts w:hint="eastAsia" w:ascii="宋体" w:cs="宋体"/>
                <w:color w:val="000000" w:themeColor="text1"/>
                <w:kern w:val="0"/>
                <w:sz w:val="24"/>
                <w:szCs w:val="24"/>
                <w14:textFill>
                  <w14:solidFill>
                    <w14:schemeClr w14:val="tx1"/>
                  </w14:solidFill>
                </w14:textFill>
              </w:rPr>
              <w:t>：</w:t>
            </w:r>
            <w:r>
              <w:rPr>
                <w:rFonts w:hint="eastAsia" w:ascii="宋体" w:cs="宋体"/>
                <w:color w:val="000000" w:themeColor="text1"/>
                <w:kern w:val="0"/>
                <w:sz w:val="24"/>
                <w:szCs w:val="24"/>
                <w:lang w:val="en-US" w:eastAsia="zh-CN"/>
                <w14:textFill>
                  <w14:solidFill>
                    <w14:schemeClr w14:val="tx1"/>
                  </w14:solidFill>
                </w14:textFill>
              </w:rPr>
              <w:t>配料、涂布烘干、储罐呼吸、注液等废气</w:t>
            </w:r>
          </w:p>
        </w:tc>
        <w:tc>
          <w:tcPr>
            <w:tcW w:w="1015" w:type="dxa"/>
            <w:noWrap w:val="0"/>
            <w:vAlign w:val="center"/>
          </w:tcPr>
          <w:p w14:paraId="2B94BE27">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leftChars="0" w:right="0" w:rightChars="0"/>
              <w:jc w:val="center"/>
              <w:rPr>
                <w:rFonts w:hint="default"/>
                <w:sz w:val="24"/>
                <w:szCs w:val="24"/>
                <w:highlight w:val="none"/>
                <w:lang w:val="en-US" w:eastAsia="zh-CN"/>
              </w:rPr>
            </w:pPr>
            <w:r>
              <w:rPr>
                <w:rFonts w:hint="eastAsia"/>
                <w:sz w:val="24"/>
                <w:szCs w:val="24"/>
                <w:highlight w:val="none"/>
                <w:lang w:val="en-US" w:eastAsia="zh-CN"/>
              </w:rPr>
              <w:t>非甲烷总烃</w:t>
            </w:r>
          </w:p>
        </w:tc>
        <w:tc>
          <w:tcPr>
            <w:tcW w:w="2685" w:type="dxa"/>
            <w:noWrap w:val="0"/>
            <w:vAlign w:val="center"/>
          </w:tcPr>
          <w:p w14:paraId="5F4F065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leftChars="0" w:right="0" w:rightChars="0"/>
              <w:jc w:val="both"/>
              <w:rPr>
                <w:rFonts w:hint="eastAsia" w:cs="Times New Roman"/>
                <w:sz w:val="24"/>
                <w:lang w:val="en-US" w:eastAsia="zh-CN"/>
              </w:rPr>
            </w:pPr>
            <w:r>
              <w:rPr>
                <w:rFonts w:hint="eastAsia"/>
              </w:rPr>
              <w:t>正极配料、涂布烘干工序产生的非甲烷总烃及储罐废气经</w:t>
            </w:r>
            <w:r>
              <w:rPr>
                <w:rFonts w:hint="eastAsia"/>
                <w:lang w:val="en-US" w:eastAsia="zh-CN"/>
              </w:rPr>
              <w:t>负压收集至</w:t>
            </w:r>
            <w:r>
              <w:rPr>
                <w:rFonts w:hint="eastAsia"/>
              </w:rPr>
              <w:t>NMP高塔回收系统一并治理</w:t>
            </w:r>
            <w:r>
              <w:rPr>
                <w:rFonts w:hint="eastAsia"/>
                <w:lang w:eastAsia="zh-CN"/>
              </w:rPr>
              <w:t>，</w:t>
            </w:r>
            <w:r>
              <w:rPr>
                <w:rFonts w:hint="eastAsia"/>
                <w:lang w:val="en-US" w:eastAsia="zh-CN"/>
              </w:rPr>
              <w:t>注液废气经负压收集通至活性炭吸附脱附+催化燃烧装置治理，尾气</w:t>
            </w:r>
            <w:r>
              <w:rPr>
                <w:rFonts w:hint="eastAsia"/>
              </w:rPr>
              <w:t>通入</w:t>
            </w:r>
            <w:r>
              <w:rPr>
                <w:rFonts w:hint="eastAsia"/>
                <w:lang w:val="en-US" w:eastAsia="zh-CN"/>
              </w:rPr>
              <w:t>5</w:t>
            </w:r>
            <w:r>
              <w:rPr>
                <w:rFonts w:hint="eastAsia"/>
              </w:rPr>
              <w:t>#生产车间顶层排气筒（DA003）排出</w:t>
            </w:r>
          </w:p>
        </w:tc>
        <w:tc>
          <w:tcPr>
            <w:tcW w:w="3552" w:type="dxa"/>
            <w:noWrap w:val="0"/>
            <w:vAlign w:val="center"/>
          </w:tcPr>
          <w:p w14:paraId="4968CA1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leftChars="0" w:right="0" w:rightChars="0"/>
              <w:jc w:val="both"/>
              <w:rPr>
                <w:rFonts w:hint="eastAsia"/>
                <w:color w:val="auto"/>
                <w:sz w:val="24"/>
                <w:szCs w:val="24"/>
                <w:highlight w:val="none"/>
              </w:rPr>
            </w:pPr>
            <w:r>
              <w:rPr>
                <w:rFonts w:hint="default"/>
                <w:lang w:bidi="en-US"/>
              </w:rPr>
              <w:t>《电池工业污染物排放标准》</w:t>
            </w:r>
            <w:r>
              <w:rPr>
                <w:rFonts w:hint="eastAsia"/>
                <w:color w:val="auto"/>
                <w:sz w:val="24"/>
                <w:szCs w:val="24"/>
                <w:highlight w:val="none"/>
              </w:rPr>
              <w:t>（GB30484-2013）</w:t>
            </w:r>
            <w:r>
              <w:rPr>
                <w:rFonts w:hint="eastAsia"/>
                <w:color w:val="auto"/>
                <w:sz w:val="24"/>
                <w:szCs w:val="24"/>
                <w:highlight w:val="none"/>
                <w:lang w:eastAsia="zh-CN"/>
              </w:rPr>
              <w:t>；</w:t>
            </w:r>
            <w:r>
              <w:rPr>
                <w:rFonts w:hint="eastAsia"/>
                <w:color w:val="auto"/>
                <w:sz w:val="24"/>
                <w:szCs w:val="24"/>
                <w:highlight w:val="none"/>
                <w:lang w:val="en-US" w:eastAsia="zh-CN"/>
              </w:rPr>
              <w:t>《河南省重污染天气重点行业应急减排措施制定技术指南》（2024年修订版）电池制造A级要求；</w:t>
            </w:r>
            <w:r>
              <w:rPr>
                <w:rFonts w:hint="eastAsia"/>
                <w:color w:val="auto"/>
                <w:sz w:val="24"/>
                <w:szCs w:val="24"/>
                <w:highlight w:val="none"/>
                <w:lang w:eastAsia="zh-CN"/>
              </w:rPr>
              <w:t>《大气污染物综合排放标准》（GB16297-1996）；</w:t>
            </w:r>
            <w:r>
              <w:rPr>
                <w:rFonts w:hint="eastAsia"/>
                <w:color w:val="auto"/>
                <w:sz w:val="24"/>
                <w:szCs w:val="24"/>
                <w:highlight w:val="none"/>
              </w:rPr>
              <w:t>《关于全省开展工业企业挥发性有机物专项治理工作中排放建议值的通知》（豫环攻坚办[2017]162号）</w:t>
            </w:r>
          </w:p>
        </w:tc>
      </w:tr>
      <w:tr w14:paraId="6EAE23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72" w:hRule="atLeast"/>
          <w:jc w:val="center"/>
        </w:trPr>
        <w:tc>
          <w:tcPr>
            <w:tcW w:w="932" w:type="dxa"/>
            <w:vMerge w:val="continue"/>
            <w:noWrap w:val="0"/>
            <w:vAlign w:val="center"/>
          </w:tcPr>
          <w:p w14:paraId="1707BC5D">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hAnsi="宋体"/>
                <w:sz w:val="24"/>
                <w:szCs w:val="24"/>
                <w:highlight w:val="none"/>
              </w:rPr>
            </w:pPr>
          </w:p>
        </w:tc>
        <w:tc>
          <w:tcPr>
            <w:tcW w:w="1707" w:type="dxa"/>
            <w:noWrap w:val="0"/>
            <w:vAlign w:val="center"/>
          </w:tcPr>
          <w:p w14:paraId="2F2425A8">
            <w:pPr>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440" w:lineRule="exact"/>
              <w:ind w:left="0" w:leftChars="0" w:right="0" w:rightChars="0"/>
              <w:jc w:val="center"/>
              <w:textAlignment w:val="auto"/>
              <w:rPr>
                <w:rFonts w:hint="eastAsia"/>
                <w:sz w:val="24"/>
                <w:szCs w:val="24"/>
                <w:lang w:val="en-US" w:eastAsia="zh-CN"/>
              </w:rPr>
            </w:pPr>
            <w:r>
              <w:rPr>
                <w:rFonts w:hint="eastAsia"/>
                <w:sz w:val="24"/>
                <w:szCs w:val="24"/>
              </w:rPr>
              <w:t>排气</w:t>
            </w:r>
            <w:r>
              <w:rPr>
                <w:rFonts w:hint="eastAsia"/>
                <w:sz w:val="24"/>
                <w:szCs w:val="24"/>
                <w:lang w:val="en-US" w:eastAsia="zh-CN"/>
              </w:rPr>
              <w:t>筒</w:t>
            </w:r>
          </w:p>
          <w:p w14:paraId="57B80DAA">
            <w:pPr>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440" w:lineRule="exact"/>
              <w:ind w:left="0" w:leftChars="0" w:right="0" w:rightChars="0"/>
              <w:jc w:val="center"/>
              <w:textAlignment w:val="auto"/>
              <w:rPr>
                <w:rFonts w:hint="eastAsia"/>
                <w:sz w:val="24"/>
                <w:szCs w:val="24"/>
              </w:rPr>
            </w:pPr>
            <w:r>
              <w:rPr>
                <w:rFonts w:hint="eastAsia"/>
                <w:sz w:val="24"/>
                <w:szCs w:val="24"/>
              </w:rPr>
              <w:t>（DA00</w:t>
            </w:r>
            <w:r>
              <w:rPr>
                <w:rFonts w:hint="eastAsia"/>
                <w:sz w:val="24"/>
                <w:szCs w:val="24"/>
                <w:lang w:val="en-US" w:eastAsia="zh-CN"/>
              </w:rPr>
              <w:t>4</w:t>
            </w:r>
            <w:r>
              <w:rPr>
                <w:rFonts w:hint="eastAsia"/>
                <w:sz w:val="24"/>
                <w:szCs w:val="24"/>
              </w:rPr>
              <w:t>）</w:t>
            </w:r>
          </w:p>
          <w:p w14:paraId="1439BADC">
            <w:pPr>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440" w:lineRule="exact"/>
              <w:ind w:left="0" w:leftChars="0" w:right="0" w:rightChars="0"/>
              <w:jc w:val="center"/>
              <w:textAlignment w:val="auto"/>
              <w:rPr>
                <w:rFonts w:hint="eastAsia" w:ascii="宋体" w:cs="宋体"/>
                <w:kern w:val="0"/>
                <w:sz w:val="24"/>
                <w:szCs w:val="24"/>
              </w:rPr>
            </w:pPr>
            <w:r>
              <w:rPr>
                <w:rFonts w:hint="eastAsia" w:ascii="宋体" w:cs="宋体"/>
                <w:kern w:val="0"/>
                <w:sz w:val="24"/>
                <w:szCs w:val="24"/>
              </w:rPr>
              <w:t>污染源</w:t>
            </w:r>
            <w:r>
              <w:rPr>
                <w:rFonts w:hint="eastAsia" w:ascii="宋体" w:cs="宋体"/>
                <w:color w:val="000000" w:themeColor="text1"/>
                <w:kern w:val="0"/>
                <w:sz w:val="24"/>
                <w:szCs w:val="24"/>
                <w14:textFill>
                  <w14:solidFill>
                    <w14:schemeClr w14:val="tx1"/>
                  </w14:solidFill>
                </w14:textFill>
              </w:rPr>
              <w:t>：</w:t>
            </w:r>
            <w:r>
              <w:rPr>
                <w:rFonts w:hint="eastAsia" w:ascii="宋体" w:cs="宋体"/>
                <w:color w:val="000000" w:themeColor="text1"/>
                <w:kern w:val="0"/>
                <w:sz w:val="24"/>
                <w:szCs w:val="24"/>
                <w:lang w:val="en-US" w:eastAsia="zh-CN"/>
                <w14:textFill>
                  <w14:solidFill>
                    <w14:schemeClr w14:val="tx1"/>
                  </w14:solidFill>
                </w14:textFill>
              </w:rPr>
              <w:t>配料、涂布烘干、储罐呼吸、注液等废气</w:t>
            </w:r>
          </w:p>
        </w:tc>
        <w:tc>
          <w:tcPr>
            <w:tcW w:w="1015" w:type="dxa"/>
            <w:noWrap w:val="0"/>
            <w:vAlign w:val="center"/>
          </w:tcPr>
          <w:p w14:paraId="6C56CCF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leftChars="0" w:right="0" w:rightChars="0"/>
              <w:jc w:val="center"/>
              <w:rPr>
                <w:rFonts w:hint="eastAsia"/>
                <w:sz w:val="24"/>
                <w:szCs w:val="24"/>
                <w:highlight w:val="none"/>
                <w:lang w:val="en-US" w:eastAsia="zh-CN"/>
              </w:rPr>
            </w:pPr>
            <w:r>
              <w:rPr>
                <w:rFonts w:hint="eastAsia"/>
                <w:sz w:val="24"/>
                <w:szCs w:val="24"/>
                <w:highlight w:val="none"/>
                <w:lang w:val="en-US" w:eastAsia="zh-CN"/>
              </w:rPr>
              <w:t>非甲烷总烃</w:t>
            </w:r>
          </w:p>
        </w:tc>
        <w:tc>
          <w:tcPr>
            <w:tcW w:w="2685" w:type="dxa"/>
            <w:noWrap w:val="0"/>
            <w:vAlign w:val="center"/>
          </w:tcPr>
          <w:p w14:paraId="30A7E0E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leftChars="0" w:right="0" w:rightChars="0"/>
              <w:jc w:val="both"/>
              <w:rPr>
                <w:rFonts w:hint="eastAsia"/>
              </w:rPr>
            </w:pPr>
            <w:r>
              <w:rPr>
                <w:rFonts w:hint="eastAsia"/>
              </w:rPr>
              <w:t>正极配料、涂布烘干工序产生的非甲烷总烃及储罐废气经</w:t>
            </w:r>
            <w:r>
              <w:rPr>
                <w:rFonts w:hint="eastAsia"/>
                <w:lang w:val="en-US" w:eastAsia="zh-CN"/>
              </w:rPr>
              <w:t>负压收集至</w:t>
            </w:r>
            <w:r>
              <w:rPr>
                <w:rFonts w:hint="eastAsia"/>
              </w:rPr>
              <w:t>NMP高塔回收系统一并治理</w:t>
            </w:r>
            <w:r>
              <w:rPr>
                <w:rFonts w:hint="eastAsia"/>
                <w:lang w:eastAsia="zh-CN"/>
              </w:rPr>
              <w:t>，</w:t>
            </w:r>
            <w:r>
              <w:rPr>
                <w:rFonts w:hint="eastAsia"/>
                <w:lang w:val="en-US" w:eastAsia="zh-CN"/>
              </w:rPr>
              <w:t>注液废气经负压收集通至活性炭吸附脱附+催化燃烧装置治理，尾气</w:t>
            </w:r>
            <w:r>
              <w:rPr>
                <w:rFonts w:hint="eastAsia"/>
              </w:rPr>
              <w:t>通入</w:t>
            </w:r>
            <w:r>
              <w:rPr>
                <w:rFonts w:hint="eastAsia"/>
                <w:lang w:val="en-US" w:eastAsia="zh-CN"/>
              </w:rPr>
              <w:t>6</w:t>
            </w:r>
            <w:r>
              <w:rPr>
                <w:rFonts w:hint="eastAsia"/>
              </w:rPr>
              <w:t>#生产车间顶层排气筒（DA00</w:t>
            </w:r>
            <w:r>
              <w:rPr>
                <w:rFonts w:hint="eastAsia"/>
                <w:lang w:val="en-US" w:eastAsia="zh-CN"/>
              </w:rPr>
              <w:t>4</w:t>
            </w:r>
            <w:r>
              <w:rPr>
                <w:rFonts w:hint="eastAsia"/>
              </w:rPr>
              <w:t>）排出</w:t>
            </w:r>
          </w:p>
        </w:tc>
        <w:tc>
          <w:tcPr>
            <w:tcW w:w="3552" w:type="dxa"/>
            <w:noWrap w:val="0"/>
            <w:vAlign w:val="center"/>
          </w:tcPr>
          <w:p w14:paraId="1DEE2C4E">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leftChars="0" w:right="0" w:rightChars="0"/>
              <w:jc w:val="both"/>
              <w:rPr>
                <w:rFonts w:hint="eastAsia"/>
                <w:color w:val="auto"/>
                <w:sz w:val="24"/>
                <w:szCs w:val="24"/>
                <w:highlight w:val="none"/>
              </w:rPr>
            </w:pPr>
            <w:r>
              <w:rPr>
                <w:rFonts w:hint="default"/>
                <w:lang w:bidi="en-US"/>
              </w:rPr>
              <w:t>《电池工业污染物排放标准》</w:t>
            </w:r>
            <w:r>
              <w:rPr>
                <w:rFonts w:hint="eastAsia"/>
                <w:color w:val="auto"/>
                <w:sz w:val="24"/>
                <w:szCs w:val="24"/>
                <w:highlight w:val="none"/>
              </w:rPr>
              <w:t>（GB30484-2013）</w:t>
            </w:r>
            <w:r>
              <w:rPr>
                <w:rFonts w:hint="eastAsia"/>
                <w:color w:val="auto"/>
                <w:sz w:val="24"/>
                <w:szCs w:val="24"/>
                <w:highlight w:val="none"/>
                <w:lang w:eastAsia="zh-CN"/>
              </w:rPr>
              <w:t>；</w:t>
            </w:r>
            <w:r>
              <w:rPr>
                <w:rFonts w:hint="eastAsia"/>
                <w:color w:val="auto"/>
                <w:sz w:val="24"/>
                <w:szCs w:val="24"/>
                <w:highlight w:val="none"/>
                <w:lang w:val="en-US" w:eastAsia="zh-CN"/>
              </w:rPr>
              <w:t>《河南省重污染天气重点行业应急减排措施制定技术指南》（2024年修订版）电池制造A级要求；</w:t>
            </w:r>
            <w:r>
              <w:rPr>
                <w:rFonts w:hint="eastAsia"/>
                <w:color w:val="auto"/>
                <w:sz w:val="24"/>
                <w:szCs w:val="24"/>
                <w:highlight w:val="none"/>
                <w:lang w:eastAsia="zh-CN"/>
              </w:rPr>
              <w:t>《大气污染物综合排放标准》（GB16297-1996）；</w:t>
            </w:r>
            <w:r>
              <w:rPr>
                <w:rFonts w:hint="eastAsia"/>
                <w:color w:val="auto"/>
                <w:sz w:val="24"/>
                <w:szCs w:val="24"/>
                <w:highlight w:val="none"/>
              </w:rPr>
              <w:t>《关于全省开展工业企业挥发性有机物专项治理工作中排放建议值的通知》（豫环攻坚办[2017]162号）</w:t>
            </w:r>
          </w:p>
        </w:tc>
      </w:tr>
      <w:tr w14:paraId="79D6C2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2" w:type="dxa"/>
            <w:vMerge w:val="continue"/>
            <w:noWrap w:val="0"/>
            <w:vAlign w:val="center"/>
          </w:tcPr>
          <w:p w14:paraId="08B92765">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hAnsi="宋体"/>
                <w:sz w:val="24"/>
                <w:szCs w:val="24"/>
                <w:highlight w:val="none"/>
              </w:rPr>
            </w:pPr>
          </w:p>
        </w:tc>
        <w:tc>
          <w:tcPr>
            <w:tcW w:w="1707" w:type="dxa"/>
            <w:noWrap w:val="0"/>
            <w:vAlign w:val="center"/>
          </w:tcPr>
          <w:p w14:paraId="603B573B">
            <w:pPr>
              <w:keepNext w:val="0"/>
              <w:keepLines w:val="0"/>
              <w:pageBreakBefore w:val="0"/>
              <w:widowControl w:val="0"/>
              <w:suppressLineNumbers w:val="0"/>
              <w:kinsoku/>
              <w:wordWrap/>
              <w:overflowPunct/>
              <w:topLinePunct w:val="0"/>
              <w:autoSpaceDE w:val="0"/>
              <w:autoSpaceDN w:val="0"/>
              <w:bidi w:val="0"/>
              <w:adjustRightInd w:val="0"/>
              <w:spacing w:before="0" w:beforeAutospacing="0" w:after="0" w:afterAutospacing="0" w:line="440" w:lineRule="exact"/>
              <w:ind w:left="0" w:leftChars="0" w:right="0" w:rightChars="0"/>
              <w:jc w:val="center"/>
              <w:textAlignment w:val="auto"/>
              <w:rPr>
                <w:rFonts w:hint="default" w:ascii="宋体" w:cs="宋体"/>
                <w:kern w:val="0"/>
                <w:sz w:val="24"/>
                <w:szCs w:val="24"/>
                <w:highlight w:val="none"/>
                <w:lang w:val="en-US" w:eastAsia="zh-CN"/>
              </w:rPr>
            </w:pPr>
            <w:r>
              <w:rPr>
                <w:rFonts w:hint="eastAsia" w:ascii="宋体" w:cs="宋体"/>
                <w:kern w:val="0"/>
                <w:sz w:val="24"/>
                <w:szCs w:val="24"/>
                <w:highlight w:val="none"/>
                <w:lang w:val="en-US" w:eastAsia="zh-CN"/>
              </w:rPr>
              <w:t>无组织废气</w:t>
            </w:r>
          </w:p>
        </w:tc>
        <w:tc>
          <w:tcPr>
            <w:tcW w:w="1015" w:type="dxa"/>
            <w:noWrap w:val="0"/>
            <w:vAlign w:val="center"/>
          </w:tcPr>
          <w:p w14:paraId="47FC3E0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leftChars="0" w:right="0" w:rightChars="0"/>
              <w:jc w:val="center"/>
              <w:rPr>
                <w:rFonts w:hint="default" w:cs="Times New Roman"/>
                <w:color w:val="000000"/>
                <w:kern w:val="0"/>
                <w:sz w:val="24"/>
                <w:szCs w:val="24"/>
                <w:highlight w:val="none"/>
                <w:lang w:val="en-US" w:eastAsia="zh-CN"/>
              </w:rPr>
            </w:pPr>
            <w:r>
              <w:rPr>
                <w:rFonts w:hint="eastAsia"/>
                <w:sz w:val="24"/>
                <w:szCs w:val="24"/>
                <w:lang w:val="en-US" w:eastAsia="zh-CN"/>
              </w:rPr>
              <w:t>非甲烷总烃、颗粒物</w:t>
            </w:r>
          </w:p>
        </w:tc>
        <w:tc>
          <w:tcPr>
            <w:tcW w:w="2685" w:type="dxa"/>
            <w:noWrap w:val="0"/>
            <w:vAlign w:val="center"/>
          </w:tcPr>
          <w:p w14:paraId="523B088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firstLine="0" w:firstLineChars="0"/>
              <w:jc w:val="both"/>
              <w:textAlignment w:val="auto"/>
              <w:rPr>
                <w:rFonts w:hint="default"/>
                <w:lang w:val="en-US" w:eastAsia="zh-CN"/>
              </w:rPr>
            </w:pPr>
            <w:r>
              <w:rPr>
                <w:rFonts w:hint="eastAsia"/>
                <w:lang w:val="en-US" w:eastAsia="zh-CN"/>
              </w:rPr>
              <w:t>加强厂房、设备密闭</w:t>
            </w:r>
          </w:p>
        </w:tc>
        <w:tc>
          <w:tcPr>
            <w:tcW w:w="3552" w:type="dxa"/>
            <w:noWrap w:val="0"/>
            <w:vAlign w:val="center"/>
          </w:tcPr>
          <w:p w14:paraId="79280164">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leftChars="0" w:right="0" w:rightChars="0" w:firstLine="0" w:firstLineChars="0"/>
              <w:jc w:val="both"/>
              <w:textAlignment w:val="auto"/>
              <w:rPr>
                <w:rFonts w:hint="eastAsia" w:hAnsi="宋体" w:eastAsia="宋体"/>
                <w:b w:val="0"/>
                <w:bCs/>
                <w:sz w:val="24"/>
                <w:highlight w:val="none"/>
                <w:lang w:val="en-US" w:eastAsia="zh-CN"/>
              </w:rPr>
            </w:pPr>
            <w:r>
              <w:rPr>
                <w:rFonts w:hint="default"/>
                <w:lang w:bidi="en-US"/>
              </w:rPr>
              <w:t>《电池工业污染物排放标准》</w:t>
            </w:r>
            <w:r>
              <w:rPr>
                <w:rFonts w:hint="eastAsia"/>
                <w:color w:val="auto"/>
                <w:sz w:val="24"/>
                <w:szCs w:val="24"/>
                <w:highlight w:val="none"/>
              </w:rPr>
              <w:t>（GB30484-2013）</w:t>
            </w:r>
            <w:r>
              <w:rPr>
                <w:rFonts w:hint="eastAsia"/>
                <w:color w:val="auto"/>
                <w:sz w:val="24"/>
                <w:szCs w:val="24"/>
                <w:highlight w:val="none"/>
                <w:lang w:eastAsia="zh-CN"/>
              </w:rPr>
              <w:t>；</w:t>
            </w:r>
            <w:r>
              <w:rPr>
                <w:rFonts w:hint="eastAsia"/>
                <w:color w:val="auto"/>
                <w:sz w:val="24"/>
                <w:szCs w:val="24"/>
                <w:highlight w:val="none"/>
                <w:lang w:val="en-US" w:eastAsia="zh-CN"/>
              </w:rPr>
              <w:t>《河南省重污染天气重点行业应急减排措施制定技术指南》（2024年修订版）电池制造A级要求；</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挥发性有机物无组织排放控制标准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GB37822-2019</w:t>
            </w:r>
            <w:r>
              <w:rPr>
                <w:rFonts w:hint="default" w:ascii="Times New Roman" w:hAnsi="Times New Roman" w:eastAsia="宋体" w:cs="Times New Roman"/>
                <w:color w:val="auto"/>
                <w:sz w:val="24"/>
                <w:szCs w:val="24"/>
                <w:highlight w:val="none"/>
                <w:lang w:eastAsia="zh-CN"/>
              </w:rPr>
              <w:t>）</w:t>
            </w:r>
          </w:p>
        </w:tc>
      </w:tr>
      <w:tr w14:paraId="0A1683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2" w:type="dxa"/>
            <w:noWrap w:val="0"/>
            <w:vAlign w:val="center"/>
          </w:tcPr>
          <w:p w14:paraId="19CE94D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eastAsia" w:hAnsi="宋体" w:eastAsia="宋体"/>
                <w:sz w:val="24"/>
                <w:szCs w:val="24"/>
                <w:highlight w:val="none"/>
                <w:lang w:eastAsia="zh-CN"/>
              </w:rPr>
            </w:pPr>
            <w:r>
              <w:rPr>
                <w:rFonts w:hint="eastAsia" w:hAnsi="宋体"/>
                <w:sz w:val="24"/>
                <w:szCs w:val="24"/>
                <w:highlight w:val="none"/>
                <w:lang w:eastAsia="zh-CN"/>
              </w:rPr>
              <w:t>地表水环境</w:t>
            </w:r>
          </w:p>
        </w:tc>
        <w:tc>
          <w:tcPr>
            <w:tcW w:w="1707" w:type="dxa"/>
            <w:noWrap w:val="0"/>
            <w:vAlign w:val="center"/>
          </w:tcPr>
          <w:p w14:paraId="52955A7F">
            <w:pPr>
              <w:keepNext w:val="0"/>
              <w:keepLines w:val="0"/>
              <w:pageBreakBefore w:val="0"/>
              <w:widowControl w:val="0"/>
              <w:suppressLineNumbers w:val="0"/>
              <w:kinsoku/>
              <w:wordWrap/>
              <w:overflowPunct/>
              <w:topLinePunct w:val="0"/>
              <w:autoSpaceDE w:val="0"/>
              <w:autoSpaceDN w:val="0"/>
              <w:bidi w:val="0"/>
              <w:adjustRightInd w:val="0"/>
              <w:spacing w:before="0" w:beforeAutospacing="0" w:after="0" w:afterAutospacing="0" w:line="440" w:lineRule="exact"/>
              <w:ind w:left="0" w:leftChars="0" w:right="0" w:rightChars="0"/>
              <w:jc w:val="center"/>
              <w:textAlignment w:val="auto"/>
              <w:rPr>
                <w:rFonts w:hint="default" w:ascii="宋体" w:cs="宋体"/>
                <w:kern w:val="0"/>
                <w:sz w:val="24"/>
                <w:szCs w:val="24"/>
                <w:highlight w:val="none"/>
                <w:lang w:val="en-US" w:eastAsia="zh-CN"/>
              </w:rPr>
            </w:pPr>
            <w:r>
              <w:rPr>
                <w:rFonts w:hint="eastAsia" w:cs="Times New Roman"/>
                <w:kern w:val="0"/>
                <w:sz w:val="24"/>
                <w:szCs w:val="24"/>
                <w:highlight w:val="none"/>
                <w:lang w:val="en-US" w:eastAsia="zh-CN"/>
              </w:rPr>
              <w:t>废水</w:t>
            </w:r>
            <w:r>
              <w:rPr>
                <w:rFonts w:hint="default" w:ascii="Times New Roman" w:hAnsi="Times New Roman" w:cs="Times New Roman"/>
                <w:kern w:val="0"/>
                <w:sz w:val="24"/>
                <w:szCs w:val="24"/>
                <w:highlight w:val="none"/>
                <w:lang w:val="en-US" w:eastAsia="zh-CN"/>
              </w:rPr>
              <w:t>排放口DW001</w:t>
            </w:r>
          </w:p>
        </w:tc>
        <w:tc>
          <w:tcPr>
            <w:tcW w:w="1015" w:type="dxa"/>
            <w:noWrap w:val="0"/>
            <w:vAlign w:val="center"/>
          </w:tcPr>
          <w:p w14:paraId="28648A37">
            <w:pPr>
              <w:pStyle w:val="2"/>
              <w:keepLines w:val="0"/>
              <w:suppressLineNumbers w:val="0"/>
              <w:spacing w:before="0" w:beforeAutospacing="0" w:after="0" w:afterAutospacing="0" w:line="360" w:lineRule="exact"/>
              <w:ind w:left="252" w:right="0" w:hanging="252" w:hangingChars="105"/>
              <w:jc w:val="center"/>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t>COD</w:t>
            </w:r>
          </w:p>
          <w:p w14:paraId="764ED22F">
            <w:pPr>
              <w:pStyle w:val="2"/>
              <w:keepLines w:val="0"/>
              <w:suppressLineNumbers w:val="0"/>
              <w:spacing w:before="0" w:beforeAutospacing="0" w:after="0" w:afterAutospacing="0" w:line="360" w:lineRule="exact"/>
              <w:ind w:left="252" w:right="0" w:hanging="252" w:hangingChars="105"/>
              <w:jc w:val="center"/>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t>SS</w:t>
            </w:r>
          </w:p>
          <w:p w14:paraId="5D9444C1">
            <w:pPr>
              <w:pStyle w:val="2"/>
              <w:keepLines w:val="0"/>
              <w:suppressLineNumbers w:val="0"/>
              <w:spacing w:before="0" w:beforeAutospacing="0" w:after="0" w:afterAutospacing="0" w:line="360" w:lineRule="exact"/>
              <w:ind w:left="252" w:right="0" w:hanging="252" w:hangingChars="105"/>
              <w:jc w:val="center"/>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t>NH</w:t>
            </w:r>
            <w:r>
              <w:rPr>
                <w:rFonts w:hint="default" w:ascii="Times New Roman" w:hAnsi="Times New Roman" w:eastAsia="宋体" w:cs="Times New Roman"/>
                <w:b w:val="0"/>
                <w:bCs w:val="0"/>
                <w:sz w:val="24"/>
                <w:szCs w:val="24"/>
                <w:vertAlign w:val="subscript"/>
              </w:rPr>
              <w:t>3</w:t>
            </w:r>
            <w:r>
              <w:rPr>
                <w:rFonts w:hint="default" w:ascii="Times New Roman" w:hAnsi="Times New Roman" w:eastAsia="宋体" w:cs="Times New Roman"/>
                <w:b w:val="0"/>
                <w:bCs w:val="0"/>
                <w:sz w:val="24"/>
                <w:szCs w:val="24"/>
              </w:rPr>
              <w:t>-N</w:t>
            </w:r>
          </w:p>
          <w:p w14:paraId="0D85BA4F">
            <w:pPr>
              <w:pStyle w:val="2"/>
              <w:keepLines w:val="0"/>
              <w:suppressLineNumbers w:val="0"/>
              <w:spacing w:before="0" w:beforeAutospacing="0" w:after="0" w:afterAutospacing="0" w:line="360" w:lineRule="exact"/>
              <w:ind w:left="252" w:right="0" w:hanging="252" w:hangingChars="105"/>
              <w:jc w:val="center"/>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t>TP</w:t>
            </w:r>
          </w:p>
          <w:p w14:paraId="64FBF899">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leftChars="0" w:right="0" w:rightChars="0"/>
              <w:jc w:val="center"/>
              <w:rPr>
                <w:rFonts w:hint="eastAsia"/>
                <w:sz w:val="24"/>
                <w:szCs w:val="24"/>
                <w:lang w:val="en-US" w:eastAsia="zh-CN"/>
              </w:rPr>
            </w:pPr>
            <w:r>
              <w:rPr>
                <w:rFonts w:hint="default" w:ascii="Times New Roman" w:hAnsi="Times New Roman" w:eastAsia="宋体" w:cs="Times New Roman"/>
                <w:b w:val="0"/>
                <w:bCs w:val="0"/>
                <w:sz w:val="24"/>
                <w:szCs w:val="24"/>
              </w:rPr>
              <w:t>TN</w:t>
            </w:r>
          </w:p>
        </w:tc>
        <w:tc>
          <w:tcPr>
            <w:tcW w:w="2685" w:type="dxa"/>
            <w:noWrap w:val="0"/>
            <w:vAlign w:val="center"/>
          </w:tcPr>
          <w:p w14:paraId="0D6A322A">
            <w:pPr>
              <w:keepNext w:val="0"/>
              <w:keepLines w:val="0"/>
              <w:widowControl/>
              <w:suppressLineNumbers w:val="0"/>
              <w:spacing w:before="0" w:beforeAutospacing="0" w:after="0" w:afterAutospacing="0"/>
              <w:ind w:left="0" w:right="0"/>
              <w:jc w:val="both"/>
              <w:rPr>
                <w:rFonts w:hint="default" w:hAnsi="宋体"/>
                <w:color w:val="000000" w:themeColor="text1"/>
                <w:sz w:val="24"/>
                <w:lang w:val="en-US"/>
                <w14:textFill>
                  <w14:solidFill>
                    <w14:schemeClr w14:val="tx1"/>
                  </w14:solidFill>
                </w14:textFill>
              </w:rPr>
            </w:pPr>
            <w:r>
              <w:rPr>
                <w:rFonts w:hint="default" w:ascii="Times New Roman" w:hAnsi="Times New Roman" w:cs="Times New Roman"/>
                <w:kern w:val="0"/>
                <w:sz w:val="24"/>
                <w:szCs w:val="24"/>
                <w:lang w:val="en-US" w:eastAsia="zh-CN"/>
              </w:rPr>
              <w:t>生产废水经沉淀池沉淀后与生活污水一并通至厂区污水处理站处理（处理能力：</w:t>
            </w:r>
            <w:r>
              <w:rPr>
                <w:rFonts w:hint="eastAsia" w:cs="Times New Roman"/>
                <w:kern w:val="0"/>
                <w:sz w:val="24"/>
                <w:szCs w:val="24"/>
                <w:lang w:val="en-US" w:eastAsia="zh-CN"/>
              </w:rPr>
              <w:t>30</w:t>
            </w:r>
            <w:r>
              <w:rPr>
                <w:rFonts w:hint="default" w:ascii="Times New Roman" w:hAnsi="Times New Roman" w:cs="Times New Roman"/>
                <w:kern w:val="0"/>
                <w:sz w:val="24"/>
                <w:szCs w:val="24"/>
                <w:lang w:val="en-US" w:eastAsia="zh-CN"/>
              </w:rPr>
              <w:t>0t/d；处理工艺：“混凝沉淀+水解酸化（厌氧）+AO 工艺”）处理后，经厂区总排口排入新乡县综合污水处理厂进一步处理；</w:t>
            </w:r>
          </w:p>
        </w:tc>
        <w:tc>
          <w:tcPr>
            <w:tcW w:w="3552" w:type="dxa"/>
            <w:noWrap w:val="0"/>
            <w:vAlign w:val="center"/>
          </w:tcPr>
          <w:p w14:paraId="06D86C6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440" w:lineRule="exact"/>
              <w:ind w:left="0" w:leftChars="0" w:right="0" w:firstLine="0" w:firstLineChars="0"/>
              <w:jc w:val="center"/>
              <w:textAlignment w:val="auto"/>
              <w:rPr>
                <w:rFonts w:hint="default" w:ascii="宋体" w:eastAsia="宋体" w:cs="宋体"/>
                <w:kern w:val="0"/>
                <w:sz w:val="24"/>
                <w:szCs w:val="24"/>
                <w:lang w:val="en-US" w:eastAsia="zh-CN"/>
              </w:rPr>
            </w:pPr>
            <w:r>
              <w:rPr>
                <w:rFonts w:hint="default"/>
                <w:lang w:bidi="en-US"/>
              </w:rPr>
              <w:t>《电池工业污染物排放标准》</w:t>
            </w:r>
            <w:r>
              <w:rPr>
                <w:rFonts w:hint="eastAsia"/>
                <w:color w:val="auto"/>
                <w:sz w:val="24"/>
                <w:szCs w:val="24"/>
                <w:highlight w:val="none"/>
              </w:rPr>
              <w:t>（GB30484-2013）</w:t>
            </w:r>
            <w:r>
              <w:rPr>
                <w:rFonts w:hint="eastAsia"/>
                <w:color w:val="auto"/>
                <w:sz w:val="24"/>
                <w:szCs w:val="24"/>
                <w:highlight w:val="none"/>
                <w:lang w:eastAsia="zh-CN"/>
              </w:rPr>
              <w:t>、</w:t>
            </w:r>
            <w:r>
              <w:rPr>
                <w:rFonts w:hint="eastAsia"/>
                <w:color w:val="auto"/>
                <w:sz w:val="24"/>
                <w:szCs w:val="24"/>
                <w:highlight w:val="none"/>
                <w:lang w:val="en-US" w:eastAsia="zh-CN"/>
              </w:rPr>
              <w:t>新乡县综合污水处理厂收水标准</w:t>
            </w:r>
          </w:p>
        </w:tc>
      </w:tr>
      <w:tr w14:paraId="0FCC94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85" w:hRule="atLeast"/>
          <w:jc w:val="center"/>
        </w:trPr>
        <w:tc>
          <w:tcPr>
            <w:tcW w:w="932" w:type="dxa"/>
            <w:noWrap w:val="0"/>
            <w:vAlign w:val="center"/>
          </w:tcPr>
          <w:p w14:paraId="72497F0B">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hAnsi="宋体"/>
                <w:sz w:val="24"/>
                <w:szCs w:val="24"/>
                <w:highlight w:val="none"/>
              </w:rPr>
            </w:pPr>
            <w:r>
              <w:rPr>
                <w:rFonts w:hint="default" w:hAnsi="宋体"/>
                <w:sz w:val="24"/>
                <w:szCs w:val="24"/>
                <w:highlight w:val="none"/>
              </w:rPr>
              <w:t>声</w:t>
            </w:r>
          </w:p>
          <w:p w14:paraId="566AA1F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hAnsi="宋体"/>
                <w:sz w:val="24"/>
                <w:szCs w:val="24"/>
                <w:highlight w:val="none"/>
              </w:rPr>
            </w:pPr>
            <w:r>
              <w:rPr>
                <w:rFonts w:hint="default" w:hAnsi="宋体"/>
                <w:sz w:val="24"/>
                <w:szCs w:val="24"/>
                <w:highlight w:val="none"/>
              </w:rPr>
              <w:t>环</w:t>
            </w:r>
          </w:p>
          <w:p w14:paraId="21A6B14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sz w:val="24"/>
                <w:szCs w:val="24"/>
                <w:highlight w:val="none"/>
              </w:rPr>
            </w:pPr>
            <w:r>
              <w:rPr>
                <w:rFonts w:hint="default" w:hAnsi="宋体"/>
                <w:sz w:val="24"/>
                <w:szCs w:val="24"/>
                <w:highlight w:val="none"/>
              </w:rPr>
              <w:t>境</w:t>
            </w:r>
          </w:p>
        </w:tc>
        <w:tc>
          <w:tcPr>
            <w:tcW w:w="1707" w:type="dxa"/>
            <w:noWrap w:val="0"/>
            <w:vAlign w:val="center"/>
          </w:tcPr>
          <w:p w14:paraId="2E45CAAC">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sz w:val="24"/>
                <w:szCs w:val="24"/>
                <w:highlight w:val="none"/>
              </w:rPr>
            </w:pPr>
            <w:r>
              <w:rPr>
                <w:rFonts w:hint="eastAsia"/>
                <w:sz w:val="24"/>
                <w:szCs w:val="24"/>
                <w:highlight w:val="none"/>
              </w:rPr>
              <w:t>生产设备</w:t>
            </w:r>
          </w:p>
        </w:tc>
        <w:tc>
          <w:tcPr>
            <w:tcW w:w="1015" w:type="dxa"/>
            <w:noWrap w:val="0"/>
            <w:vAlign w:val="center"/>
          </w:tcPr>
          <w:p w14:paraId="7789A6E9">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sz w:val="24"/>
                <w:szCs w:val="24"/>
                <w:highlight w:val="none"/>
              </w:rPr>
            </w:pPr>
            <w:r>
              <w:rPr>
                <w:rFonts w:hint="eastAsia"/>
                <w:sz w:val="24"/>
                <w:szCs w:val="24"/>
                <w:highlight w:val="none"/>
              </w:rPr>
              <w:t>噪声</w:t>
            </w:r>
          </w:p>
        </w:tc>
        <w:tc>
          <w:tcPr>
            <w:tcW w:w="2685" w:type="dxa"/>
            <w:noWrap w:val="0"/>
            <w:vAlign w:val="center"/>
          </w:tcPr>
          <w:p w14:paraId="0BCF6C4E">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eastAsia"/>
                <w:color w:val="auto"/>
                <w:sz w:val="24"/>
                <w:szCs w:val="24"/>
                <w:highlight w:val="none"/>
              </w:rPr>
            </w:pPr>
            <w:r>
              <w:rPr>
                <w:rFonts w:hint="eastAsia"/>
                <w:color w:val="auto"/>
                <w:sz w:val="24"/>
                <w:szCs w:val="24"/>
                <w:highlight w:val="none"/>
              </w:rPr>
              <w:t>基础减振、</w:t>
            </w:r>
          </w:p>
          <w:p w14:paraId="27983B0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color w:val="auto"/>
                <w:sz w:val="24"/>
                <w:szCs w:val="24"/>
                <w:highlight w:val="none"/>
              </w:rPr>
            </w:pPr>
            <w:r>
              <w:rPr>
                <w:rFonts w:hint="eastAsia"/>
                <w:color w:val="auto"/>
                <w:sz w:val="24"/>
                <w:szCs w:val="24"/>
                <w:highlight w:val="none"/>
              </w:rPr>
              <w:t>厂房</w:t>
            </w:r>
            <w:r>
              <w:rPr>
                <w:rFonts w:hint="eastAsia"/>
                <w:color w:val="auto"/>
                <w:sz w:val="24"/>
                <w:szCs w:val="24"/>
                <w:highlight w:val="none"/>
                <w:lang w:val="en-US" w:eastAsia="zh-CN"/>
              </w:rPr>
              <w:t>封闭</w:t>
            </w:r>
            <w:r>
              <w:rPr>
                <w:rFonts w:hint="eastAsia"/>
                <w:color w:val="auto"/>
                <w:sz w:val="24"/>
                <w:szCs w:val="24"/>
                <w:highlight w:val="none"/>
              </w:rPr>
              <w:t>隔音等</w:t>
            </w:r>
          </w:p>
        </w:tc>
        <w:tc>
          <w:tcPr>
            <w:tcW w:w="3552" w:type="dxa"/>
            <w:noWrap w:val="0"/>
            <w:vAlign w:val="center"/>
          </w:tcPr>
          <w:p w14:paraId="11EFF762">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eastAsia" w:eastAsia="黑体"/>
                <w:color w:val="auto"/>
                <w:sz w:val="24"/>
                <w:szCs w:val="24"/>
                <w:highlight w:val="none"/>
                <w:lang w:eastAsia="zh-CN"/>
              </w:rPr>
            </w:pPr>
            <w:r>
              <w:rPr>
                <w:rFonts w:hint="default"/>
                <w:color w:val="auto"/>
                <w:sz w:val="24"/>
                <w:szCs w:val="24"/>
                <w:highlight w:val="none"/>
              </w:rPr>
              <w:t>《工业企业厂界环境噪声排放标准》（GB12348-2008）</w:t>
            </w:r>
            <w:r>
              <w:rPr>
                <w:rFonts w:hint="eastAsia"/>
                <w:color w:val="auto"/>
                <w:sz w:val="24"/>
                <w:szCs w:val="24"/>
                <w:highlight w:val="none"/>
                <w:lang w:val="en-US" w:eastAsia="zh-CN"/>
              </w:rPr>
              <w:t>3</w:t>
            </w:r>
            <w:r>
              <w:rPr>
                <w:rFonts w:hint="default"/>
                <w:color w:val="auto"/>
                <w:sz w:val="24"/>
                <w:szCs w:val="24"/>
                <w:highlight w:val="none"/>
              </w:rPr>
              <w:t>类</w:t>
            </w:r>
            <w:r>
              <w:rPr>
                <w:rFonts w:hint="eastAsia"/>
                <w:color w:val="auto"/>
                <w:sz w:val="24"/>
                <w:highlight w:val="none"/>
                <w:lang w:eastAsia="zh-CN"/>
              </w:rPr>
              <w:t>昼间</w:t>
            </w:r>
            <w:r>
              <w:rPr>
                <w:rFonts w:hint="default" w:ascii="Arial" w:hAnsi="Arial" w:cs="Arial"/>
                <w:color w:val="auto"/>
                <w:sz w:val="24"/>
                <w:highlight w:val="none"/>
                <w:lang w:eastAsia="zh-CN"/>
              </w:rPr>
              <w:t>≤</w:t>
            </w:r>
            <w:r>
              <w:rPr>
                <w:rFonts w:hint="default" w:ascii="Times New Roman" w:hAnsi="Times New Roman" w:cs="Times New Roman"/>
                <w:color w:val="auto"/>
                <w:sz w:val="24"/>
                <w:highlight w:val="none"/>
                <w:lang w:val="en-US" w:eastAsia="zh-CN"/>
              </w:rPr>
              <w:t>65</w:t>
            </w:r>
            <w:r>
              <w:rPr>
                <w:rFonts w:hint="default" w:ascii="Times New Roman" w:hAnsi="Times New Roman" w:cs="Times New Roman"/>
                <w:b w:val="0"/>
                <w:bCs/>
                <w:color w:val="000000" w:themeColor="text1"/>
                <w:sz w:val="24"/>
                <w:highlight w:val="none"/>
                <w14:textFill>
                  <w14:solidFill>
                    <w14:schemeClr w14:val="tx1"/>
                  </w14:solidFill>
                </w14:textFill>
              </w:rPr>
              <w:t>dB（A</w:t>
            </w:r>
            <w:r>
              <w:rPr>
                <w:rFonts w:hint="default" w:ascii="Times New Roman" w:hAnsi="Times New Roman" w:eastAsia="黑体" w:cs="Times New Roman"/>
                <w:b w:val="0"/>
                <w:bCs/>
                <w:color w:val="000000" w:themeColor="text1"/>
                <w:sz w:val="24"/>
                <w:szCs w:val="20"/>
                <w:highlight w:val="none"/>
                <w14:textFill>
                  <w14:solidFill>
                    <w14:schemeClr w14:val="tx1"/>
                  </w14:solidFill>
                </w14:textFill>
              </w:rPr>
              <w:t>）</w:t>
            </w:r>
            <w:r>
              <w:rPr>
                <w:rFonts w:hint="default" w:ascii="Times New Roman" w:hAnsi="Times New Roman" w:eastAsia="黑体" w:cs="Times New Roman"/>
                <w:b w:val="0"/>
                <w:bCs/>
                <w:color w:val="000000" w:themeColor="text1"/>
                <w:sz w:val="24"/>
                <w:szCs w:val="20"/>
                <w:highlight w:val="none"/>
                <w:lang w:eastAsia="zh-CN"/>
                <w14:textFill>
                  <w14:solidFill>
                    <w14:schemeClr w14:val="tx1"/>
                  </w14:solidFill>
                </w14:textFill>
              </w:rPr>
              <w:t>、</w:t>
            </w:r>
            <w:r>
              <w:rPr>
                <w:rFonts w:hint="default" w:ascii="Times New Roman" w:hAnsi="Times New Roman" w:cs="Times New Roman"/>
                <w:color w:val="auto"/>
                <w:sz w:val="24"/>
                <w:highlight w:val="none"/>
                <w:lang w:eastAsia="zh-CN"/>
              </w:rPr>
              <w:t>昼间≤</w:t>
            </w:r>
            <w:r>
              <w:rPr>
                <w:rFonts w:hint="default" w:ascii="Times New Roman" w:hAnsi="Times New Roman" w:cs="Times New Roman"/>
                <w:color w:val="auto"/>
                <w:sz w:val="24"/>
                <w:highlight w:val="none"/>
                <w:lang w:val="en-US" w:eastAsia="zh-CN"/>
              </w:rPr>
              <w:t>55</w:t>
            </w:r>
            <w:r>
              <w:rPr>
                <w:rFonts w:hint="default" w:ascii="Times New Roman" w:hAnsi="Times New Roman" w:cs="Times New Roman"/>
                <w:b w:val="0"/>
                <w:bCs/>
                <w:color w:val="000000" w:themeColor="text1"/>
                <w:sz w:val="24"/>
                <w:highlight w:val="none"/>
                <w14:textFill>
                  <w14:solidFill>
                    <w14:schemeClr w14:val="tx1"/>
                  </w14:solidFill>
                </w14:textFill>
              </w:rPr>
              <w:t>dB（A</w:t>
            </w:r>
            <w:r>
              <w:rPr>
                <w:rFonts w:hint="default" w:ascii="Times New Roman" w:hAnsi="Times New Roman" w:eastAsia="黑体" w:cs="Times New Roman"/>
                <w:b w:val="0"/>
                <w:bCs/>
                <w:color w:val="000000" w:themeColor="text1"/>
                <w:sz w:val="24"/>
                <w:szCs w:val="20"/>
                <w:highlight w:val="none"/>
                <w14:textFill>
                  <w14:solidFill>
                    <w14:schemeClr w14:val="tx1"/>
                  </w14:solidFill>
                </w14:textFill>
              </w:rPr>
              <w:t>）</w:t>
            </w:r>
          </w:p>
        </w:tc>
      </w:tr>
      <w:tr w14:paraId="530DDE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932" w:type="dxa"/>
            <w:noWrap w:val="0"/>
            <w:vAlign w:val="center"/>
          </w:tcPr>
          <w:p w14:paraId="485E29E5">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hAnsi="宋体"/>
                <w:sz w:val="24"/>
                <w:szCs w:val="24"/>
                <w:highlight w:val="none"/>
              </w:rPr>
            </w:pPr>
            <w:r>
              <w:rPr>
                <w:rFonts w:hint="default" w:hAnsi="宋体"/>
                <w:sz w:val="24"/>
                <w:szCs w:val="24"/>
                <w:highlight w:val="none"/>
              </w:rPr>
              <w:t>固体</w:t>
            </w:r>
          </w:p>
          <w:p w14:paraId="04DCCD0E">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hAnsi="宋体"/>
                <w:sz w:val="24"/>
                <w:szCs w:val="24"/>
                <w:highlight w:val="none"/>
              </w:rPr>
            </w:pPr>
            <w:r>
              <w:rPr>
                <w:rFonts w:hint="default" w:hAnsi="宋体"/>
                <w:sz w:val="24"/>
                <w:szCs w:val="24"/>
                <w:highlight w:val="none"/>
              </w:rPr>
              <w:t>废物</w:t>
            </w:r>
          </w:p>
        </w:tc>
        <w:tc>
          <w:tcPr>
            <w:tcW w:w="8959" w:type="dxa"/>
            <w:gridSpan w:val="4"/>
            <w:noWrap w:val="0"/>
            <w:vAlign w:val="center"/>
          </w:tcPr>
          <w:p w14:paraId="146025B9">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440" w:lineRule="exact"/>
              <w:ind w:left="0" w:right="0" w:firstLine="480" w:firstLineChars="200"/>
              <w:jc w:val="both"/>
              <w:textAlignment w:val="auto"/>
              <w:rPr>
                <w:rFonts w:hint="eastAsia"/>
                <w:color w:val="000000"/>
                <w:kern w:val="24"/>
                <w:sz w:val="24"/>
                <w:szCs w:val="24"/>
              </w:rPr>
            </w:pPr>
            <w:r>
              <w:rPr>
                <w:rFonts w:hint="eastAsia"/>
                <w:color w:val="auto"/>
                <w:sz w:val="24"/>
                <w:lang w:val="en-US" w:eastAsia="zh-CN"/>
              </w:rPr>
              <w:t>废包装物、废边角料、污泥等一般固废间暂存，定期外售</w:t>
            </w:r>
            <w:r>
              <w:rPr>
                <w:rFonts w:hint="eastAsia"/>
                <w:color w:val="000000"/>
                <w:kern w:val="24"/>
                <w:sz w:val="24"/>
                <w:szCs w:val="24"/>
              </w:rPr>
              <w:t>。</w:t>
            </w:r>
            <w:r>
              <w:rPr>
                <w:rFonts w:hint="eastAsia"/>
                <w:color w:val="000000"/>
                <w:kern w:val="24"/>
                <w:sz w:val="24"/>
                <w:szCs w:val="24"/>
                <w:lang w:val="en-US" w:eastAsia="zh-CN"/>
              </w:rPr>
              <w:t>本项目</w:t>
            </w:r>
            <w:r>
              <w:rPr>
                <w:rFonts w:hint="eastAsia"/>
                <w:color w:val="000000"/>
                <w:kern w:val="24"/>
                <w:sz w:val="24"/>
                <w:szCs w:val="24"/>
              </w:rPr>
              <w:t>一般固废</w:t>
            </w:r>
            <w:r>
              <w:rPr>
                <w:rFonts w:hint="eastAsia"/>
                <w:color w:val="000000"/>
                <w:kern w:val="24"/>
                <w:sz w:val="24"/>
                <w:szCs w:val="24"/>
                <w:lang w:val="en-US" w:eastAsia="zh-CN"/>
              </w:rPr>
              <w:t>暂存间总</w:t>
            </w:r>
            <w:r>
              <w:rPr>
                <w:rFonts w:hint="eastAsia"/>
                <w:color w:val="000000"/>
                <w:kern w:val="24"/>
                <w:sz w:val="24"/>
                <w:szCs w:val="24"/>
              </w:rPr>
              <w:t>建筑面积</w:t>
            </w:r>
            <w:r>
              <w:rPr>
                <w:rFonts w:hint="eastAsia"/>
                <w:color w:val="000000"/>
                <w:kern w:val="24"/>
                <w:sz w:val="24"/>
                <w:szCs w:val="24"/>
                <w:lang w:val="en-US" w:eastAsia="zh-CN"/>
              </w:rPr>
              <w:t>350</w:t>
            </w:r>
            <w:r>
              <w:rPr>
                <w:rFonts w:hint="eastAsia"/>
                <w:color w:val="000000"/>
                <w:kern w:val="24"/>
                <w:sz w:val="24"/>
                <w:szCs w:val="24"/>
              </w:rPr>
              <w:t>m</w:t>
            </w:r>
            <w:r>
              <w:rPr>
                <w:rFonts w:hint="eastAsia"/>
                <w:color w:val="000000"/>
                <w:kern w:val="24"/>
                <w:sz w:val="24"/>
                <w:szCs w:val="24"/>
                <w:vertAlign w:val="superscript"/>
              </w:rPr>
              <w:t>2</w:t>
            </w:r>
            <w:r>
              <w:rPr>
                <w:rFonts w:hint="eastAsia"/>
                <w:color w:val="000000"/>
                <w:kern w:val="24"/>
                <w:sz w:val="24"/>
                <w:szCs w:val="24"/>
              </w:rPr>
              <w:t>，</w:t>
            </w:r>
            <w:r>
              <w:rPr>
                <w:rFonts w:hint="eastAsia"/>
                <w:color w:val="000000"/>
                <w:kern w:val="24"/>
                <w:sz w:val="24"/>
                <w:szCs w:val="24"/>
                <w:lang w:val="en-US" w:eastAsia="zh-CN"/>
              </w:rPr>
              <w:t>一般固废间满足</w:t>
            </w:r>
            <w:r>
              <w:rPr>
                <w:rFonts w:hint="eastAsia"/>
                <w:color w:val="000000"/>
                <w:kern w:val="24"/>
                <w:sz w:val="24"/>
                <w:szCs w:val="24"/>
              </w:rPr>
              <w:t>《一般工业固体废物贮存和填埋污染控制标准》（GB18599-2020）</w:t>
            </w:r>
            <w:r>
              <w:rPr>
                <w:rFonts w:hint="eastAsia"/>
                <w:color w:val="000000"/>
                <w:kern w:val="24"/>
                <w:sz w:val="24"/>
                <w:szCs w:val="24"/>
                <w:lang w:val="en-US" w:eastAsia="zh-CN"/>
              </w:rPr>
              <w:t>要求</w:t>
            </w:r>
            <w:r>
              <w:rPr>
                <w:rFonts w:hint="eastAsia"/>
                <w:color w:val="000000"/>
                <w:kern w:val="24"/>
                <w:sz w:val="24"/>
                <w:szCs w:val="24"/>
              </w:rPr>
              <w:t>，并做到防风、防雨、防晒等措施。</w:t>
            </w:r>
          </w:p>
          <w:p w14:paraId="618B9569">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440" w:lineRule="exact"/>
              <w:ind w:left="0" w:right="0" w:firstLine="480" w:firstLineChars="200"/>
              <w:jc w:val="both"/>
              <w:textAlignment w:val="auto"/>
              <w:rPr>
                <w:rFonts w:hint="default"/>
              </w:rPr>
            </w:pPr>
            <w:r>
              <w:rPr>
                <w:rFonts w:hint="eastAsia"/>
                <w:color w:val="auto"/>
                <w:sz w:val="24"/>
                <w:lang w:val="en-US" w:eastAsia="zh-CN"/>
              </w:rPr>
              <w:t>废活性炭和废催化剂、废机油、检测废液、NMP</w:t>
            </w:r>
            <w:r>
              <w:rPr>
                <w:rFonts w:hint="default" w:ascii="Times New Roman" w:hAnsi="Times New Roman" w:cs="Times New Roman"/>
                <w:sz w:val="24"/>
                <w:szCs w:val="24"/>
              </w:rPr>
              <w:t>溶剂、含NMP废水</w:t>
            </w:r>
            <w:r>
              <w:rPr>
                <w:rFonts w:hint="eastAsia"/>
                <w:color w:val="auto"/>
                <w:sz w:val="24"/>
                <w:lang w:val="en-US" w:eastAsia="zh-CN"/>
              </w:rPr>
              <w:t>等暂存于危险废物暂存间，</w:t>
            </w:r>
            <w:r>
              <w:rPr>
                <w:rFonts w:hint="eastAsia"/>
                <w:bCs/>
                <w:color w:val="000000"/>
                <w:sz w:val="24"/>
              </w:rPr>
              <w:t>定期交由有资质的单位处置</w:t>
            </w:r>
            <w:r>
              <w:rPr>
                <w:rFonts w:hint="eastAsia"/>
                <w:bCs/>
                <w:color w:val="000000"/>
                <w:sz w:val="24"/>
                <w:lang w:eastAsia="zh-CN"/>
              </w:rPr>
              <w:t>。</w:t>
            </w:r>
            <w:r>
              <w:rPr>
                <w:rFonts w:hint="eastAsia"/>
                <w:bCs/>
                <w:color w:val="000000"/>
                <w:sz w:val="24"/>
                <w:lang w:val="en-US" w:eastAsia="zh-CN"/>
              </w:rPr>
              <w:t>本项目危险废物暂存间总面积20m</w:t>
            </w:r>
            <w:r>
              <w:rPr>
                <w:rFonts w:hint="eastAsia"/>
                <w:color w:val="000000"/>
                <w:kern w:val="24"/>
                <w:sz w:val="24"/>
                <w:szCs w:val="24"/>
                <w:vertAlign w:val="superscript"/>
              </w:rPr>
              <w:t>2</w:t>
            </w:r>
            <w:r>
              <w:rPr>
                <w:rFonts w:hint="eastAsia"/>
                <w:color w:val="000000"/>
                <w:kern w:val="24"/>
                <w:sz w:val="24"/>
                <w:szCs w:val="24"/>
              </w:rPr>
              <w:t>，</w:t>
            </w:r>
            <w:r>
              <w:rPr>
                <w:rFonts w:hint="eastAsia"/>
                <w:color w:val="000000"/>
                <w:kern w:val="24"/>
                <w:sz w:val="24"/>
                <w:szCs w:val="24"/>
                <w:lang w:val="en-US" w:eastAsia="zh-CN"/>
              </w:rPr>
              <w:t>满足</w:t>
            </w:r>
            <w:r>
              <w:rPr>
                <w:rFonts w:hint="eastAsia"/>
                <w:sz w:val="24"/>
                <w:lang w:val="en-US" w:eastAsia="zh-CN"/>
              </w:rPr>
              <w:t>《危险废物贮存污染控制标准》（GB 18597-2023）要求，将危险废物分装于专门的容器内，存放在厂区内危险废物暂存间内，贮存期间注意防风、防晒、防雨、防渗措施，并设立危险废物标志。</w:t>
            </w:r>
          </w:p>
        </w:tc>
      </w:tr>
      <w:tr w14:paraId="022C62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30" w:hRule="atLeast"/>
          <w:jc w:val="center"/>
        </w:trPr>
        <w:tc>
          <w:tcPr>
            <w:tcW w:w="932" w:type="dxa"/>
            <w:noWrap w:val="0"/>
            <w:vAlign w:val="center"/>
          </w:tcPr>
          <w:p w14:paraId="0652444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sz w:val="24"/>
                <w:szCs w:val="24"/>
                <w:highlight w:val="yellow"/>
              </w:rPr>
            </w:pPr>
            <w:r>
              <w:rPr>
                <w:rFonts w:hint="default"/>
                <w:sz w:val="24"/>
                <w:szCs w:val="24"/>
                <w:highlight w:val="none"/>
              </w:rPr>
              <w:t>土壤及地下水污染防治措施</w:t>
            </w:r>
          </w:p>
        </w:tc>
        <w:tc>
          <w:tcPr>
            <w:tcW w:w="8959" w:type="dxa"/>
            <w:gridSpan w:val="4"/>
            <w:noWrap w:val="0"/>
            <w:vAlign w:val="center"/>
          </w:tcPr>
          <w:p w14:paraId="12CD332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left"/>
              <w:textAlignment w:val="auto"/>
              <w:rPr>
                <w:rFonts w:hint="default" w:eastAsia="宋体"/>
                <w:sz w:val="24"/>
                <w:szCs w:val="24"/>
                <w:highlight w:val="yellow"/>
                <w:lang w:val="en-US" w:eastAsia="zh-CN"/>
              </w:rPr>
            </w:pPr>
            <w:r>
              <w:rPr>
                <w:rFonts w:hint="eastAsia"/>
                <w:sz w:val="24"/>
                <w:lang w:val="en-US" w:eastAsia="zh-CN"/>
              </w:rPr>
              <w:t>对危废暂存间进行重点防渗；一般固废暂存间进行一般防渗区；办公楼采取一般地面硬化措施。</w:t>
            </w:r>
          </w:p>
        </w:tc>
      </w:tr>
      <w:tr w14:paraId="02ECD6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0" w:hRule="atLeast"/>
          <w:jc w:val="center"/>
        </w:trPr>
        <w:tc>
          <w:tcPr>
            <w:tcW w:w="932" w:type="dxa"/>
            <w:noWrap w:val="0"/>
            <w:vAlign w:val="center"/>
          </w:tcPr>
          <w:p w14:paraId="1F94905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sz w:val="24"/>
                <w:szCs w:val="24"/>
                <w:highlight w:val="none"/>
              </w:rPr>
            </w:pPr>
            <w:r>
              <w:rPr>
                <w:rFonts w:hint="default" w:hAnsi="宋体"/>
                <w:sz w:val="24"/>
                <w:szCs w:val="24"/>
                <w:highlight w:val="none"/>
              </w:rPr>
              <w:t>生态保护措施</w:t>
            </w:r>
          </w:p>
        </w:tc>
        <w:tc>
          <w:tcPr>
            <w:tcW w:w="8959" w:type="dxa"/>
            <w:gridSpan w:val="4"/>
            <w:noWrap w:val="0"/>
            <w:vAlign w:val="center"/>
          </w:tcPr>
          <w:p w14:paraId="71FE171D">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eastAsia"/>
                <w:sz w:val="24"/>
                <w:szCs w:val="24"/>
                <w:highlight w:val="none"/>
              </w:rPr>
            </w:pPr>
            <w:r>
              <w:rPr>
                <w:rFonts w:hint="eastAsia"/>
                <w:sz w:val="24"/>
                <w:szCs w:val="24"/>
                <w:highlight w:val="none"/>
              </w:rPr>
              <w:t>/</w:t>
            </w:r>
          </w:p>
        </w:tc>
      </w:tr>
      <w:tr w14:paraId="23E62E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0" w:hRule="atLeast"/>
          <w:jc w:val="center"/>
        </w:trPr>
        <w:tc>
          <w:tcPr>
            <w:tcW w:w="932" w:type="dxa"/>
            <w:noWrap w:val="0"/>
            <w:vAlign w:val="center"/>
          </w:tcPr>
          <w:p w14:paraId="2070957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hAnsi="宋体"/>
                <w:sz w:val="24"/>
                <w:szCs w:val="24"/>
                <w:highlight w:val="none"/>
              </w:rPr>
            </w:pPr>
            <w:r>
              <w:rPr>
                <w:rFonts w:hint="default" w:hAnsi="宋体"/>
                <w:spacing w:val="-8"/>
                <w:sz w:val="24"/>
                <w:szCs w:val="24"/>
                <w:highlight w:val="none"/>
              </w:rPr>
              <w:t>环境风险防范措施</w:t>
            </w:r>
          </w:p>
        </w:tc>
        <w:tc>
          <w:tcPr>
            <w:tcW w:w="8959" w:type="dxa"/>
            <w:gridSpan w:val="4"/>
            <w:noWrap w:val="0"/>
            <w:vAlign w:val="center"/>
          </w:tcPr>
          <w:p w14:paraId="5E2DAC7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0" w:firstLineChars="0"/>
              <w:jc w:val="center"/>
              <w:textAlignment w:val="auto"/>
              <w:rPr>
                <w:rFonts w:hint="eastAsia" w:eastAsia="宋体"/>
                <w:sz w:val="24"/>
                <w:szCs w:val="24"/>
                <w:highlight w:val="none"/>
                <w:lang w:val="en-US" w:eastAsia="zh-CN"/>
              </w:rPr>
            </w:pPr>
            <w:r>
              <w:rPr>
                <w:rFonts w:hint="eastAsia"/>
                <w:lang w:val="en-US" w:eastAsia="zh-CN"/>
              </w:rPr>
              <w:t>/</w:t>
            </w:r>
          </w:p>
        </w:tc>
      </w:tr>
      <w:tr w14:paraId="5E2217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932" w:type="dxa"/>
            <w:noWrap w:val="0"/>
            <w:vAlign w:val="center"/>
          </w:tcPr>
          <w:p w14:paraId="5F015D9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电磁</w:t>
            </w:r>
          </w:p>
          <w:p w14:paraId="6A03E62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eastAsia" w:ascii="宋体" w:hAnsi="宋体" w:eastAsia="宋体" w:cs="宋体"/>
                <w:spacing w:val="-8"/>
                <w:sz w:val="24"/>
                <w:szCs w:val="24"/>
                <w:highlight w:val="none"/>
              </w:rPr>
            </w:pPr>
            <w:r>
              <w:rPr>
                <w:rFonts w:hint="eastAsia" w:ascii="宋体" w:hAnsi="宋体" w:eastAsia="宋体" w:cs="宋体"/>
                <w:sz w:val="24"/>
                <w:szCs w:val="24"/>
                <w:highlight w:val="none"/>
              </w:rPr>
              <w:t>辐射</w:t>
            </w:r>
          </w:p>
        </w:tc>
        <w:tc>
          <w:tcPr>
            <w:tcW w:w="8959" w:type="dxa"/>
            <w:gridSpan w:val="4"/>
            <w:noWrap w:val="0"/>
            <w:vAlign w:val="center"/>
          </w:tcPr>
          <w:p w14:paraId="37F1F14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eastAsia" w:ascii="宋体" w:hAnsi="宋体" w:eastAsia="宋体" w:cs="宋体"/>
                <w:sz w:val="24"/>
                <w:szCs w:val="24"/>
                <w:highlight w:val="none"/>
                <w:lang w:val="en-US" w:eastAsia="zh-CN"/>
              </w:rPr>
            </w:pPr>
            <w:r>
              <w:rPr>
                <w:rFonts w:hint="default" w:ascii="Times New Roman" w:hAnsi="Times New Roman" w:eastAsia="宋体" w:cs="Times New Roman"/>
                <w:b w:val="0"/>
                <w:bCs/>
                <w:color w:val="000000"/>
                <w:sz w:val="24"/>
                <w:highlight w:val="none"/>
                <w:lang w:val="en-US" w:eastAsia="zh-CN"/>
              </w:rPr>
              <w:t>本项目不涉及辐射源，故不对电磁辐射做评价分析</w:t>
            </w:r>
          </w:p>
        </w:tc>
      </w:tr>
      <w:tr w14:paraId="1B0041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932" w:type="dxa"/>
            <w:noWrap w:val="0"/>
            <w:vAlign w:val="center"/>
          </w:tcPr>
          <w:p w14:paraId="05173CE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leftChars="0" w:right="0" w:rightChars="0"/>
              <w:jc w:val="center"/>
              <w:textAlignment w:val="auto"/>
              <w:rPr>
                <w:rFonts w:hint="eastAsia" w:ascii="宋体" w:hAnsi="宋体" w:eastAsia="宋体" w:cs="宋体"/>
                <w:sz w:val="24"/>
                <w:szCs w:val="24"/>
                <w:highlight w:val="none"/>
              </w:rPr>
            </w:pPr>
            <w:r>
              <w:rPr>
                <w:rFonts w:hint="default" w:hAnsi="宋体"/>
                <w:spacing w:val="-8"/>
                <w:sz w:val="24"/>
                <w:szCs w:val="24"/>
                <w:highlight w:val="none"/>
              </w:rPr>
              <w:t>其他环境管理要求</w:t>
            </w:r>
          </w:p>
        </w:tc>
        <w:tc>
          <w:tcPr>
            <w:tcW w:w="8959" w:type="dxa"/>
            <w:gridSpan w:val="4"/>
            <w:noWrap w:val="0"/>
            <w:vAlign w:val="center"/>
          </w:tcPr>
          <w:p w14:paraId="5644CD0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firstLine="480" w:firstLineChars="200"/>
              <w:textAlignment w:val="auto"/>
              <w:rPr>
                <w:rFonts w:hint="eastAsia" w:hAnsi="宋体"/>
                <w:sz w:val="24"/>
                <w:szCs w:val="24"/>
                <w:highlight w:val="none"/>
                <w:lang w:val="en-US" w:eastAsia="zh-CN"/>
              </w:rPr>
            </w:pPr>
            <w:r>
              <w:rPr>
                <w:rFonts w:hint="eastAsia" w:hAnsi="宋体"/>
                <w:sz w:val="24"/>
                <w:szCs w:val="24"/>
                <w:highlight w:val="none"/>
                <w:lang w:val="en-US" w:eastAsia="zh-CN"/>
              </w:rPr>
              <w:t>1、排污许可证管理要求</w:t>
            </w:r>
          </w:p>
          <w:p w14:paraId="24383BB3">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firstLine="480" w:firstLineChars="200"/>
              <w:textAlignment w:val="auto"/>
              <w:rPr>
                <w:rFonts w:hint="eastAsia" w:hAnsi="宋体"/>
                <w:sz w:val="24"/>
                <w:szCs w:val="24"/>
                <w:highlight w:val="none"/>
                <w:lang w:val="en-US" w:eastAsia="zh-CN"/>
              </w:rPr>
            </w:pPr>
            <w:r>
              <w:rPr>
                <w:rFonts w:hint="eastAsia" w:hAnsi="宋体"/>
                <w:sz w:val="24"/>
                <w:szCs w:val="24"/>
                <w:highlight w:val="none"/>
                <w:lang w:val="en-US" w:eastAsia="zh-CN"/>
              </w:rPr>
              <w:t>根据《固定污染源排污许可分类管理名录（2019年版）》（生态环境部 第11号）要求进行填报排污许可。因此，建设单位应当在启动生产设施或者发生实际排污之前在全国排污许可证管理信息平台进行排污许可申请。</w:t>
            </w:r>
          </w:p>
          <w:p w14:paraId="1DEE346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firstLine="480" w:firstLineChars="200"/>
              <w:textAlignment w:val="auto"/>
              <w:rPr>
                <w:rFonts w:hint="eastAsia" w:hAnsi="宋体"/>
                <w:sz w:val="24"/>
                <w:szCs w:val="24"/>
                <w:highlight w:val="none"/>
                <w:lang w:val="en-US" w:eastAsia="zh-CN"/>
              </w:rPr>
            </w:pPr>
            <w:r>
              <w:rPr>
                <w:rFonts w:hint="eastAsia" w:hAnsi="宋体"/>
                <w:sz w:val="24"/>
                <w:szCs w:val="24"/>
                <w:highlight w:val="none"/>
                <w:lang w:val="en-US" w:eastAsia="zh-CN"/>
              </w:rPr>
              <w:t>2、竣工环境保护验收</w:t>
            </w:r>
          </w:p>
          <w:p w14:paraId="611339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leftChars="0" w:right="0" w:firstLine="480" w:firstLineChars="200"/>
              <w:jc w:val="both"/>
              <w:textAlignment w:val="auto"/>
              <w:rPr>
                <w:rFonts w:hint="eastAsia" w:hAnsi="宋体"/>
                <w:sz w:val="24"/>
                <w:szCs w:val="24"/>
                <w:highlight w:val="none"/>
                <w:lang w:val="en-US" w:eastAsia="zh-CN"/>
              </w:rPr>
            </w:pPr>
            <w:r>
              <w:rPr>
                <w:rFonts w:hint="eastAsia" w:hAnsi="宋体"/>
                <w:sz w:val="24"/>
                <w:szCs w:val="24"/>
                <w:highlight w:val="none"/>
                <w:lang w:val="en-US" w:eastAsia="zh-CN"/>
              </w:rPr>
              <w:t>根据《建设项目竣工环境保护验收暂行办法》的规定，建设项目竣工后，建设单位应当如实查验、监测、记载建设项目环境保护设施的建设和调试情况，编制验收监测报告表，并且建设单位应登录全国建设项目竣工环境保护验收信息平台，填报建设项目基本信息、环境保护设施验收情况等相关信息。</w:t>
            </w:r>
          </w:p>
          <w:p w14:paraId="638133F3">
            <w:pPr>
              <w:pStyle w:val="22"/>
              <w:keepNext w:val="0"/>
              <w:keepLines w:val="0"/>
              <w:pageBreakBefore w:val="0"/>
              <w:widowControl w:val="0"/>
              <w:suppressLineNumbers w:val="0"/>
              <w:kinsoku/>
              <w:wordWrap/>
              <w:overflowPunct/>
              <w:topLinePunct w:val="0"/>
              <w:autoSpaceDE/>
              <w:autoSpaceDN/>
              <w:bidi w:val="0"/>
              <w:spacing w:before="0" w:beforeAutospacing="0" w:after="0" w:afterAutospacing="0" w:line="440" w:lineRule="exact"/>
              <w:ind w:left="0" w:leftChars="0" w:right="0" w:firstLine="480" w:firstLineChars="200"/>
              <w:jc w:val="both"/>
              <w:textAlignment w:val="auto"/>
              <w:rPr>
                <w:rFonts w:hint="default"/>
                <w:lang w:val="en-US" w:eastAsia="zh-CN"/>
              </w:rPr>
            </w:pPr>
            <w:r>
              <w:rPr>
                <w:rFonts w:hint="eastAsia" w:hAnsi="宋体"/>
                <w:sz w:val="24"/>
                <w:szCs w:val="24"/>
                <w:highlight w:val="none"/>
                <w:lang w:val="en-US" w:eastAsia="zh-CN"/>
              </w:rPr>
              <w:t>建设单位应当将验收报告以及其他档案资料存档备查。</w:t>
            </w:r>
          </w:p>
          <w:p w14:paraId="77E1CCB2">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firstLine="480" w:firstLineChars="200"/>
              <w:textAlignment w:val="auto"/>
              <w:rPr>
                <w:rFonts w:hint="eastAsia" w:hAnsi="宋体"/>
                <w:sz w:val="24"/>
                <w:szCs w:val="24"/>
                <w:highlight w:val="none"/>
              </w:rPr>
            </w:pPr>
            <w:r>
              <w:rPr>
                <w:rFonts w:hint="eastAsia" w:hAnsi="宋体"/>
                <w:sz w:val="24"/>
                <w:szCs w:val="24"/>
                <w:highlight w:val="none"/>
                <w:lang w:val="en-US" w:eastAsia="zh-CN"/>
              </w:rPr>
              <w:t>3、排放口规范化建设</w:t>
            </w:r>
          </w:p>
          <w:p w14:paraId="7C9DB3BE">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440" w:lineRule="exact"/>
              <w:ind w:left="0" w:right="0" w:firstLine="480" w:firstLineChars="200"/>
              <w:jc w:val="both"/>
              <w:textAlignment w:val="auto"/>
              <w:outlineLvl w:val="9"/>
              <w:rPr>
                <w:rFonts w:hint="eastAsia"/>
                <w:sz w:val="24"/>
                <w:szCs w:val="24"/>
                <w:highlight w:val="none"/>
                <w:lang w:val="en-US" w:eastAsia="zh-CN"/>
              </w:rPr>
            </w:pPr>
            <w:r>
              <w:rPr>
                <w:rFonts w:hint="eastAsia"/>
                <w:sz w:val="24"/>
                <w:szCs w:val="24"/>
                <w:highlight w:val="none"/>
              </w:rPr>
              <w:t>根据《环境保护图形标志－排放口（源）》（GB15562.1-1995）、《环境保护图形标志—固体废物贮存（处置）场》（GB15562.2-1995）及其修改单标准要求，本项目</w:t>
            </w:r>
            <w:r>
              <w:rPr>
                <w:rFonts w:hint="eastAsia"/>
                <w:sz w:val="24"/>
                <w:szCs w:val="24"/>
                <w:highlight w:val="none"/>
                <w:lang w:val="en-US" w:eastAsia="zh-CN"/>
              </w:rPr>
              <w:t>已在废气</w:t>
            </w:r>
            <w:r>
              <w:rPr>
                <w:rFonts w:hint="eastAsia"/>
                <w:sz w:val="24"/>
                <w:szCs w:val="24"/>
                <w:highlight w:val="none"/>
              </w:rPr>
              <w:t>排放口、固废贮存场所和噪声排放源分别设置环境保护图形标志牌，</w:t>
            </w:r>
            <w:r>
              <w:rPr>
                <w:rFonts w:hint="eastAsia"/>
                <w:sz w:val="24"/>
                <w:szCs w:val="24"/>
                <w:highlight w:val="none"/>
                <w:lang w:val="en-US" w:eastAsia="zh-CN"/>
              </w:rPr>
              <w:t>已</w:t>
            </w:r>
            <w:r>
              <w:rPr>
                <w:rFonts w:hint="eastAsia"/>
                <w:sz w:val="24"/>
                <w:szCs w:val="24"/>
                <w:highlight w:val="none"/>
              </w:rPr>
              <w:t>按照《河南省重污染天气</w:t>
            </w:r>
            <w:r>
              <w:rPr>
                <w:rFonts w:hint="eastAsia"/>
                <w:sz w:val="24"/>
                <w:szCs w:val="24"/>
                <w:highlight w:val="none"/>
                <w:lang w:val="en-US" w:eastAsia="zh-CN"/>
              </w:rPr>
              <w:t>重点</w:t>
            </w:r>
            <w:r>
              <w:rPr>
                <w:rFonts w:hint="eastAsia"/>
                <w:sz w:val="24"/>
                <w:szCs w:val="24"/>
                <w:highlight w:val="none"/>
              </w:rPr>
              <w:t>行业应急减排措施制定技术指南》（2024年修订版）</w:t>
            </w:r>
            <w:r>
              <w:rPr>
                <w:rFonts w:hint="eastAsia"/>
                <w:sz w:val="24"/>
                <w:szCs w:val="24"/>
                <w:highlight w:val="none"/>
                <w:lang w:val="en-US" w:eastAsia="zh-CN"/>
              </w:rPr>
              <w:t>中电池制造绩效分级A级要求安装门禁视频监控系统和电子台账。</w:t>
            </w:r>
          </w:p>
          <w:p w14:paraId="1B25496E">
            <w:pPr>
              <w:keepNext w:val="0"/>
              <w:keepLines w:val="0"/>
              <w:suppressLineNumbers w:val="0"/>
              <w:spacing w:before="0" w:beforeAutospacing="0" w:after="0" w:afterAutospacing="0"/>
              <w:ind w:left="0" w:right="0"/>
              <w:rPr>
                <w:rFonts w:hint="default"/>
                <w:lang w:val="en-US" w:eastAsia="zh-CN"/>
              </w:rPr>
            </w:pPr>
          </w:p>
          <w:p w14:paraId="37A749BE">
            <w:pPr>
              <w:keepNext w:val="0"/>
              <w:keepLines w:val="0"/>
              <w:suppressLineNumbers w:val="0"/>
              <w:spacing w:before="0" w:beforeAutospacing="0" w:after="0" w:afterAutospacing="0"/>
              <w:ind w:left="0" w:right="0"/>
              <w:rPr>
                <w:rFonts w:hint="default"/>
                <w:lang w:val="en-US" w:eastAsia="zh-CN"/>
              </w:rPr>
            </w:pPr>
          </w:p>
          <w:p w14:paraId="3CF1D0C4">
            <w:pPr>
              <w:keepNext w:val="0"/>
              <w:keepLines w:val="0"/>
              <w:suppressLineNumbers w:val="0"/>
              <w:spacing w:before="0" w:beforeAutospacing="0" w:after="0" w:afterAutospacing="0"/>
              <w:ind w:left="0" w:right="0"/>
              <w:rPr>
                <w:rFonts w:hint="default"/>
                <w:lang w:val="en-US" w:eastAsia="zh-CN"/>
              </w:rPr>
            </w:pPr>
          </w:p>
          <w:p w14:paraId="48B7E393">
            <w:pPr>
              <w:keepNext w:val="0"/>
              <w:keepLines w:val="0"/>
              <w:suppressLineNumbers w:val="0"/>
              <w:spacing w:before="0" w:beforeAutospacing="0" w:after="0" w:afterAutospacing="0"/>
              <w:ind w:left="0" w:right="0"/>
              <w:rPr>
                <w:rFonts w:hint="default"/>
                <w:lang w:val="en-US" w:eastAsia="zh-CN"/>
              </w:rPr>
            </w:pPr>
          </w:p>
          <w:p w14:paraId="62DA8CC9">
            <w:pPr>
              <w:keepNext w:val="0"/>
              <w:keepLines w:val="0"/>
              <w:suppressLineNumbers w:val="0"/>
              <w:spacing w:before="0" w:beforeAutospacing="0" w:after="0" w:afterAutospacing="0"/>
              <w:ind w:left="0" w:right="0"/>
              <w:rPr>
                <w:rFonts w:hint="default"/>
                <w:lang w:val="en-US" w:eastAsia="zh-CN"/>
              </w:rPr>
            </w:pPr>
          </w:p>
          <w:p w14:paraId="6F456F38">
            <w:pPr>
              <w:keepNext w:val="0"/>
              <w:keepLines w:val="0"/>
              <w:suppressLineNumbers w:val="0"/>
              <w:spacing w:before="0" w:beforeAutospacing="0" w:after="0" w:afterAutospacing="0"/>
              <w:ind w:left="0" w:right="0"/>
              <w:rPr>
                <w:rFonts w:hint="default"/>
                <w:lang w:val="en-US" w:eastAsia="zh-CN"/>
              </w:rPr>
            </w:pPr>
          </w:p>
          <w:p w14:paraId="1C1D7B5D">
            <w:pPr>
              <w:keepNext w:val="0"/>
              <w:keepLines w:val="0"/>
              <w:suppressLineNumbers w:val="0"/>
              <w:spacing w:before="0" w:beforeAutospacing="0" w:after="0" w:afterAutospacing="0"/>
              <w:ind w:left="0" w:right="0"/>
              <w:rPr>
                <w:rFonts w:hint="default"/>
                <w:lang w:val="en-US" w:eastAsia="zh-CN"/>
              </w:rPr>
            </w:pPr>
          </w:p>
          <w:p w14:paraId="0AFEB310">
            <w:pPr>
              <w:keepNext w:val="0"/>
              <w:keepLines w:val="0"/>
              <w:suppressLineNumbers w:val="0"/>
              <w:spacing w:before="0" w:beforeAutospacing="0" w:after="0" w:afterAutospacing="0"/>
              <w:ind w:left="0" w:right="0"/>
              <w:rPr>
                <w:rFonts w:hint="default"/>
                <w:lang w:val="en-US" w:eastAsia="zh-CN"/>
              </w:rPr>
            </w:pPr>
          </w:p>
          <w:p w14:paraId="0EB2CB7A">
            <w:pPr>
              <w:keepNext w:val="0"/>
              <w:keepLines w:val="0"/>
              <w:suppressLineNumbers w:val="0"/>
              <w:spacing w:before="0" w:beforeAutospacing="0" w:after="0" w:afterAutospacing="0"/>
              <w:ind w:left="0" w:right="0"/>
              <w:rPr>
                <w:rFonts w:hint="default"/>
                <w:lang w:val="en-US" w:eastAsia="zh-CN"/>
              </w:rPr>
            </w:pPr>
          </w:p>
          <w:p w14:paraId="590FB57E">
            <w:pPr>
              <w:keepNext w:val="0"/>
              <w:keepLines w:val="0"/>
              <w:suppressLineNumbers w:val="0"/>
              <w:spacing w:before="0" w:beforeAutospacing="0" w:after="0" w:afterAutospacing="0"/>
              <w:ind w:left="0" w:right="0"/>
              <w:rPr>
                <w:rFonts w:hint="default"/>
                <w:lang w:val="en-US" w:eastAsia="zh-CN"/>
              </w:rPr>
            </w:pPr>
          </w:p>
          <w:p w14:paraId="1DE9965B">
            <w:pPr>
              <w:keepNext w:val="0"/>
              <w:keepLines w:val="0"/>
              <w:suppressLineNumbers w:val="0"/>
              <w:spacing w:before="0" w:beforeAutospacing="0" w:after="0" w:afterAutospacing="0"/>
              <w:ind w:left="0" w:right="0"/>
              <w:rPr>
                <w:rFonts w:hint="default"/>
                <w:lang w:val="en-US" w:eastAsia="zh-CN"/>
              </w:rPr>
            </w:pPr>
          </w:p>
          <w:p w14:paraId="1730CE0C">
            <w:pPr>
              <w:keepNext w:val="0"/>
              <w:keepLines w:val="0"/>
              <w:suppressLineNumbers w:val="0"/>
              <w:spacing w:before="0" w:beforeAutospacing="0" w:after="0" w:afterAutospacing="0"/>
              <w:ind w:left="0" w:right="0"/>
              <w:rPr>
                <w:rFonts w:hint="default"/>
                <w:lang w:val="en-US" w:eastAsia="zh-CN"/>
              </w:rPr>
            </w:pPr>
          </w:p>
          <w:p w14:paraId="6BA9C819">
            <w:pPr>
              <w:keepNext w:val="0"/>
              <w:keepLines w:val="0"/>
              <w:suppressLineNumbers w:val="0"/>
              <w:spacing w:before="0" w:beforeAutospacing="0" w:after="0" w:afterAutospacing="0"/>
              <w:ind w:left="0" w:right="0"/>
              <w:rPr>
                <w:rFonts w:hint="default"/>
                <w:lang w:val="en-US" w:eastAsia="zh-CN"/>
              </w:rPr>
            </w:pPr>
          </w:p>
          <w:p w14:paraId="7F00C2DB">
            <w:pPr>
              <w:keepNext w:val="0"/>
              <w:keepLines w:val="0"/>
              <w:suppressLineNumbers w:val="0"/>
              <w:spacing w:before="0" w:beforeAutospacing="0" w:after="0" w:afterAutospacing="0"/>
              <w:ind w:left="0" w:right="0"/>
              <w:rPr>
                <w:rFonts w:hint="default"/>
                <w:lang w:val="en-US" w:eastAsia="zh-CN"/>
              </w:rPr>
            </w:pPr>
          </w:p>
          <w:p w14:paraId="5A9305C8">
            <w:pPr>
              <w:keepNext w:val="0"/>
              <w:keepLines w:val="0"/>
              <w:suppressLineNumbers w:val="0"/>
              <w:spacing w:before="0" w:beforeAutospacing="0" w:after="0" w:afterAutospacing="0"/>
              <w:ind w:left="0" w:right="0"/>
              <w:rPr>
                <w:rFonts w:hint="default"/>
                <w:lang w:val="en-US" w:eastAsia="zh-CN"/>
              </w:rPr>
            </w:pPr>
          </w:p>
          <w:p w14:paraId="13F1D742">
            <w:pPr>
              <w:keepNext w:val="0"/>
              <w:keepLines w:val="0"/>
              <w:suppressLineNumbers w:val="0"/>
              <w:spacing w:before="0" w:beforeAutospacing="0" w:after="0" w:afterAutospacing="0"/>
              <w:ind w:left="0" w:right="0"/>
              <w:rPr>
                <w:rFonts w:hint="default"/>
                <w:lang w:val="en-US" w:eastAsia="zh-CN"/>
              </w:rPr>
            </w:pPr>
          </w:p>
          <w:p w14:paraId="6E1A189C">
            <w:pPr>
              <w:keepNext w:val="0"/>
              <w:keepLines w:val="0"/>
              <w:suppressLineNumbers w:val="0"/>
              <w:spacing w:before="0" w:beforeAutospacing="0" w:after="0" w:afterAutospacing="0"/>
              <w:ind w:left="0" w:right="0"/>
              <w:rPr>
                <w:rFonts w:hint="default"/>
                <w:lang w:val="en-US" w:eastAsia="zh-CN"/>
              </w:rPr>
            </w:pPr>
          </w:p>
          <w:p w14:paraId="00683333">
            <w:pPr>
              <w:keepNext w:val="0"/>
              <w:keepLines w:val="0"/>
              <w:suppressLineNumbers w:val="0"/>
              <w:spacing w:before="0" w:beforeAutospacing="0" w:after="0" w:afterAutospacing="0"/>
              <w:ind w:left="0" w:right="0"/>
              <w:rPr>
                <w:rFonts w:hint="default"/>
                <w:lang w:val="en-US" w:eastAsia="zh-CN"/>
              </w:rPr>
            </w:pPr>
          </w:p>
          <w:p w14:paraId="6B8AD625">
            <w:pPr>
              <w:keepNext w:val="0"/>
              <w:keepLines w:val="0"/>
              <w:suppressLineNumbers w:val="0"/>
              <w:spacing w:before="0" w:beforeAutospacing="0" w:after="0" w:afterAutospacing="0"/>
              <w:ind w:left="0" w:right="0"/>
              <w:rPr>
                <w:rFonts w:hint="default"/>
                <w:lang w:val="en-US" w:eastAsia="zh-CN"/>
              </w:rPr>
            </w:pPr>
          </w:p>
          <w:p w14:paraId="581136FD">
            <w:pPr>
              <w:keepNext w:val="0"/>
              <w:keepLines w:val="0"/>
              <w:suppressLineNumbers w:val="0"/>
              <w:spacing w:before="0" w:beforeAutospacing="0" w:after="0" w:afterAutospacing="0"/>
              <w:ind w:left="0" w:right="0"/>
              <w:rPr>
                <w:rFonts w:hint="default"/>
                <w:lang w:val="en-US" w:eastAsia="zh-CN"/>
              </w:rPr>
            </w:pPr>
          </w:p>
          <w:p w14:paraId="43F29CED">
            <w:pPr>
              <w:keepNext w:val="0"/>
              <w:keepLines w:val="0"/>
              <w:suppressLineNumbers w:val="0"/>
              <w:spacing w:before="0" w:beforeAutospacing="0" w:after="0" w:afterAutospacing="0"/>
              <w:ind w:left="0" w:right="0"/>
              <w:rPr>
                <w:rFonts w:hint="default"/>
                <w:lang w:val="en-US" w:eastAsia="zh-CN"/>
              </w:rPr>
            </w:pPr>
          </w:p>
          <w:p w14:paraId="294338A0">
            <w:pPr>
              <w:keepNext w:val="0"/>
              <w:keepLines w:val="0"/>
              <w:suppressLineNumbers w:val="0"/>
              <w:spacing w:before="0" w:beforeAutospacing="0" w:after="0" w:afterAutospacing="0"/>
              <w:ind w:left="0" w:right="0"/>
              <w:rPr>
                <w:rFonts w:hint="default"/>
                <w:lang w:val="en-US" w:eastAsia="zh-CN"/>
              </w:rPr>
            </w:pPr>
          </w:p>
          <w:p w14:paraId="18AD1438">
            <w:pPr>
              <w:keepNext w:val="0"/>
              <w:keepLines w:val="0"/>
              <w:suppressLineNumbers w:val="0"/>
              <w:spacing w:before="0" w:beforeAutospacing="0" w:after="0" w:afterAutospacing="0"/>
              <w:ind w:left="0" w:right="0"/>
              <w:rPr>
                <w:rFonts w:hint="default"/>
                <w:lang w:val="en-US" w:eastAsia="zh-CN"/>
              </w:rPr>
            </w:pPr>
          </w:p>
          <w:p w14:paraId="2834F9F0">
            <w:pPr>
              <w:keepNext w:val="0"/>
              <w:keepLines w:val="0"/>
              <w:suppressLineNumbers w:val="0"/>
              <w:spacing w:before="0" w:beforeAutospacing="0" w:after="0" w:afterAutospacing="0"/>
              <w:ind w:left="0" w:right="0"/>
              <w:rPr>
                <w:rFonts w:hint="default"/>
                <w:lang w:val="en-US" w:eastAsia="zh-CN"/>
              </w:rPr>
            </w:pPr>
          </w:p>
        </w:tc>
      </w:tr>
    </w:tbl>
    <w:p w14:paraId="49EAE0BE">
      <w:pPr>
        <w:pStyle w:val="19"/>
        <w:jc w:val="center"/>
        <w:outlineLvl w:val="0"/>
        <w:rPr>
          <w:rFonts w:ascii="黑体" w:hAnsi="黑体" w:eastAsia="黑体"/>
          <w:snapToGrid w:val="0"/>
          <w:sz w:val="30"/>
          <w:szCs w:val="30"/>
        </w:rPr>
      </w:pPr>
      <w:r>
        <w:rPr>
          <w:rFonts w:hint="eastAsia" w:ascii="黑体" w:hAnsi="黑体" w:eastAsia="黑体"/>
          <w:snapToGrid w:val="0"/>
          <w:sz w:val="30"/>
          <w:szCs w:val="30"/>
        </w:rPr>
        <w:t>六、结论</w:t>
      </w:r>
    </w:p>
    <w:tbl>
      <w:tblPr>
        <w:tblStyle w:val="23"/>
        <w:tblW w:w="963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639"/>
      </w:tblGrid>
      <w:tr w14:paraId="476C2D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77" w:hRule="atLeast"/>
          <w:jc w:val="center"/>
        </w:trPr>
        <w:tc>
          <w:tcPr>
            <w:tcW w:w="8865" w:type="dxa"/>
            <w:noWrap w:val="0"/>
            <w:vAlign w:val="top"/>
          </w:tcPr>
          <w:p w14:paraId="03BDF4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eastAsia="宋体"/>
                <w:lang w:eastAsia="zh-CN"/>
              </w:rPr>
            </w:pPr>
            <w:r>
              <w:rPr>
                <w:rFonts w:hint="eastAsia" w:cs="Times New Roman"/>
                <w:color w:val="000000"/>
                <w:sz w:val="24"/>
                <w:lang w:val="en-US" w:eastAsia="zh-CN"/>
              </w:rPr>
              <w:t>新乡市弘力电源科技有限公司锂电生产线设备改造更新项目</w:t>
            </w:r>
            <w:r>
              <w:rPr>
                <w:rFonts w:hint="default" w:ascii="Times New Roman" w:hAnsi="Times New Roman" w:cs="Times New Roman"/>
                <w:sz w:val="24"/>
              </w:rPr>
              <w:t>选址位于</w:t>
            </w:r>
            <w:r>
              <w:rPr>
                <w:rFonts w:hint="default" w:ascii="Times New Roman" w:hAnsi="Times New Roman" w:cs="Times New Roman"/>
                <w:color w:val="auto"/>
                <w:sz w:val="24"/>
                <w:szCs w:val="24"/>
                <w:lang w:val="en-US" w:eastAsia="zh-CN"/>
              </w:rPr>
              <w:t>河南省新乡市新乡县</w:t>
            </w:r>
            <w:r>
              <w:rPr>
                <w:rFonts w:hint="eastAsia" w:ascii="Times New Roman" w:hAnsi="Times New Roman" w:cs="Times New Roman"/>
                <w:color w:val="auto"/>
                <w:sz w:val="24"/>
                <w:szCs w:val="24"/>
                <w:lang w:val="en-US" w:eastAsia="zh-CN"/>
              </w:rPr>
              <w:t>经济开发区兴隆路西段</w:t>
            </w:r>
            <w:r>
              <w:rPr>
                <w:rFonts w:hint="default" w:ascii="Times New Roman" w:hAnsi="Times New Roman" w:eastAsia="宋体" w:cs="Times New Roman"/>
                <w:sz w:val="24"/>
                <w:szCs w:val="24"/>
              </w:rPr>
              <w:t>，</w:t>
            </w:r>
            <w:r>
              <w:rPr>
                <w:rFonts w:hint="default"/>
                <w:sz w:val="24"/>
                <w:szCs w:val="32"/>
              </w:rPr>
              <w:t>项目属于</w:t>
            </w:r>
            <w:r>
              <w:rPr>
                <w:rFonts w:hint="eastAsia"/>
                <w:sz w:val="24"/>
                <w:szCs w:val="32"/>
                <w:lang w:val="en-US" w:eastAsia="zh-CN"/>
              </w:rPr>
              <w:t>鼓励类</w:t>
            </w:r>
            <w:r>
              <w:rPr>
                <w:rFonts w:hint="default"/>
                <w:sz w:val="24"/>
                <w:szCs w:val="32"/>
              </w:rPr>
              <w:t>，符合国家产业政策，</w:t>
            </w:r>
            <w:r>
              <w:rPr>
                <w:rFonts w:hint="eastAsia"/>
                <w:sz w:val="24"/>
                <w:szCs w:val="32"/>
                <w:lang w:val="en-US" w:eastAsia="zh-CN"/>
              </w:rPr>
              <w:t>选址可行</w:t>
            </w:r>
            <w:r>
              <w:rPr>
                <w:rFonts w:hint="eastAsia" w:hAnsi="宋体"/>
                <w:sz w:val="24"/>
              </w:rPr>
              <w:t>。</w:t>
            </w:r>
            <w:r>
              <w:rPr>
                <w:rFonts w:hint="default" w:ascii="Times New Roman" w:hAnsi="Times New Roman" w:eastAsia="宋体" w:cs="Times New Roman"/>
                <w:sz w:val="24"/>
                <w:szCs w:val="24"/>
              </w:rPr>
              <w:t>项目产生的污染物经采用合理的环保措施治理后，均可做到妥善治理和处置，可以实现其经济效益、社会效益和环境效益的协调发展。因此，从环保角度分析，项目建设可行</w:t>
            </w:r>
            <w:r>
              <w:rPr>
                <w:rFonts w:hint="eastAsia" w:cs="Times New Roman"/>
                <w:sz w:val="24"/>
                <w:szCs w:val="24"/>
                <w:lang w:eastAsia="zh-CN"/>
              </w:rPr>
              <w:t>。</w:t>
            </w:r>
          </w:p>
          <w:p w14:paraId="2BDFB20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hAnsi="宋体"/>
                <w:sz w:val="24"/>
              </w:rPr>
            </w:pPr>
          </w:p>
          <w:p w14:paraId="3DE4608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both"/>
              <w:textAlignment w:val="auto"/>
              <w:rPr>
                <w:rFonts w:hint="eastAsia" w:hAnsi="宋体"/>
                <w:sz w:val="24"/>
              </w:rPr>
            </w:pPr>
          </w:p>
          <w:p w14:paraId="10342EB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right"/>
              <w:textAlignment w:val="auto"/>
              <w:rPr>
                <w:rFonts w:hint="eastAsia" w:hAnsi="宋体"/>
                <w:sz w:val="24"/>
              </w:rPr>
            </w:pPr>
            <w:r>
              <w:rPr>
                <w:rFonts w:hint="eastAsia" w:hAnsi="宋体"/>
                <w:sz w:val="24"/>
              </w:rPr>
              <w:t>新乡市译洋环境技术有限公司</w:t>
            </w:r>
          </w:p>
          <w:p w14:paraId="4F4D3CB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720" w:firstLine="480" w:firstLineChars="200"/>
              <w:jc w:val="right"/>
              <w:textAlignment w:val="auto"/>
              <w:rPr>
                <w:rFonts w:hint="eastAsia" w:hAnsi="宋体"/>
                <w:sz w:val="24"/>
              </w:rPr>
            </w:pPr>
            <w:r>
              <w:rPr>
                <w:rFonts w:hint="eastAsia" w:hAnsi="宋体"/>
                <w:sz w:val="24"/>
              </w:rPr>
              <w:t>202</w:t>
            </w:r>
            <w:r>
              <w:rPr>
                <w:rFonts w:hint="eastAsia" w:hAnsi="宋体"/>
                <w:sz w:val="24"/>
                <w:lang w:val="en-US" w:eastAsia="zh-CN"/>
              </w:rPr>
              <w:t>6</w:t>
            </w:r>
            <w:r>
              <w:rPr>
                <w:rFonts w:hint="eastAsia" w:hAnsi="宋体"/>
                <w:sz w:val="24"/>
              </w:rPr>
              <w:t>年</w:t>
            </w:r>
            <w:r>
              <w:rPr>
                <w:rFonts w:hint="eastAsia" w:hAnsi="宋体"/>
                <w:sz w:val="24"/>
                <w:lang w:val="en-US" w:eastAsia="zh-CN"/>
              </w:rPr>
              <w:t>3</w:t>
            </w:r>
            <w:r>
              <w:rPr>
                <w:rFonts w:hint="eastAsia" w:hAnsi="宋体"/>
                <w:sz w:val="24"/>
              </w:rPr>
              <w:t>月</w:t>
            </w:r>
          </w:p>
          <w:p w14:paraId="4D07A432">
            <w:pPr>
              <w:keepNext w:val="0"/>
              <w:keepLines w:val="0"/>
              <w:suppressLineNumbers w:val="0"/>
              <w:spacing w:before="0" w:beforeAutospacing="0" w:after="0" w:afterAutospacing="0" w:line="440" w:lineRule="exact"/>
              <w:ind w:left="0" w:right="0" w:firstLine="480" w:firstLineChars="200"/>
              <w:rPr>
                <w:rFonts w:hint="eastAsia" w:hAnsi="宋体"/>
                <w:color w:val="FF0000"/>
                <w:sz w:val="24"/>
              </w:rPr>
            </w:pPr>
          </w:p>
          <w:p w14:paraId="793653D1">
            <w:pPr>
              <w:keepNext w:val="0"/>
              <w:keepLines w:val="0"/>
              <w:suppressLineNumbers w:val="0"/>
              <w:spacing w:before="0" w:beforeAutospacing="0" w:after="0" w:afterAutospacing="0" w:line="440" w:lineRule="exact"/>
              <w:ind w:left="0" w:right="0" w:firstLine="480" w:firstLineChars="200"/>
              <w:rPr>
                <w:rFonts w:hint="eastAsia" w:hAnsi="宋体"/>
                <w:sz w:val="24"/>
              </w:rPr>
            </w:pPr>
          </w:p>
          <w:p w14:paraId="62FD701F">
            <w:pPr>
              <w:keepNext w:val="0"/>
              <w:keepLines w:val="0"/>
              <w:suppressLineNumbers w:val="0"/>
              <w:spacing w:before="0" w:beforeAutospacing="0" w:after="0" w:afterAutospacing="0" w:line="720" w:lineRule="auto"/>
              <w:ind w:left="0" w:right="0"/>
              <w:jc w:val="both"/>
              <w:rPr>
                <w:rFonts w:hint="default"/>
                <w:sz w:val="24"/>
              </w:rPr>
            </w:pPr>
          </w:p>
        </w:tc>
      </w:tr>
    </w:tbl>
    <w:p w14:paraId="741808A3">
      <w:pPr>
        <w:pStyle w:val="19"/>
        <w:adjustRightInd w:val="0"/>
        <w:snapToGrid w:val="0"/>
        <w:spacing w:before="0" w:beforeAutospacing="0" w:after="0" w:afterAutospacing="0" w:line="240" w:lineRule="auto"/>
        <w:outlineLvl w:val="0"/>
        <w:rPr>
          <w:rFonts w:hint="eastAsia" w:ascii="黑体" w:hAnsi="黑体" w:eastAsia="黑体" w:cs="黑体"/>
          <w:snapToGrid w:val="0"/>
          <w:sz w:val="32"/>
          <w:szCs w:val="32"/>
        </w:rPr>
        <w:sectPr>
          <w:headerReference r:id="rId5" w:type="default"/>
          <w:footerReference r:id="rId6" w:type="default"/>
          <w:pgSz w:w="11906" w:h="16838"/>
          <w:pgMar w:top="1701" w:right="1417" w:bottom="1701" w:left="1417" w:header="851" w:footer="851" w:gutter="0"/>
          <w:pgBorders>
            <w:top w:val="none" w:sz="0" w:space="0"/>
            <w:left w:val="none" w:sz="0" w:space="0"/>
            <w:bottom w:val="none" w:sz="0" w:space="0"/>
            <w:right w:val="none" w:sz="0" w:space="0"/>
          </w:pgBorders>
          <w:pgNumType w:fmt="decimal" w:start="59"/>
          <w:cols w:space="720" w:num="1"/>
          <w:docGrid w:linePitch="312" w:charSpace="0"/>
        </w:sectPr>
      </w:pPr>
    </w:p>
    <w:p w14:paraId="0DD61405">
      <w:pPr>
        <w:pStyle w:val="19"/>
        <w:adjustRightInd w:val="0"/>
        <w:snapToGrid w:val="0"/>
        <w:spacing w:before="0" w:beforeAutospacing="0" w:after="0" w:afterAutospacing="0" w:line="240" w:lineRule="auto"/>
        <w:outlineLvl w:val="0"/>
        <w:rPr>
          <w:rFonts w:hint="eastAsia" w:ascii="黑体" w:hAnsi="黑体" w:eastAsia="黑体" w:cs="黑体"/>
          <w:snapToGrid w:val="0"/>
          <w:sz w:val="32"/>
          <w:szCs w:val="32"/>
          <w:lang w:val="en-US" w:eastAsia="zh-CN"/>
        </w:rPr>
      </w:pPr>
      <w:r>
        <w:rPr>
          <w:rFonts w:hint="eastAsia" w:ascii="黑体" w:hAnsi="黑体" w:eastAsia="黑体" w:cs="黑体"/>
          <w:snapToGrid w:val="0"/>
          <w:sz w:val="32"/>
          <w:szCs w:val="32"/>
        </w:rPr>
        <w:t>附表</w:t>
      </w:r>
      <w:r>
        <w:rPr>
          <w:rFonts w:hint="eastAsia" w:ascii="黑体" w:hAnsi="黑体" w:eastAsia="黑体" w:cs="黑体"/>
          <w:snapToGrid w:val="0"/>
          <w:sz w:val="32"/>
          <w:szCs w:val="32"/>
          <w:lang w:val="en-US" w:eastAsia="zh-CN"/>
        </w:rPr>
        <w:t xml:space="preserve">  </w:t>
      </w:r>
    </w:p>
    <w:p w14:paraId="6F5F1FF6">
      <w:pPr>
        <w:pStyle w:val="19"/>
        <w:adjustRightInd w:val="0"/>
        <w:snapToGrid w:val="0"/>
        <w:spacing w:before="0" w:beforeAutospacing="0" w:after="0" w:afterAutospacing="0" w:line="240" w:lineRule="auto"/>
        <w:jc w:val="right"/>
        <w:outlineLvl w:val="0"/>
        <w:rPr>
          <w:rFonts w:hint="default" w:ascii="方正小标宋_GBK" w:hAnsi="黑体" w:eastAsia="方正小标宋_GBK"/>
          <w:snapToGrid w:val="0"/>
          <w:sz w:val="38"/>
          <w:szCs w:val="38"/>
          <w:highlight w:val="none"/>
          <w:lang w:val="en-US" w:eastAsia="zh-CN"/>
        </w:rPr>
      </w:pPr>
      <w:r>
        <w:rPr>
          <w:rFonts w:hint="eastAsia" w:ascii="黑体" w:hAnsi="黑体" w:eastAsia="黑体" w:cs="黑体"/>
          <w:snapToGrid w:val="0"/>
          <w:sz w:val="38"/>
          <w:szCs w:val="38"/>
          <w:highlight w:val="none"/>
          <w:lang w:val="en-US" w:eastAsia="zh-CN"/>
        </w:rPr>
        <w:t xml:space="preserve">      </w:t>
      </w:r>
      <w:r>
        <w:rPr>
          <w:rFonts w:hint="eastAsia" w:ascii="黑体" w:hAnsi="黑体" w:eastAsia="黑体" w:cs="黑体"/>
          <w:snapToGrid w:val="0"/>
          <w:sz w:val="38"/>
          <w:szCs w:val="38"/>
          <w:highlight w:val="none"/>
        </w:rPr>
        <w:t>建设项目污染物排放量汇总表</w:t>
      </w:r>
      <w:r>
        <w:rPr>
          <w:rFonts w:hint="eastAsia" w:ascii="方正小标宋_GBK" w:hAnsi="黑体" w:eastAsia="方正小标宋_GBK"/>
          <w:snapToGrid w:val="0"/>
          <w:sz w:val="38"/>
          <w:szCs w:val="38"/>
          <w:highlight w:val="none"/>
          <w:lang w:val="en-US" w:eastAsia="zh-CN"/>
        </w:rPr>
        <w:t xml:space="preserve">               </w:t>
      </w:r>
      <w:r>
        <w:rPr>
          <w:rFonts w:hint="default" w:ascii="Times New Roman" w:hAnsi="Times New Roman" w:cs="Times New Roman"/>
          <w:b/>
          <w:snapToGrid w:val="0"/>
          <w:sz w:val="21"/>
          <w:szCs w:val="21"/>
          <w:highlight w:val="none"/>
          <w:lang w:eastAsia="zh-CN"/>
        </w:rPr>
        <w:t>单位：t/a</w:t>
      </w:r>
    </w:p>
    <w:tbl>
      <w:tblPr>
        <w:tblStyle w:val="23"/>
        <w:tblpPr w:leftFromText="180" w:rightFromText="180" w:vertAnchor="text" w:horzAnchor="page" w:tblpXSpec="center" w:tblpY="259"/>
        <w:tblOverlap w:val="never"/>
        <w:tblW w:w="137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97"/>
        <w:gridCol w:w="1443"/>
        <w:gridCol w:w="1785"/>
        <w:gridCol w:w="1257"/>
        <w:gridCol w:w="1803"/>
        <w:gridCol w:w="1680"/>
        <w:gridCol w:w="1575"/>
        <w:gridCol w:w="2040"/>
        <w:gridCol w:w="1108"/>
      </w:tblGrid>
      <w:tr w14:paraId="5F447D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1097" w:type="dxa"/>
            <w:tcBorders>
              <w:tl2br w:val="single" w:color="auto" w:sz="4" w:space="0"/>
            </w:tcBorders>
            <w:noWrap w:val="0"/>
            <w:tcMar>
              <w:left w:w="28" w:type="dxa"/>
              <w:right w:w="28" w:type="dxa"/>
            </w:tcMar>
            <w:vAlign w:val="center"/>
          </w:tcPr>
          <w:p w14:paraId="68877EB6">
            <w:pPr>
              <w:pStyle w:val="51"/>
              <w:keepNext w:val="0"/>
              <w:keepLines w:val="0"/>
              <w:suppressLineNumbers w:val="0"/>
              <w:spacing w:before="0" w:beforeLines="0" w:beforeAutospacing="0" w:after="0" w:afterLines="0" w:afterAutospacing="0" w:line="240" w:lineRule="auto"/>
              <w:ind w:left="0" w:right="0"/>
              <w:jc w:val="right"/>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pPr>
            <w:r>
              <w:rPr>
                <w:rFonts w:hint="default" w:ascii="Times New Roman" w:hAnsi="黑体" w:eastAsia="黑体"/>
                <w:snapToGrid w:val="0"/>
                <w:color w:val="000000" w:themeColor="text1"/>
                <w:spacing w:val="-6"/>
                <w:kern w:val="21"/>
                <w:sz w:val="21"/>
                <w:szCs w:val="21"/>
                <w:highlight w:val="none"/>
                <w:lang w:val="en-US" w:eastAsia="zh-CN"/>
                <w14:textFill>
                  <w14:solidFill>
                    <w14:schemeClr w14:val="tx1"/>
                  </w14:solidFill>
                </w14:textFill>
              </w:rPr>
              <w:t>项目</w:t>
            </w:r>
          </w:p>
          <w:p w14:paraId="66638793">
            <w:pPr>
              <w:pStyle w:val="51"/>
              <w:keepNext w:val="0"/>
              <w:keepLines w:val="0"/>
              <w:suppressLineNumbers w:val="0"/>
              <w:spacing w:before="0" w:beforeLines="0" w:beforeAutospacing="0" w:after="0" w:afterLines="0" w:afterAutospacing="0" w:line="240" w:lineRule="auto"/>
              <w:ind w:left="0" w:right="0"/>
              <w:jc w:val="left"/>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pPr>
            <w:r>
              <w:rPr>
                <w:rFonts w:hint="default" w:ascii="Times New Roman" w:hAnsi="黑体" w:eastAsia="黑体"/>
                <w:snapToGrid w:val="0"/>
                <w:color w:val="000000" w:themeColor="text1"/>
                <w:spacing w:val="-6"/>
                <w:kern w:val="21"/>
                <w:sz w:val="21"/>
                <w:szCs w:val="21"/>
                <w:highlight w:val="none"/>
                <w:lang w:val="en-US" w:eastAsia="zh-CN"/>
                <w14:textFill>
                  <w14:solidFill>
                    <w14:schemeClr w14:val="tx1"/>
                  </w14:solidFill>
                </w14:textFill>
              </w:rPr>
              <w:t>分类</w:t>
            </w:r>
          </w:p>
        </w:tc>
        <w:tc>
          <w:tcPr>
            <w:tcW w:w="1443" w:type="dxa"/>
            <w:noWrap w:val="0"/>
            <w:tcMar>
              <w:left w:w="28" w:type="dxa"/>
              <w:right w:w="28" w:type="dxa"/>
            </w:tcMar>
            <w:vAlign w:val="center"/>
          </w:tcPr>
          <w:p w14:paraId="5996C983">
            <w:pPr>
              <w:pStyle w:val="51"/>
              <w:keepNext w:val="0"/>
              <w:keepLines w:val="0"/>
              <w:suppressLineNumbers w:val="0"/>
              <w:spacing w:before="0" w:beforeLines="0" w:beforeAutospacing="0" w:after="0" w:afterLines="0" w:afterAutospacing="0" w:line="240" w:lineRule="auto"/>
              <w:ind w:left="0" w:right="0"/>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pPr>
            <w:r>
              <w:rPr>
                <w:rFonts w:hint="default" w:ascii="Times New Roman" w:hAnsi="黑体" w:eastAsia="黑体"/>
                <w:snapToGrid w:val="0"/>
                <w:color w:val="000000" w:themeColor="text1"/>
                <w:spacing w:val="-6"/>
                <w:kern w:val="21"/>
                <w:sz w:val="21"/>
                <w:szCs w:val="21"/>
                <w:highlight w:val="none"/>
                <w:lang w:val="en-US" w:eastAsia="zh-CN"/>
                <w14:textFill>
                  <w14:solidFill>
                    <w14:schemeClr w14:val="tx1"/>
                  </w14:solidFill>
                </w14:textFill>
              </w:rPr>
              <w:t>污染物名称</w:t>
            </w:r>
          </w:p>
        </w:tc>
        <w:tc>
          <w:tcPr>
            <w:tcW w:w="1785" w:type="dxa"/>
            <w:noWrap w:val="0"/>
            <w:tcMar>
              <w:left w:w="28" w:type="dxa"/>
              <w:right w:w="28" w:type="dxa"/>
            </w:tcMar>
            <w:vAlign w:val="center"/>
          </w:tcPr>
          <w:p w14:paraId="16D92337">
            <w:pPr>
              <w:pStyle w:val="51"/>
              <w:keepNext w:val="0"/>
              <w:keepLines w:val="0"/>
              <w:suppressLineNumbers w:val="0"/>
              <w:spacing w:before="0" w:beforeLines="0" w:beforeAutospacing="0" w:after="0" w:afterLines="0" w:afterAutospacing="0" w:line="240" w:lineRule="auto"/>
              <w:ind w:left="0" w:right="0"/>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pPr>
            <w:r>
              <w:rPr>
                <w:rFonts w:hint="default" w:ascii="Times New Roman" w:hAnsi="黑体" w:eastAsia="黑体"/>
                <w:snapToGrid w:val="0"/>
                <w:color w:val="000000" w:themeColor="text1"/>
                <w:spacing w:val="-6"/>
                <w:kern w:val="21"/>
                <w:sz w:val="21"/>
                <w:szCs w:val="21"/>
                <w:highlight w:val="none"/>
                <w:lang w:val="en-US" w:eastAsia="zh-CN"/>
                <w14:textFill>
                  <w14:solidFill>
                    <w14:schemeClr w14:val="tx1"/>
                  </w14:solidFill>
                </w14:textFill>
              </w:rPr>
              <w:t>现有工程排放量（固体废物产生量）</w: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begin"/>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instrText xml:space="preserve"> = 1 \* GB3 \* MERGEFORMAT </w:instrTex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separate"/>
            </w:r>
            <w:r>
              <w:rPr>
                <w:rFonts w:hint="default" w:ascii="黑体" w:hAnsi="黑体" w:eastAsia="黑体"/>
                <w:color w:val="000000" w:themeColor="text1"/>
                <w:kern w:val="2"/>
                <w:sz w:val="21"/>
                <w:szCs w:val="21"/>
                <w:highlight w:val="none"/>
                <w:lang w:val="en-US" w:eastAsia="zh-CN"/>
                <w14:textFill>
                  <w14:solidFill>
                    <w14:schemeClr w14:val="tx1"/>
                  </w14:solidFill>
                </w14:textFill>
              </w:rPr>
              <w:t>①</w: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end"/>
            </w:r>
          </w:p>
        </w:tc>
        <w:tc>
          <w:tcPr>
            <w:tcW w:w="1257" w:type="dxa"/>
            <w:noWrap w:val="0"/>
            <w:tcMar>
              <w:left w:w="28" w:type="dxa"/>
              <w:right w:w="28" w:type="dxa"/>
            </w:tcMar>
            <w:vAlign w:val="center"/>
          </w:tcPr>
          <w:p w14:paraId="3D6DDF43">
            <w:pPr>
              <w:pStyle w:val="51"/>
              <w:keepNext w:val="0"/>
              <w:keepLines w:val="0"/>
              <w:suppressLineNumbers w:val="0"/>
              <w:spacing w:before="0" w:beforeLines="0" w:beforeAutospacing="0" w:after="0" w:afterLines="0" w:afterAutospacing="0" w:line="240" w:lineRule="auto"/>
              <w:ind w:left="0" w:right="0"/>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pPr>
            <w:r>
              <w:rPr>
                <w:rFonts w:hint="default" w:ascii="Times New Roman" w:hAnsi="黑体" w:eastAsia="黑体"/>
                <w:snapToGrid w:val="0"/>
                <w:color w:val="000000" w:themeColor="text1"/>
                <w:spacing w:val="-6"/>
                <w:kern w:val="21"/>
                <w:sz w:val="21"/>
                <w:szCs w:val="21"/>
                <w:highlight w:val="none"/>
                <w:lang w:val="en-US" w:eastAsia="zh-CN"/>
                <w14:textFill>
                  <w14:solidFill>
                    <w14:schemeClr w14:val="tx1"/>
                  </w14:solidFill>
                </w14:textFill>
              </w:rPr>
              <w:t>现有工程许可排放量</w: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begin"/>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instrText xml:space="preserve"> = 2 \* GB3 \* MERGEFORMAT </w:instrTex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separate"/>
            </w:r>
            <w:r>
              <w:rPr>
                <w:rFonts w:hint="default" w:ascii="黑体" w:hAnsi="黑体" w:eastAsia="黑体"/>
                <w:snapToGrid w:val="0"/>
                <w:color w:val="000000" w:themeColor="text1"/>
                <w:spacing w:val="-6"/>
                <w:kern w:val="21"/>
                <w:sz w:val="21"/>
                <w:szCs w:val="21"/>
                <w:highlight w:val="none"/>
                <w:lang w:val="en-US" w:eastAsia="zh-CN"/>
                <w14:textFill>
                  <w14:solidFill>
                    <w14:schemeClr w14:val="tx1"/>
                  </w14:solidFill>
                </w14:textFill>
              </w:rPr>
              <w:t>②</w: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end"/>
            </w:r>
          </w:p>
        </w:tc>
        <w:tc>
          <w:tcPr>
            <w:tcW w:w="1803" w:type="dxa"/>
            <w:noWrap w:val="0"/>
            <w:tcMar>
              <w:left w:w="28" w:type="dxa"/>
              <w:right w:w="28" w:type="dxa"/>
            </w:tcMar>
            <w:vAlign w:val="center"/>
          </w:tcPr>
          <w:p w14:paraId="33F74D08">
            <w:pPr>
              <w:pStyle w:val="51"/>
              <w:keepNext w:val="0"/>
              <w:keepLines w:val="0"/>
              <w:suppressLineNumbers w:val="0"/>
              <w:spacing w:before="0" w:beforeLines="0" w:beforeAutospacing="0" w:after="0" w:afterLines="0" w:afterAutospacing="0" w:line="240" w:lineRule="auto"/>
              <w:ind w:left="0" w:right="0"/>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pPr>
            <w:r>
              <w:rPr>
                <w:rFonts w:hint="default" w:ascii="Times New Roman" w:hAnsi="黑体" w:eastAsia="黑体"/>
                <w:snapToGrid w:val="0"/>
                <w:color w:val="000000" w:themeColor="text1"/>
                <w:spacing w:val="-6"/>
                <w:kern w:val="21"/>
                <w:sz w:val="21"/>
                <w:szCs w:val="21"/>
                <w:highlight w:val="none"/>
                <w:lang w:val="en-US" w:eastAsia="zh-CN"/>
                <w14:textFill>
                  <w14:solidFill>
                    <w14:schemeClr w14:val="tx1"/>
                  </w14:solidFill>
                </w14:textFill>
              </w:rPr>
              <w:t>在建工程排放量（固体废物产生量）</w: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begin"/>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instrText xml:space="preserve"> = 3 \* GB3 \* MERGEFORMAT </w:instrTex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separate"/>
            </w:r>
            <w:r>
              <w:rPr>
                <w:rFonts w:hint="default" w:ascii="黑体" w:hAnsi="黑体" w:eastAsia="黑体"/>
                <w:color w:val="000000" w:themeColor="text1"/>
                <w:kern w:val="2"/>
                <w:sz w:val="21"/>
                <w:szCs w:val="21"/>
                <w:highlight w:val="none"/>
                <w:lang w:val="en-US" w:eastAsia="zh-CN"/>
                <w14:textFill>
                  <w14:solidFill>
                    <w14:schemeClr w14:val="tx1"/>
                  </w14:solidFill>
                </w14:textFill>
              </w:rPr>
              <w:t>③</w: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end"/>
            </w:r>
          </w:p>
        </w:tc>
        <w:tc>
          <w:tcPr>
            <w:tcW w:w="1680" w:type="dxa"/>
            <w:noWrap w:val="0"/>
            <w:tcMar>
              <w:left w:w="28" w:type="dxa"/>
              <w:right w:w="28" w:type="dxa"/>
            </w:tcMar>
            <w:vAlign w:val="center"/>
          </w:tcPr>
          <w:p w14:paraId="5AAE4EFC">
            <w:pPr>
              <w:pStyle w:val="51"/>
              <w:keepNext w:val="0"/>
              <w:keepLines w:val="0"/>
              <w:suppressLineNumbers w:val="0"/>
              <w:spacing w:before="0" w:beforeLines="0" w:beforeAutospacing="0" w:after="0" w:afterLines="0" w:afterAutospacing="0" w:line="240" w:lineRule="auto"/>
              <w:ind w:left="0" w:right="0"/>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pPr>
            <w:r>
              <w:rPr>
                <w:rFonts w:hint="default" w:ascii="Times New Roman" w:hAnsi="黑体" w:eastAsia="黑体"/>
                <w:snapToGrid w:val="0"/>
                <w:color w:val="000000" w:themeColor="text1"/>
                <w:spacing w:val="-6"/>
                <w:kern w:val="21"/>
                <w:sz w:val="21"/>
                <w:szCs w:val="21"/>
                <w:highlight w:val="none"/>
                <w:lang w:val="en-US" w:eastAsia="zh-CN"/>
                <w14:textFill>
                  <w14:solidFill>
                    <w14:schemeClr w14:val="tx1"/>
                  </w14:solidFill>
                </w14:textFill>
              </w:rPr>
              <w:t>本项目排放量（固体废物产生量）</w: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begin"/>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instrText xml:space="preserve"> = 4 \* GB3 \* MERGEFORMAT </w:instrTex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separate"/>
            </w:r>
            <w:r>
              <w:rPr>
                <w:rFonts w:hint="default" w:ascii="黑体" w:hAnsi="黑体" w:eastAsia="黑体"/>
                <w:color w:val="000000" w:themeColor="text1"/>
                <w:kern w:val="2"/>
                <w:sz w:val="21"/>
                <w:szCs w:val="21"/>
                <w:highlight w:val="none"/>
                <w:lang w:val="en-US" w:eastAsia="zh-CN"/>
                <w14:textFill>
                  <w14:solidFill>
                    <w14:schemeClr w14:val="tx1"/>
                  </w14:solidFill>
                </w14:textFill>
              </w:rPr>
              <w:t>④</w: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end"/>
            </w:r>
          </w:p>
        </w:tc>
        <w:tc>
          <w:tcPr>
            <w:tcW w:w="1575" w:type="dxa"/>
            <w:noWrap w:val="0"/>
            <w:tcMar>
              <w:left w:w="28" w:type="dxa"/>
              <w:right w:w="28" w:type="dxa"/>
            </w:tcMar>
            <w:vAlign w:val="center"/>
          </w:tcPr>
          <w:p w14:paraId="4531761D">
            <w:pPr>
              <w:pStyle w:val="51"/>
              <w:keepNext w:val="0"/>
              <w:keepLines w:val="0"/>
              <w:suppressLineNumbers w:val="0"/>
              <w:spacing w:before="0" w:beforeLines="0" w:beforeAutospacing="0" w:after="0" w:afterLines="0" w:afterAutospacing="0" w:line="240" w:lineRule="auto"/>
              <w:ind w:left="0" w:right="0"/>
              <w:rPr>
                <w:rFonts w:hint="default" w:ascii="Times New Roman" w:eastAsia="黑体"/>
                <w:snapToGrid w:val="0"/>
                <w:color w:val="000000" w:themeColor="text1"/>
                <w:spacing w:val="-16"/>
                <w:kern w:val="21"/>
                <w:sz w:val="21"/>
                <w:szCs w:val="21"/>
                <w:highlight w:val="none"/>
                <w:lang w:val="en-US" w:eastAsia="zh-CN"/>
                <w14:textFill>
                  <w14:solidFill>
                    <w14:schemeClr w14:val="tx1"/>
                  </w14:solidFill>
                </w14:textFill>
              </w:rPr>
            </w:pPr>
            <w:r>
              <w:rPr>
                <w:rFonts w:hint="default" w:ascii="Times New Roman" w:hAnsi="黑体" w:eastAsia="黑体"/>
                <w:snapToGrid w:val="0"/>
                <w:color w:val="000000" w:themeColor="text1"/>
                <w:spacing w:val="-16"/>
                <w:kern w:val="21"/>
                <w:sz w:val="21"/>
                <w:szCs w:val="21"/>
                <w:highlight w:val="none"/>
                <w:lang w:val="en-US" w:eastAsia="zh-CN"/>
                <w14:textFill>
                  <w14:solidFill>
                    <w14:schemeClr w14:val="tx1"/>
                  </w14:solidFill>
                </w14:textFill>
              </w:rPr>
              <w:t>以新带老削减量（新建项目不填）</w:t>
            </w:r>
            <w:r>
              <w:rPr>
                <w:rFonts w:hint="default" w:ascii="Times New Roman" w:eastAsia="黑体"/>
                <w:snapToGrid w:val="0"/>
                <w:color w:val="000000" w:themeColor="text1"/>
                <w:spacing w:val="-16"/>
                <w:kern w:val="21"/>
                <w:sz w:val="21"/>
                <w:szCs w:val="21"/>
                <w:highlight w:val="none"/>
                <w:lang w:val="en-US" w:eastAsia="zh-CN"/>
                <w14:textFill>
                  <w14:solidFill>
                    <w14:schemeClr w14:val="tx1"/>
                  </w14:solidFill>
                </w14:textFill>
              </w:rPr>
              <w:fldChar w:fldCharType="begin"/>
            </w:r>
            <w:r>
              <w:rPr>
                <w:rFonts w:hint="default" w:ascii="Times New Roman" w:eastAsia="黑体"/>
                <w:snapToGrid w:val="0"/>
                <w:color w:val="000000" w:themeColor="text1"/>
                <w:spacing w:val="-16"/>
                <w:kern w:val="21"/>
                <w:sz w:val="21"/>
                <w:szCs w:val="21"/>
                <w:highlight w:val="none"/>
                <w:lang w:val="en-US" w:eastAsia="zh-CN"/>
                <w14:textFill>
                  <w14:solidFill>
                    <w14:schemeClr w14:val="tx1"/>
                  </w14:solidFill>
                </w14:textFill>
              </w:rPr>
              <w:instrText xml:space="preserve"> = 5 \* GB3 \* MERGEFORMAT </w:instrText>
            </w:r>
            <w:r>
              <w:rPr>
                <w:rFonts w:hint="default" w:ascii="Times New Roman" w:eastAsia="黑体"/>
                <w:snapToGrid w:val="0"/>
                <w:color w:val="000000" w:themeColor="text1"/>
                <w:spacing w:val="-16"/>
                <w:kern w:val="21"/>
                <w:sz w:val="21"/>
                <w:szCs w:val="21"/>
                <w:highlight w:val="none"/>
                <w:lang w:val="en-US" w:eastAsia="zh-CN"/>
                <w14:textFill>
                  <w14:solidFill>
                    <w14:schemeClr w14:val="tx1"/>
                  </w14:solidFill>
                </w14:textFill>
              </w:rPr>
              <w:fldChar w:fldCharType="separate"/>
            </w:r>
            <w:r>
              <w:rPr>
                <w:rFonts w:hint="default" w:ascii="黑体" w:hAnsi="黑体" w:eastAsia="黑体"/>
                <w:color w:val="000000" w:themeColor="text1"/>
                <w:kern w:val="2"/>
                <w:sz w:val="21"/>
                <w:szCs w:val="21"/>
                <w:highlight w:val="none"/>
                <w:lang w:val="en-US" w:eastAsia="zh-CN"/>
                <w14:textFill>
                  <w14:solidFill>
                    <w14:schemeClr w14:val="tx1"/>
                  </w14:solidFill>
                </w14:textFill>
              </w:rPr>
              <w:t>⑤</w:t>
            </w:r>
            <w:r>
              <w:rPr>
                <w:rFonts w:hint="default" w:ascii="Times New Roman" w:eastAsia="黑体"/>
                <w:snapToGrid w:val="0"/>
                <w:color w:val="000000" w:themeColor="text1"/>
                <w:spacing w:val="-16"/>
                <w:kern w:val="21"/>
                <w:sz w:val="21"/>
                <w:szCs w:val="21"/>
                <w:highlight w:val="none"/>
                <w:lang w:val="en-US" w:eastAsia="zh-CN"/>
                <w14:textFill>
                  <w14:solidFill>
                    <w14:schemeClr w14:val="tx1"/>
                  </w14:solidFill>
                </w14:textFill>
              </w:rPr>
              <w:fldChar w:fldCharType="end"/>
            </w:r>
          </w:p>
        </w:tc>
        <w:tc>
          <w:tcPr>
            <w:tcW w:w="2040" w:type="dxa"/>
            <w:noWrap w:val="0"/>
            <w:tcMar>
              <w:left w:w="28" w:type="dxa"/>
              <w:right w:w="28" w:type="dxa"/>
            </w:tcMar>
            <w:vAlign w:val="center"/>
          </w:tcPr>
          <w:p w14:paraId="3BA89EB4">
            <w:pPr>
              <w:pStyle w:val="51"/>
              <w:keepNext w:val="0"/>
              <w:keepLines w:val="0"/>
              <w:suppressLineNumbers w:val="0"/>
              <w:spacing w:before="0" w:beforeLines="0" w:beforeAutospacing="0" w:after="0" w:afterLines="0" w:afterAutospacing="0" w:line="240" w:lineRule="auto"/>
              <w:ind w:left="0" w:right="0"/>
              <w:rPr>
                <w:rFonts w:hint="default" w:ascii="Times New Roman" w:eastAsia="黑体"/>
                <w:snapToGrid w:val="0"/>
                <w:color w:val="000000" w:themeColor="text1"/>
                <w:spacing w:val="-16"/>
                <w:kern w:val="21"/>
                <w:sz w:val="21"/>
                <w:szCs w:val="21"/>
                <w:highlight w:val="none"/>
                <w:lang w:val="en-US" w:eastAsia="zh-CN"/>
                <w14:textFill>
                  <w14:solidFill>
                    <w14:schemeClr w14:val="tx1"/>
                  </w14:solidFill>
                </w14:textFill>
              </w:rPr>
            </w:pPr>
            <w:r>
              <w:rPr>
                <w:rFonts w:hint="default" w:ascii="Times New Roman" w:hAnsi="黑体" w:eastAsia="黑体"/>
                <w:snapToGrid w:val="0"/>
                <w:color w:val="000000" w:themeColor="text1"/>
                <w:spacing w:val="-16"/>
                <w:kern w:val="21"/>
                <w:sz w:val="21"/>
                <w:szCs w:val="21"/>
                <w:highlight w:val="none"/>
                <w:lang w:val="en-US" w:eastAsia="zh-CN"/>
                <w14:textFill>
                  <w14:solidFill>
                    <w14:schemeClr w14:val="tx1"/>
                  </w14:solidFill>
                </w14:textFill>
              </w:rPr>
              <w:t>本项目建成后全厂排放量（固体废物产生量）</w:t>
            </w:r>
            <w:r>
              <w:rPr>
                <w:rFonts w:hint="default" w:ascii="Times New Roman" w:eastAsia="黑体"/>
                <w:snapToGrid w:val="0"/>
                <w:color w:val="000000" w:themeColor="text1"/>
                <w:spacing w:val="-16"/>
                <w:kern w:val="21"/>
                <w:sz w:val="21"/>
                <w:szCs w:val="21"/>
                <w:highlight w:val="none"/>
                <w:lang w:val="en-US" w:eastAsia="zh-CN"/>
                <w14:textFill>
                  <w14:solidFill>
                    <w14:schemeClr w14:val="tx1"/>
                  </w14:solidFill>
                </w14:textFill>
              </w:rPr>
              <w:fldChar w:fldCharType="begin"/>
            </w:r>
            <w:r>
              <w:rPr>
                <w:rFonts w:hint="default" w:ascii="Times New Roman" w:eastAsia="黑体"/>
                <w:snapToGrid w:val="0"/>
                <w:color w:val="000000" w:themeColor="text1"/>
                <w:spacing w:val="-16"/>
                <w:kern w:val="21"/>
                <w:sz w:val="21"/>
                <w:szCs w:val="21"/>
                <w:highlight w:val="none"/>
                <w:lang w:val="en-US" w:eastAsia="zh-CN"/>
                <w14:textFill>
                  <w14:solidFill>
                    <w14:schemeClr w14:val="tx1"/>
                  </w14:solidFill>
                </w14:textFill>
              </w:rPr>
              <w:instrText xml:space="preserve"> = 6 \* GB3 \* MERGEFORMAT </w:instrText>
            </w:r>
            <w:r>
              <w:rPr>
                <w:rFonts w:hint="default" w:ascii="Times New Roman" w:eastAsia="黑体"/>
                <w:snapToGrid w:val="0"/>
                <w:color w:val="000000" w:themeColor="text1"/>
                <w:spacing w:val="-16"/>
                <w:kern w:val="21"/>
                <w:sz w:val="21"/>
                <w:szCs w:val="21"/>
                <w:highlight w:val="none"/>
                <w:lang w:val="en-US" w:eastAsia="zh-CN"/>
                <w14:textFill>
                  <w14:solidFill>
                    <w14:schemeClr w14:val="tx1"/>
                  </w14:solidFill>
                </w14:textFill>
              </w:rPr>
              <w:fldChar w:fldCharType="separate"/>
            </w:r>
            <w:r>
              <w:rPr>
                <w:rFonts w:hint="default" w:ascii="黑体" w:hAnsi="黑体" w:eastAsia="黑体"/>
                <w:color w:val="000000" w:themeColor="text1"/>
                <w:kern w:val="2"/>
                <w:sz w:val="21"/>
                <w:szCs w:val="21"/>
                <w:highlight w:val="none"/>
                <w:lang w:val="en-US" w:eastAsia="zh-CN"/>
                <w14:textFill>
                  <w14:solidFill>
                    <w14:schemeClr w14:val="tx1"/>
                  </w14:solidFill>
                </w14:textFill>
              </w:rPr>
              <w:t>⑥</w:t>
            </w:r>
            <w:r>
              <w:rPr>
                <w:rFonts w:hint="default" w:ascii="Times New Roman" w:eastAsia="黑体"/>
                <w:snapToGrid w:val="0"/>
                <w:color w:val="000000" w:themeColor="text1"/>
                <w:spacing w:val="-16"/>
                <w:kern w:val="21"/>
                <w:sz w:val="21"/>
                <w:szCs w:val="21"/>
                <w:highlight w:val="none"/>
                <w:lang w:val="en-US" w:eastAsia="zh-CN"/>
                <w14:textFill>
                  <w14:solidFill>
                    <w14:schemeClr w14:val="tx1"/>
                  </w14:solidFill>
                </w14:textFill>
              </w:rPr>
              <w:fldChar w:fldCharType="end"/>
            </w:r>
          </w:p>
        </w:tc>
        <w:tc>
          <w:tcPr>
            <w:tcW w:w="1108" w:type="dxa"/>
            <w:noWrap w:val="0"/>
            <w:tcMar>
              <w:left w:w="28" w:type="dxa"/>
              <w:right w:w="28" w:type="dxa"/>
            </w:tcMar>
            <w:vAlign w:val="center"/>
          </w:tcPr>
          <w:p w14:paraId="2F3DAF60">
            <w:pPr>
              <w:pStyle w:val="51"/>
              <w:keepNext w:val="0"/>
              <w:keepLines w:val="0"/>
              <w:suppressLineNumbers w:val="0"/>
              <w:spacing w:before="0" w:beforeLines="0" w:beforeAutospacing="0" w:after="0" w:afterLines="0" w:afterAutospacing="0" w:line="240" w:lineRule="auto"/>
              <w:ind w:left="0" w:right="0"/>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pPr>
            <w:r>
              <w:rPr>
                <w:rFonts w:hint="default" w:ascii="Times New Roman" w:hAnsi="黑体" w:eastAsia="黑体"/>
                <w:snapToGrid w:val="0"/>
                <w:color w:val="000000" w:themeColor="text1"/>
                <w:spacing w:val="-6"/>
                <w:kern w:val="21"/>
                <w:sz w:val="21"/>
                <w:szCs w:val="21"/>
                <w:highlight w:val="none"/>
                <w:lang w:val="en-US" w:eastAsia="zh-CN"/>
                <w14:textFill>
                  <w14:solidFill>
                    <w14:schemeClr w14:val="tx1"/>
                  </w14:solidFill>
                </w14:textFill>
              </w:rPr>
              <w:t>变化量</w: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begin"/>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instrText xml:space="preserve"> = 7 \* GB3 \* MERGEFORMAT </w:instrTex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separate"/>
            </w:r>
            <w:r>
              <w:rPr>
                <w:rFonts w:hint="default" w:ascii="黑体" w:hAnsi="黑体" w:eastAsia="黑体"/>
                <w:color w:val="000000" w:themeColor="text1"/>
                <w:kern w:val="2"/>
                <w:sz w:val="21"/>
                <w:szCs w:val="21"/>
                <w:highlight w:val="none"/>
                <w:lang w:val="en-US" w:eastAsia="zh-CN"/>
                <w14:textFill>
                  <w14:solidFill>
                    <w14:schemeClr w14:val="tx1"/>
                  </w14:solidFill>
                </w14:textFill>
              </w:rPr>
              <w:t>⑦</w: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end"/>
            </w:r>
          </w:p>
        </w:tc>
      </w:tr>
      <w:tr w14:paraId="60DBE1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vMerge w:val="restart"/>
            <w:noWrap w:val="0"/>
            <w:vAlign w:val="center"/>
          </w:tcPr>
          <w:p w14:paraId="652401B1">
            <w:pPr>
              <w:pStyle w:val="51"/>
              <w:keepNext w:val="0"/>
              <w:keepLines w:val="0"/>
              <w:suppressLineNumbers w:val="0"/>
              <w:spacing w:before="0" w:beforeLines="0" w:beforeAutospacing="0" w:after="0" w:afterLines="0" w:afterAutospacing="0" w:line="240" w:lineRule="auto"/>
              <w:ind w:left="0" w:right="0"/>
              <w:rPr>
                <w:rFonts w:hint="default" w:ascii="Times New Roman"/>
                <w:snapToGrid w:val="0"/>
                <w:color w:val="000000" w:themeColor="text1"/>
                <w:kern w:val="21"/>
                <w:sz w:val="21"/>
                <w:szCs w:val="21"/>
                <w:highlight w:val="none"/>
                <w:lang w:val="en-US" w:eastAsia="zh-CN"/>
                <w14:textFill>
                  <w14:solidFill>
                    <w14:schemeClr w14:val="tx1"/>
                  </w14:solidFill>
                </w14:textFill>
              </w:rPr>
            </w:pPr>
            <w:r>
              <w:rPr>
                <w:rFonts w:hint="eastAsia" w:ascii="Times New Roman"/>
                <w:snapToGrid w:val="0"/>
                <w:color w:val="000000" w:themeColor="text1"/>
                <w:kern w:val="21"/>
                <w:sz w:val="21"/>
                <w:szCs w:val="21"/>
                <w:highlight w:val="none"/>
                <w:lang w:val="en-US" w:eastAsia="zh-CN"/>
                <w14:textFill>
                  <w14:solidFill>
                    <w14:schemeClr w14:val="tx1"/>
                  </w14:solidFill>
                </w14:textFill>
              </w:rPr>
              <w:t>废气</w:t>
            </w:r>
          </w:p>
        </w:tc>
        <w:tc>
          <w:tcPr>
            <w:tcW w:w="1443" w:type="dxa"/>
            <w:noWrap w:val="0"/>
            <w:vAlign w:val="center"/>
          </w:tcPr>
          <w:p w14:paraId="780D7D64">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宋体"/>
                <w:snapToGrid w:val="0"/>
                <w:color w:val="000000" w:themeColor="text1"/>
                <w:kern w:val="21"/>
                <w:sz w:val="21"/>
                <w:szCs w:val="21"/>
                <w:highlight w:val="none"/>
                <w:lang w:val="en-US" w:eastAsia="zh-CN"/>
                <w14:textFill>
                  <w14:solidFill>
                    <w14:schemeClr w14:val="tx1"/>
                  </w14:solidFill>
                </w14:textFill>
              </w:rPr>
            </w:pPr>
            <w:r>
              <w:rPr>
                <w:rFonts w:hint="eastAsia"/>
                <w:b w:val="0"/>
                <w:bCs w:val="0"/>
                <w:color w:val="auto"/>
                <w:sz w:val="21"/>
                <w:szCs w:val="21"/>
                <w:vertAlign w:val="baseline"/>
                <w:lang w:val="en-US" w:eastAsia="zh-CN"/>
              </w:rPr>
              <w:t>非甲烷总烃</w:t>
            </w:r>
          </w:p>
        </w:tc>
        <w:tc>
          <w:tcPr>
            <w:tcW w:w="1785" w:type="dxa"/>
            <w:noWrap w:val="0"/>
            <w:vAlign w:val="center"/>
          </w:tcPr>
          <w:p w14:paraId="09BD0891">
            <w:pPr>
              <w:keepNext w:val="0"/>
              <w:keepLines w:val="0"/>
              <w:suppressLineNumbers w:val="0"/>
              <w:spacing w:before="0" w:beforeAutospacing="0" w:after="0" w:afterAutospacing="0"/>
              <w:ind w:left="0" w:right="0"/>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3.3880</w:t>
            </w:r>
          </w:p>
        </w:tc>
        <w:tc>
          <w:tcPr>
            <w:tcW w:w="1257" w:type="dxa"/>
            <w:noWrap w:val="0"/>
            <w:vAlign w:val="center"/>
          </w:tcPr>
          <w:p w14:paraId="7A15A2D8">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cs="Times New Roman"/>
                <w:sz w:val="21"/>
                <w:szCs w:val="21"/>
              </w:rPr>
              <w:t>3.4426</w:t>
            </w:r>
          </w:p>
        </w:tc>
        <w:tc>
          <w:tcPr>
            <w:tcW w:w="1803" w:type="dxa"/>
            <w:noWrap w:val="0"/>
            <w:vAlign w:val="center"/>
          </w:tcPr>
          <w:p w14:paraId="77BD336F">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680" w:type="dxa"/>
            <w:noWrap w:val="0"/>
            <w:vAlign w:val="center"/>
          </w:tcPr>
          <w:p w14:paraId="467E319B">
            <w:pPr>
              <w:keepNext w:val="0"/>
              <w:keepLines w:val="0"/>
              <w:suppressLineNumbers w:val="0"/>
              <w:spacing w:before="0" w:beforeAutospacing="0" w:after="0" w:afterAutospacing="0"/>
              <w:ind w:left="0" w:leftChars="0" w:right="0" w:rightChars="0"/>
              <w:jc w:val="center"/>
              <w:rPr>
                <w:rFonts w:hint="default"/>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1575" w:type="dxa"/>
            <w:noWrap w:val="0"/>
            <w:vAlign w:val="center"/>
          </w:tcPr>
          <w:p w14:paraId="0F14CEB9">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2040" w:type="dxa"/>
            <w:noWrap w:val="0"/>
            <w:vAlign w:val="center"/>
          </w:tcPr>
          <w:p w14:paraId="3923D03F">
            <w:pPr>
              <w:keepNext w:val="0"/>
              <w:keepLines w:val="0"/>
              <w:suppressLineNumbers w:val="0"/>
              <w:spacing w:before="0" w:beforeAutospacing="0" w:after="0" w:afterAutospacing="0"/>
              <w:ind w:left="0" w:leftChars="0" w:right="0" w:right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3.3880</w:t>
            </w:r>
          </w:p>
        </w:tc>
        <w:tc>
          <w:tcPr>
            <w:tcW w:w="1108" w:type="dxa"/>
            <w:noWrap w:val="0"/>
            <w:vAlign w:val="center"/>
          </w:tcPr>
          <w:p w14:paraId="4FA5A254">
            <w:pPr>
              <w:keepNext w:val="0"/>
              <w:keepLines w:val="0"/>
              <w:suppressLineNumbers w:val="0"/>
              <w:spacing w:before="0" w:beforeAutospacing="0" w:after="0" w:afterAutospacing="0"/>
              <w:ind w:left="0" w:leftChars="0" w:right="0" w:rightChars="0"/>
              <w:jc w:val="center"/>
              <w:rPr>
                <w:rFonts w:hint="default"/>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r>
      <w:tr w14:paraId="63C305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vMerge w:val="continue"/>
            <w:noWrap w:val="0"/>
            <w:vAlign w:val="center"/>
          </w:tcPr>
          <w:p w14:paraId="0CE839D0">
            <w:pPr>
              <w:pStyle w:val="51"/>
              <w:keepNext w:val="0"/>
              <w:keepLines w:val="0"/>
              <w:suppressLineNumbers w:val="0"/>
              <w:spacing w:before="0" w:beforeLines="0" w:beforeAutospacing="0" w:after="0" w:afterLines="0" w:afterAutospacing="0" w:line="240" w:lineRule="auto"/>
              <w:ind w:left="0" w:right="0"/>
              <w:rPr>
                <w:rFonts w:hint="eastAsia" w:ascii="Times New Roman"/>
                <w:snapToGrid w:val="0"/>
                <w:color w:val="000000" w:themeColor="text1"/>
                <w:kern w:val="21"/>
                <w:sz w:val="21"/>
                <w:szCs w:val="21"/>
                <w:highlight w:val="none"/>
                <w:lang w:val="en-US" w:eastAsia="zh-CN"/>
                <w14:textFill>
                  <w14:solidFill>
                    <w14:schemeClr w14:val="tx1"/>
                  </w14:solidFill>
                </w14:textFill>
              </w:rPr>
            </w:pPr>
          </w:p>
        </w:tc>
        <w:tc>
          <w:tcPr>
            <w:tcW w:w="1443" w:type="dxa"/>
            <w:noWrap w:val="0"/>
            <w:vAlign w:val="center"/>
          </w:tcPr>
          <w:p w14:paraId="3C56492D">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颗粒物</w:t>
            </w:r>
          </w:p>
        </w:tc>
        <w:tc>
          <w:tcPr>
            <w:tcW w:w="1785" w:type="dxa"/>
            <w:noWrap w:val="0"/>
            <w:vAlign w:val="center"/>
          </w:tcPr>
          <w:p w14:paraId="1F821F59">
            <w:pPr>
              <w:keepNext w:val="0"/>
              <w:keepLines w:val="0"/>
              <w:suppressLineNumbers w:val="0"/>
              <w:spacing w:before="0" w:beforeAutospacing="0" w:after="0" w:afterAutospacing="0"/>
              <w:ind w:left="0" w:right="0"/>
              <w:jc w:val="center"/>
              <w:rPr>
                <w:rFonts w:hint="eastAsia"/>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cs="Times New Roman"/>
                <w:sz w:val="21"/>
                <w:szCs w:val="21"/>
                <w:highlight w:val="none"/>
              </w:rPr>
              <w:t>0.4</w:t>
            </w:r>
            <w:r>
              <w:rPr>
                <w:rFonts w:hint="eastAsia" w:cs="Times New Roman"/>
                <w:sz w:val="21"/>
                <w:szCs w:val="21"/>
                <w:highlight w:val="none"/>
                <w:lang w:val="en-US" w:eastAsia="zh-CN"/>
              </w:rPr>
              <w:t>400</w:t>
            </w:r>
          </w:p>
        </w:tc>
        <w:tc>
          <w:tcPr>
            <w:tcW w:w="1257" w:type="dxa"/>
            <w:noWrap w:val="0"/>
            <w:vAlign w:val="center"/>
          </w:tcPr>
          <w:p w14:paraId="32C6CD66">
            <w:pPr>
              <w:keepNext w:val="0"/>
              <w:keepLines w:val="0"/>
              <w:suppressLineNumbers w:val="0"/>
              <w:spacing w:before="0" w:beforeAutospacing="0" w:after="0" w:afterAutospacing="0"/>
              <w:ind w:left="0" w:leftChars="0" w:right="0" w:rightChars="0"/>
              <w:jc w:val="center"/>
              <w:rPr>
                <w:rFonts w:hint="eastAsia"/>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cs="Times New Roman"/>
                <w:sz w:val="21"/>
                <w:szCs w:val="21"/>
              </w:rPr>
              <w:t>0.4524</w:t>
            </w:r>
          </w:p>
        </w:tc>
        <w:tc>
          <w:tcPr>
            <w:tcW w:w="1803" w:type="dxa"/>
            <w:noWrap w:val="0"/>
            <w:vAlign w:val="center"/>
          </w:tcPr>
          <w:p w14:paraId="23FA60FD">
            <w:pPr>
              <w:keepNext w:val="0"/>
              <w:keepLines w:val="0"/>
              <w:suppressLineNumbers w:val="0"/>
              <w:spacing w:before="0" w:beforeAutospacing="0" w:after="0" w:afterAutospacing="0"/>
              <w:ind w:left="0" w:leftChars="0" w:right="0" w:rightChars="0"/>
              <w:jc w:val="center"/>
              <w:rPr>
                <w:rFonts w:hint="eastAsia"/>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680" w:type="dxa"/>
            <w:noWrap w:val="0"/>
            <w:vAlign w:val="center"/>
          </w:tcPr>
          <w:p w14:paraId="418EE714">
            <w:pPr>
              <w:keepNext w:val="0"/>
              <w:keepLines w:val="0"/>
              <w:suppressLineNumbers w:val="0"/>
              <w:spacing w:before="0" w:beforeAutospacing="0" w:after="0" w:afterAutospacing="0"/>
              <w:ind w:left="0" w:leftChars="0" w:right="0" w:rightChars="0"/>
              <w:jc w:val="center"/>
              <w:rPr>
                <w:rFonts w:hint="eastAsia"/>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1575" w:type="dxa"/>
            <w:noWrap w:val="0"/>
            <w:vAlign w:val="center"/>
          </w:tcPr>
          <w:p w14:paraId="39C90893">
            <w:pPr>
              <w:keepNext w:val="0"/>
              <w:keepLines w:val="0"/>
              <w:suppressLineNumbers w:val="0"/>
              <w:spacing w:before="0" w:beforeAutospacing="0" w:after="0" w:afterAutospacing="0"/>
              <w:ind w:left="0" w:leftChars="0" w:right="0" w:rightChars="0"/>
              <w:jc w:val="center"/>
              <w:rPr>
                <w:rFonts w:hint="eastAsia"/>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2040" w:type="dxa"/>
            <w:noWrap w:val="0"/>
            <w:vAlign w:val="center"/>
          </w:tcPr>
          <w:p w14:paraId="1CA503F9">
            <w:pPr>
              <w:keepNext w:val="0"/>
              <w:keepLines w:val="0"/>
              <w:suppressLineNumbers w:val="0"/>
              <w:spacing w:before="0" w:beforeAutospacing="0" w:after="0" w:afterAutospacing="0"/>
              <w:ind w:left="0" w:leftChars="0" w:right="0" w:rightChars="0"/>
              <w:jc w:val="center"/>
              <w:rPr>
                <w:rFonts w:hint="eastAsia"/>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sz w:val="21"/>
                <w:szCs w:val="21"/>
                <w:highlight w:val="none"/>
              </w:rPr>
              <w:t>0.4</w:t>
            </w:r>
            <w:r>
              <w:rPr>
                <w:rFonts w:hint="eastAsia" w:cs="Times New Roman"/>
                <w:sz w:val="21"/>
                <w:szCs w:val="21"/>
                <w:highlight w:val="none"/>
                <w:lang w:val="en-US" w:eastAsia="zh-CN"/>
              </w:rPr>
              <w:t>400</w:t>
            </w:r>
          </w:p>
        </w:tc>
        <w:tc>
          <w:tcPr>
            <w:tcW w:w="1108" w:type="dxa"/>
            <w:noWrap w:val="0"/>
            <w:vAlign w:val="center"/>
          </w:tcPr>
          <w:p w14:paraId="51665445">
            <w:pPr>
              <w:keepNext w:val="0"/>
              <w:keepLines w:val="0"/>
              <w:suppressLineNumbers w:val="0"/>
              <w:spacing w:before="0" w:beforeAutospacing="0" w:after="0" w:afterAutospacing="0"/>
              <w:ind w:left="0" w:leftChars="0" w:right="0" w:rightChars="0"/>
              <w:jc w:val="center"/>
              <w:rPr>
                <w:rFonts w:hint="eastAsia"/>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r>
      <w:tr w14:paraId="495277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vMerge w:val="restart"/>
            <w:noWrap w:val="0"/>
            <w:vAlign w:val="center"/>
          </w:tcPr>
          <w:p w14:paraId="67BEF12C">
            <w:pPr>
              <w:pStyle w:val="51"/>
              <w:keepNext w:val="0"/>
              <w:keepLines w:val="0"/>
              <w:suppressLineNumbers w:val="0"/>
              <w:spacing w:before="24" w:beforeAutospacing="0" w:after="24" w:afterAutospacing="0"/>
              <w:ind w:left="0" w:right="0"/>
              <w:rPr>
                <w:rFonts w:hint="default" w:ascii="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宋体"/>
                <w:snapToGrid w:val="0"/>
                <w:color w:val="000000" w:themeColor="text1"/>
                <w:kern w:val="21"/>
                <w:sz w:val="21"/>
                <w:szCs w:val="21"/>
                <w:highlight w:val="none"/>
                <w:lang w:val="en-US" w:eastAsia="zh-CN"/>
                <w14:textFill>
                  <w14:solidFill>
                    <w14:schemeClr w14:val="tx1"/>
                  </w14:solidFill>
                </w14:textFill>
              </w:rPr>
              <w:t>废水</w:t>
            </w:r>
          </w:p>
        </w:tc>
        <w:tc>
          <w:tcPr>
            <w:tcW w:w="1443" w:type="dxa"/>
            <w:noWrap w:val="0"/>
            <w:vAlign w:val="center"/>
          </w:tcPr>
          <w:p w14:paraId="01542050">
            <w:pPr>
              <w:keepNext w:val="0"/>
              <w:keepLines w:val="0"/>
              <w:suppressLineNumbers w:val="0"/>
              <w:tabs>
                <w:tab w:val="left" w:pos="3620"/>
              </w:tabs>
              <w:adjustRightInd w:val="0"/>
              <w:snapToGrid w:val="0"/>
              <w:spacing w:before="0" w:beforeAutospacing="0" w:after="0" w:afterAutospacing="0"/>
              <w:ind w:left="0" w:right="0"/>
              <w:jc w:val="center"/>
              <w:rPr>
                <w:rFonts w:hint="default"/>
                <w:color w:val="000000" w:themeColor="text1"/>
                <w:sz w:val="21"/>
                <w:szCs w:val="21"/>
                <w:highlight w:val="none"/>
                <w14:textFill>
                  <w14:solidFill>
                    <w14:schemeClr w14:val="tx1"/>
                  </w14:solidFill>
                </w14:textFill>
              </w:rPr>
            </w:pPr>
            <w:r>
              <w:rPr>
                <w:rFonts w:hint="default"/>
                <w:color w:val="000000" w:themeColor="text1"/>
                <w:sz w:val="21"/>
                <w:szCs w:val="21"/>
                <w:highlight w:val="none"/>
                <w14:textFill>
                  <w14:solidFill>
                    <w14:schemeClr w14:val="tx1"/>
                  </w14:solidFill>
                </w14:textFill>
              </w:rPr>
              <w:t>COD</w:t>
            </w:r>
          </w:p>
        </w:tc>
        <w:tc>
          <w:tcPr>
            <w:tcW w:w="1785" w:type="dxa"/>
            <w:noWrap w:val="0"/>
            <w:vAlign w:val="center"/>
          </w:tcPr>
          <w:p w14:paraId="514D3FAB">
            <w:pPr>
              <w:pStyle w:val="51"/>
              <w:keepNext w:val="0"/>
              <w:keepLines w:val="0"/>
              <w:suppressLineNumbers w:val="0"/>
              <w:spacing w:before="0" w:beforeAutospacing="0" w:after="0" w:afterAutospacing="0"/>
              <w:ind w:left="0" w:leftChars="0" w:right="0" w:right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ascii="Times New Roman" w:cs="Times New Roman"/>
                <w:sz w:val="21"/>
                <w:szCs w:val="21"/>
                <w:highlight w:val="none"/>
                <w:lang w:val="en-US" w:eastAsia="zh-CN"/>
              </w:rPr>
              <w:t>4.2768</w:t>
            </w:r>
          </w:p>
        </w:tc>
        <w:tc>
          <w:tcPr>
            <w:tcW w:w="1257" w:type="dxa"/>
            <w:noWrap w:val="0"/>
            <w:vAlign w:val="center"/>
          </w:tcPr>
          <w:p w14:paraId="597762E7">
            <w:pPr>
              <w:pStyle w:val="51"/>
              <w:keepNext w:val="0"/>
              <w:keepLines w:val="0"/>
              <w:suppressLineNumbers w:val="0"/>
              <w:spacing w:before="0" w:beforeAutospacing="0" w:after="0" w:afterAutospacing="0"/>
              <w:ind w:left="0" w:leftChars="0" w:right="0" w:rightChars="0"/>
              <w:jc w:val="center"/>
              <w:rPr>
                <w:rFonts w:hint="eastAsia" w:eastAsia="宋体"/>
                <w:color w:val="000000" w:themeColor="text1"/>
                <w:sz w:val="21"/>
                <w:szCs w:val="21"/>
                <w:highlight w:val="none"/>
                <w:lang w:eastAsia="zh-CN"/>
                <w14:textFill>
                  <w14:solidFill>
                    <w14:schemeClr w14:val="tx1"/>
                  </w14:solidFill>
                </w14:textFill>
              </w:rPr>
            </w:pPr>
            <w:r>
              <w:rPr>
                <w:rFonts w:hint="default" w:ascii="Times New Roman" w:hAnsi="Times New Roman" w:cs="Times New Roman"/>
                <w:sz w:val="21"/>
                <w:szCs w:val="21"/>
              </w:rPr>
              <w:t>4.3711</w:t>
            </w:r>
          </w:p>
        </w:tc>
        <w:tc>
          <w:tcPr>
            <w:tcW w:w="1803" w:type="dxa"/>
            <w:noWrap w:val="0"/>
            <w:vAlign w:val="center"/>
          </w:tcPr>
          <w:p w14:paraId="4AD3B78B">
            <w:pPr>
              <w:keepNext w:val="0"/>
              <w:keepLines w:val="0"/>
              <w:suppressLineNumbers w:val="0"/>
              <w:spacing w:before="0" w:beforeAutospacing="0" w:after="0" w:afterAutospacing="0"/>
              <w:ind w:left="0" w:leftChars="0" w:right="0" w:right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680" w:type="dxa"/>
            <w:noWrap w:val="0"/>
            <w:vAlign w:val="center"/>
          </w:tcPr>
          <w:p w14:paraId="33D749F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1575" w:type="dxa"/>
            <w:noWrap w:val="0"/>
            <w:vAlign w:val="center"/>
          </w:tcPr>
          <w:p w14:paraId="753D3D27">
            <w:pPr>
              <w:keepNext w:val="0"/>
              <w:keepLines w:val="0"/>
              <w:suppressLineNumbers w:val="0"/>
              <w:spacing w:before="0" w:beforeAutospacing="0" w:after="0" w:afterAutospacing="0"/>
              <w:ind w:left="0" w:leftChars="0" w:right="0" w:rightChars="0"/>
              <w:jc w:val="center"/>
              <w:rPr>
                <w:rFonts w:hint="default"/>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0.0158</w:t>
            </w:r>
          </w:p>
        </w:tc>
        <w:tc>
          <w:tcPr>
            <w:tcW w:w="2040" w:type="dxa"/>
            <w:noWrap w:val="0"/>
            <w:vAlign w:val="center"/>
          </w:tcPr>
          <w:p w14:paraId="564FD995">
            <w:pPr>
              <w:pStyle w:val="51"/>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cs="Times New Roman"/>
                <w:sz w:val="21"/>
                <w:szCs w:val="21"/>
                <w:highlight w:val="none"/>
                <w:lang w:val="en-US" w:eastAsia="zh-CN"/>
              </w:rPr>
              <w:t>4.2610</w:t>
            </w:r>
          </w:p>
        </w:tc>
        <w:tc>
          <w:tcPr>
            <w:tcW w:w="1108" w:type="dxa"/>
            <w:noWrap w:val="0"/>
            <w:vAlign w:val="center"/>
          </w:tcPr>
          <w:p w14:paraId="2AD5FE9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0.0158</w:t>
            </w:r>
          </w:p>
        </w:tc>
      </w:tr>
      <w:tr w14:paraId="0BCF9A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vMerge w:val="continue"/>
            <w:noWrap w:val="0"/>
            <w:vAlign w:val="center"/>
          </w:tcPr>
          <w:p w14:paraId="6034AF1B">
            <w:pPr>
              <w:pStyle w:val="51"/>
              <w:keepNext w:val="0"/>
              <w:keepLines w:val="0"/>
              <w:suppressLineNumbers w:val="0"/>
              <w:spacing w:before="24" w:beforeAutospacing="0" w:after="24" w:afterAutospacing="0"/>
              <w:ind w:left="0" w:right="0"/>
              <w:rPr>
                <w:rFonts w:hint="default" w:ascii="Times New Roman"/>
                <w:snapToGrid w:val="0"/>
                <w:color w:val="000000" w:themeColor="text1"/>
                <w:kern w:val="21"/>
                <w:sz w:val="21"/>
                <w:szCs w:val="21"/>
                <w:highlight w:val="none"/>
                <w:lang w:val="en-US" w:eastAsia="zh-CN"/>
                <w14:textFill>
                  <w14:solidFill>
                    <w14:schemeClr w14:val="tx1"/>
                  </w14:solidFill>
                </w14:textFill>
              </w:rPr>
            </w:pPr>
          </w:p>
        </w:tc>
        <w:tc>
          <w:tcPr>
            <w:tcW w:w="1443" w:type="dxa"/>
            <w:noWrap w:val="0"/>
            <w:vAlign w:val="center"/>
          </w:tcPr>
          <w:p w14:paraId="3DD03A58">
            <w:pPr>
              <w:keepNext w:val="0"/>
              <w:keepLines w:val="0"/>
              <w:suppressLineNumbers w:val="0"/>
              <w:tabs>
                <w:tab w:val="left" w:pos="3620"/>
              </w:tabs>
              <w:adjustRightInd w:val="0"/>
              <w:snapToGrid w:val="0"/>
              <w:spacing w:before="0" w:beforeAutospacing="0" w:after="0" w:afterAutospacing="0"/>
              <w:ind w:left="0" w:right="0"/>
              <w:jc w:val="center"/>
              <w:rPr>
                <w:rFonts w:hint="default"/>
                <w:color w:val="000000" w:themeColor="text1"/>
                <w:sz w:val="21"/>
                <w:szCs w:val="21"/>
                <w:highlight w:val="none"/>
                <w14:textFill>
                  <w14:solidFill>
                    <w14:schemeClr w14:val="tx1"/>
                  </w14:solidFill>
                </w14:textFill>
              </w:rPr>
            </w:pPr>
            <w:r>
              <w:rPr>
                <w:rFonts w:hint="default"/>
                <w:color w:val="000000" w:themeColor="text1"/>
                <w:sz w:val="21"/>
                <w:szCs w:val="21"/>
                <w:highlight w:val="none"/>
                <w14:textFill>
                  <w14:solidFill>
                    <w14:schemeClr w14:val="tx1"/>
                  </w14:solidFill>
                </w14:textFill>
              </w:rPr>
              <w:t>NH</w:t>
            </w:r>
            <w:r>
              <w:rPr>
                <w:rFonts w:hint="default"/>
                <w:color w:val="000000" w:themeColor="text1"/>
                <w:sz w:val="21"/>
                <w:szCs w:val="21"/>
                <w:highlight w:val="none"/>
                <w:vertAlign w:val="subscript"/>
                <w14:textFill>
                  <w14:solidFill>
                    <w14:schemeClr w14:val="tx1"/>
                  </w14:solidFill>
                </w14:textFill>
              </w:rPr>
              <w:t>3</w:t>
            </w:r>
            <w:r>
              <w:rPr>
                <w:rFonts w:hint="default"/>
                <w:color w:val="000000" w:themeColor="text1"/>
                <w:sz w:val="21"/>
                <w:szCs w:val="21"/>
                <w:highlight w:val="none"/>
                <w14:textFill>
                  <w14:solidFill>
                    <w14:schemeClr w14:val="tx1"/>
                  </w14:solidFill>
                </w14:textFill>
              </w:rPr>
              <w:t>-N</w:t>
            </w:r>
          </w:p>
        </w:tc>
        <w:tc>
          <w:tcPr>
            <w:tcW w:w="1785" w:type="dxa"/>
            <w:noWrap w:val="0"/>
            <w:vAlign w:val="center"/>
          </w:tcPr>
          <w:p w14:paraId="3BA72B1F">
            <w:pPr>
              <w:pStyle w:val="51"/>
              <w:keepNext w:val="0"/>
              <w:keepLines w:val="0"/>
              <w:suppressLineNumbers w:val="0"/>
              <w:spacing w:before="0" w:beforeAutospacing="0" w:after="0" w:afterAutospacing="0"/>
              <w:ind w:left="0" w:leftChars="0" w:right="0" w:right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ascii="Times New Roman" w:cs="Times New Roman"/>
                <w:snapToGrid w:val="0"/>
                <w:color w:val="000000"/>
                <w:kern w:val="21"/>
                <w:sz w:val="21"/>
                <w:szCs w:val="21"/>
                <w:highlight w:val="none"/>
                <w:lang w:val="en-US" w:eastAsia="zh-CN"/>
              </w:rPr>
              <w:t>0.4158</w:t>
            </w:r>
          </w:p>
        </w:tc>
        <w:tc>
          <w:tcPr>
            <w:tcW w:w="1257" w:type="dxa"/>
            <w:noWrap w:val="0"/>
            <w:vAlign w:val="center"/>
          </w:tcPr>
          <w:p w14:paraId="00862B09">
            <w:pPr>
              <w:pStyle w:val="51"/>
              <w:keepNext w:val="0"/>
              <w:keepLines w:val="0"/>
              <w:suppressLineNumbers w:val="0"/>
              <w:spacing w:before="0" w:beforeAutospacing="0" w:after="0" w:afterAutospacing="0"/>
              <w:ind w:left="0" w:leftChars="0" w:right="0" w:rightChars="0"/>
              <w:jc w:val="center"/>
              <w:rPr>
                <w:rFonts w:hint="eastAsia" w:eastAsia="宋体"/>
                <w:color w:val="000000" w:themeColor="text1"/>
                <w:sz w:val="21"/>
                <w:szCs w:val="21"/>
                <w:highlight w:val="none"/>
                <w:lang w:eastAsia="zh-CN"/>
                <w14:textFill>
                  <w14:solidFill>
                    <w14:schemeClr w14:val="tx1"/>
                  </w14:solidFill>
                </w14:textFill>
              </w:rPr>
            </w:pPr>
            <w:r>
              <w:rPr>
                <w:rFonts w:hint="default" w:ascii="Times New Roman" w:hAnsi="Times New Roman" w:cs="Times New Roman"/>
                <w:snapToGrid w:val="0"/>
                <w:color w:val="000000"/>
                <w:kern w:val="21"/>
                <w:sz w:val="21"/>
                <w:szCs w:val="21"/>
              </w:rPr>
              <w:t>0.4302</w:t>
            </w:r>
          </w:p>
        </w:tc>
        <w:tc>
          <w:tcPr>
            <w:tcW w:w="1803" w:type="dxa"/>
            <w:noWrap w:val="0"/>
            <w:vAlign w:val="center"/>
          </w:tcPr>
          <w:p w14:paraId="49B9DC31">
            <w:pPr>
              <w:keepNext w:val="0"/>
              <w:keepLines w:val="0"/>
              <w:suppressLineNumbers w:val="0"/>
              <w:spacing w:before="0" w:beforeAutospacing="0" w:after="0" w:afterAutospacing="0"/>
              <w:ind w:left="0" w:leftChars="0" w:right="0" w:right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680" w:type="dxa"/>
            <w:noWrap w:val="0"/>
            <w:vAlign w:val="center"/>
          </w:tcPr>
          <w:p w14:paraId="56ABC2E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1575" w:type="dxa"/>
            <w:noWrap w:val="0"/>
            <w:vAlign w:val="center"/>
          </w:tcPr>
          <w:p w14:paraId="227BC733">
            <w:pPr>
              <w:pStyle w:val="51"/>
              <w:keepNext w:val="0"/>
              <w:keepLines w:val="0"/>
              <w:suppressLineNumbers w:val="0"/>
              <w:spacing w:before="0" w:beforeLines="0" w:beforeAutospacing="0" w:after="0" w:afterLines="0" w:afterAutospacing="0" w:line="240" w:lineRule="auto"/>
              <w:ind w:left="0" w:leftChars="0" w:right="0" w:rightChars="0"/>
              <w:rPr>
                <w:rFonts w:hint="default"/>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0.004</w:t>
            </w:r>
          </w:p>
        </w:tc>
        <w:tc>
          <w:tcPr>
            <w:tcW w:w="2040" w:type="dxa"/>
            <w:noWrap w:val="0"/>
            <w:vAlign w:val="center"/>
          </w:tcPr>
          <w:p w14:paraId="15C93903">
            <w:pPr>
              <w:pStyle w:val="51"/>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cs="Times New Roman"/>
                <w:snapToGrid w:val="0"/>
                <w:color w:val="000000"/>
                <w:kern w:val="21"/>
                <w:sz w:val="21"/>
                <w:szCs w:val="21"/>
                <w:highlight w:val="none"/>
                <w:lang w:val="en-US" w:eastAsia="zh-CN"/>
              </w:rPr>
              <w:t>0.4118</w:t>
            </w:r>
          </w:p>
        </w:tc>
        <w:tc>
          <w:tcPr>
            <w:tcW w:w="1108" w:type="dxa"/>
            <w:noWrap w:val="0"/>
            <w:vAlign w:val="center"/>
          </w:tcPr>
          <w:p w14:paraId="02E66A16">
            <w:pPr>
              <w:pStyle w:val="51"/>
              <w:keepNext w:val="0"/>
              <w:keepLines w:val="0"/>
              <w:suppressLineNumbers w:val="0"/>
              <w:spacing w:before="0" w:beforeLines="0" w:beforeAutospacing="0" w:after="0" w:afterLines="0" w:afterAutospacing="0" w:line="240" w:lineRule="auto"/>
              <w:ind w:left="0" w:leftChars="0" w:right="0" w:right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cs="Times New Roman"/>
                <w:color w:val="000000" w:themeColor="text1"/>
                <w:sz w:val="21"/>
                <w:szCs w:val="21"/>
                <w:highlight w:val="none"/>
                <w:u w:val="none" w:color="auto"/>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0.004</w:t>
            </w:r>
          </w:p>
        </w:tc>
      </w:tr>
      <w:tr w14:paraId="7295EB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vMerge w:val="restart"/>
            <w:noWrap w:val="0"/>
            <w:vAlign w:val="center"/>
          </w:tcPr>
          <w:p w14:paraId="4AB11A8E">
            <w:pPr>
              <w:pStyle w:val="51"/>
              <w:keepNext w:val="0"/>
              <w:keepLines w:val="0"/>
              <w:suppressLineNumbers w:val="0"/>
              <w:spacing w:before="0" w:beforeLines="0" w:beforeAutospacing="0" w:after="0" w:afterLines="0" w:afterAutospacing="0" w:line="240" w:lineRule="auto"/>
              <w:ind w:left="0" w:right="0"/>
              <w:rPr>
                <w:rFonts w:hint="default" w:ascii="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宋体"/>
                <w:snapToGrid w:val="0"/>
                <w:color w:val="000000" w:themeColor="text1"/>
                <w:kern w:val="21"/>
                <w:sz w:val="21"/>
                <w:szCs w:val="21"/>
                <w:highlight w:val="none"/>
                <w:lang w:val="en-US" w:eastAsia="zh-CN"/>
                <w14:textFill>
                  <w14:solidFill>
                    <w14:schemeClr w14:val="tx1"/>
                  </w14:solidFill>
                </w14:textFill>
              </w:rPr>
              <w:t>一般工业</w:t>
            </w:r>
          </w:p>
          <w:p w14:paraId="2AA4E2C4">
            <w:pPr>
              <w:pStyle w:val="51"/>
              <w:keepNext w:val="0"/>
              <w:keepLines w:val="0"/>
              <w:suppressLineNumbers w:val="0"/>
              <w:spacing w:before="0" w:beforeLines="0" w:beforeAutospacing="0" w:after="0" w:afterLines="0" w:afterAutospacing="0" w:line="240" w:lineRule="auto"/>
              <w:ind w:left="0" w:right="0"/>
              <w:rPr>
                <w:rFonts w:hint="default" w:ascii="Times New Roman" w:hAnsi="宋体"/>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宋体"/>
                <w:snapToGrid w:val="0"/>
                <w:color w:val="000000" w:themeColor="text1"/>
                <w:kern w:val="21"/>
                <w:sz w:val="21"/>
                <w:szCs w:val="21"/>
                <w:highlight w:val="none"/>
                <w:lang w:val="en-US" w:eastAsia="zh-CN"/>
                <w14:textFill>
                  <w14:solidFill>
                    <w14:schemeClr w14:val="tx1"/>
                  </w14:solidFill>
                </w14:textFill>
              </w:rPr>
              <w:t>固体废物</w:t>
            </w:r>
          </w:p>
        </w:tc>
        <w:tc>
          <w:tcPr>
            <w:tcW w:w="1443" w:type="dxa"/>
            <w:noWrap w:val="0"/>
            <w:vAlign w:val="center"/>
          </w:tcPr>
          <w:p w14:paraId="6A215C5C">
            <w:pPr>
              <w:pStyle w:val="51"/>
              <w:keepNext w:val="0"/>
              <w:keepLines w:val="0"/>
              <w:suppressLineNumbers w:val="0"/>
              <w:spacing w:before="0" w:beforeAutospacing="0" w:after="0" w:afterAutospacing="0"/>
              <w:ind w:left="0" w:leftChars="0" w:right="0" w:rightChars="0"/>
              <w:rPr>
                <w:rFonts w:hint="default" w:ascii="Times New Roman" w:hAnsi="Times New Roman" w:eastAsia="宋体" w:cs="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cs="Times New Roman"/>
                <w:sz w:val="21"/>
                <w:szCs w:val="21"/>
              </w:rPr>
              <w:t>废边角料</w:t>
            </w:r>
            <w:r>
              <w:rPr>
                <w:rFonts w:hint="eastAsia" w:ascii="Times New Roman" w:cs="Times New Roman"/>
                <w:sz w:val="21"/>
                <w:szCs w:val="21"/>
                <w:lang w:eastAsia="zh-CN"/>
              </w:rPr>
              <w:t>、</w:t>
            </w:r>
            <w:r>
              <w:rPr>
                <w:rFonts w:hint="eastAsia" w:ascii="Times New Roman" w:cs="Times New Roman"/>
                <w:sz w:val="21"/>
                <w:szCs w:val="21"/>
                <w:lang w:val="en-US" w:eastAsia="zh-CN"/>
              </w:rPr>
              <w:t>次品、废电池钢壳、盖帽、钢带、铝箔等</w:t>
            </w:r>
          </w:p>
        </w:tc>
        <w:tc>
          <w:tcPr>
            <w:tcW w:w="1785" w:type="dxa"/>
            <w:vMerge w:val="restart"/>
            <w:noWrap w:val="0"/>
            <w:vAlign w:val="center"/>
          </w:tcPr>
          <w:p w14:paraId="72BFA628">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82.5</w:t>
            </w:r>
          </w:p>
        </w:tc>
        <w:tc>
          <w:tcPr>
            <w:tcW w:w="1257" w:type="dxa"/>
            <w:vMerge w:val="restart"/>
            <w:noWrap w:val="0"/>
            <w:vAlign w:val="center"/>
          </w:tcPr>
          <w:p w14:paraId="3D32E66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82.5</w:t>
            </w:r>
          </w:p>
        </w:tc>
        <w:tc>
          <w:tcPr>
            <w:tcW w:w="1803" w:type="dxa"/>
            <w:vMerge w:val="restart"/>
            <w:noWrap w:val="0"/>
            <w:vAlign w:val="center"/>
          </w:tcPr>
          <w:p w14:paraId="289BBD20">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680" w:type="dxa"/>
            <w:vMerge w:val="restart"/>
            <w:noWrap w:val="0"/>
            <w:vAlign w:val="center"/>
          </w:tcPr>
          <w:p w14:paraId="0F62289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1575" w:type="dxa"/>
            <w:vMerge w:val="restart"/>
            <w:noWrap w:val="0"/>
            <w:vAlign w:val="center"/>
          </w:tcPr>
          <w:p w14:paraId="6C5410DE">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2040" w:type="dxa"/>
            <w:vMerge w:val="restart"/>
            <w:noWrap w:val="0"/>
            <w:vAlign w:val="center"/>
          </w:tcPr>
          <w:p w14:paraId="38BA29FB">
            <w:pPr>
              <w:keepNext w:val="0"/>
              <w:keepLines w:val="0"/>
              <w:suppressLineNumbers w:val="0"/>
              <w:spacing w:before="0" w:beforeAutospacing="0" w:after="0" w:afterAutospacing="0"/>
              <w:ind w:left="0" w:leftChars="0" w:right="0" w:rightChars="0"/>
              <w:jc w:val="center"/>
              <w:rPr>
                <w:rFonts w:hint="default" w:cs="Times New Roman"/>
                <w:color w:val="000000" w:themeColor="text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82.5</w:t>
            </w:r>
          </w:p>
        </w:tc>
        <w:tc>
          <w:tcPr>
            <w:tcW w:w="1108" w:type="dxa"/>
            <w:vMerge w:val="restart"/>
            <w:noWrap w:val="0"/>
            <w:vAlign w:val="center"/>
          </w:tcPr>
          <w:p w14:paraId="382A7455">
            <w:pPr>
              <w:keepNext w:val="0"/>
              <w:keepLines w:val="0"/>
              <w:suppressLineNumbers w:val="0"/>
              <w:spacing w:before="0" w:beforeAutospacing="0" w:after="0" w:afterAutospacing="0"/>
              <w:ind w:left="0" w:leftChars="0" w:right="0" w:rightChars="0"/>
              <w:jc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r>
      <w:tr w14:paraId="5CE6B2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vMerge w:val="continue"/>
            <w:noWrap w:val="0"/>
            <w:vAlign w:val="center"/>
          </w:tcPr>
          <w:p w14:paraId="5B0CA5E3">
            <w:pPr>
              <w:pStyle w:val="51"/>
              <w:keepNext w:val="0"/>
              <w:keepLines w:val="0"/>
              <w:suppressLineNumbers w:val="0"/>
              <w:spacing w:before="0" w:beforeLines="0" w:beforeAutospacing="0" w:after="0" w:afterLines="0" w:afterAutospacing="0" w:line="240" w:lineRule="auto"/>
              <w:ind w:left="0" w:right="0"/>
              <w:rPr>
                <w:rFonts w:hint="default" w:ascii="Times New Roman" w:hAnsi="宋体"/>
                <w:snapToGrid w:val="0"/>
                <w:color w:val="000000" w:themeColor="text1"/>
                <w:kern w:val="21"/>
                <w:sz w:val="21"/>
                <w:szCs w:val="21"/>
                <w:highlight w:val="none"/>
                <w:lang w:val="en-US" w:eastAsia="zh-CN"/>
                <w14:textFill>
                  <w14:solidFill>
                    <w14:schemeClr w14:val="tx1"/>
                  </w14:solidFill>
                </w14:textFill>
              </w:rPr>
            </w:pPr>
          </w:p>
        </w:tc>
        <w:tc>
          <w:tcPr>
            <w:tcW w:w="1443" w:type="dxa"/>
            <w:noWrap w:val="0"/>
            <w:vAlign w:val="center"/>
          </w:tcPr>
          <w:p w14:paraId="3B9B00C8">
            <w:pPr>
              <w:pStyle w:val="51"/>
              <w:keepNext w:val="0"/>
              <w:keepLines w:val="0"/>
              <w:suppressLineNumbers w:val="0"/>
              <w:spacing w:before="0" w:beforeAutospacing="0" w:after="0" w:afterAutospacing="0"/>
              <w:ind w:left="0" w:leftChars="0" w:right="0" w:rightChars="0"/>
              <w:rPr>
                <w:rFonts w:hint="default" w:hAnsi="宋体" w:eastAsia="宋体"/>
                <w:sz w:val="21"/>
                <w:szCs w:val="21"/>
                <w:lang w:val="en-US" w:eastAsia="zh-CN"/>
              </w:rPr>
            </w:pPr>
            <w:r>
              <w:rPr>
                <w:rFonts w:hint="eastAsia" w:ascii="Times New Roman" w:cs="Times New Roman"/>
                <w:sz w:val="21"/>
                <w:szCs w:val="21"/>
                <w:lang w:val="en-US" w:eastAsia="zh-CN"/>
              </w:rPr>
              <w:t>废包装物（纸箱、纸板、隔膜、吨包、废隔膜纸等）</w:t>
            </w:r>
          </w:p>
        </w:tc>
        <w:tc>
          <w:tcPr>
            <w:tcW w:w="1785" w:type="dxa"/>
            <w:vMerge w:val="continue"/>
            <w:noWrap w:val="0"/>
            <w:vAlign w:val="center"/>
          </w:tcPr>
          <w:p w14:paraId="0AE159F9">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p>
        </w:tc>
        <w:tc>
          <w:tcPr>
            <w:tcW w:w="1257" w:type="dxa"/>
            <w:vMerge w:val="continue"/>
            <w:noWrap w:val="0"/>
            <w:vAlign w:val="center"/>
          </w:tcPr>
          <w:p w14:paraId="3AAE0B41">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p>
        </w:tc>
        <w:tc>
          <w:tcPr>
            <w:tcW w:w="1803" w:type="dxa"/>
            <w:vMerge w:val="continue"/>
            <w:noWrap w:val="0"/>
            <w:vAlign w:val="center"/>
          </w:tcPr>
          <w:p w14:paraId="337D5F16">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p>
        </w:tc>
        <w:tc>
          <w:tcPr>
            <w:tcW w:w="1680" w:type="dxa"/>
            <w:vMerge w:val="continue"/>
            <w:noWrap w:val="0"/>
            <w:vAlign w:val="center"/>
          </w:tcPr>
          <w:p w14:paraId="3FA8CF85">
            <w:pPr>
              <w:keepNext w:val="0"/>
              <w:keepLines w:val="0"/>
              <w:suppressLineNumbers w:val="0"/>
              <w:spacing w:before="0" w:beforeAutospacing="0" w:after="0" w:afterAutospacing="0"/>
              <w:ind w:left="0" w:leftChars="0" w:right="0" w:rightChars="0"/>
              <w:jc w:val="center"/>
              <w:rPr>
                <w:rFonts w:hint="default" w:cs="Times New Roman"/>
                <w:color w:val="000000" w:themeColor="text1"/>
                <w:sz w:val="21"/>
                <w:szCs w:val="21"/>
                <w:highlight w:val="none"/>
                <w:lang w:val="en-US" w:eastAsia="zh-CN"/>
                <w14:textFill>
                  <w14:solidFill>
                    <w14:schemeClr w14:val="tx1"/>
                  </w14:solidFill>
                </w14:textFill>
              </w:rPr>
            </w:pPr>
          </w:p>
        </w:tc>
        <w:tc>
          <w:tcPr>
            <w:tcW w:w="1575" w:type="dxa"/>
            <w:vMerge w:val="continue"/>
            <w:noWrap w:val="0"/>
            <w:vAlign w:val="center"/>
          </w:tcPr>
          <w:p w14:paraId="7D8BCB71">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p>
        </w:tc>
        <w:tc>
          <w:tcPr>
            <w:tcW w:w="2040" w:type="dxa"/>
            <w:vMerge w:val="continue"/>
            <w:noWrap w:val="0"/>
            <w:vAlign w:val="center"/>
          </w:tcPr>
          <w:p w14:paraId="3FA1227F">
            <w:pPr>
              <w:keepNext w:val="0"/>
              <w:keepLines w:val="0"/>
              <w:suppressLineNumbers w:val="0"/>
              <w:spacing w:before="0" w:beforeAutospacing="0" w:after="0" w:afterAutospacing="0"/>
              <w:ind w:left="0" w:leftChars="0" w:right="0" w:rightChars="0"/>
              <w:jc w:val="center"/>
              <w:rPr>
                <w:rFonts w:hint="default" w:cs="Times New Roman"/>
                <w:color w:val="000000" w:themeColor="text1"/>
                <w:sz w:val="21"/>
                <w:szCs w:val="21"/>
                <w:highlight w:val="none"/>
                <w:lang w:val="en-US" w:eastAsia="zh-CN"/>
                <w14:textFill>
                  <w14:solidFill>
                    <w14:schemeClr w14:val="tx1"/>
                  </w14:solidFill>
                </w14:textFill>
              </w:rPr>
            </w:pPr>
          </w:p>
        </w:tc>
        <w:tc>
          <w:tcPr>
            <w:tcW w:w="1108" w:type="dxa"/>
            <w:vMerge w:val="continue"/>
            <w:noWrap w:val="0"/>
            <w:vAlign w:val="center"/>
          </w:tcPr>
          <w:p w14:paraId="1E4EAABE">
            <w:pPr>
              <w:keepNext w:val="0"/>
              <w:keepLines w:val="0"/>
              <w:suppressLineNumbers w:val="0"/>
              <w:spacing w:before="0" w:beforeAutospacing="0" w:after="0" w:afterAutospacing="0"/>
              <w:ind w:left="0" w:leftChars="0" w:right="0" w:rightChars="0"/>
              <w:jc w:val="center"/>
              <w:rPr>
                <w:rFonts w:hint="default" w:cs="Times New Roman"/>
                <w:color w:val="000000" w:themeColor="text1"/>
                <w:sz w:val="21"/>
                <w:szCs w:val="21"/>
                <w:highlight w:val="none"/>
                <w:lang w:val="en-US" w:eastAsia="zh-CN"/>
                <w14:textFill>
                  <w14:solidFill>
                    <w14:schemeClr w14:val="tx1"/>
                  </w14:solidFill>
                </w14:textFill>
              </w:rPr>
            </w:pPr>
          </w:p>
        </w:tc>
      </w:tr>
      <w:tr w14:paraId="3076E6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vMerge w:val="continue"/>
            <w:noWrap w:val="0"/>
            <w:vAlign w:val="center"/>
          </w:tcPr>
          <w:p w14:paraId="1C88C4DA">
            <w:pPr>
              <w:pStyle w:val="51"/>
              <w:keepNext w:val="0"/>
              <w:keepLines w:val="0"/>
              <w:suppressLineNumbers w:val="0"/>
              <w:spacing w:before="0" w:beforeLines="0" w:beforeAutospacing="0" w:after="0" w:afterLines="0" w:afterAutospacing="0" w:line="240" w:lineRule="auto"/>
              <w:ind w:left="0" w:right="0"/>
              <w:rPr>
                <w:rFonts w:hint="default" w:ascii="Times New Roman" w:hAnsi="宋体"/>
                <w:snapToGrid w:val="0"/>
                <w:color w:val="000000" w:themeColor="text1"/>
                <w:kern w:val="21"/>
                <w:sz w:val="21"/>
                <w:szCs w:val="21"/>
                <w:highlight w:val="none"/>
                <w:lang w:val="en-US" w:eastAsia="zh-CN"/>
                <w14:textFill>
                  <w14:solidFill>
                    <w14:schemeClr w14:val="tx1"/>
                  </w14:solidFill>
                </w14:textFill>
              </w:rPr>
            </w:pPr>
          </w:p>
        </w:tc>
        <w:tc>
          <w:tcPr>
            <w:tcW w:w="1443" w:type="dxa"/>
            <w:noWrap w:val="0"/>
            <w:vAlign w:val="center"/>
          </w:tcPr>
          <w:p w14:paraId="5B7C4EDD">
            <w:pPr>
              <w:pStyle w:val="51"/>
              <w:keepNext w:val="0"/>
              <w:keepLines w:val="0"/>
              <w:suppressLineNumbers w:val="0"/>
              <w:spacing w:before="0" w:beforeAutospacing="0" w:after="0" w:afterAutospacing="0"/>
              <w:ind w:left="0" w:leftChars="0" w:right="0" w:rightChars="0"/>
              <w:rPr>
                <w:rFonts w:hint="eastAsia" w:hAnsi="宋体"/>
                <w:sz w:val="21"/>
                <w:szCs w:val="21"/>
                <w:lang w:val="en-US" w:eastAsia="zh-CN"/>
              </w:rPr>
            </w:pPr>
            <w:r>
              <w:rPr>
                <w:rFonts w:hint="eastAsia" w:ascii="Times New Roman" w:cs="Times New Roman"/>
                <w:sz w:val="21"/>
                <w:szCs w:val="21"/>
                <w:lang w:val="en-US" w:eastAsia="zh-CN"/>
              </w:rPr>
              <w:t>除尘器集尘</w:t>
            </w:r>
          </w:p>
        </w:tc>
        <w:tc>
          <w:tcPr>
            <w:tcW w:w="1785" w:type="dxa"/>
            <w:vMerge w:val="continue"/>
            <w:noWrap w:val="0"/>
            <w:vAlign w:val="center"/>
          </w:tcPr>
          <w:p w14:paraId="5EC815BA">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p>
        </w:tc>
        <w:tc>
          <w:tcPr>
            <w:tcW w:w="1257" w:type="dxa"/>
            <w:vMerge w:val="continue"/>
            <w:noWrap w:val="0"/>
            <w:vAlign w:val="center"/>
          </w:tcPr>
          <w:p w14:paraId="15F51C6E">
            <w:pPr>
              <w:keepNext w:val="0"/>
              <w:keepLines w:val="0"/>
              <w:suppressLineNumbers w:val="0"/>
              <w:spacing w:before="0" w:beforeAutospacing="0" w:after="0" w:afterAutospacing="0"/>
              <w:ind w:left="0" w:leftChars="0" w:right="0" w:rightChars="0"/>
              <w:jc w:val="center"/>
              <w:rPr>
                <w:rFonts w:hint="eastAsia"/>
                <w:snapToGrid w:val="0"/>
                <w:color w:val="000000" w:themeColor="text1"/>
                <w:kern w:val="21"/>
                <w:sz w:val="21"/>
                <w:szCs w:val="21"/>
                <w:highlight w:val="none"/>
                <w:lang w:val="en-US" w:eastAsia="zh-CN"/>
                <w14:textFill>
                  <w14:solidFill>
                    <w14:schemeClr w14:val="tx1"/>
                  </w14:solidFill>
                </w14:textFill>
              </w:rPr>
            </w:pPr>
          </w:p>
        </w:tc>
        <w:tc>
          <w:tcPr>
            <w:tcW w:w="1803" w:type="dxa"/>
            <w:vMerge w:val="continue"/>
            <w:noWrap w:val="0"/>
            <w:vAlign w:val="center"/>
          </w:tcPr>
          <w:p w14:paraId="7EB03DDE">
            <w:pPr>
              <w:keepNext w:val="0"/>
              <w:keepLines w:val="0"/>
              <w:suppressLineNumbers w:val="0"/>
              <w:spacing w:before="0" w:beforeAutospacing="0" w:after="0" w:afterAutospacing="0"/>
              <w:ind w:left="0" w:leftChars="0" w:right="0" w:rightChars="0"/>
              <w:jc w:val="center"/>
              <w:rPr>
                <w:rFonts w:hint="eastAsia"/>
                <w:snapToGrid w:val="0"/>
                <w:color w:val="000000" w:themeColor="text1"/>
                <w:kern w:val="21"/>
                <w:sz w:val="21"/>
                <w:szCs w:val="21"/>
                <w:highlight w:val="none"/>
                <w:lang w:val="en-US" w:eastAsia="zh-CN"/>
                <w14:textFill>
                  <w14:solidFill>
                    <w14:schemeClr w14:val="tx1"/>
                  </w14:solidFill>
                </w14:textFill>
              </w:rPr>
            </w:pPr>
          </w:p>
        </w:tc>
        <w:tc>
          <w:tcPr>
            <w:tcW w:w="1680" w:type="dxa"/>
            <w:vMerge w:val="continue"/>
            <w:noWrap w:val="0"/>
            <w:vAlign w:val="center"/>
          </w:tcPr>
          <w:p w14:paraId="3D25ECFB">
            <w:pPr>
              <w:keepNext w:val="0"/>
              <w:keepLines w:val="0"/>
              <w:suppressLineNumbers w:val="0"/>
              <w:spacing w:before="0" w:beforeAutospacing="0" w:after="0" w:afterAutospacing="0"/>
              <w:ind w:left="0" w:leftChars="0" w:right="0" w:rightChars="0"/>
              <w:jc w:val="center"/>
              <w:rPr>
                <w:rFonts w:hint="eastAsia" w:cs="Times New Roman"/>
                <w:color w:val="000000" w:themeColor="text1"/>
                <w:sz w:val="21"/>
                <w:szCs w:val="21"/>
                <w:highlight w:val="none"/>
                <w:lang w:val="en-US" w:eastAsia="zh-CN"/>
                <w14:textFill>
                  <w14:solidFill>
                    <w14:schemeClr w14:val="tx1"/>
                  </w14:solidFill>
                </w14:textFill>
              </w:rPr>
            </w:pPr>
          </w:p>
        </w:tc>
        <w:tc>
          <w:tcPr>
            <w:tcW w:w="1575" w:type="dxa"/>
            <w:vMerge w:val="continue"/>
            <w:noWrap w:val="0"/>
            <w:vAlign w:val="center"/>
          </w:tcPr>
          <w:p w14:paraId="6C0099C8">
            <w:pPr>
              <w:keepNext w:val="0"/>
              <w:keepLines w:val="0"/>
              <w:suppressLineNumbers w:val="0"/>
              <w:spacing w:before="0" w:beforeAutospacing="0" w:after="0" w:afterAutospacing="0"/>
              <w:ind w:left="0" w:leftChars="0" w:right="0" w:rightChars="0"/>
              <w:jc w:val="center"/>
              <w:rPr>
                <w:rFonts w:hint="eastAsia"/>
                <w:snapToGrid w:val="0"/>
                <w:color w:val="000000" w:themeColor="text1"/>
                <w:kern w:val="21"/>
                <w:sz w:val="21"/>
                <w:szCs w:val="21"/>
                <w:highlight w:val="none"/>
                <w:lang w:val="en-US" w:eastAsia="zh-CN"/>
                <w14:textFill>
                  <w14:solidFill>
                    <w14:schemeClr w14:val="tx1"/>
                  </w14:solidFill>
                </w14:textFill>
              </w:rPr>
            </w:pPr>
          </w:p>
        </w:tc>
        <w:tc>
          <w:tcPr>
            <w:tcW w:w="2040" w:type="dxa"/>
            <w:vMerge w:val="continue"/>
            <w:noWrap w:val="0"/>
            <w:vAlign w:val="center"/>
          </w:tcPr>
          <w:p w14:paraId="631895D9">
            <w:pPr>
              <w:keepNext w:val="0"/>
              <w:keepLines w:val="0"/>
              <w:suppressLineNumbers w:val="0"/>
              <w:spacing w:before="0" w:beforeAutospacing="0" w:after="0" w:afterAutospacing="0"/>
              <w:ind w:left="0" w:leftChars="0" w:right="0" w:rightChars="0"/>
              <w:jc w:val="center"/>
              <w:rPr>
                <w:rFonts w:hint="eastAsia" w:cs="Times New Roman"/>
                <w:color w:val="000000" w:themeColor="text1"/>
                <w:sz w:val="21"/>
                <w:szCs w:val="21"/>
                <w:highlight w:val="none"/>
                <w:lang w:val="en-US" w:eastAsia="zh-CN"/>
                <w14:textFill>
                  <w14:solidFill>
                    <w14:schemeClr w14:val="tx1"/>
                  </w14:solidFill>
                </w14:textFill>
              </w:rPr>
            </w:pPr>
          </w:p>
        </w:tc>
        <w:tc>
          <w:tcPr>
            <w:tcW w:w="1108" w:type="dxa"/>
            <w:vMerge w:val="continue"/>
            <w:noWrap w:val="0"/>
            <w:vAlign w:val="center"/>
          </w:tcPr>
          <w:p w14:paraId="5D2F03C8">
            <w:pPr>
              <w:keepNext w:val="0"/>
              <w:keepLines w:val="0"/>
              <w:suppressLineNumbers w:val="0"/>
              <w:spacing w:before="0" w:beforeAutospacing="0" w:after="0" w:afterAutospacing="0"/>
              <w:ind w:left="0" w:leftChars="0" w:right="0" w:rightChars="0"/>
              <w:jc w:val="center"/>
              <w:rPr>
                <w:rFonts w:hint="eastAsia" w:cs="Times New Roman"/>
                <w:color w:val="000000" w:themeColor="text1"/>
                <w:sz w:val="21"/>
                <w:szCs w:val="21"/>
                <w:highlight w:val="none"/>
                <w:lang w:val="en-US" w:eastAsia="zh-CN"/>
                <w14:textFill>
                  <w14:solidFill>
                    <w14:schemeClr w14:val="tx1"/>
                  </w14:solidFill>
                </w14:textFill>
              </w:rPr>
            </w:pPr>
          </w:p>
        </w:tc>
      </w:tr>
      <w:tr w14:paraId="2F9B9C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vMerge w:val="continue"/>
            <w:noWrap w:val="0"/>
            <w:vAlign w:val="center"/>
          </w:tcPr>
          <w:p w14:paraId="67496A2B">
            <w:pPr>
              <w:pStyle w:val="51"/>
              <w:keepNext w:val="0"/>
              <w:keepLines w:val="0"/>
              <w:suppressLineNumbers w:val="0"/>
              <w:spacing w:before="0" w:beforeLines="0" w:beforeAutospacing="0" w:after="0" w:afterLines="0" w:afterAutospacing="0" w:line="240" w:lineRule="auto"/>
              <w:ind w:left="0" w:right="0"/>
              <w:rPr>
                <w:rFonts w:hint="default" w:ascii="Times New Roman" w:hAnsi="宋体"/>
                <w:snapToGrid w:val="0"/>
                <w:color w:val="000000" w:themeColor="text1"/>
                <w:kern w:val="21"/>
                <w:sz w:val="21"/>
                <w:szCs w:val="21"/>
                <w:highlight w:val="none"/>
                <w:lang w:val="en-US" w:eastAsia="zh-CN"/>
                <w14:textFill>
                  <w14:solidFill>
                    <w14:schemeClr w14:val="tx1"/>
                  </w14:solidFill>
                </w14:textFill>
              </w:rPr>
            </w:pPr>
          </w:p>
        </w:tc>
        <w:tc>
          <w:tcPr>
            <w:tcW w:w="1443" w:type="dxa"/>
            <w:noWrap w:val="0"/>
            <w:vAlign w:val="center"/>
          </w:tcPr>
          <w:p w14:paraId="45B76E6E">
            <w:pPr>
              <w:keepNext w:val="0"/>
              <w:keepLines w:val="0"/>
              <w:suppressLineNumbers w:val="0"/>
              <w:adjustRightInd w:val="0"/>
              <w:snapToGrid w:val="0"/>
              <w:spacing w:before="0" w:beforeAutospacing="0" w:after="0" w:afterAutospacing="0"/>
              <w:ind w:left="0" w:right="0"/>
              <w:jc w:val="center"/>
              <w:rPr>
                <w:rFonts w:hint="default" w:hAnsi="宋体"/>
                <w:sz w:val="21"/>
                <w:szCs w:val="21"/>
                <w:lang w:val="en-US" w:eastAsia="zh-CN"/>
              </w:rPr>
            </w:pPr>
            <w:r>
              <w:rPr>
                <w:rFonts w:hint="eastAsia" w:hAnsi="宋体"/>
                <w:sz w:val="21"/>
                <w:szCs w:val="21"/>
                <w:lang w:val="en-US" w:eastAsia="zh-CN"/>
              </w:rPr>
              <w:t>污水处理站污泥</w:t>
            </w:r>
          </w:p>
        </w:tc>
        <w:tc>
          <w:tcPr>
            <w:tcW w:w="1785" w:type="dxa"/>
            <w:noWrap w:val="0"/>
            <w:vAlign w:val="center"/>
          </w:tcPr>
          <w:p w14:paraId="4DFC6E99">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11.8</w:t>
            </w:r>
          </w:p>
        </w:tc>
        <w:tc>
          <w:tcPr>
            <w:tcW w:w="1257" w:type="dxa"/>
            <w:noWrap w:val="0"/>
            <w:vAlign w:val="center"/>
          </w:tcPr>
          <w:p w14:paraId="34D8C438">
            <w:pPr>
              <w:keepNext w:val="0"/>
              <w:keepLines w:val="0"/>
              <w:suppressLineNumbers w:val="0"/>
              <w:spacing w:before="0" w:beforeAutospacing="0" w:after="0" w:afterAutospacing="0"/>
              <w:ind w:left="0" w:leftChars="0" w:right="0" w:rightChars="0"/>
              <w:jc w:val="center"/>
              <w:rPr>
                <w:rFonts w:hint="eastAsia"/>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11.8</w:t>
            </w:r>
          </w:p>
        </w:tc>
        <w:tc>
          <w:tcPr>
            <w:tcW w:w="1803" w:type="dxa"/>
            <w:noWrap w:val="0"/>
            <w:vAlign w:val="center"/>
          </w:tcPr>
          <w:p w14:paraId="3FFAA3C7">
            <w:pPr>
              <w:keepNext w:val="0"/>
              <w:keepLines w:val="0"/>
              <w:suppressLineNumbers w:val="0"/>
              <w:spacing w:before="0" w:beforeAutospacing="0" w:after="0" w:afterAutospacing="0"/>
              <w:ind w:left="0" w:leftChars="0" w:right="0" w:rightChars="0"/>
              <w:jc w:val="center"/>
              <w:rPr>
                <w:rFonts w:hint="eastAsia"/>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680" w:type="dxa"/>
            <w:noWrap w:val="0"/>
            <w:vAlign w:val="center"/>
          </w:tcPr>
          <w:p w14:paraId="75250277">
            <w:pPr>
              <w:keepNext w:val="0"/>
              <w:keepLines w:val="0"/>
              <w:suppressLineNumbers w:val="0"/>
              <w:spacing w:before="0" w:beforeAutospacing="0" w:after="0" w:afterAutospacing="0"/>
              <w:ind w:left="0" w:leftChars="0" w:right="0" w:rightChars="0"/>
              <w:jc w:val="center"/>
              <w:rPr>
                <w:rFonts w:hint="eastAsia"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1575" w:type="dxa"/>
            <w:noWrap w:val="0"/>
            <w:vAlign w:val="center"/>
          </w:tcPr>
          <w:p w14:paraId="32FBEAE5">
            <w:pPr>
              <w:keepNext w:val="0"/>
              <w:keepLines w:val="0"/>
              <w:suppressLineNumbers w:val="0"/>
              <w:spacing w:before="0" w:beforeAutospacing="0" w:after="0" w:afterAutospacing="0"/>
              <w:ind w:left="0" w:leftChars="0" w:right="0" w:rightChars="0"/>
              <w:jc w:val="center"/>
              <w:rPr>
                <w:rFonts w:hint="eastAsia"/>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2040" w:type="dxa"/>
            <w:noWrap w:val="0"/>
            <w:vAlign w:val="center"/>
          </w:tcPr>
          <w:p w14:paraId="5E696375">
            <w:pPr>
              <w:keepNext w:val="0"/>
              <w:keepLines w:val="0"/>
              <w:suppressLineNumbers w:val="0"/>
              <w:spacing w:before="0" w:beforeAutospacing="0" w:after="0" w:afterAutospacing="0"/>
              <w:ind w:left="0" w:leftChars="0" w:right="0" w:rightChars="0"/>
              <w:jc w:val="center"/>
              <w:rPr>
                <w:rFonts w:hint="eastAsia" w:cs="Times New Roman"/>
                <w:color w:val="000000" w:themeColor="text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11.8</w:t>
            </w:r>
          </w:p>
        </w:tc>
        <w:tc>
          <w:tcPr>
            <w:tcW w:w="1108" w:type="dxa"/>
            <w:noWrap w:val="0"/>
            <w:vAlign w:val="center"/>
          </w:tcPr>
          <w:p w14:paraId="5EF3207E">
            <w:pPr>
              <w:keepNext w:val="0"/>
              <w:keepLines w:val="0"/>
              <w:suppressLineNumbers w:val="0"/>
              <w:spacing w:before="0" w:beforeAutospacing="0" w:after="0" w:afterAutospacing="0"/>
              <w:ind w:left="0" w:leftChars="0" w:right="0" w:rightChars="0"/>
              <w:jc w:val="center"/>
              <w:rPr>
                <w:rFonts w:hint="eastAsia"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r>
      <w:tr w14:paraId="6C0B77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vMerge w:val="continue"/>
            <w:noWrap w:val="0"/>
            <w:vAlign w:val="center"/>
          </w:tcPr>
          <w:p w14:paraId="5ED4112D">
            <w:pPr>
              <w:pStyle w:val="51"/>
              <w:keepNext w:val="0"/>
              <w:keepLines w:val="0"/>
              <w:suppressLineNumbers w:val="0"/>
              <w:spacing w:before="0" w:beforeLines="0" w:beforeAutospacing="0" w:after="0" w:afterLines="0" w:afterAutospacing="0" w:line="240" w:lineRule="auto"/>
              <w:ind w:left="0" w:right="0"/>
              <w:rPr>
                <w:rFonts w:hint="default" w:ascii="Times New Roman" w:hAnsi="宋体"/>
                <w:snapToGrid w:val="0"/>
                <w:color w:val="000000" w:themeColor="text1"/>
                <w:kern w:val="21"/>
                <w:sz w:val="21"/>
                <w:szCs w:val="21"/>
                <w:highlight w:val="none"/>
                <w:lang w:val="en-US" w:eastAsia="zh-CN"/>
                <w14:textFill>
                  <w14:solidFill>
                    <w14:schemeClr w14:val="tx1"/>
                  </w14:solidFill>
                </w14:textFill>
              </w:rPr>
            </w:pPr>
          </w:p>
        </w:tc>
        <w:tc>
          <w:tcPr>
            <w:tcW w:w="1443" w:type="dxa"/>
            <w:noWrap w:val="0"/>
            <w:vAlign w:val="center"/>
          </w:tcPr>
          <w:p w14:paraId="7F600F92">
            <w:pPr>
              <w:keepNext w:val="0"/>
              <w:keepLines w:val="0"/>
              <w:suppressLineNumbers w:val="0"/>
              <w:adjustRightInd w:val="0"/>
              <w:snapToGrid w:val="0"/>
              <w:spacing w:before="0" w:beforeAutospacing="0" w:after="0" w:afterAutospacing="0"/>
              <w:ind w:left="0" w:right="0"/>
              <w:jc w:val="center"/>
              <w:rPr>
                <w:rFonts w:hint="default" w:hAnsi="宋体"/>
                <w:sz w:val="21"/>
                <w:szCs w:val="21"/>
                <w:lang w:val="en-US" w:eastAsia="zh-CN"/>
              </w:rPr>
            </w:pPr>
            <w:r>
              <w:rPr>
                <w:rFonts w:hint="eastAsia" w:hAnsi="宋体"/>
                <w:sz w:val="21"/>
                <w:szCs w:val="21"/>
                <w:lang w:val="en-US" w:eastAsia="zh-CN"/>
              </w:rPr>
              <w:t>沉淀池污泥</w:t>
            </w:r>
          </w:p>
        </w:tc>
        <w:tc>
          <w:tcPr>
            <w:tcW w:w="1785" w:type="dxa"/>
            <w:noWrap w:val="0"/>
            <w:vAlign w:val="center"/>
          </w:tcPr>
          <w:p w14:paraId="59455185">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0.5</w:t>
            </w:r>
          </w:p>
        </w:tc>
        <w:tc>
          <w:tcPr>
            <w:tcW w:w="1257" w:type="dxa"/>
            <w:noWrap w:val="0"/>
            <w:vAlign w:val="center"/>
          </w:tcPr>
          <w:p w14:paraId="09764486">
            <w:pPr>
              <w:keepNext w:val="0"/>
              <w:keepLines w:val="0"/>
              <w:suppressLineNumbers w:val="0"/>
              <w:spacing w:before="0" w:beforeAutospacing="0" w:after="0" w:afterAutospacing="0"/>
              <w:ind w:left="0" w:leftChars="0" w:right="0" w:rightChars="0"/>
              <w:jc w:val="center"/>
              <w:rPr>
                <w:rFonts w:hint="eastAsia"/>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0.5</w:t>
            </w:r>
          </w:p>
        </w:tc>
        <w:tc>
          <w:tcPr>
            <w:tcW w:w="1803" w:type="dxa"/>
            <w:noWrap w:val="0"/>
            <w:vAlign w:val="center"/>
          </w:tcPr>
          <w:p w14:paraId="71BEF7FC">
            <w:pPr>
              <w:keepNext w:val="0"/>
              <w:keepLines w:val="0"/>
              <w:suppressLineNumbers w:val="0"/>
              <w:spacing w:before="0" w:beforeAutospacing="0" w:after="0" w:afterAutospacing="0"/>
              <w:ind w:left="0" w:leftChars="0" w:right="0" w:rightChars="0"/>
              <w:jc w:val="center"/>
              <w:rPr>
                <w:rFonts w:hint="eastAsia"/>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680" w:type="dxa"/>
            <w:noWrap w:val="0"/>
            <w:vAlign w:val="center"/>
          </w:tcPr>
          <w:p w14:paraId="5990732E">
            <w:pPr>
              <w:keepNext w:val="0"/>
              <w:keepLines w:val="0"/>
              <w:suppressLineNumbers w:val="0"/>
              <w:spacing w:before="0" w:beforeAutospacing="0" w:after="0" w:afterAutospacing="0"/>
              <w:ind w:left="0" w:leftChars="0" w:right="0" w:rightChars="0"/>
              <w:jc w:val="center"/>
              <w:rPr>
                <w:rFonts w:hint="eastAsia"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1575" w:type="dxa"/>
            <w:noWrap w:val="0"/>
            <w:vAlign w:val="center"/>
          </w:tcPr>
          <w:p w14:paraId="766494F0">
            <w:pPr>
              <w:keepNext w:val="0"/>
              <w:keepLines w:val="0"/>
              <w:suppressLineNumbers w:val="0"/>
              <w:spacing w:before="0" w:beforeAutospacing="0" w:after="0" w:afterAutospacing="0"/>
              <w:ind w:left="0" w:leftChars="0" w:right="0" w:rightChars="0"/>
              <w:jc w:val="center"/>
              <w:rPr>
                <w:rFonts w:hint="eastAsia"/>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2040" w:type="dxa"/>
            <w:noWrap w:val="0"/>
            <w:vAlign w:val="center"/>
          </w:tcPr>
          <w:p w14:paraId="53E91673">
            <w:pPr>
              <w:keepNext w:val="0"/>
              <w:keepLines w:val="0"/>
              <w:suppressLineNumbers w:val="0"/>
              <w:spacing w:before="0" w:beforeAutospacing="0" w:after="0" w:afterAutospacing="0"/>
              <w:ind w:left="0" w:leftChars="0" w:right="0" w:rightChars="0"/>
              <w:jc w:val="center"/>
              <w:rPr>
                <w:rFonts w:hint="eastAsia" w:cs="Times New Roman"/>
                <w:color w:val="000000" w:themeColor="text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0.5</w:t>
            </w:r>
          </w:p>
        </w:tc>
        <w:tc>
          <w:tcPr>
            <w:tcW w:w="1108" w:type="dxa"/>
            <w:noWrap w:val="0"/>
            <w:vAlign w:val="center"/>
          </w:tcPr>
          <w:p w14:paraId="5CEAA69B">
            <w:pPr>
              <w:keepNext w:val="0"/>
              <w:keepLines w:val="0"/>
              <w:suppressLineNumbers w:val="0"/>
              <w:spacing w:before="0" w:beforeAutospacing="0" w:after="0" w:afterAutospacing="0"/>
              <w:ind w:left="0" w:leftChars="0" w:right="0" w:rightChars="0"/>
              <w:jc w:val="center"/>
              <w:rPr>
                <w:rFonts w:hint="eastAsia"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r>
      <w:tr w14:paraId="0CB422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vMerge w:val="restart"/>
            <w:noWrap w:val="0"/>
            <w:vAlign w:val="center"/>
          </w:tcPr>
          <w:p w14:paraId="144F85B8">
            <w:pPr>
              <w:pStyle w:val="51"/>
              <w:keepNext w:val="0"/>
              <w:keepLines w:val="0"/>
              <w:suppressLineNumbers w:val="0"/>
              <w:spacing w:before="0" w:beforeLines="0" w:beforeAutospacing="0" w:after="0" w:afterLines="0" w:afterAutospacing="0" w:line="240" w:lineRule="auto"/>
              <w:ind w:left="0" w:right="0"/>
              <w:rPr>
                <w:rFonts w:hint="default" w:ascii="Times New Roman" w:hAnsi="宋体"/>
                <w:snapToGrid w:val="0"/>
                <w:color w:val="000000" w:themeColor="text1"/>
                <w:kern w:val="21"/>
                <w:sz w:val="21"/>
                <w:szCs w:val="21"/>
                <w:highlight w:val="none"/>
                <w:lang w:val="en-US" w:eastAsia="zh-CN"/>
                <w14:textFill>
                  <w14:solidFill>
                    <w14:schemeClr w14:val="tx1"/>
                  </w14:solidFill>
                </w14:textFill>
              </w:rPr>
            </w:pPr>
            <w:r>
              <w:rPr>
                <w:rFonts w:hint="eastAsia" w:ascii="Times New Roman" w:hAnsi="宋体"/>
                <w:snapToGrid w:val="0"/>
                <w:color w:val="000000" w:themeColor="text1"/>
                <w:kern w:val="21"/>
                <w:sz w:val="21"/>
                <w:szCs w:val="21"/>
                <w:highlight w:val="none"/>
                <w:lang w:val="en-US" w:eastAsia="zh-CN"/>
                <w14:textFill>
                  <w14:solidFill>
                    <w14:schemeClr w14:val="tx1"/>
                  </w14:solidFill>
                </w14:textFill>
              </w:rPr>
              <w:t>危险废物</w:t>
            </w:r>
          </w:p>
        </w:tc>
        <w:tc>
          <w:tcPr>
            <w:tcW w:w="1443" w:type="dxa"/>
            <w:noWrap w:val="0"/>
            <w:vAlign w:val="center"/>
          </w:tcPr>
          <w:p w14:paraId="70F6A011">
            <w:pPr>
              <w:pStyle w:val="51"/>
              <w:keepNext w:val="0"/>
              <w:keepLines w:val="0"/>
              <w:suppressLineNumbers w:val="0"/>
              <w:spacing w:before="0" w:beforeAutospacing="0" w:after="0" w:afterAutospacing="0"/>
              <w:ind w:left="0" w:leftChars="0" w:right="0" w:rightChars="0"/>
              <w:rPr>
                <w:rFonts w:hint="eastAsia"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rPr>
              <w:t>NMP溶剂、含NMP废水</w:t>
            </w:r>
          </w:p>
        </w:tc>
        <w:tc>
          <w:tcPr>
            <w:tcW w:w="1785" w:type="dxa"/>
            <w:noWrap w:val="0"/>
            <w:vAlign w:val="center"/>
          </w:tcPr>
          <w:p w14:paraId="262B4C7A">
            <w:pPr>
              <w:pStyle w:val="51"/>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sz w:val="21"/>
                <w:szCs w:val="21"/>
                <w:lang w:val="en-US" w:eastAsia="zh-CN"/>
              </w:rPr>
              <w:t>8358.5</w:t>
            </w:r>
            <w:r>
              <w:rPr>
                <w:rFonts w:hint="default" w:ascii="Times New Roman" w:hAnsi="Times New Roman" w:cs="Times New Roman"/>
                <w:sz w:val="21"/>
                <w:szCs w:val="21"/>
              </w:rPr>
              <w:t>t/a</w:t>
            </w:r>
          </w:p>
        </w:tc>
        <w:tc>
          <w:tcPr>
            <w:tcW w:w="1257" w:type="dxa"/>
            <w:noWrap w:val="0"/>
            <w:vAlign w:val="center"/>
          </w:tcPr>
          <w:p w14:paraId="49A6F2A1">
            <w:pPr>
              <w:pStyle w:val="51"/>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sz w:val="21"/>
                <w:szCs w:val="21"/>
                <w:lang w:val="en-US" w:eastAsia="zh-CN"/>
              </w:rPr>
              <w:t>8358.5</w:t>
            </w:r>
            <w:r>
              <w:rPr>
                <w:rFonts w:hint="default" w:ascii="Times New Roman" w:hAnsi="Times New Roman" w:cs="Times New Roman"/>
                <w:sz w:val="21"/>
                <w:szCs w:val="21"/>
              </w:rPr>
              <w:t>t/a</w:t>
            </w:r>
          </w:p>
        </w:tc>
        <w:tc>
          <w:tcPr>
            <w:tcW w:w="1803" w:type="dxa"/>
            <w:noWrap w:val="0"/>
            <w:vAlign w:val="center"/>
          </w:tcPr>
          <w:p w14:paraId="7F93262B">
            <w:pPr>
              <w:keepNext w:val="0"/>
              <w:keepLines w:val="0"/>
              <w:suppressLineNumbers w:val="0"/>
              <w:spacing w:before="0" w:beforeAutospacing="0" w:after="0" w:afterAutospacing="0"/>
              <w:ind w:left="0" w:leftChars="0" w:right="0" w:rightChars="0"/>
              <w:jc w:val="center"/>
              <w:rPr>
                <w:rFonts w:hint="default" w:eastAsia="宋体"/>
                <w:color w:val="000000"/>
                <w:kern w:val="24"/>
                <w:sz w:val="21"/>
                <w:szCs w:val="21"/>
                <w:highlight w:val="none"/>
                <w:lang w:val="en-US" w:eastAsia="zh-CN"/>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680" w:type="dxa"/>
            <w:noWrap w:val="0"/>
            <w:vAlign w:val="center"/>
          </w:tcPr>
          <w:p w14:paraId="7DFC5941">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1575" w:type="dxa"/>
            <w:noWrap w:val="0"/>
            <w:vAlign w:val="center"/>
          </w:tcPr>
          <w:p w14:paraId="17E5DEBE">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2040" w:type="dxa"/>
            <w:noWrap w:val="0"/>
            <w:vAlign w:val="center"/>
          </w:tcPr>
          <w:p w14:paraId="06F2E2AE">
            <w:pPr>
              <w:pStyle w:val="51"/>
              <w:keepNext w:val="0"/>
              <w:keepLines w:val="0"/>
              <w:suppressLineNumbers w:val="0"/>
              <w:spacing w:before="0" w:beforeAutospacing="0" w:after="0" w:afterAutospacing="0"/>
              <w:ind w:left="0" w:leftChars="0" w:right="0" w:rightChars="0"/>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sz w:val="21"/>
                <w:szCs w:val="21"/>
                <w:lang w:val="en-US" w:eastAsia="zh-CN"/>
              </w:rPr>
              <w:t>8358.5</w:t>
            </w:r>
            <w:r>
              <w:rPr>
                <w:rFonts w:hint="default" w:ascii="Times New Roman" w:hAnsi="Times New Roman" w:cs="Times New Roman"/>
                <w:sz w:val="21"/>
                <w:szCs w:val="21"/>
              </w:rPr>
              <w:t>t/a</w:t>
            </w:r>
          </w:p>
        </w:tc>
        <w:tc>
          <w:tcPr>
            <w:tcW w:w="1108" w:type="dxa"/>
            <w:noWrap w:val="0"/>
            <w:vAlign w:val="center"/>
          </w:tcPr>
          <w:p w14:paraId="7FAD9B80">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r>
      <w:tr w14:paraId="53D642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vMerge w:val="continue"/>
            <w:noWrap w:val="0"/>
            <w:vAlign w:val="center"/>
          </w:tcPr>
          <w:p w14:paraId="27D84F9E">
            <w:pPr>
              <w:pStyle w:val="51"/>
              <w:keepNext w:val="0"/>
              <w:keepLines w:val="0"/>
              <w:suppressLineNumbers w:val="0"/>
              <w:spacing w:before="0" w:beforeLines="0" w:beforeAutospacing="0" w:after="0" w:afterLines="0" w:afterAutospacing="0" w:line="240" w:lineRule="auto"/>
              <w:ind w:left="0" w:right="0"/>
              <w:rPr>
                <w:rFonts w:hint="eastAsia" w:ascii="Times New Roman" w:hAnsi="宋体"/>
                <w:snapToGrid w:val="0"/>
                <w:color w:val="000000" w:themeColor="text1"/>
                <w:kern w:val="21"/>
                <w:sz w:val="21"/>
                <w:szCs w:val="21"/>
                <w:highlight w:val="none"/>
                <w:lang w:val="en-US" w:eastAsia="zh-CN"/>
                <w14:textFill>
                  <w14:solidFill>
                    <w14:schemeClr w14:val="tx1"/>
                  </w14:solidFill>
                </w14:textFill>
              </w:rPr>
            </w:pPr>
          </w:p>
        </w:tc>
        <w:tc>
          <w:tcPr>
            <w:tcW w:w="1443" w:type="dxa"/>
            <w:noWrap w:val="0"/>
            <w:vAlign w:val="center"/>
          </w:tcPr>
          <w:p w14:paraId="4A384DAC">
            <w:pPr>
              <w:pStyle w:val="51"/>
              <w:keepNext w:val="0"/>
              <w:keepLines w:val="0"/>
              <w:suppressLineNumbers w:val="0"/>
              <w:spacing w:before="0" w:beforeAutospacing="0" w:after="0" w:afterAutospacing="0"/>
              <w:ind w:left="0" w:leftChars="0" w:right="0" w:rightChars="0"/>
              <w:rPr>
                <w:rFonts w:hint="eastAsia" w:hAnsi="宋体"/>
                <w:sz w:val="21"/>
                <w:szCs w:val="21"/>
              </w:rPr>
            </w:pPr>
            <w:r>
              <w:rPr>
                <w:rFonts w:hint="eastAsia" w:ascii="Times New Roman" w:cs="Times New Roman"/>
                <w:sz w:val="21"/>
                <w:szCs w:val="21"/>
                <w:lang w:val="en-US" w:eastAsia="zh-CN"/>
              </w:rPr>
              <w:t>废机油（润滑油）</w:t>
            </w:r>
          </w:p>
        </w:tc>
        <w:tc>
          <w:tcPr>
            <w:tcW w:w="1785" w:type="dxa"/>
            <w:noWrap w:val="0"/>
            <w:vAlign w:val="center"/>
          </w:tcPr>
          <w:p w14:paraId="79D7F8E1">
            <w:pPr>
              <w:pStyle w:val="51"/>
              <w:keepNext w:val="0"/>
              <w:keepLines w:val="0"/>
              <w:suppressLineNumbers w:val="0"/>
              <w:spacing w:before="0" w:beforeAutospacing="0" w:after="0" w:afterAutospacing="0"/>
              <w:ind w:left="0" w:leftChars="0" w:right="0" w:rightChars="0"/>
              <w:rPr>
                <w:rFonts w:hint="eastAsia"/>
                <w:snapToGrid w:val="0"/>
                <w:color w:val="000000" w:themeColor="text1"/>
                <w:kern w:val="21"/>
                <w:sz w:val="21"/>
                <w:szCs w:val="21"/>
                <w:highlight w:val="none"/>
                <w:lang w:val="en-US" w:eastAsia="zh-CN"/>
                <w14:textFill>
                  <w14:solidFill>
                    <w14:schemeClr w14:val="tx1"/>
                  </w14:solidFill>
                </w14:textFill>
              </w:rPr>
            </w:pPr>
            <w:r>
              <w:rPr>
                <w:rFonts w:hint="eastAsia" w:ascii="Times New Roman" w:cs="Times New Roman"/>
                <w:sz w:val="21"/>
                <w:szCs w:val="21"/>
                <w:lang w:val="en-US" w:eastAsia="zh-CN"/>
              </w:rPr>
              <w:t>0.7t/a</w:t>
            </w:r>
          </w:p>
        </w:tc>
        <w:tc>
          <w:tcPr>
            <w:tcW w:w="1257" w:type="dxa"/>
            <w:noWrap w:val="0"/>
            <w:vAlign w:val="center"/>
          </w:tcPr>
          <w:p w14:paraId="16FE8B05">
            <w:pPr>
              <w:pStyle w:val="51"/>
              <w:keepNext w:val="0"/>
              <w:keepLines w:val="0"/>
              <w:suppressLineNumbers w:val="0"/>
              <w:spacing w:before="0" w:beforeAutospacing="0" w:after="0" w:afterAutospacing="0"/>
              <w:ind w:left="0" w:leftChars="0" w:right="0" w:rightChars="0"/>
              <w:rPr>
                <w:rFonts w:hint="eastAsia"/>
                <w:snapToGrid w:val="0"/>
                <w:color w:val="000000" w:themeColor="text1"/>
                <w:kern w:val="21"/>
                <w:sz w:val="21"/>
                <w:szCs w:val="21"/>
                <w:highlight w:val="none"/>
                <w:lang w:val="en-US" w:eastAsia="zh-CN"/>
                <w14:textFill>
                  <w14:solidFill>
                    <w14:schemeClr w14:val="tx1"/>
                  </w14:solidFill>
                </w14:textFill>
              </w:rPr>
            </w:pPr>
            <w:r>
              <w:rPr>
                <w:rFonts w:hint="eastAsia" w:ascii="Times New Roman" w:cs="Times New Roman"/>
                <w:sz w:val="21"/>
                <w:szCs w:val="21"/>
                <w:lang w:val="en-US" w:eastAsia="zh-CN"/>
              </w:rPr>
              <w:t>0.7t/a</w:t>
            </w:r>
          </w:p>
        </w:tc>
        <w:tc>
          <w:tcPr>
            <w:tcW w:w="1803" w:type="dxa"/>
            <w:noWrap w:val="0"/>
            <w:vAlign w:val="center"/>
          </w:tcPr>
          <w:p w14:paraId="5922A877">
            <w:pPr>
              <w:keepNext w:val="0"/>
              <w:keepLines w:val="0"/>
              <w:suppressLineNumbers w:val="0"/>
              <w:spacing w:before="0" w:beforeAutospacing="0" w:after="0" w:afterAutospacing="0"/>
              <w:ind w:left="0" w:leftChars="0" w:right="0" w:rightChars="0"/>
              <w:jc w:val="center"/>
              <w:rPr>
                <w:rFonts w:hint="eastAsia"/>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680" w:type="dxa"/>
            <w:noWrap w:val="0"/>
            <w:vAlign w:val="center"/>
          </w:tcPr>
          <w:p w14:paraId="228308D9">
            <w:pPr>
              <w:keepNext w:val="0"/>
              <w:keepLines w:val="0"/>
              <w:suppressLineNumbers w:val="0"/>
              <w:spacing w:before="0" w:beforeAutospacing="0" w:after="0" w:afterAutospacing="0"/>
              <w:ind w:left="0" w:leftChars="0" w:right="0" w:rightChars="0"/>
              <w:jc w:val="center"/>
              <w:rPr>
                <w:rFonts w:hint="eastAsia"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1575" w:type="dxa"/>
            <w:noWrap w:val="0"/>
            <w:vAlign w:val="center"/>
          </w:tcPr>
          <w:p w14:paraId="3C08F7F3">
            <w:pPr>
              <w:keepNext w:val="0"/>
              <w:keepLines w:val="0"/>
              <w:suppressLineNumbers w:val="0"/>
              <w:spacing w:before="0" w:beforeAutospacing="0" w:after="0" w:afterAutospacing="0"/>
              <w:ind w:left="0" w:leftChars="0" w:right="0" w:rightChars="0"/>
              <w:jc w:val="center"/>
              <w:rPr>
                <w:rFonts w:hint="eastAsia"/>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2040" w:type="dxa"/>
            <w:noWrap w:val="0"/>
            <w:vAlign w:val="center"/>
          </w:tcPr>
          <w:p w14:paraId="403A55E4">
            <w:pPr>
              <w:pStyle w:val="51"/>
              <w:keepNext w:val="0"/>
              <w:keepLines w:val="0"/>
              <w:suppressLineNumbers w:val="0"/>
              <w:spacing w:before="0" w:beforeAutospacing="0" w:after="0" w:afterAutospacing="0"/>
              <w:ind w:left="0" w:leftChars="0" w:right="0" w:rightChars="0"/>
              <w:rPr>
                <w:rFonts w:hint="eastAsia" w:cs="Times New Roman"/>
                <w:color w:val="000000" w:themeColor="text1"/>
                <w:sz w:val="21"/>
                <w:szCs w:val="21"/>
                <w:highlight w:val="none"/>
                <w:lang w:val="en-US" w:eastAsia="zh-CN"/>
                <w14:textFill>
                  <w14:solidFill>
                    <w14:schemeClr w14:val="tx1"/>
                  </w14:solidFill>
                </w14:textFill>
              </w:rPr>
            </w:pPr>
            <w:r>
              <w:rPr>
                <w:rFonts w:hint="eastAsia" w:ascii="Times New Roman" w:cs="Times New Roman"/>
                <w:sz w:val="21"/>
                <w:szCs w:val="21"/>
                <w:lang w:val="en-US" w:eastAsia="zh-CN"/>
              </w:rPr>
              <w:t>0.7t/a</w:t>
            </w:r>
          </w:p>
        </w:tc>
        <w:tc>
          <w:tcPr>
            <w:tcW w:w="1108" w:type="dxa"/>
            <w:noWrap w:val="0"/>
            <w:vAlign w:val="center"/>
          </w:tcPr>
          <w:p w14:paraId="5CB9F1D7">
            <w:pPr>
              <w:keepNext w:val="0"/>
              <w:keepLines w:val="0"/>
              <w:suppressLineNumbers w:val="0"/>
              <w:spacing w:before="0" w:beforeAutospacing="0" w:after="0" w:afterAutospacing="0"/>
              <w:ind w:left="0" w:leftChars="0" w:right="0" w:rightChars="0"/>
              <w:jc w:val="center"/>
              <w:rPr>
                <w:rFonts w:hint="eastAsia"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r>
      <w:tr w14:paraId="0C6446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vMerge w:val="continue"/>
            <w:noWrap w:val="0"/>
            <w:vAlign w:val="center"/>
          </w:tcPr>
          <w:p w14:paraId="34D05B60">
            <w:pPr>
              <w:pStyle w:val="51"/>
              <w:keepNext w:val="0"/>
              <w:keepLines w:val="0"/>
              <w:suppressLineNumbers w:val="0"/>
              <w:spacing w:before="0" w:beforeLines="0" w:beforeAutospacing="0" w:after="0" w:afterLines="0" w:afterAutospacing="0" w:line="240" w:lineRule="auto"/>
              <w:ind w:left="0" w:right="0"/>
              <w:rPr>
                <w:rFonts w:hint="eastAsia" w:ascii="Times New Roman" w:hAnsi="宋体"/>
                <w:snapToGrid w:val="0"/>
                <w:color w:val="000000" w:themeColor="text1"/>
                <w:kern w:val="21"/>
                <w:sz w:val="21"/>
                <w:szCs w:val="21"/>
                <w:highlight w:val="none"/>
                <w:lang w:val="en-US" w:eastAsia="zh-CN"/>
                <w14:textFill>
                  <w14:solidFill>
                    <w14:schemeClr w14:val="tx1"/>
                  </w14:solidFill>
                </w14:textFill>
              </w:rPr>
            </w:pPr>
          </w:p>
        </w:tc>
        <w:tc>
          <w:tcPr>
            <w:tcW w:w="1443" w:type="dxa"/>
            <w:noWrap w:val="0"/>
            <w:vAlign w:val="center"/>
          </w:tcPr>
          <w:p w14:paraId="16BCC963">
            <w:pPr>
              <w:pStyle w:val="51"/>
              <w:keepNext w:val="0"/>
              <w:keepLines w:val="0"/>
              <w:suppressLineNumbers w:val="0"/>
              <w:spacing w:before="0" w:beforeAutospacing="0" w:after="0" w:afterAutospacing="0"/>
              <w:ind w:left="0" w:leftChars="0" w:right="0" w:rightChars="0"/>
              <w:rPr>
                <w:rFonts w:hint="eastAsia" w:hAnsi="宋体" w:eastAsia="宋体"/>
                <w:sz w:val="21"/>
                <w:szCs w:val="21"/>
                <w:lang w:eastAsia="zh-CN"/>
              </w:rPr>
            </w:pPr>
            <w:r>
              <w:rPr>
                <w:rFonts w:hint="eastAsia" w:ascii="Times New Roman" w:cs="Times New Roman"/>
                <w:sz w:val="21"/>
                <w:szCs w:val="21"/>
                <w:lang w:val="en-US" w:eastAsia="zh-CN"/>
              </w:rPr>
              <w:t>检测废液</w:t>
            </w:r>
          </w:p>
        </w:tc>
        <w:tc>
          <w:tcPr>
            <w:tcW w:w="1785" w:type="dxa"/>
            <w:noWrap w:val="0"/>
            <w:vAlign w:val="center"/>
          </w:tcPr>
          <w:p w14:paraId="26BC9BE2">
            <w:pPr>
              <w:pStyle w:val="51"/>
              <w:keepNext w:val="0"/>
              <w:keepLines w:val="0"/>
              <w:suppressLineNumbers w:val="0"/>
              <w:spacing w:before="0" w:beforeAutospacing="0" w:after="0" w:afterAutospacing="0"/>
              <w:ind w:left="0" w:leftChars="0" w:right="0" w:rightChars="0"/>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ascii="Times New Roman" w:cs="Times New Roman"/>
                <w:sz w:val="21"/>
                <w:szCs w:val="21"/>
                <w:lang w:val="en-US" w:eastAsia="zh-CN"/>
              </w:rPr>
              <w:t>0.5t/a</w:t>
            </w:r>
          </w:p>
        </w:tc>
        <w:tc>
          <w:tcPr>
            <w:tcW w:w="1257" w:type="dxa"/>
            <w:noWrap w:val="0"/>
            <w:vAlign w:val="center"/>
          </w:tcPr>
          <w:p w14:paraId="0E03C79F">
            <w:pPr>
              <w:pStyle w:val="51"/>
              <w:keepNext w:val="0"/>
              <w:keepLines w:val="0"/>
              <w:suppressLineNumbers w:val="0"/>
              <w:spacing w:before="0" w:beforeAutospacing="0" w:after="0" w:afterAutospacing="0"/>
              <w:ind w:left="0" w:leftChars="0" w:right="0" w:rightChars="0"/>
              <w:rPr>
                <w:rFonts w:hint="eastAsia"/>
                <w:snapToGrid w:val="0"/>
                <w:color w:val="000000" w:themeColor="text1"/>
                <w:kern w:val="21"/>
                <w:sz w:val="21"/>
                <w:szCs w:val="21"/>
                <w:highlight w:val="none"/>
                <w:lang w:val="en-US" w:eastAsia="zh-CN"/>
                <w14:textFill>
                  <w14:solidFill>
                    <w14:schemeClr w14:val="tx1"/>
                  </w14:solidFill>
                </w14:textFill>
              </w:rPr>
            </w:pPr>
            <w:r>
              <w:rPr>
                <w:rFonts w:hint="eastAsia" w:ascii="Times New Roman" w:cs="Times New Roman"/>
                <w:sz w:val="21"/>
                <w:szCs w:val="21"/>
                <w:lang w:val="en-US" w:eastAsia="zh-CN"/>
              </w:rPr>
              <w:t>0.5t/a</w:t>
            </w:r>
          </w:p>
        </w:tc>
        <w:tc>
          <w:tcPr>
            <w:tcW w:w="1803" w:type="dxa"/>
            <w:noWrap w:val="0"/>
            <w:vAlign w:val="center"/>
          </w:tcPr>
          <w:p w14:paraId="787D0277">
            <w:pPr>
              <w:keepNext w:val="0"/>
              <w:keepLines w:val="0"/>
              <w:suppressLineNumbers w:val="0"/>
              <w:spacing w:before="0" w:beforeAutospacing="0" w:after="0" w:afterAutospacing="0"/>
              <w:ind w:left="0" w:leftChars="0" w:right="0" w:rightChars="0"/>
              <w:jc w:val="center"/>
              <w:rPr>
                <w:rFonts w:hint="eastAsia"/>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680" w:type="dxa"/>
            <w:noWrap w:val="0"/>
            <w:vAlign w:val="center"/>
          </w:tcPr>
          <w:p w14:paraId="57BE14C5">
            <w:pPr>
              <w:keepNext w:val="0"/>
              <w:keepLines w:val="0"/>
              <w:suppressLineNumbers w:val="0"/>
              <w:spacing w:before="0" w:beforeAutospacing="0" w:after="0" w:afterAutospacing="0"/>
              <w:ind w:left="0" w:leftChars="0" w:right="0" w:rightChars="0"/>
              <w:jc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1575" w:type="dxa"/>
            <w:noWrap w:val="0"/>
            <w:vAlign w:val="center"/>
          </w:tcPr>
          <w:p w14:paraId="19F16857">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2040" w:type="dxa"/>
            <w:noWrap w:val="0"/>
            <w:vAlign w:val="center"/>
          </w:tcPr>
          <w:p w14:paraId="1A742707">
            <w:pPr>
              <w:pStyle w:val="51"/>
              <w:keepNext w:val="0"/>
              <w:keepLines w:val="0"/>
              <w:suppressLineNumbers w:val="0"/>
              <w:spacing w:before="0" w:beforeAutospacing="0" w:after="0" w:afterAutospacing="0"/>
              <w:ind w:left="0" w:leftChars="0" w:right="0" w:rightChars="0"/>
              <w:rPr>
                <w:rFonts w:hint="default"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cs="Times New Roman"/>
                <w:sz w:val="21"/>
                <w:szCs w:val="21"/>
                <w:lang w:val="en-US" w:eastAsia="zh-CN"/>
              </w:rPr>
              <w:t>0.5t/a</w:t>
            </w:r>
          </w:p>
        </w:tc>
        <w:tc>
          <w:tcPr>
            <w:tcW w:w="1108" w:type="dxa"/>
            <w:noWrap w:val="0"/>
            <w:vAlign w:val="center"/>
          </w:tcPr>
          <w:p w14:paraId="7D16810B">
            <w:pPr>
              <w:keepNext w:val="0"/>
              <w:keepLines w:val="0"/>
              <w:suppressLineNumbers w:val="0"/>
              <w:adjustRightInd w:val="0"/>
              <w:snapToGrid w:val="0"/>
              <w:spacing w:before="0" w:beforeAutospacing="0" w:after="0" w:afterAutospacing="0"/>
              <w:ind w:left="0" w:leftChars="0" w:right="0" w:rightChars="0"/>
              <w:jc w:val="center"/>
              <w:rPr>
                <w:rFonts w:hint="eastAsia"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r>
      <w:tr w14:paraId="712B3D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vMerge w:val="continue"/>
            <w:noWrap w:val="0"/>
            <w:vAlign w:val="center"/>
          </w:tcPr>
          <w:p w14:paraId="586E5827">
            <w:pPr>
              <w:pStyle w:val="51"/>
              <w:keepNext w:val="0"/>
              <w:keepLines w:val="0"/>
              <w:suppressLineNumbers w:val="0"/>
              <w:spacing w:before="0" w:beforeLines="0" w:beforeAutospacing="0" w:after="0" w:afterLines="0" w:afterAutospacing="0" w:line="240" w:lineRule="auto"/>
              <w:ind w:left="0" w:right="0"/>
              <w:rPr>
                <w:rFonts w:hint="eastAsia" w:ascii="Times New Roman" w:hAnsi="宋体"/>
                <w:snapToGrid w:val="0"/>
                <w:color w:val="000000" w:themeColor="text1"/>
                <w:kern w:val="21"/>
                <w:sz w:val="21"/>
                <w:szCs w:val="21"/>
                <w:highlight w:val="none"/>
                <w:lang w:val="en-US" w:eastAsia="zh-CN"/>
                <w14:textFill>
                  <w14:solidFill>
                    <w14:schemeClr w14:val="tx1"/>
                  </w14:solidFill>
                </w14:textFill>
              </w:rPr>
            </w:pPr>
          </w:p>
        </w:tc>
        <w:tc>
          <w:tcPr>
            <w:tcW w:w="1443" w:type="dxa"/>
            <w:noWrap w:val="0"/>
            <w:vAlign w:val="center"/>
          </w:tcPr>
          <w:p w14:paraId="55717DA0">
            <w:pPr>
              <w:pStyle w:val="51"/>
              <w:keepNext w:val="0"/>
              <w:keepLines w:val="0"/>
              <w:suppressLineNumbers w:val="0"/>
              <w:spacing w:before="0" w:beforeAutospacing="0" w:after="0" w:afterAutospacing="0"/>
              <w:ind w:left="0" w:leftChars="0" w:right="0" w:rightChars="0"/>
              <w:rPr>
                <w:rFonts w:hint="eastAsia" w:hAnsi="宋体"/>
                <w:sz w:val="21"/>
                <w:szCs w:val="21"/>
              </w:rPr>
            </w:pPr>
            <w:r>
              <w:rPr>
                <w:rFonts w:hint="default" w:ascii="Times New Roman" w:hAnsi="Times New Roman" w:cs="Times New Roman"/>
                <w:sz w:val="21"/>
                <w:szCs w:val="21"/>
              </w:rPr>
              <w:t>废活性炭</w:t>
            </w:r>
          </w:p>
        </w:tc>
        <w:tc>
          <w:tcPr>
            <w:tcW w:w="1785" w:type="dxa"/>
            <w:noWrap w:val="0"/>
            <w:vAlign w:val="center"/>
          </w:tcPr>
          <w:p w14:paraId="54F199BD">
            <w:pPr>
              <w:pStyle w:val="51"/>
              <w:keepNext w:val="0"/>
              <w:keepLines w:val="0"/>
              <w:suppressLineNumbers w:val="0"/>
              <w:spacing w:before="0" w:beforeAutospacing="0" w:after="0" w:afterAutospacing="0"/>
              <w:ind w:left="0" w:leftChars="0" w:right="0" w:rightChars="0"/>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ascii="Times New Roman" w:cs="Times New Roman"/>
                <w:sz w:val="21"/>
                <w:szCs w:val="21"/>
                <w:lang w:val="en-US" w:eastAsia="zh-CN"/>
              </w:rPr>
              <w:t>1.5</w:t>
            </w:r>
            <w:r>
              <w:rPr>
                <w:rFonts w:hint="default" w:ascii="Times New Roman" w:hAnsi="Times New Roman" w:cs="Times New Roman"/>
                <w:sz w:val="21"/>
                <w:szCs w:val="21"/>
              </w:rPr>
              <w:t>t/a</w:t>
            </w:r>
          </w:p>
        </w:tc>
        <w:tc>
          <w:tcPr>
            <w:tcW w:w="1257" w:type="dxa"/>
            <w:noWrap w:val="0"/>
            <w:vAlign w:val="center"/>
          </w:tcPr>
          <w:p w14:paraId="31D1A4B0">
            <w:pPr>
              <w:pStyle w:val="51"/>
              <w:keepNext w:val="0"/>
              <w:keepLines w:val="0"/>
              <w:suppressLineNumbers w:val="0"/>
              <w:spacing w:before="0" w:beforeAutospacing="0" w:after="0" w:afterAutospacing="0"/>
              <w:ind w:left="0" w:leftChars="0" w:right="0" w:rightChars="0"/>
              <w:rPr>
                <w:rFonts w:hint="eastAsia"/>
                <w:snapToGrid w:val="0"/>
                <w:color w:val="000000" w:themeColor="text1"/>
                <w:kern w:val="21"/>
                <w:sz w:val="21"/>
                <w:szCs w:val="21"/>
                <w:highlight w:val="none"/>
                <w:lang w:val="en-US" w:eastAsia="zh-CN"/>
                <w14:textFill>
                  <w14:solidFill>
                    <w14:schemeClr w14:val="tx1"/>
                  </w14:solidFill>
                </w14:textFill>
              </w:rPr>
            </w:pPr>
            <w:r>
              <w:rPr>
                <w:rFonts w:hint="eastAsia" w:ascii="Times New Roman" w:cs="Times New Roman"/>
                <w:sz w:val="21"/>
                <w:szCs w:val="21"/>
                <w:lang w:val="en-US" w:eastAsia="zh-CN"/>
              </w:rPr>
              <w:t>1.5</w:t>
            </w:r>
            <w:r>
              <w:rPr>
                <w:rFonts w:hint="default" w:ascii="Times New Roman" w:hAnsi="Times New Roman" w:cs="Times New Roman"/>
                <w:sz w:val="21"/>
                <w:szCs w:val="21"/>
              </w:rPr>
              <w:t>t/a</w:t>
            </w:r>
          </w:p>
        </w:tc>
        <w:tc>
          <w:tcPr>
            <w:tcW w:w="1803" w:type="dxa"/>
            <w:noWrap w:val="0"/>
            <w:vAlign w:val="center"/>
          </w:tcPr>
          <w:p w14:paraId="3DD92046">
            <w:pPr>
              <w:keepNext w:val="0"/>
              <w:keepLines w:val="0"/>
              <w:suppressLineNumbers w:val="0"/>
              <w:spacing w:before="0" w:beforeAutospacing="0" w:after="0" w:afterAutospacing="0"/>
              <w:ind w:left="0" w:leftChars="0" w:right="0" w:rightChars="0"/>
              <w:jc w:val="center"/>
              <w:rPr>
                <w:rFonts w:hint="eastAsia"/>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680" w:type="dxa"/>
            <w:noWrap w:val="0"/>
            <w:vAlign w:val="center"/>
          </w:tcPr>
          <w:p w14:paraId="424F9F89">
            <w:pPr>
              <w:keepNext w:val="0"/>
              <w:keepLines w:val="0"/>
              <w:suppressLineNumbers w:val="0"/>
              <w:spacing w:before="0" w:beforeAutospacing="0" w:after="0" w:afterAutospacing="0"/>
              <w:ind w:left="0" w:leftChars="0" w:right="0" w:rightChars="0"/>
              <w:jc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1575" w:type="dxa"/>
            <w:noWrap w:val="0"/>
            <w:vAlign w:val="center"/>
          </w:tcPr>
          <w:p w14:paraId="3039FF3D">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2040" w:type="dxa"/>
            <w:noWrap w:val="0"/>
            <w:vAlign w:val="center"/>
          </w:tcPr>
          <w:p w14:paraId="761FCB50">
            <w:pPr>
              <w:pStyle w:val="51"/>
              <w:keepNext w:val="0"/>
              <w:keepLines w:val="0"/>
              <w:suppressLineNumbers w:val="0"/>
              <w:spacing w:before="0" w:beforeAutospacing="0" w:after="0" w:afterAutospacing="0"/>
              <w:ind w:left="0" w:leftChars="0" w:right="0" w:rightChars="0"/>
              <w:rPr>
                <w:rFonts w:hint="default"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cs="Times New Roman"/>
                <w:sz w:val="21"/>
                <w:szCs w:val="21"/>
                <w:lang w:val="en-US" w:eastAsia="zh-CN"/>
              </w:rPr>
              <w:t>1.5</w:t>
            </w:r>
            <w:r>
              <w:rPr>
                <w:rFonts w:hint="default" w:ascii="Times New Roman" w:hAnsi="Times New Roman" w:cs="Times New Roman"/>
                <w:sz w:val="21"/>
                <w:szCs w:val="21"/>
              </w:rPr>
              <w:t>t/a</w:t>
            </w:r>
          </w:p>
        </w:tc>
        <w:tc>
          <w:tcPr>
            <w:tcW w:w="1108" w:type="dxa"/>
            <w:noWrap w:val="0"/>
            <w:vAlign w:val="center"/>
          </w:tcPr>
          <w:p w14:paraId="3B8367BA">
            <w:pPr>
              <w:keepNext w:val="0"/>
              <w:keepLines w:val="0"/>
              <w:suppressLineNumbers w:val="0"/>
              <w:adjustRightInd w:val="0"/>
              <w:snapToGrid w:val="0"/>
              <w:spacing w:before="0" w:beforeAutospacing="0" w:after="0" w:afterAutospacing="0"/>
              <w:ind w:left="0" w:leftChars="0" w:right="0" w:rightChars="0"/>
              <w:jc w:val="center"/>
              <w:rPr>
                <w:rFonts w:hint="default" w:eastAsia="宋体" w:cs="Times New Roman"/>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r>
      <w:tr w14:paraId="37186C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vMerge w:val="continue"/>
            <w:noWrap w:val="0"/>
            <w:vAlign w:val="center"/>
          </w:tcPr>
          <w:p w14:paraId="42A2F14C">
            <w:pPr>
              <w:pStyle w:val="51"/>
              <w:keepNext w:val="0"/>
              <w:keepLines w:val="0"/>
              <w:suppressLineNumbers w:val="0"/>
              <w:spacing w:before="0" w:beforeLines="0" w:beforeAutospacing="0" w:after="0" w:afterLines="0" w:afterAutospacing="0" w:line="240" w:lineRule="auto"/>
              <w:ind w:left="0" w:right="0"/>
              <w:rPr>
                <w:rFonts w:hint="default" w:ascii="Times New Roman" w:hAnsi="宋体"/>
                <w:snapToGrid w:val="0"/>
                <w:color w:val="000000" w:themeColor="text1"/>
                <w:kern w:val="21"/>
                <w:sz w:val="21"/>
                <w:szCs w:val="21"/>
                <w:highlight w:val="none"/>
                <w:lang w:val="en-US" w:eastAsia="zh-CN"/>
                <w14:textFill>
                  <w14:solidFill>
                    <w14:schemeClr w14:val="tx1"/>
                  </w14:solidFill>
                </w14:textFill>
              </w:rPr>
            </w:pPr>
          </w:p>
        </w:tc>
        <w:tc>
          <w:tcPr>
            <w:tcW w:w="1443" w:type="dxa"/>
            <w:noWrap w:val="0"/>
            <w:vAlign w:val="center"/>
          </w:tcPr>
          <w:p w14:paraId="70DF8F08">
            <w:pPr>
              <w:keepNext w:val="0"/>
              <w:keepLines w:val="0"/>
              <w:suppressLineNumbers w:val="0"/>
              <w:adjustRightInd w:val="0"/>
              <w:snapToGrid w:val="0"/>
              <w:spacing w:before="0" w:beforeAutospacing="0" w:after="0" w:afterAutospacing="0"/>
              <w:ind w:left="0" w:leftChars="0" w:right="0" w:rightChars="0"/>
              <w:jc w:val="center"/>
              <w:rPr>
                <w:rFonts w:hint="default" w:hAnsi="宋体" w:eastAsia="宋体"/>
                <w:sz w:val="21"/>
                <w:szCs w:val="21"/>
                <w:lang w:val="en-US" w:eastAsia="zh-CN"/>
              </w:rPr>
            </w:pPr>
            <w:r>
              <w:rPr>
                <w:rFonts w:hint="eastAsia" w:hAnsi="宋体"/>
                <w:sz w:val="21"/>
                <w:szCs w:val="21"/>
                <w:lang w:val="en-US" w:eastAsia="zh-CN"/>
              </w:rPr>
              <w:t>废催化剂</w:t>
            </w:r>
          </w:p>
        </w:tc>
        <w:tc>
          <w:tcPr>
            <w:tcW w:w="1785" w:type="dxa"/>
            <w:noWrap w:val="0"/>
            <w:vAlign w:val="center"/>
          </w:tcPr>
          <w:p w14:paraId="159B2587">
            <w:pPr>
              <w:pStyle w:val="51"/>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sz w:val="21"/>
                <w:szCs w:val="21"/>
                <w:lang w:val="en-US" w:eastAsia="zh-CN"/>
              </w:rPr>
              <w:t>0.06</w:t>
            </w:r>
            <w:r>
              <w:rPr>
                <w:rFonts w:hint="default" w:ascii="Times New Roman" w:hAnsi="Times New Roman" w:cs="Times New Roman"/>
                <w:sz w:val="21"/>
                <w:szCs w:val="21"/>
              </w:rPr>
              <w:t>t/a</w:t>
            </w:r>
          </w:p>
        </w:tc>
        <w:tc>
          <w:tcPr>
            <w:tcW w:w="1257" w:type="dxa"/>
            <w:noWrap w:val="0"/>
            <w:vAlign w:val="center"/>
          </w:tcPr>
          <w:p w14:paraId="53A45A64">
            <w:pPr>
              <w:pStyle w:val="51"/>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sz w:val="21"/>
                <w:szCs w:val="21"/>
                <w:lang w:val="en-US" w:eastAsia="zh-CN"/>
              </w:rPr>
              <w:t>0.06</w:t>
            </w:r>
            <w:r>
              <w:rPr>
                <w:rFonts w:hint="default" w:ascii="Times New Roman" w:hAnsi="Times New Roman" w:cs="Times New Roman"/>
                <w:sz w:val="21"/>
                <w:szCs w:val="21"/>
              </w:rPr>
              <w:t>t/a</w:t>
            </w:r>
          </w:p>
        </w:tc>
        <w:tc>
          <w:tcPr>
            <w:tcW w:w="1803" w:type="dxa"/>
            <w:noWrap w:val="0"/>
            <w:vAlign w:val="center"/>
          </w:tcPr>
          <w:p w14:paraId="6E32BC98">
            <w:pPr>
              <w:keepNext w:val="0"/>
              <w:keepLines w:val="0"/>
              <w:suppressLineNumbers w:val="0"/>
              <w:spacing w:before="0" w:beforeAutospacing="0" w:after="0" w:afterAutospacing="0"/>
              <w:ind w:left="0" w:leftChars="0" w:right="0" w:rightChars="0"/>
              <w:jc w:val="center"/>
              <w:rPr>
                <w:rFonts w:hint="default" w:eastAsia="宋体"/>
                <w:bCs/>
                <w:sz w:val="21"/>
                <w:szCs w:val="21"/>
                <w:highlight w:val="none"/>
                <w:lang w:val="en-US" w:eastAsia="zh-CN"/>
              </w:rPr>
            </w:pPr>
            <w:r>
              <w:rPr>
                <w:rFonts w:hint="eastAsia"/>
                <w:bCs/>
                <w:sz w:val="21"/>
                <w:szCs w:val="21"/>
                <w:highlight w:val="none"/>
                <w:lang w:val="en-US" w:eastAsia="zh-CN"/>
              </w:rPr>
              <w:t>/</w:t>
            </w:r>
          </w:p>
        </w:tc>
        <w:tc>
          <w:tcPr>
            <w:tcW w:w="1680" w:type="dxa"/>
            <w:noWrap w:val="0"/>
            <w:vAlign w:val="center"/>
          </w:tcPr>
          <w:p w14:paraId="514093FF">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1575" w:type="dxa"/>
            <w:noWrap w:val="0"/>
            <w:vAlign w:val="center"/>
          </w:tcPr>
          <w:p w14:paraId="321F5973">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2040" w:type="dxa"/>
            <w:noWrap w:val="0"/>
            <w:vAlign w:val="center"/>
          </w:tcPr>
          <w:p w14:paraId="04D82661">
            <w:pPr>
              <w:pStyle w:val="51"/>
              <w:keepNext w:val="0"/>
              <w:keepLines w:val="0"/>
              <w:suppressLineNumbers w:val="0"/>
              <w:spacing w:before="0" w:beforeAutospacing="0" w:after="0" w:afterAutospacing="0"/>
              <w:ind w:left="0" w:leftChars="0" w:right="0" w:rightChars="0"/>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sz w:val="21"/>
                <w:szCs w:val="21"/>
                <w:lang w:val="en-US" w:eastAsia="zh-CN"/>
              </w:rPr>
              <w:t>0.06</w:t>
            </w:r>
            <w:r>
              <w:rPr>
                <w:rFonts w:hint="default" w:ascii="Times New Roman" w:hAnsi="Times New Roman" w:cs="Times New Roman"/>
                <w:sz w:val="21"/>
                <w:szCs w:val="21"/>
              </w:rPr>
              <w:t>t/a</w:t>
            </w:r>
          </w:p>
        </w:tc>
        <w:tc>
          <w:tcPr>
            <w:tcW w:w="1108" w:type="dxa"/>
            <w:noWrap w:val="0"/>
            <w:vAlign w:val="center"/>
          </w:tcPr>
          <w:p w14:paraId="28A3AF77">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r>
    </w:tbl>
    <w:p w14:paraId="32EF0428">
      <w:pPr>
        <w:rPr>
          <w:rFonts w:ascii="宋体" w:hAnsi="宋体" w:eastAsia="黑体"/>
        </w:rPr>
        <w:sectPr>
          <w:pgSz w:w="16838" w:h="11906" w:orient="landscape"/>
          <w:pgMar w:top="1417" w:right="1701" w:bottom="1417"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rFonts w:ascii="宋体" w:hAnsi="宋体" w:eastAsia="黑体"/>
        </w:rPr>
        <w:t>注：</w:t>
      </w:r>
      <w:r>
        <w:rPr>
          <w:rFonts w:ascii="宋体" w:hAnsi="宋体" w:eastAsia="黑体"/>
        </w:rPr>
        <w:fldChar w:fldCharType="begin"/>
      </w:r>
      <w:r>
        <w:rPr>
          <w:rFonts w:ascii="宋体" w:hAnsi="宋体" w:eastAsia="黑体"/>
        </w:rPr>
        <w:instrText xml:space="preserve"> = 6 \* GB3 \* MERGEFORMAT </w:instrText>
      </w:r>
      <w:r>
        <w:rPr>
          <w:rFonts w:ascii="宋体" w:hAnsi="宋体" w:eastAsia="黑体"/>
        </w:rPr>
        <w:fldChar w:fldCharType="separate"/>
      </w:r>
      <w:r>
        <w:rPr>
          <w:rFonts w:hint="eastAsia" w:ascii="宋体" w:hAnsi="宋体" w:eastAsia="黑体"/>
        </w:rPr>
        <w:t>⑥</w:t>
      </w:r>
      <w:r>
        <w:rPr>
          <w:rFonts w:ascii="宋体" w:hAnsi="宋体" w:eastAsia="黑体"/>
        </w:rPr>
        <w:fldChar w:fldCharType="end"/>
      </w:r>
      <w:r>
        <w:rPr>
          <w:rFonts w:ascii="宋体" w:hAnsi="宋体" w:eastAsia="黑体"/>
        </w:rPr>
        <w:t>=</w:t>
      </w:r>
      <w:r>
        <w:rPr>
          <w:rFonts w:ascii="宋体" w:hAnsi="宋体" w:eastAsia="黑体"/>
        </w:rPr>
        <w:fldChar w:fldCharType="begin"/>
      </w:r>
      <w:r>
        <w:rPr>
          <w:rFonts w:ascii="宋体" w:hAnsi="宋体" w:eastAsia="黑体"/>
        </w:rPr>
        <w:instrText xml:space="preserve"> = 1 \* GB3 \* MERGEFORMAT </w:instrText>
      </w:r>
      <w:r>
        <w:rPr>
          <w:rFonts w:ascii="宋体" w:hAnsi="宋体" w:eastAsia="黑体"/>
        </w:rPr>
        <w:fldChar w:fldCharType="separate"/>
      </w:r>
      <w:r>
        <w:rPr>
          <w:rFonts w:hint="eastAsia" w:ascii="宋体" w:hAnsi="宋体" w:eastAsia="黑体"/>
        </w:rPr>
        <w:t>①</w:t>
      </w:r>
      <w:r>
        <w:rPr>
          <w:rFonts w:ascii="宋体" w:hAnsi="宋体" w:eastAsia="黑体"/>
        </w:rPr>
        <w:fldChar w:fldCharType="end"/>
      </w:r>
      <w:r>
        <w:rPr>
          <w:rFonts w:ascii="宋体" w:hAnsi="宋体" w:eastAsia="黑体"/>
        </w:rPr>
        <w:t>+</w:t>
      </w:r>
      <w:r>
        <w:rPr>
          <w:rFonts w:ascii="宋体" w:hAnsi="宋体" w:eastAsia="黑体"/>
        </w:rPr>
        <w:fldChar w:fldCharType="begin"/>
      </w:r>
      <w:r>
        <w:rPr>
          <w:rFonts w:ascii="宋体" w:hAnsi="宋体" w:eastAsia="黑体"/>
        </w:rPr>
        <w:instrText xml:space="preserve"> = 3 \* GB3 \* MERGEFORMAT </w:instrText>
      </w:r>
      <w:r>
        <w:rPr>
          <w:rFonts w:ascii="宋体" w:hAnsi="宋体" w:eastAsia="黑体"/>
        </w:rPr>
        <w:fldChar w:fldCharType="separate"/>
      </w:r>
      <w:r>
        <w:rPr>
          <w:rFonts w:hint="eastAsia" w:ascii="宋体" w:hAnsi="宋体" w:eastAsia="黑体"/>
        </w:rPr>
        <w:t>③</w:t>
      </w:r>
      <w:r>
        <w:rPr>
          <w:rFonts w:ascii="宋体" w:hAnsi="宋体" w:eastAsia="黑体"/>
        </w:rPr>
        <w:fldChar w:fldCharType="end"/>
      </w:r>
      <w:r>
        <w:rPr>
          <w:rFonts w:ascii="宋体" w:hAnsi="宋体" w:eastAsia="黑体"/>
        </w:rPr>
        <w:t>+</w:t>
      </w:r>
      <w:r>
        <w:rPr>
          <w:rFonts w:ascii="宋体" w:hAnsi="宋体" w:eastAsia="黑体"/>
        </w:rPr>
        <w:fldChar w:fldCharType="begin"/>
      </w:r>
      <w:r>
        <w:rPr>
          <w:rFonts w:ascii="宋体" w:hAnsi="宋体" w:eastAsia="黑体"/>
        </w:rPr>
        <w:instrText xml:space="preserve"> = 4 \* GB3 \* MERGEFORMAT </w:instrText>
      </w:r>
      <w:r>
        <w:rPr>
          <w:rFonts w:ascii="宋体" w:hAnsi="宋体" w:eastAsia="黑体"/>
        </w:rPr>
        <w:fldChar w:fldCharType="separate"/>
      </w:r>
      <w:r>
        <w:rPr>
          <w:rFonts w:hint="eastAsia" w:ascii="宋体" w:hAnsi="宋体" w:eastAsia="黑体"/>
        </w:rPr>
        <w:t>④</w:t>
      </w:r>
      <w:r>
        <w:rPr>
          <w:rFonts w:ascii="宋体" w:hAnsi="宋体" w:eastAsia="黑体"/>
        </w:rPr>
        <w:fldChar w:fldCharType="end"/>
      </w:r>
      <w:r>
        <w:rPr>
          <w:rFonts w:ascii="宋体" w:hAnsi="宋体" w:eastAsia="黑体"/>
        </w:rPr>
        <w:t>-</w:t>
      </w:r>
      <w:r>
        <w:rPr>
          <w:rFonts w:ascii="宋体" w:hAnsi="宋体" w:eastAsia="黑体"/>
        </w:rPr>
        <w:fldChar w:fldCharType="begin"/>
      </w:r>
      <w:r>
        <w:rPr>
          <w:rFonts w:ascii="宋体" w:hAnsi="宋体" w:eastAsia="黑体"/>
        </w:rPr>
        <w:instrText xml:space="preserve"> = 5 \* GB3 \* MERGEFORMAT </w:instrText>
      </w:r>
      <w:r>
        <w:rPr>
          <w:rFonts w:ascii="宋体" w:hAnsi="宋体" w:eastAsia="黑体"/>
        </w:rPr>
        <w:fldChar w:fldCharType="separate"/>
      </w:r>
      <w:r>
        <w:rPr>
          <w:rFonts w:hint="eastAsia" w:ascii="宋体" w:hAnsi="宋体" w:eastAsia="黑体"/>
        </w:rPr>
        <w:t>⑤</w:t>
      </w:r>
      <w:r>
        <w:rPr>
          <w:rFonts w:ascii="宋体" w:hAnsi="宋体" w:eastAsia="黑体"/>
        </w:rPr>
        <w:fldChar w:fldCharType="end"/>
      </w:r>
      <w:r>
        <w:rPr>
          <w:rFonts w:ascii="宋体" w:hAnsi="宋体" w:eastAsia="黑体"/>
        </w:rPr>
        <w:t>；</w:t>
      </w:r>
      <w:r>
        <w:rPr>
          <w:rFonts w:ascii="宋体" w:hAnsi="宋体" w:eastAsia="黑体"/>
        </w:rPr>
        <w:fldChar w:fldCharType="begin"/>
      </w:r>
      <w:r>
        <w:rPr>
          <w:rFonts w:ascii="宋体" w:hAnsi="宋体" w:eastAsia="黑体"/>
        </w:rPr>
        <w:instrText xml:space="preserve"> = 7 \* GB3 \* MERGEFORMAT </w:instrText>
      </w:r>
      <w:r>
        <w:rPr>
          <w:rFonts w:ascii="宋体" w:hAnsi="宋体" w:eastAsia="黑体"/>
        </w:rPr>
        <w:fldChar w:fldCharType="separate"/>
      </w:r>
      <w:r>
        <w:rPr>
          <w:rFonts w:hint="eastAsia" w:ascii="宋体" w:hAnsi="宋体" w:eastAsia="黑体"/>
        </w:rPr>
        <w:t>⑦</w:t>
      </w:r>
      <w:r>
        <w:rPr>
          <w:rFonts w:ascii="宋体" w:hAnsi="宋体" w:eastAsia="黑体"/>
        </w:rPr>
        <w:fldChar w:fldCharType="end"/>
      </w:r>
      <w:r>
        <w:rPr>
          <w:rFonts w:ascii="宋体" w:hAnsi="宋体" w:eastAsia="黑体"/>
        </w:rPr>
        <w:t>=</w:t>
      </w:r>
      <w:r>
        <w:rPr>
          <w:rFonts w:ascii="宋体" w:hAnsi="宋体" w:eastAsia="黑体"/>
        </w:rPr>
        <w:fldChar w:fldCharType="begin"/>
      </w:r>
      <w:r>
        <w:rPr>
          <w:rFonts w:ascii="宋体" w:hAnsi="宋体" w:eastAsia="黑体"/>
        </w:rPr>
        <w:instrText xml:space="preserve"> = 6 \* GB3 \* MERGEFORMAT </w:instrText>
      </w:r>
      <w:r>
        <w:rPr>
          <w:rFonts w:ascii="宋体" w:hAnsi="宋体" w:eastAsia="黑体"/>
        </w:rPr>
        <w:fldChar w:fldCharType="separate"/>
      </w:r>
      <w:r>
        <w:rPr>
          <w:rFonts w:hint="eastAsia" w:ascii="宋体" w:hAnsi="宋体" w:eastAsia="黑体"/>
        </w:rPr>
        <w:t>⑥</w:t>
      </w:r>
      <w:r>
        <w:rPr>
          <w:rFonts w:ascii="宋体" w:hAnsi="宋体" w:eastAsia="黑体"/>
        </w:rPr>
        <w:fldChar w:fldCharType="end"/>
      </w:r>
      <w:r>
        <w:rPr>
          <w:rFonts w:ascii="宋体" w:hAnsi="宋体" w:eastAsia="黑体"/>
        </w:rPr>
        <w:t>-</w:t>
      </w:r>
      <w:r>
        <w:rPr>
          <w:rFonts w:ascii="宋体" w:hAnsi="宋体" w:eastAsia="黑体"/>
        </w:rPr>
        <w:fldChar w:fldCharType="begin"/>
      </w:r>
      <w:r>
        <w:rPr>
          <w:rFonts w:ascii="宋体" w:hAnsi="宋体" w:eastAsia="黑体"/>
        </w:rPr>
        <w:instrText xml:space="preserve"> = 1 \* GB3 \* MERGEFORMAT </w:instrText>
      </w:r>
      <w:r>
        <w:rPr>
          <w:rFonts w:ascii="宋体" w:hAnsi="宋体" w:eastAsia="黑体"/>
        </w:rPr>
        <w:fldChar w:fldCharType="separate"/>
      </w:r>
      <w:r>
        <w:rPr>
          <w:rFonts w:hint="eastAsia" w:ascii="宋体" w:hAnsi="宋体" w:eastAsia="黑体"/>
        </w:rPr>
        <w:t>①</w:t>
      </w:r>
      <w:r>
        <w:rPr>
          <w:rFonts w:ascii="宋体" w:hAnsi="宋体" w:eastAsia="黑体"/>
        </w:rPr>
        <w:fldChar w:fldCharType="end"/>
      </w:r>
    </w:p>
    <w:p w14:paraId="72E33522">
      <w:pPr>
        <w:rPr>
          <w:rFonts w:hint="default" w:ascii="宋体" w:hAnsi="宋体" w:eastAsia="黑体"/>
          <w:lang w:val="en-US"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宋体" w:hAnsi="宋体" w:eastAsia="黑体"/>
          <w:lang w:val="en-US" w:eastAsia="zh-CN"/>
        </w:rPr>
        <w:drawing>
          <wp:anchor distT="0" distB="0" distL="114300" distR="114300" simplePos="0" relativeHeight="251667456" behindDoc="0" locked="0" layoutInCell="1" allowOverlap="1">
            <wp:simplePos x="0" y="0"/>
            <wp:positionH relativeFrom="column">
              <wp:posOffset>-931545</wp:posOffset>
            </wp:positionH>
            <wp:positionV relativeFrom="paragraph">
              <wp:posOffset>-1153160</wp:posOffset>
            </wp:positionV>
            <wp:extent cx="7579360" cy="10728325"/>
            <wp:effectExtent l="0" t="0" r="2540" b="15875"/>
            <wp:wrapNone/>
            <wp:docPr id="15" name="图片 15" descr="扫描全能王 2026-3-4 16.22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扫描全能王 2026-3-4 16.22_03"/>
                    <pic:cNvPicPr>
                      <a:picLocks noChangeAspect="1"/>
                    </pic:cNvPicPr>
                  </pic:nvPicPr>
                  <pic:blipFill>
                    <a:blip r:embed="rId18"/>
                    <a:stretch>
                      <a:fillRect/>
                    </a:stretch>
                  </pic:blipFill>
                  <pic:spPr>
                    <a:xfrm>
                      <a:off x="0" y="0"/>
                      <a:ext cx="7579360" cy="10728325"/>
                    </a:xfrm>
                    <a:prstGeom prst="rect">
                      <a:avLst/>
                    </a:prstGeom>
                  </pic:spPr>
                </pic:pic>
              </a:graphicData>
            </a:graphic>
          </wp:anchor>
        </w:drawing>
      </w:r>
    </w:p>
    <w:p w14:paraId="1209B787">
      <w:pPr>
        <w:rPr>
          <w:rFonts w:hint="default" w:ascii="宋体" w:hAnsi="宋体" w:eastAsia="黑体"/>
          <w:lang w:val="en-US"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宋体" w:hAnsi="宋体" w:eastAsia="黑体"/>
          <w:lang w:val="en-US" w:eastAsia="zh-CN"/>
        </w:rPr>
        <w:drawing>
          <wp:anchor distT="0" distB="0" distL="114300" distR="114300" simplePos="0" relativeHeight="251668480" behindDoc="0" locked="0" layoutInCell="1" allowOverlap="1">
            <wp:simplePos x="0" y="0"/>
            <wp:positionH relativeFrom="column">
              <wp:posOffset>-919480</wp:posOffset>
            </wp:positionH>
            <wp:positionV relativeFrom="paragraph">
              <wp:posOffset>-1143000</wp:posOffset>
            </wp:positionV>
            <wp:extent cx="7624445" cy="10793095"/>
            <wp:effectExtent l="0" t="0" r="14605" b="8255"/>
            <wp:wrapNone/>
            <wp:docPr id="14" name="图片 14" descr="10锂电生产线设备改造更新项目备案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0锂电生产线设备改造更新项目备案_01"/>
                    <pic:cNvPicPr>
                      <a:picLocks noChangeAspect="1"/>
                    </pic:cNvPicPr>
                  </pic:nvPicPr>
                  <pic:blipFill>
                    <a:blip r:embed="rId19"/>
                    <a:stretch>
                      <a:fillRect/>
                    </a:stretch>
                  </pic:blipFill>
                  <pic:spPr>
                    <a:xfrm>
                      <a:off x="0" y="0"/>
                      <a:ext cx="7624445" cy="10793095"/>
                    </a:xfrm>
                    <a:prstGeom prst="rect">
                      <a:avLst/>
                    </a:prstGeom>
                  </pic:spPr>
                </pic:pic>
              </a:graphicData>
            </a:graphic>
          </wp:anchor>
        </w:drawing>
      </w:r>
    </w:p>
    <w:p w14:paraId="4EA537CC">
      <w:pPr>
        <w:rPr>
          <w:rFonts w:hint="default" w:ascii="宋体" w:hAnsi="宋体" w:eastAsia="黑体"/>
          <w:lang w:val="en-US"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rPr>
        <w:drawing>
          <wp:anchor distT="0" distB="0" distL="0" distR="0" simplePos="0" relativeHeight="251669504" behindDoc="0" locked="0" layoutInCell="1" allowOverlap="1">
            <wp:simplePos x="0" y="0"/>
            <wp:positionH relativeFrom="column">
              <wp:posOffset>-878205</wp:posOffset>
            </wp:positionH>
            <wp:positionV relativeFrom="paragraph">
              <wp:posOffset>-1100455</wp:posOffset>
            </wp:positionV>
            <wp:extent cx="7509510" cy="10735310"/>
            <wp:effectExtent l="0" t="0" r="15240" b="8890"/>
            <wp:wrapNone/>
            <wp:docPr id="16" name="图片 5" descr="C:\Temp\WeChat Files\82edcf32caf6c73207fe13817d0f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descr="C:\Temp\WeChat Files\82edcf32caf6c73207fe13817d0f132.jpg"/>
                    <pic:cNvPicPr>
                      <a:picLocks noChangeAspect="1" noChangeArrowheads="1"/>
                    </pic:cNvPicPr>
                  </pic:nvPicPr>
                  <pic:blipFill>
                    <a:blip r:embed="rId20" cstate="print"/>
                    <a:srcRect/>
                    <a:stretch>
                      <a:fillRect/>
                    </a:stretch>
                  </pic:blipFill>
                  <pic:spPr>
                    <a:xfrm>
                      <a:off x="0" y="0"/>
                      <a:ext cx="7509510" cy="10735310"/>
                    </a:xfrm>
                    <a:prstGeom prst="rect">
                      <a:avLst/>
                    </a:prstGeom>
                    <a:noFill/>
                    <a:ln w="9525">
                      <a:noFill/>
                      <a:miter lim="800000"/>
                      <a:headEnd/>
                      <a:tailEnd/>
                    </a:ln>
                  </pic:spPr>
                </pic:pic>
              </a:graphicData>
            </a:graphic>
          </wp:anchor>
        </w:drawing>
      </w:r>
    </w:p>
    <w:p w14:paraId="5430709E">
      <w:pPr>
        <w:rPr>
          <w:rFonts w:hint="default" w:ascii="宋体" w:hAnsi="宋体" w:eastAsia="黑体"/>
          <w:lang w:val="en-US"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rPr>
        <w:drawing>
          <wp:anchor distT="0" distB="0" distL="0" distR="0" simplePos="0" relativeHeight="251670528" behindDoc="0" locked="0" layoutInCell="1" allowOverlap="1">
            <wp:simplePos x="0" y="0"/>
            <wp:positionH relativeFrom="column">
              <wp:posOffset>-888365</wp:posOffset>
            </wp:positionH>
            <wp:positionV relativeFrom="paragraph">
              <wp:posOffset>-1109980</wp:posOffset>
            </wp:positionV>
            <wp:extent cx="7530465" cy="10687685"/>
            <wp:effectExtent l="0" t="0" r="13335" b="18415"/>
            <wp:wrapNone/>
            <wp:docPr id="18" name="图片 6" descr="C:\Temp\WeChat Files\e32b7bdc38faa172a7961f8c53fbb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descr="C:\Temp\WeChat Files\e32b7bdc38faa172a7961f8c53fbbb4.jpg"/>
                    <pic:cNvPicPr>
                      <a:picLocks noChangeAspect="1" noChangeArrowheads="1"/>
                    </pic:cNvPicPr>
                  </pic:nvPicPr>
                  <pic:blipFill>
                    <a:blip r:embed="rId21" cstate="print"/>
                    <a:srcRect/>
                    <a:stretch>
                      <a:fillRect/>
                    </a:stretch>
                  </pic:blipFill>
                  <pic:spPr>
                    <a:xfrm>
                      <a:off x="0" y="0"/>
                      <a:ext cx="7530465" cy="10687685"/>
                    </a:xfrm>
                    <a:prstGeom prst="rect">
                      <a:avLst/>
                    </a:prstGeom>
                    <a:noFill/>
                    <a:ln w="9525">
                      <a:noFill/>
                      <a:miter lim="800000"/>
                      <a:headEnd/>
                      <a:tailEnd/>
                    </a:ln>
                  </pic:spPr>
                </pic:pic>
              </a:graphicData>
            </a:graphic>
          </wp:anchor>
        </w:drawing>
      </w:r>
    </w:p>
    <w:p w14:paraId="3EE8E6EB">
      <w:pPr>
        <w:rPr>
          <w:rFonts w:hint="default" w:ascii="宋体" w:hAnsi="宋体" w:eastAsia="黑体"/>
          <w:lang w:val="en-US"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rPr>
        <w:drawing>
          <wp:anchor distT="0" distB="0" distL="0" distR="0" simplePos="0" relativeHeight="251671552" behindDoc="0" locked="0" layoutInCell="1" allowOverlap="1">
            <wp:simplePos x="0" y="0"/>
            <wp:positionH relativeFrom="column">
              <wp:posOffset>-918210</wp:posOffset>
            </wp:positionH>
            <wp:positionV relativeFrom="paragraph">
              <wp:posOffset>-1068070</wp:posOffset>
            </wp:positionV>
            <wp:extent cx="7557135" cy="10643870"/>
            <wp:effectExtent l="0" t="0" r="5715" b="5080"/>
            <wp:wrapNone/>
            <wp:docPr id="36" name="图片 2" descr="C:\Temp\WeChat Files\5417ea02a0d5d0e3df20ca8b1ee52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 descr="C:\Temp\WeChat Files\5417ea02a0d5d0e3df20ca8b1ee525c.jpg"/>
                    <pic:cNvPicPr>
                      <a:picLocks noChangeAspect="1" noChangeArrowheads="1"/>
                    </pic:cNvPicPr>
                  </pic:nvPicPr>
                  <pic:blipFill>
                    <a:blip r:embed="rId22" cstate="print"/>
                    <a:srcRect/>
                    <a:stretch>
                      <a:fillRect/>
                    </a:stretch>
                  </pic:blipFill>
                  <pic:spPr>
                    <a:xfrm>
                      <a:off x="0" y="0"/>
                      <a:ext cx="7557135" cy="10643870"/>
                    </a:xfrm>
                    <a:prstGeom prst="rect">
                      <a:avLst/>
                    </a:prstGeom>
                    <a:noFill/>
                    <a:ln w="9525">
                      <a:noFill/>
                      <a:miter lim="800000"/>
                      <a:headEnd/>
                      <a:tailEnd/>
                    </a:ln>
                  </pic:spPr>
                </pic:pic>
              </a:graphicData>
            </a:graphic>
          </wp:anchor>
        </w:drawing>
      </w:r>
    </w:p>
    <w:p w14:paraId="3EE528E9">
      <w:pPr>
        <w:rPr>
          <w:rFonts w:hint="default" w:ascii="宋体" w:hAnsi="宋体" w:eastAsia="黑体"/>
          <w:lang w:val="en-US"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rPr>
        <w:drawing>
          <wp:anchor distT="0" distB="0" distL="0" distR="0" simplePos="0" relativeHeight="251672576" behindDoc="0" locked="0" layoutInCell="1" allowOverlap="1">
            <wp:simplePos x="0" y="0"/>
            <wp:positionH relativeFrom="column">
              <wp:posOffset>-979170</wp:posOffset>
            </wp:positionH>
            <wp:positionV relativeFrom="paragraph">
              <wp:posOffset>-1026160</wp:posOffset>
            </wp:positionV>
            <wp:extent cx="7592695" cy="10668635"/>
            <wp:effectExtent l="0" t="0" r="8255" b="18415"/>
            <wp:wrapNone/>
            <wp:docPr id="37" name="图片 3" descr="C:\Temp\WeChat Files\dbd0ac39222e33324f7401b20d49a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 descr="C:\Temp\WeChat Files\dbd0ac39222e33324f7401b20d49a93.jpg"/>
                    <pic:cNvPicPr>
                      <a:picLocks noChangeAspect="1" noChangeArrowheads="1"/>
                    </pic:cNvPicPr>
                  </pic:nvPicPr>
                  <pic:blipFill>
                    <a:blip r:embed="rId23" cstate="print"/>
                    <a:srcRect/>
                    <a:stretch>
                      <a:fillRect/>
                    </a:stretch>
                  </pic:blipFill>
                  <pic:spPr>
                    <a:xfrm>
                      <a:off x="0" y="0"/>
                      <a:ext cx="7592695" cy="10668635"/>
                    </a:xfrm>
                    <a:prstGeom prst="rect">
                      <a:avLst/>
                    </a:prstGeom>
                    <a:noFill/>
                    <a:ln w="9525">
                      <a:noFill/>
                      <a:miter lim="800000"/>
                      <a:headEnd/>
                      <a:tailEnd/>
                    </a:ln>
                  </pic:spPr>
                </pic:pic>
              </a:graphicData>
            </a:graphic>
          </wp:anchor>
        </w:drawing>
      </w:r>
    </w:p>
    <w:p w14:paraId="0F10E029">
      <w:pPr>
        <w:rPr>
          <w:rFonts w:hint="default" w:ascii="宋体" w:hAnsi="宋体" w:eastAsia="黑体"/>
          <w:lang w:val="en-US"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decimal"/>
          <w:cols w:space="720" w:num="1"/>
          <w:docGrid w:linePitch="312" w:charSpace="0"/>
        </w:sectPr>
      </w:pPr>
      <w:r>
        <w:drawing>
          <wp:anchor distT="0" distB="0" distL="0" distR="0" simplePos="0" relativeHeight="251673600" behindDoc="0" locked="0" layoutInCell="1" allowOverlap="1">
            <wp:simplePos x="0" y="0"/>
            <wp:positionH relativeFrom="column">
              <wp:posOffset>-898525</wp:posOffset>
            </wp:positionH>
            <wp:positionV relativeFrom="paragraph">
              <wp:posOffset>-1046480</wp:posOffset>
            </wp:positionV>
            <wp:extent cx="7508240" cy="10719435"/>
            <wp:effectExtent l="0" t="0" r="16510" b="5715"/>
            <wp:wrapNone/>
            <wp:docPr id="38" name="图片 4" descr="C:\Temp\WeChat Files\820947c563d44e5ef423186c9ac5c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 descr="C:\Temp\WeChat Files\820947c563d44e5ef423186c9ac5cd2.jpg"/>
                    <pic:cNvPicPr>
                      <a:picLocks noChangeAspect="1" noChangeArrowheads="1"/>
                    </pic:cNvPicPr>
                  </pic:nvPicPr>
                  <pic:blipFill>
                    <a:blip r:embed="rId24" cstate="print"/>
                    <a:srcRect/>
                    <a:stretch>
                      <a:fillRect/>
                    </a:stretch>
                  </pic:blipFill>
                  <pic:spPr>
                    <a:xfrm>
                      <a:off x="0" y="0"/>
                      <a:ext cx="7508240" cy="10719435"/>
                    </a:xfrm>
                    <a:prstGeom prst="rect">
                      <a:avLst/>
                    </a:prstGeom>
                    <a:noFill/>
                    <a:ln w="9525">
                      <a:noFill/>
                      <a:miter lim="800000"/>
                      <a:headEnd/>
                      <a:tailEnd/>
                    </a:ln>
                  </pic:spPr>
                </pic:pic>
              </a:graphicData>
            </a:graphic>
          </wp:anchor>
        </w:drawing>
      </w:r>
    </w:p>
    <w:p w14:paraId="5498F0FB">
      <w:pPr>
        <w:rPr>
          <w:rFonts w:hint="default" w:ascii="宋体" w:hAnsi="宋体" w:eastAsia="黑体"/>
          <w:lang w:val="en-US"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rPr>
        <w:drawing>
          <wp:anchor distT="0" distB="0" distL="0" distR="0" simplePos="0" relativeHeight="251674624" behindDoc="0" locked="0" layoutInCell="1" allowOverlap="1">
            <wp:simplePos x="0" y="0"/>
            <wp:positionH relativeFrom="column">
              <wp:posOffset>-876935</wp:posOffset>
            </wp:positionH>
            <wp:positionV relativeFrom="paragraph">
              <wp:posOffset>-1047750</wp:posOffset>
            </wp:positionV>
            <wp:extent cx="7484745" cy="10626090"/>
            <wp:effectExtent l="0" t="0" r="1905" b="3810"/>
            <wp:wrapNone/>
            <wp:docPr id="39" name="图片 1" descr="C:\Temp\WeChat Files\e715cb2099735429fee37f71b7c5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descr="C:\Temp\WeChat Files\e715cb2099735429fee37f71b7c5414.jpg"/>
                    <pic:cNvPicPr>
                      <a:picLocks noChangeAspect="1" noChangeArrowheads="1"/>
                    </pic:cNvPicPr>
                  </pic:nvPicPr>
                  <pic:blipFill>
                    <a:blip r:embed="rId25" cstate="print"/>
                    <a:srcRect/>
                    <a:stretch>
                      <a:fillRect/>
                    </a:stretch>
                  </pic:blipFill>
                  <pic:spPr>
                    <a:xfrm>
                      <a:off x="0" y="0"/>
                      <a:ext cx="7484745" cy="10626090"/>
                    </a:xfrm>
                    <a:prstGeom prst="rect">
                      <a:avLst/>
                    </a:prstGeom>
                    <a:noFill/>
                    <a:ln w="9525">
                      <a:noFill/>
                      <a:miter lim="800000"/>
                      <a:headEnd/>
                      <a:tailEnd/>
                    </a:ln>
                  </pic:spPr>
                </pic:pic>
              </a:graphicData>
            </a:graphic>
          </wp:anchor>
        </w:drawing>
      </w:r>
    </w:p>
    <w:p w14:paraId="1B862F45">
      <w:pPr>
        <w:rPr>
          <w:rFonts w:hint="default" w:ascii="宋体" w:hAnsi="宋体" w:eastAsia="黑体"/>
          <w:lang w:val="en-US"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decimal"/>
          <w:cols w:space="720" w:num="1"/>
          <w:docGrid w:linePitch="312" w:charSpace="0"/>
        </w:sectPr>
      </w:pPr>
      <w:r>
        <w:drawing>
          <wp:anchor distT="0" distB="0" distL="0" distR="0" simplePos="0" relativeHeight="251675648" behindDoc="0" locked="0" layoutInCell="1" allowOverlap="1">
            <wp:simplePos x="0" y="0"/>
            <wp:positionH relativeFrom="column">
              <wp:posOffset>-888365</wp:posOffset>
            </wp:positionH>
            <wp:positionV relativeFrom="paragraph">
              <wp:posOffset>-1068070</wp:posOffset>
            </wp:positionV>
            <wp:extent cx="7517130" cy="10675620"/>
            <wp:effectExtent l="0" t="0" r="7620" b="11430"/>
            <wp:wrapNone/>
            <wp:docPr id="40" name="图片 0" descr="52b6d33fe889acf19cc996afb8ff6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0" descr="52b6d33fe889acf19cc996afb8ff65e.jpg"/>
                    <pic:cNvPicPr>
                      <a:picLocks noChangeAspect="1"/>
                    </pic:cNvPicPr>
                  </pic:nvPicPr>
                  <pic:blipFill>
                    <a:blip r:embed="rId26" cstate="print"/>
                    <a:stretch>
                      <a:fillRect/>
                    </a:stretch>
                  </pic:blipFill>
                  <pic:spPr>
                    <a:xfrm>
                      <a:off x="0" y="0"/>
                      <a:ext cx="7517130" cy="10675620"/>
                    </a:xfrm>
                    <a:prstGeom prst="rect">
                      <a:avLst/>
                    </a:prstGeom>
                  </pic:spPr>
                </pic:pic>
              </a:graphicData>
            </a:graphic>
          </wp:anchor>
        </w:drawing>
      </w:r>
    </w:p>
    <w:p w14:paraId="6E840D5E">
      <w:pPr>
        <w:rPr>
          <w:rFonts w:hint="default" w:ascii="宋体" w:hAnsi="宋体" w:eastAsia="黑体"/>
          <w:lang w:val="en-US"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rPr>
        <w:drawing>
          <wp:anchor distT="0" distB="0" distL="0" distR="0" simplePos="0" relativeHeight="251676672" behindDoc="0" locked="0" layoutInCell="1" allowOverlap="1">
            <wp:simplePos x="0" y="0"/>
            <wp:positionH relativeFrom="column">
              <wp:posOffset>-899160</wp:posOffset>
            </wp:positionH>
            <wp:positionV relativeFrom="paragraph">
              <wp:posOffset>-1088390</wp:posOffset>
            </wp:positionV>
            <wp:extent cx="7538085" cy="10716895"/>
            <wp:effectExtent l="0" t="0" r="5715" b="8255"/>
            <wp:wrapNone/>
            <wp:docPr id="41" name="图片 1" descr="16943d29766e33ade6c683bba98b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descr="16943d29766e33ade6c683bba98b605.jpg"/>
                    <pic:cNvPicPr>
                      <a:picLocks noChangeAspect="1"/>
                    </pic:cNvPicPr>
                  </pic:nvPicPr>
                  <pic:blipFill>
                    <a:blip r:embed="rId27" cstate="print"/>
                    <a:stretch>
                      <a:fillRect/>
                    </a:stretch>
                  </pic:blipFill>
                  <pic:spPr>
                    <a:xfrm>
                      <a:off x="0" y="0"/>
                      <a:ext cx="7538085" cy="10716895"/>
                    </a:xfrm>
                    <a:prstGeom prst="rect">
                      <a:avLst/>
                    </a:prstGeom>
                  </pic:spPr>
                </pic:pic>
              </a:graphicData>
            </a:graphic>
          </wp:anchor>
        </w:drawing>
      </w:r>
    </w:p>
    <w:p w14:paraId="2FEE9F6F">
      <w:pPr>
        <w:rPr>
          <w:rFonts w:hint="default" w:ascii="宋体" w:hAnsi="宋体" w:eastAsia="黑体"/>
          <w:lang w:val="en-US"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rPr>
        <w:drawing>
          <wp:anchor distT="0" distB="0" distL="0" distR="0" simplePos="0" relativeHeight="251677696" behindDoc="0" locked="0" layoutInCell="1" allowOverlap="1">
            <wp:simplePos x="0" y="0"/>
            <wp:positionH relativeFrom="column">
              <wp:posOffset>-899795</wp:posOffset>
            </wp:positionH>
            <wp:positionV relativeFrom="paragraph">
              <wp:posOffset>-1068070</wp:posOffset>
            </wp:positionV>
            <wp:extent cx="7522845" cy="10682605"/>
            <wp:effectExtent l="0" t="0" r="1905" b="4445"/>
            <wp:wrapNone/>
            <wp:docPr id="42" name="图片 2" descr="0ef6eedcc1f745e190a618946b2d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 descr="0ef6eedcc1f745e190a618946b2d335.jpg"/>
                    <pic:cNvPicPr>
                      <a:picLocks noChangeAspect="1"/>
                    </pic:cNvPicPr>
                  </pic:nvPicPr>
                  <pic:blipFill>
                    <a:blip r:embed="rId28" cstate="print"/>
                    <a:stretch>
                      <a:fillRect/>
                    </a:stretch>
                  </pic:blipFill>
                  <pic:spPr>
                    <a:xfrm>
                      <a:off x="0" y="0"/>
                      <a:ext cx="7522845" cy="10682605"/>
                    </a:xfrm>
                    <a:prstGeom prst="rect">
                      <a:avLst/>
                    </a:prstGeom>
                  </pic:spPr>
                </pic:pic>
              </a:graphicData>
            </a:graphic>
          </wp:anchor>
        </w:drawing>
      </w:r>
    </w:p>
    <w:p w14:paraId="446B569E">
      <w:pPr>
        <w:rPr>
          <w:rFonts w:hint="default" w:ascii="宋体" w:hAnsi="宋体" w:eastAsia="黑体"/>
          <w:lang w:val="en-US"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decimal"/>
          <w:cols w:space="720" w:num="1"/>
          <w:docGrid w:linePitch="312" w:charSpace="0"/>
        </w:sectPr>
      </w:pPr>
      <w:r>
        <w:drawing>
          <wp:anchor distT="0" distB="0" distL="114300" distR="114300" simplePos="0" relativeHeight="251678720" behindDoc="0" locked="0" layoutInCell="1" allowOverlap="1">
            <wp:simplePos x="0" y="0"/>
            <wp:positionH relativeFrom="column">
              <wp:posOffset>-916305</wp:posOffset>
            </wp:positionH>
            <wp:positionV relativeFrom="paragraph">
              <wp:posOffset>-1075690</wp:posOffset>
            </wp:positionV>
            <wp:extent cx="7587615" cy="10692130"/>
            <wp:effectExtent l="12700" t="12700" r="19685" b="20320"/>
            <wp:wrapNone/>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pic:cNvPicPr>
                      <a:picLocks noChangeAspect="1"/>
                    </pic:cNvPicPr>
                  </pic:nvPicPr>
                  <pic:blipFill>
                    <a:blip r:embed="rId29" cstate="print"/>
                    <a:stretch>
                      <a:fillRect/>
                    </a:stretch>
                  </pic:blipFill>
                  <pic:spPr>
                    <a:xfrm>
                      <a:off x="0" y="0"/>
                      <a:ext cx="7587615" cy="10692130"/>
                    </a:xfrm>
                    <a:prstGeom prst="rect">
                      <a:avLst/>
                    </a:prstGeom>
                    <a:noFill/>
                    <a:ln w="12700" cap="flat" cmpd="sng">
                      <a:solidFill>
                        <a:srgbClr val="FFFFFF"/>
                      </a:solidFill>
                      <a:prstDash val="solid"/>
                      <a:round/>
                      <a:headEnd type="none" w="med" len="med"/>
                      <a:tailEnd type="none" w="med" len="med"/>
                    </a:ln>
                  </pic:spPr>
                </pic:pic>
              </a:graphicData>
            </a:graphic>
          </wp:anchor>
        </w:drawing>
      </w:r>
    </w:p>
    <w:p w14:paraId="4E92B09B">
      <w:pPr>
        <w:rPr>
          <w:rFonts w:hint="default" w:ascii="宋体" w:hAnsi="宋体" w:eastAsia="黑体"/>
          <w:lang w:val="en-US"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decimal"/>
          <w:cols w:space="720" w:num="1"/>
          <w:docGrid w:linePitch="312" w:charSpace="0"/>
        </w:sectPr>
      </w:pPr>
      <w:r>
        <w:drawing>
          <wp:anchor distT="0" distB="0" distL="114300" distR="114300" simplePos="0" relativeHeight="251679744" behindDoc="0" locked="0" layoutInCell="1" allowOverlap="1">
            <wp:simplePos x="0" y="0"/>
            <wp:positionH relativeFrom="column">
              <wp:posOffset>-932180</wp:posOffset>
            </wp:positionH>
            <wp:positionV relativeFrom="paragraph">
              <wp:posOffset>-1123950</wp:posOffset>
            </wp:positionV>
            <wp:extent cx="7614285" cy="10658475"/>
            <wp:effectExtent l="0" t="0" r="5715" b="9525"/>
            <wp:wrapNone/>
            <wp:docPr id="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pic:cNvPicPr>
                      <a:picLocks noChangeAspect="1"/>
                    </pic:cNvPicPr>
                  </pic:nvPicPr>
                  <pic:blipFill>
                    <a:blip r:embed="rId30" cstate="print"/>
                    <a:stretch>
                      <a:fillRect/>
                    </a:stretch>
                  </pic:blipFill>
                  <pic:spPr>
                    <a:xfrm>
                      <a:off x="0" y="0"/>
                      <a:ext cx="7614285" cy="10658475"/>
                    </a:xfrm>
                    <a:prstGeom prst="rect">
                      <a:avLst/>
                    </a:prstGeom>
                    <a:noFill/>
                    <a:ln>
                      <a:noFill/>
                    </a:ln>
                  </pic:spPr>
                </pic:pic>
              </a:graphicData>
            </a:graphic>
          </wp:anchor>
        </w:drawing>
      </w:r>
    </w:p>
    <w:p w14:paraId="1305852A">
      <w:pPr>
        <w:rPr>
          <w:rFonts w:hint="default" w:ascii="宋体" w:hAnsi="宋体" w:eastAsia="黑体"/>
          <w:lang w:val="en-US"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decimal"/>
          <w:cols w:space="720" w:num="1"/>
          <w:docGrid w:linePitch="312" w:charSpace="0"/>
        </w:sectPr>
      </w:pPr>
      <w:r>
        <w:drawing>
          <wp:anchor distT="0" distB="0" distL="114300" distR="114300" simplePos="0" relativeHeight="251680768" behindDoc="0" locked="0" layoutInCell="1" allowOverlap="1">
            <wp:simplePos x="0" y="0"/>
            <wp:positionH relativeFrom="column">
              <wp:posOffset>-913765</wp:posOffset>
            </wp:positionH>
            <wp:positionV relativeFrom="paragraph">
              <wp:posOffset>-1087120</wp:posOffset>
            </wp:positionV>
            <wp:extent cx="7604760" cy="10711180"/>
            <wp:effectExtent l="0" t="0" r="15240" b="13970"/>
            <wp:wrapNone/>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31" cstate="print"/>
                    <a:stretch>
                      <a:fillRect/>
                    </a:stretch>
                  </pic:blipFill>
                  <pic:spPr>
                    <a:xfrm>
                      <a:off x="0" y="0"/>
                      <a:ext cx="7604760" cy="10711180"/>
                    </a:xfrm>
                    <a:prstGeom prst="rect">
                      <a:avLst/>
                    </a:prstGeom>
                    <a:noFill/>
                    <a:ln>
                      <a:noFill/>
                    </a:ln>
                  </pic:spPr>
                </pic:pic>
              </a:graphicData>
            </a:graphic>
          </wp:anchor>
        </w:drawing>
      </w:r>
    </w:p>
    <w:p w14:paraId="5AF3ACAA">
      <w:pPr>
        <w:rPr>
          <w:rFonts w:hint="default" w:ascii="宋体" w:hAnsi="宋体" w:eastAsia="黑体"/>
          <w:lang w:val="en-US"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eastAsiaTheme="minorEastAsia"/>
          <w:lang w:eastAsia="zh-CN"/>
        </w:rPr>
        <w:drawing>
          <wp:anchor distT="0" distB="0" distL="114300" distR="114300" simplePos="0" relativeHeight="251681792" behindDoc="0" locked="0" layoutInCell="1" allowOverlap="1">
            <wp:simplePos x="0" y="0"/>
            <wp:positionH relativeFrom="column">
              <wp:posOffset>-912495</wp:posOffset>
            </wp:positionH>
            <wp:positionV relativeFrom="paragraph">
              <wp:posOffset>-1042035</wp:posOffset>
            </wp:positionV>
            <wp:extent cx="7583805" cy="10662920"/>
            <wp:effectExtent l="0" t="0" r="17145" b="5080"/>
            <wp:wrapNone/>
            <wp:docPr id="28" name="图片 28" descr="扫描全能王 2026-1-13 11.07_1_20260113110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扫描全能王 2026-1-13 11.07_1_20260113110852"/>
                    <pic:cNvPicPr>
                      <a:picLocks noChangeAspect="1"/>
                    </pic:cNvPicPr>
                  </pic:nvPicPr>
                  <pic:blipFill>
                    <a:blip r:embed="rId32"/>
                    <a:stretch>
                      <a:fillRect/>
                    </a:stretch>
                  </pic:blipFill>
                  <pic:spPr>
                    <a:xfrm>
                      <a:off x="0" y="0"/>
                      <a:ext cx="7583805" cy="10662920"/>
                    </a:xfrm>
                    <a:prstGeom prst="rect">
                      <a:avLst/>
                    </a:prstGeom>
                  </pic:spPr>
                </pic:pic>
              </a:graphicData>
            </a:graphic>
          </wp:anchor>
        </w:drawing>
      </w:r>
    </w:p>
    <w:p w14:paraId="24488E6E">
      <w:pPr>
        <w:rPr>
          <w:rFonts w:hint="default" w:ascii="宋体" w:hAnsi="宋体" w:eastAsia="黑体"/>
          <w:lang w:val="en-US"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eastAsiaTheme="minorEastAsia"/>
          <w:lang w:eastAsia="zh-CN"/>
        </w:rPr>
        <w:drawing>
          <wp:anchor distT="0" distB="0" distL="114300" distR="114300" simplePos="0" relativeHeight="251682816" behindDoc="0" locked="0" layoutInCell="1" allowOverlap="1">
            <wp:simplePos x="0" y="0"/>
            <wp:positionH relativeFrom="column">
              <wp:posOffset>-897255</wp:posOffset>
            </wp:positionH>
            <wp:positionV relativeFrom="paragraph">
              <wp:posOffset>-1088390</wp:posOffset>
            </wp:positionV>
            <wp:extent cx="7535545" cy="10690860"/>
            <wp:effectExtent l="0" t="0" r="8255" b="15240"/>
            <wp:wrapNone/>
            <wp:docPr id="46" name="图片 46" descr="扫描全能王 2026-1-13 11.07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扫描全能王 2026-1-13 11.07_2"/>
                    <pic:cNvPicPr>
                      <a:picLocks noChangeAspect="1"/>
                    </pic:cNvPicPr>
                  </pic:nvPicPr>
                  <pic:blipFill>
                    <a:blip r:embed="rId33"/>
                    <a:stretch>
                      <a:fillRect/>
                    </a:stretch>
                  </pic:blipFill>
                  <pic:spPr>
                    <a:xfrm>
                      <a:off x="0" y="0"/>
                      <a:ext cx="7535545" cy="10690860"/>
                    </a:xfrm>
                    <a:prstGeom prst="rect">
                      <a:avLst/>
                    </a:prstGeom>
                  </pic:spPr>
                </pic:pic>
              </a:graphicData>
            </a:graphic>
          </wp:anchor>
        </w:drawing>
      </w:r>
    </w:p>
    <w:p w14:paraId="71C49B5F">
      <w:pPr>
        <w:rPr>
          <w:rFonts w:hint="default" w:ascii="宋体" w:hAnsi="宋体" w:eastAsia="黑体"/>
          <w:lang w:val="en-US"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eastAsiaTheme="minorEastAsia"/>
          <w:lang w:val="en-US" w:eastAsia="zh-CN"/>
        </w:rPr>
        <w:drawing>
          <wp:anchor distT="0" distB="0" distL="114300" distR="114300" simplePos="0" relativeHeight="251683840" behindDoc="0" locked="0" layoutInCell="1" allowOverlap="1">
            <wp:simplePos x="0" y="0"/>
            <wp:positionH relativeFrom="column">
              <wp:posOffset>-888365</wp:posOffset>
            </wp:positionH>
            <wp:positionV relativeFrom="paragraph">
              <wp:posOffset>-1042035</wp:posOffset>
            </wp:positionV>
            <wp:extent cx="7546975" cy="10638155"/>
            <wp:effectExtent l="0" t="0" r="15875" b="10795"/>
            <wp:wrapNone/>
            <wp:docPr id="30" name="图片 30" descr="编制情况承诺书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编制情况承诺书 (2)"/>
                    <pic:cNvPicPr>
                      <a:picLocks noChangeAspect="1"/>
                    </pic:cNvPicPr>
                  </pic:nvPicPr>
                  <pic:blipFill>
                    <a:blip r:embed="rId34"/>
                    <a:stretch>
                      <a:fillRect/>
                    </a:stretch>
                  </pic:blipFill>
                  <pic:spPr>
                    <a:xfrm>
                      <a:off x="0" y="0"/>
                      <a:ext cx="7546975" cy="10638155"/>
                    </a:xfrm>
                    <a:prstGeom prst="rect">
                      <a:avLst/>
                    </a:prstGeom>
                  </pic:spPr>
                </pic:pic>
              </a:graphicData>
            </a:graphic>
          </wp:anchor>
        </w:drawing>
      </w:r>
    </w:p>
    <w:p w14:paraId="2477D04F">
      <w:pPr>
        <w:rPr>
          <w:rFonts w:hint="default" w:ascii="宋体" w:hAnsi="宋体" w:eastAsia="黑体"/>
          <w:lang w:val="en-US"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eastAsiaTheme="minorEastAsia"/>
          <w:lang w:val="en-US" w:eastAsia="zh-CN"/>
        </w:rPr>
        <w:drawing>
          <wp:inline distT="0" distB="0" distL="114300" distR="114300">
            <wp:extent cx="5742305" cy="8127365"/>
            <wp:effectExtent l="0" t="0" r="10795" b="6985"/>
            <wp:docPr id="31" name="图片 31" descr="扫描全能王 2026-3-4 16.22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扫描全能王 2026-3-4 16.22_04"/>
                    <pic:cNvPicPr>
                      <a:picLocks noChangeAspect="1"/>
                    </pic:cNvPicPr>
                  </pic:nvPicPr>
                  <pic:blipFill>
                    <a:blip r:embed="rId35"/>
                    <a:stretch>
                      <a:fillRect/>
                    </a:stretch>
                  </pic:blipFill>
                  <pic:spPr>
                    <a:xfrm>
                      <a:off x="0" y="0"/>
                      <a:ext cx="5742305" cy="8127365"/>
                    </a:xfrm>
                    <a:prstGeom prst="rect">
                      <a:avLst/>
                    </a:prstGeom>
                  </pic:spPr>
                </pic:pic>
              </a:graphicData>
            </a:graphic>
          </wp:inline>
        </w:drawing>
      </w:r>
    </w:p>
    <w:p w14:paraId="2A80B466">
      <w:pPr>
        <w:bidi w:val="0"/>
        <w:jc w:val="both"/>
        <w:rPr>
          <w:rFonts w:hint="eastAsia" w:eastAsiaTheme="minorEastAsia"/>
          <w:lang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eastAsiaTheme="minorEastAsia"/>
          <w:lang w:eastAsia="zh-CN"/>
        </w:rPr>
        <w:drawing>
          <wp:inline distT="0" distB="0" distL="114300" distR="114300">
            <wp:extent cx="5267325" cy="7505700"/>
            <wp:effectExtent l="0" t="0" r="9525" b="0"/>
            <wp:docPr id="32" name="图片 32" descr="扫描全能王 2025-8-18 17.59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扫描全能王 2025-8-18 17.59_1"/>
                    <pic:cNvPicPr>
                      <a:picLocks noChangeAspect="1"/>
                    </pic:cNvPicPr>
                  </pic:nvPicPr>
                  <pic:blipFill>
                    <a:blip r:embed="rId36"/>
                    <a:stretch>
                      <a:fillRect/>
                    </a:stretch>
                  </pic:blipFill>
                  <pic:spPr>
                    <a:xfrm>
                      <a:off x="0" y="0"/>
                      <a:ext cx="5267325" cy="7505700"/>
                    </a:xfrm>
                    <a:prstGeom prst="rect">
                      <a:avLst/>
                    </a:prstGeom>
                  </pic:spPr>
                </pic:pic>
              </a:graphicData>
            </a:graphic>
          </wp:inline>
        </w:drawing>
      </w:r>
      <w:r>
        <w:rPr>
          <w:rFonts w:hint="eastAsia" w:eastAsiaTheme="minorEastAsia"/>
          <w:lang w:eastAsia="zh-CN"/>
        </w:rPr>
        <w:drawing>
          <wp:inline distT="0" distB="0" distL="114300" distR="114300">
            <wp:extent cx="5265420" cy="7333615"/>
            <wp:effectExtent l="0" t="0" r="11430" b="635"/>
            <wp:docPr id="33" name="图片 33" descr="扫描全能王 2025-8-18 17.59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扫描全能王 2025-8-18 17.59_2"/>
                    <pic:cNvPicPr>
                      <a:picLocks noChangeAspect="1"/>
                    </pic:cNvPicPr>
                  </pic:nvPicPr>
                  <pic:blipFill>
                    <a:blip r:embed="rId37"/>
                    <a:stretch>
                      <a:fillRect/>
                    </a:stretch>
                  </pic:blipFill>
                  <pic:spPr>
                    <a:xfrm>
                      <a:off x="0" y="0"/>
                      <a:ext cx="5265420" cy="7333615"/>
                    </a:xfrm>
                    <a:prstGeom prst="rect">
                      <a:avLst/>
                    </a:prstGeom>
                  </pic:spPr>
                </pic:pic>
              </a:graphicData>
            </a:graphic>
          </wp:inline>
        </w:drawing>
      </w:r>
      <w:r>
        <w:rPr>
          <w:rFonts w:hint="eastAsia" w:eastAsiaTheme="minorEastAsia"/>
          <w:lang w:eastAsia="zh-CN"/>
        </w:rPr>
        <w:drawing>
          <wp:inline distT="0" distB="0" distL="114300" distR="114300">
            <wp:extent cx="5273675" cy="7322820"/>
            <wp:effectExtent l="0" t="0" r="3175" b="11430"/>
            <wp:docPr id="34" name="图片 34" descr="扫描全能王 2025-8-18 17.59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扫描全能王 2025-8-18 17.59_3"/>
                    <pic:cNvPicPr>
                      <a:picLocks noChangeAspect="1"/>
                    </pic:cNvPicPr>
                  </pic:nvPicPr>
                  <pic:blipFill>
                    <a:blip r:embed="rId38"/>
                    <a:stretch>
                      <a:fillRect/>
                    </a:stretch>
                  </pic:blipFill>
                  <pic:spPr>
                    <a:xfrm>
                      <a:off x="0" y="0"/>
                      <a:ext cx="5273675" cy="7322820"/>
                    </a:xfrm>
                    <a:prstGeom prst="rect">
                      <a:avLst/>
                    </a:prstGeom>
                  </pic:spPr>
                </pic:pic>
              </a:graphicData>
            </a:graphic>
          </wp:inline>
        </w:drawing>
      </w:r>
      <w:r>
        <w:rPr>
          <w:rFonts w:hint="eastAsia" w:eastAsiaTheme="minorEastAsia"/>
          <w:lang w:eastAsia="zh-CN"/>
        </w:rPr>
        <w:drawing>
          <wp:inline distT="0" distB="0" distL="114300" distR="114300">
            <wp:extent cx="5259070" cy="7497445"/>
            <wp:effectExtent l="0" t="0" r="17780" b="8255"/>
            <wp:docPr id="35" name="图片 35" descr="扫描全能王 2025-8-18 17.59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扫描全能王 2025-8-18 17.59_4"/>
                    <pic:cNvPicPr>
                      <a:picLocks noChangeAspect="1"/>
                    </pic:cNvPicPr>
                  </pic:nvPicPr>
                  <pic:blipFill>
                    <a:blip r:embed="rId39"/>
                    <a:stretch>
                      <a:fillRect/>
                    </a:stretch>
                  </pic:blipFill>
                  <pic:spPr>
                    <a:xfrm>
                      <a:off x="0" y="0"/>
                      <a:ext cx="5259070" cy="7497445"/>
                    </a:xfrm>
                    <a:prstGeom prst="rect">
                      <a:avLst/>
                    </a:prstGeom>
                  </pic:spPr>
                </pic:pic>
              </a:graphicData>
            </a:graphic>
          </wp:inline>
        </w:drawing>
      </w:r>
    </w:p>
    <w:p w14:paraId="341FA855">
      <w:pPr>
        <w:bidi w:val="0"/>
        <w:jc w:val="both"/>
        <w:rPr>
          <w:rFonts w:hint="default" w:eastAsiaTheme="minorEastAsia"/>
          <w:lang w:val="en-US"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eastAsiaTheme="minorEastAsia"/>
          <w:lang w:val="en-US" w:eastAsia="zh-CN"/>
        </w:rPr>
        <w:drawing>
          <wp:anchor distT="0" distB="0" distL="114300" distR="114300" simplePos="0" relativeHeight="251689984" behindDoc="0" locked="0" layoutInCell="1" allowOverlap="1">
            <wp:simplePos x="0" y="0"/>
            <wp:positionH relativeFrom="column">
              <wp:posOffset>-2498725</wp:posOffset>
            </wp:positionH>
            <wp:positionV relativeFrom="paragraph">
              <wp:posOffset>638175</wp:posOffset>
            </wp:positionV>
            <wp:extent cx="10727055" cy="7658100"/>
            <wp:effectExtent l="0" t="0" r="0" b="17145"/>
            <wp:wrapNone/>
            <wp:docPr id="47" name="图片 47" descr="附图一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附图一_01"/>
                    <pic:cNvPicPr>
                      <a:picLocks noChangeAspect="1"/>
                    </pic:cNvPicPr>
                  </pic:nvPicPr>
                  <pic:blipFill>
                    <a:blip r:embed="rId40"/>
                    <a:stretch>
                      <a:fillRect/>
                    </a:stretch>
                  </pic:blipFill>
                  <pic:spPr>
                    <a:xfrm rot="16200000">
                      <a:off x="0" y="0"/>
                      <a:ext cx="10727055" cy="7658100"/>
                    </a:xfrm>
                    <a:prstGeom prst="rect">
                      <a:avLst/>
                    </a:prstGeom>
                  </pic:spPr>
                </pic:pic>
              </a:graphicData>
            </a:graphic>
          </wp:anchor>
        </w:drawing>
      </w:r>
    </w:p>
    <w:p w14:paraId="2C0F9083">
      <w:pPr>
        <w:bidi w:val="0"/>
        <w:jc w:val="both"/>
        <w:rPr>
          <w:rFonts w:hint="default" w:eastAsiaTheme="minorEastAsia"/>
          <w:lang w:val="en-US"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eastAsiaTheme="minorEastAsia"/>
          <w:lang w:val="en-US" w:eastAsia="zh-CN"/>
        </w:rPr>
        <w:drawing>
          <wp:anchor distT="0" distB="0" distL="114300" distR="114300" simplePos="0" relativeHeight="251688960" behindDoc="0" locked="0" layoutInCell="1" allowOverlap="1">
            <wp:simplePos x="0" y="0"/>
            <wp:positionH relativeFrom="column">
              <wp:posOffset>-1007110</wp:posOffset>
            </wp:positionH>
            <wp:positionV relativeFrom="paragraph">
              <wp:posOffset>-1115060</wp:posOffset>
            </wp:positionV>
            <wp:extent cx="7611745" cy="10825480"/>
            <wp:effectExtent l="0" t="0" r="8255" b="13970"/>
            <wp:wrapNone/>
            <wp:docPr id="48" name="图片 48" descr="附图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附图二_01"/>
                    <pic:cNvPicPr>
                      <a:picLocks noChangeAspect="1"/>
                    </pic:cNvPicPr>
                  </pic:nvPicPr>
                  <pic:blipFill>
                    <a:blip r:embed="rId41"/>
                    <a:stretch>
                      <a:fillRect/>
                    </a:stretch>
                  </pic:blipFill>
                  <pic:spPr>
                    <a:xfrm>
                      <a:off x="0" y="0"/>
                      <a:ext cx="7611745" cy="10825480"/>
                    </a:xfrm>
                    <a:prstGeom prst="rect">
                      <a:avLst/>
                    </a:prstGeom>
                  </pic:spPr>
                </pic:pic>
              </a:graphicData>
            </a:graphic>
          </wp:anchor>
        </w:drawing>
      </w:r>
    </w:p>
    <w:p w14:paraId="6FB24064">
      <w:pPr>
        <w:bidi w:val="0"/>
        <w:jc w:val="both"/>
        <w:rPr>
          <w:rFonts w:hint="default" w:eastAsiaTheme="minorEastAsia"/>
          <w:lang w:val="en-US"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eastAsiaTheme="minorEastAsia"/>
          <w:lang w:val="en-US" w:eastAsia="zh-CN"/>
        </w:rPr>
        <w:drawing>
          <wp:anchor distT="0" distB="0" distL="114300" distR="114300" simplePos="0" relativeHeight="251687936" behindDoc="0" locked="0" layoutInCell="1" allowOverlap="1">
            <wp:simplePos x="0" y="0"/>
            <wp:positionH relativeFrom="column">
              <wp:posOffset>-897890</wp:posOffset>
            </wp:positionH>
            <wp:positionV relativeFrom="paragraph">
              <wp:posOffset>-1115060</wp:posOffset>
            </wp:positionV>
            <wp:extent cx="7773670" cy="10826115"/>
            <wp:effectExtent l="0" t="0" r="17780" b="13335"/>
            <wp:wrapNone/>
            <wp:docPr id="49" name="图片 49" descr="附图二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附图二_02"/>
                    <pic:cNvPicPr>
                      <a:picLocks noChangeAspect="1"/>
                    </pic:cNvPicPr>
                  </pic:nvPicPr>
                  <pic:blipFill>
                    <a:blip r:embed="rId42"/>
                    <a:stretch>
                      <a:fillRect/>
                    </a:stretch>
                  </pic:blipFill>
                  <pic:spPr>
                    <a:xfrm>
                      <a:off x="0" y="0"/>
                      <a:ext cx="7773670" cy="10826115"/>
                    </a:xfrm>
                    <a:prstGeom prst="rect">
                      <a:avLst/>
                    </a:prstGeom>
                  </pic:spPr>
                </pic:pic>
              </a:graphicData>
            </a:graphic>
          </wp:anchor>
        </w:drawing>
      </w:r>
    </w:p>
    <w:p w14:paraId="0E7C61FD">
      <w:pPr>
        <w:bidi w:val="0"/>
        <w:jc w:val="both"/>
        <w:rPr>
          <w:rFonts w:hint="default" w:eastAsiaTheme="minorEastAsia"/>
          <w:lang w:val="en-US"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eastAsiaTheme="minorEastAsia"/>
          <w:lang w:val="en-US" w:eastAsia="zh-CN"/>
        </w:rPr>
        <w:drawing>
          <wp:anchor distT="0" distB="0" distL="114300" distR="114300" simplePos="0" relativeHeight="251686912" behindDoc="0" locked="0" layoutInCell="1" allowOverlap="1">
            <wp:simplePos x="0" y="0"/>
            <wp:positionH relativeFrom="column">
              <wp:posOffset>-991235</wp:posOffset>
            </wp:positionH>
            <wp:positionV relativeFrom="paragraph">
              <wp:posOffset>-1073150</wp:posOffset>
            </wp:positionV>
            <wp:extent cx="7607300" cy="10701020"/>
            <wp:effectExtent l="0" t="0" r="12700" b="5080"/>
            <wp:wrapNone/>
            <wp:docPr id="50" name="图片 50" descr="附图三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附图三_01"/>
                    <pic:cNvPicPr>
                      <a:picLocks noChangeAspect="1"/>
                    </pic:cNvPicPr>
                  </pic:nvPicPr>
                  <pic:blipFill>
                    <a:blip r:embed="rId43"/>
                    <a:stretch>
                      <a:fillRect/>
                    </a:stretch>
                  </pic:blipFill>
                  <pic:spPr>
                    <a:xfrm>
                      <a:off x="0" y="0"/>
                      <a:ext cx="7607300" cy="10701020"/>
                    </a:xfrm>
                    <a:prstGeom prst="rect">
                      <a:avLst/>
                    </a:prstGeom>
                  </pic:spPr>
                </pic:pic>
              </a:graphicData>
            </a:graphic>
          </wp:anchor>
        </w:drawing>
      </w:r>
    </w:p>
    <w:p w14:paraId="211A4847">
      <w:pPr>
        <w:bidi w:val="0"/>
        <w:jc w:val="both"/>
        <w:rPr>
          <w:rFonts w:hint="default" w:eastAsiaTheme="minorEastAsia"/>
          <w:lang w:val="en-US" w:eastAsia="zh-CN"/>
        </w:rPr>
        <w:sectPr>
          <w:pgSz w:w="16838" w:h="11906" w:orient="landscape"/>
          <w:pgMar w:top="1417" w:right="1701" w:bottom="1417"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eastAsiaTheme="minorEastAsia"/>
          <w:lang w:val="en-US" w:eastAsia="zh-CN"/>
        </w:rPr>
        <w:drawing>
          <wp:anchor distT="0" distB="0" distL="114300" distR="114300" simplePos="0" relativeHeight="251685888" behindDoc="0" locked="0" layoutInCell="1" allowOverlap="1">
            <wp:simplePos x="0" y="0"/>
            <wp:positionH relativeFrom="column">
              <wp:posOffset>-1061085</wp:posOffset>
            </wp:positionH>
            <wp:positionV relativeFrom="paragraph">
              <wp:posOffset>-883285</wp:posOffset>
            </wp:positionV>
            <wp:extent cx="10634345" cy="7581265"/>
            <wp:effectExtent l="0" t="0" r="14605" b="635"/>
            <wp:wrapNone/>
            <wp:docPr id="51" name="图片 51" descr="附图四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附图四_01"/>
                    <pic:cNvPicPr>
                      <a:picLocks noChangeAspect="1"/>
                    </pic:cNvPicPr>
                  </pic:nvPicPr>
                  <pic:blipFill>
                    <a:blip r:embed="rId44"/>
                    <a:stretch>
                      <a:fillRect/>
                    </a:stretch>
                  </pic:blipFill>
                  <pic:spPr>
                    <a:xfrm>
                      <a:off x="0" y="0"/>
                      <a:ext cx="10634345" cy="7581265"/>
                    </a:xfrm>
                    <a:prstGeom prst="rect">
                      <a:avLst/>
                    </a:prstGeom>
                  </pic:spPr>
                </pic:pic>
              </a:graphicData>
            </a:graphic>
          </wp:anchor>
        </w:drawing>
      </w:r>
    </w:p>
    <w:p w14:paraId="434A46E4">
      <w:pPr>
        <w:bidi w:val="0"/>
        <w:jc w:val="both"/>
        <w:rPr>
          <w:rFonts w:hint="default" w:ascii="宋体" w:hAnsi="宋体" w:eastAsia="黑体"/>
          <w:lang w:val="en-US"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eastAsiaTheme="minorEastAsia"/>
          <w:lang w:val="en-US" w:eastAsia="zh-CN"/>
        </w:rPr>
        <w:drawing>
          <wp:anchor distT="0" distB="0" distL="114300" distR="114300" simplePos="0" relativeHeight="251684864" behindDoc="0" locked="0" layoutInCell="1" allowOverlap="1">
            <wp:simplePos x="0" y="0"/>
            <wp:positionH relativeFrom="column">
              <wp:posOffset>-888365</wp:posOffset>
            </wp:positionH>
            <wp:positionV relativeFrom="paragraph">
              <wp:posOffset>-1058545</wp:posOffset>
            </wp:positionV>
            <wp:extent cx="7536815" cy="10664190"/>
            <wp:effectExtent l="0" t="0" r="6985" b="3810"/>
            <wp:wrapNone/>
            <wp:docPr id="52" name="图片 52" descr="附图五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附图五_01"/>
                    <pic:cNvPicPr>
                      <a:picLocks noChangeAspect="1"/>
                    </pic:cNvPicPr>
                  </pic:nvPicPr>
                  <pic:blipFill>
                    <a:blip r:embed="rId45"/>
                    <a:stretch>
                      <a:fillRect/>
                    </a:stretch>
                  </pic:blipFill>
                  <pic:spPr>
                    <a:xfrm>
                      <a:off x="0" y="0"/>
                      <a:ext cx="7536815" cy="10664190"/>
                    </a:xfrm>
                    <a:prstGeom prst="rect">
                      <a:avLst/>
                    </a:prstGeom>
                  </pic:spPr>
                </pic:pic>
              </a:graphicData>
            </a:graphic>
          </wp:anchor>
        </w:drawing>
      </w:r>
    </w:p>
    <w:p w14:paraId="67DBB594">
      <w:pPr>
        <w:rPr>
          <w:rFonts w:hint="default" w:ascii="宋体" w:hAnsi="宋体" w:eastAsia="黑体"/>
          <w:lang w:val="en-US" w:eastAsia="zh-CN"/>
        </w:rPr>
      </w:pPr>
    </w:p>
    <w:sectPr>
      <w:pgSz w:w="11906" w:h="16838"/>
      <w:pgMar w:top="1701" w:right="1417" w:bottom="1701" w:left="1417"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modern"/>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Tahoma">
    <w:panose1 w:val="020B0604030504040204"/>
    <w:charset w:val="00"/>
    <w:family w:val="auto"/>
    <w:pitch w:val="default"/>
    <w:sig w:usb0="E1002EFF" w:usb1="C000605B" w:usb2="00000029" w:usb3="00000000" w:csb0="200101FF" w:csb1="20280000"/>
  </w:font>
  <w:font w:name="微软雅黑">
    <w:panose1 w:val="020B0503020204020204"/>
    <w:charset w:val="86"/>
    <w:family w:val="auto"/>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Microsoft JhengHei Light">
    <w:panose1 w:val="020B0304030504040204"/>
    <w:charset w:val="88"/>
    <w:family w:val="swiss"/>
    <w:pitch w:val="default"/>
    <w:sig w:usb0="800002A7" w:usb1="28CF4400" w:usb2="00000016" w:usb3="00000000" w:csb0="00100009" w:csb1="00000000"/>
  </w:font>
  <w:font w:name="等线">
    <w:panose1 w:val="02010600030101010101"/>
    <w:charset w:val="86"/>
    <w:family w:val="auto"/>
    <w:pitch w:val="default"/>
    <w:sig w:usb0="A00002BF" w:usb1="38CF7CFA" w:usb2="00000016" w:usb3="00000000" w:csb0="0004000F" w:csb1="00000000"/>
  </w:font>
  <w:font w:name="TimesNewRomanPSMT">
    <w:altName w:val="Times New Roman"/>
    <w:panose1 w:val="00000000000000000000"/>
    <w:charset w:val="00"/>
    <w:family w:val="roman"/>
    <w:pitch w:val="default"/>
    <w:sig w:usb0="00000000" w:usb1="00000000" w:usb2="00000010" w:usb3="00000000" w:csb0="00040001" w:csb1="00000000"/>
  </w:font>
  <w:font w:name="Cambria Math">
    <w:panose1 w:val="02040503050406030204"/>
    <w:charset w:val="00"/>
    <w:family w:val="roman"/>
    <w:pitch w:val="default"/>
    <w:sig w:usb0="E00006FF" w:usb1="420024FF" w:usb2="02000000" w:usb3="00000000" w:csb0="2000019F" w:csb1="00000000"/>
  </w:font>
  <w:font w:name="方正小标宋_GBK">
    <w:altName w:val="微软雅黑"/>
    <w:panose1 w:val="02000000000000000000"/>
    <w:charset w:val="86"/>
    <w:family w:val="script"/>
    <w:pitch w:val="default"/>
    <w:sig w:usb0="00000000" w:usb1="00000000" w:usb2="00082016" w:usb3="00000000" w:csb0="00040001" w:csb1="00000000"/>
  </w:font>
  <w:font w:name="KSOF8080F95D">
    <w:panose1 w:val="020B0503020204020204"/>
    <w:charset w:val="86"/>
    <w:family w:val="auto"/>
    <w:pitch w:val="default"/>
    <w:sig w:usb0="00000001"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9F4296">
    <w:pPr>
      <w:jc w:val="center"/>
      <w:rPr>
        <w:rStyle w:val="27"/>
        <w:rFonts w:ascii="宋体" w:hAnsi="宋体"/>
        <w:szCs w:val="21"/>
      </w:rPr>
    </w:pPr>
    <w:r>
      <w:rPr>
        <w:sz w:val="24"/>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1D5A96">
                          <w:pPr>
                            <w:jc w:val="center"/>
                          </w:pPr>
                          <w:r>
                            <w:rPr>
                              <w:rStyle w:val="27"/>
                              <w:rFonts w:hint="default" w:ascii="Times New Roman" w:hAnsi="Times New Roman" w:cs="Times New Roman"/>
                              <w:szCs w:val="21"/>
                            </w:rPr>
                            <w:t xml:space="preserve"> </w:t>
                          </w:r>
                          <w:r>
                            <w:rPr>
                              <w:rStyle w:val="27"/>
                              <w:rFonts w:hint="default" w:ascii="Times New Roman" w:hAnsi="Times New Roman" w:cs="Times New Roman"/>
                              <w:szCs w:val="21"/>
                            </w:rPr>
                            <w:fldChar w:fldCharType="begin"/>
                          </w:r>
                          <w:r>
                            <w:rPr>
                              <w:rStyle w:val="27"/>
                              <w:rFonts w:hint="default" w:ascii="Times New Roman" w:hAnsi="Times New Roman" w:cs="Times New Roman"/>
                              <w:szCs w:val="21"/>
                            </w:rPr>
                            <w:instrText xml:space="preserve">PAGE  </w:instrText>
                          </w:r>
                          <w:r>
                            <w:rPr>
                              <w:rStyle w:val="27"/>
                              <w:rFonts w:hint="default" w:ascii="Times New Roman" w:hAnsi="Times New Roman" w:cs="Times New Roman"/>
                              <w:szCs w:val="21"/>
                            </w:rPr>
                            <w:fldChar w:fldCharType="separate"/>
                          </w:r>
                          <w:r>
                            <w:rPr>
                              <w:rStyle w:val="27"/>
                              <w:rFonts w:hint="default" w:ascii="Times New Roman" w:hAnsi="Times New Roman" w:cs="Times New Roman"/>
                              <w:szCs w:val="21"/>
                            </w:rPr>
                            <w:t>35</w:t>
                          </w:r>
                          <w:r>
                            <w:rPr>
                              <w:rStyle w:val="27"/>
                              <w:rFonts w:hint="default" w:ascii="Times New Roman" w:hAnsi="Times New Roman" w:cs="Times New Roman"/>
                              <w:szCs w:val="21"/>
                            </w:rPr>
                            <w:fldChar w:fldCharType="end"/>
                          </w:r>
                          <w:r>
                            <w:rPr>
                              <w:rStyle w:val="27"/>
                              <w:rFonts w:hint="default" w:ascii="Times New Roman" w:hAnsi="Times New Roman" w:cs="Times New Roman"/>
                              <w:szCs w:val="21"/>
                            </w:rPr>
                            <w:t xml:space="preserve"> </w:t>
                          </w:r>
                          <w:r>
                            <w:rPr>
                              <w:rStyle w:val="27"/>
                              <w:rFonts w:hint="eastAsia" w:ascii="宋体" w:hAnsi="宋体"/>
                              <w:szCs w:val="21"/>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14:paraId="791D5A96">
                    <w:pPr>
                      <w:jc w:val="center"/>
                    </w:pPr>
                    <w:r>
                      <w:rPr>
                        <w:rStyle w:val="27"/>
                        <w:rFonts w:hint="default" w:ascii="Times New Roman" w:hAnsi="Times New Roman" w:cs="Times New Roman"/>
                        <w:szCs w:val="21"/>
                      </w:rPr>
                      <w:t xml:space="preserve"> </w:t>
                    </w:r>
                    <w:r>
                      <w:rPr>
                        <w:rStyle w:val="27"/>
                        <w:rFonts w:hint="default" w:ascii="Times New Roman" w:hAnsi="Times New Roman" w:cs="Times New Roman"/>
                        <w:szCs w:val="21"/>
                      </w:rPr>
                      <w:fldChar w:fldCharType="begin"/>
                    </w:r>
                    <w:r>
                      <w:rPr>
                        <w:rStyle w:val="27"/>
                        <w:rFonts w:hint="default" w:ascii="Times New Roman" w:hAnsi="Times New Roman" w:cs="Times New Roman"/>
                        <w:szCs w:val="21"/>
                      </w:rPr>
                      <w:instrText xml:space="preserve">PAGE  </w:instrText>
                    </w:r>
                    <w:r>
                      <w:rPr>
                        <w:rStyle w:val="27"/>
                        <w:rFonts w:hint="default" w:ascii="Times New Roman" w:hAnsi="Times New Roman" w:cs="Times New Roman"/>
                        <w:szCs w:val="21"/>
                      </w:rPr>
                      <w:fldChar w:fldCharType="separate"/>
                    </w:r>
                    <w:r>
                      <w:rPr>
                        <w:rStyle w:val="27"/>
                        <w:rFonts w:hint="default" w:ascii="Times New Roman" w:hAnsi="Times New Roman" w:cs="Times New Roman"/>
                        <w:szCs w:val="21"/>
                      </w:rPr>
                      <w:t>35</w:t>
                    </w:r>
                    <w:r>
                      <w:rPr>
                        <w:rStyle w:val="27"/>
                        <w:rFonts w:hint="default" w:ascii="Times New Roman" w:hAnsi="Times New Roman" w:cs="Times New Roman"/>
                        <w:szCs w:val="21"/>
                      </w:rPr>
                      <w:fldChar w:fldCharType="end"/>
                    </w:r>
                    <w:r>
                      <w:rPr>
                        <w:rStyle w:val="27"/>
                        <w:rFonts w:hint="default" w:ascii="Times New Roman" w:hAnsi="Times New Roman" w:cs="Times New Roman"/>
                        <w:szCs w:val="21"/>
                      </w:rPr>
                      <w:t xml:space="preserve"> </w:t>
                    </w:r>
                    <w:r>
                      <w:rPr>
                        <w:rStyle w:val="27"/>
                        <w:rFonts w:hint="eastAsia" w:ascii="宋体" w:hAnsi="宋体"/>
                        <w:szCs w:val="21"/>
                      </w:rPr>
                      <w:t xml:space="preserve"> </w:t>
                    </w:r>
                  </w:p>
                </w:txbxContent>
              </v:textbox>
            </v:shape>
          </w:pict>
        </mc:Fallback>
      </mc:AlternateContent>
    </w:r>
  </w:p>
  <w:p w14:paraId="75FDF5DD">
    <w:pPr>
      <w:pStyle w:val="17"/>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E92753">
    <w:pPr>
      <w:pStyle w:val="17"/>
      <w:rPr>
        <w:rStyle w:val="27"/>
        <w:rFonts w:ascii="宋体" w:hAnsi="宋体"/>
        <w:sz w:val="28"/>
        <w:szCs w:val="28"/>
      </w:rPr>
    </w:pPr>
    <w:r>
      <w:rPr>
        <w:sz w:val="2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9F470E9">
                          <w:pPr>
                            <w:pStyle w:val="17"/>
                          </w:pPr>
                          <w:r>
                            <w:fldChar w:fldCharType="begin"/>
                          </w:r>
                          <w:r>
                            <w:instrText xml:space="preserve"> PAGE  \* MERGEFORMAT </w:instrText>
                          </w:r>
                          <w:r>
                            <w:fldChar w:fldCharType="separate"/>
                          </w:r>
                          <w:r>
                            <w:t>53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14:paraId="09F470E9">
                    <w:pPr>
                      <w:pStyle w:val="17"/>
                    </w:pPr>
                    <w:r>
                      <w:fldChar w:fldCharType="begin"/>
                    </w:r>
                    <w:r>
                      <w:instrText xml:space="preserve"> PAGE  \* MERGEFORMAT </w:instrText>
                    </w:r>
                    <w:r>
                      <w:fldChar w:fldCharType="separate"/>
                    </w:r>
                    <w:r>
                      <w:t>53</w:t>
                    </w:r>
                    <w:r>
                      <w:fldChar w:fldCharType="end"/>
                    </w:r>
                  </w:p>
                </w:txbxContent>
              </v:textbox>
            </v:shape>
          </w:pict>
        </mc:Fallback>
      </mc:AlternateContent>
    </w:r>
    <w:r>
      <w:rPr>
        <w:sz w:val="2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AF49D6">
                          <w:pPr>
                            <w:pStyle w:val="17"/>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07AF49D6">
                    <w:pPr>
                      <w:pStyle w:val="17"/>
                    </w:pPr>
                  </w:p>
                </w:txbxContent>
              </v:textbox>
            </v:shape>
          </w:pict>
        </mc:Fallback>
      </mc:AlternateContent>
    </w:r>
  </w:p>
  <w:p w14:paraId="78C14B5B">
    <w:pPr>
      <w:pStyle w:val="17"/>
      <w:ind w:right="360" w:firstLine="360"/>
      <w:jc w:val="center"/>
      <w:rPr>
        <w:rFonts w:hint="eastAsia" w:eastAsia="宋体"/>
        <w:sz w:val="24"/>
        <w:szCs w:val="24"/>
        <w:lang w:val="en-US" w:eastAsia="zh-CN"/>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2B5F3E">
    <w:pPr>
      <w:pStyle w:val="18"/>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913255">
    <w:pPr>
      <w:keepNext w:val="0"/>
      <w:keepLines w:val="0"/>
      <w:widowControl/>
      <w:suppressLineNumbers w:val="0"/>
      <w:pBdr>
        <w:bottom w:val="none" w:color="auto" w:sz="0" w:space="0"/>
      </w:pBd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A03A336"/>
    <w:multiLevelType w:val="singleLevel"/>
    <w:tmpl w:val="AA03A336"/>
    <w:lvl w:ilvl="0" w:tentative="0">
      <w:start w:val="1"/>
      <w:numFmt w:val="decimal"/>
      <w:suff w:val="nothing"/>
      <w:lvlText w:val="%1、"/>
      <w:lvlJc w:val="left"/>
    </w:lvl>
  </w:abstractNum>
  <w:abstractNum w:abstractNumId="1">
    <w:nsid w:val="B8871A0C"/>
    <w:multiLevelType w:val="singleLevel"/>
    <w:tmpl w:val="B8871A0C"/>
    <w:lvl w:ilvl="0" w:tentative="0">
      <w:start w:val="2"/>
      <w:numFmt w:val="decimal"/>
      <w:suff w:val="nothing"/>
      <w:lvlText w:val="%1、"/>
      <w:lvlJc w:val="left"/>
    </w:lvl>
  </w:abstractNum>
  <w:abstractNum w:abstractNumId="2">
    <w:nsid w:val="C220FFA0"/>
    <w:multiLevelType w:val="singleLevel"/>
    <w:tmpl w:val="C220FFA0"/>
    <w:lvl w:ilvl="0" w:tentative="0">
      <w:start w:val="6"/>
      <w:numFmt w:val="decimal"/>
      <w:suff w:val="nothing"/>
      <w:lvlText w:val="%1、"/>
      <w:lvlJc w:val="left"/>
    </w:lvl>
  </w:abstractNum>
  <w:abstractNum w:abstractNumId="3">
    <w:nsid w:val="FA08E036"/>
    <w:multiLevelType w:val="singleLevel"/>
    <w:tmpl w:val="FA08E036"/>
    <w:lvl w:ilvl="0" w:tentative="0">
      <w:start w:val="1"/>
      <w:numFmt w:val="decimal"/>
      <w:suff w:val="nothing"/>
      <w:lvlText w:val="（%1）"/>
      <w:lvlJc w:val="left"/>
    </w:lvl>
  </w:abstractNum>
  <w:abstractNum w:abstractNumId="4">
    <w:nsid w:val="38EB600B"/>
    <w:multiLevelType w:val="singleLevel"/>
    <w:tmpl w:val="38EB600B"/>
    <w:lvl w:ilvl="0" w:tentative="0">
      <w:start w:val="5"/>
      <w:numFmt w:val="chineseCounting"/>
      <w:suff w:val="space"/>
      <w:lvlText w:val="第%1条"/>
      <w:lvlJc w:val="left"/>
      <w:rPr>
        <w:rFonts w:hint="eastAsia"/>
      </w:rPr>
    </w:lvl>
  </w:abstractNum>
  <w:abstractNum w:abstractNumId="5">
    <w:nsid w:val="4323231A"/>
    <w:multiLevelType w:val="singleLevel"/>
    <w:tmpl w:val="4323231A"/>
    <w:lvl w:ilvl="0" w:tentative="0">
      <w:start w:val="4"/>
      <w:numFmt w:val="chineseCounting"/>
      <w:suff w:val="nothing"/>
      <w:lvlText w:val="%1、"/>
      <w:lvlJc w:val="left"/>
      <w:rPr>
        <w:rFonts w:hint="eastAsia"/>
      </w:rPr>
    </w:lvl>
  </w:abstractNum>
  <w:abstractNum w:abstractNumId="6">
    <w:nsid w:val="4F980C91"/>
    <w:multiLevelType w:val="singleLevel"/>
    <w:tmpl w:val="4F980C91"/>
    <w:lvl w:ilvl="0" w:tentative="0">
      <w:start w:val="9"/>
      <w:numFmt w:val="chineseCounting"/>
      <w:suff w:val="nothing"/>
      <w:lvlText w:val="（%1）"/>
      <w:lvlJc w:val="left"/>
      <w:rPr>
        <w:rFonts w:hint="eastAsia"/>
      </w:rPr>
    </w:lvl>
  </w:abstractNum>
  <w:abstractNum w:abstractNumId="7">
    <w:nsid w:val="58AB8DBD"/>
    <w:multiLevelType w:val="singleLevel"/>
    <w:tmpl w:val="58AB8DBD"/>
    <w:lvl w:ilvl="0" w:tentative="0">
      <w:start w:val="3"/>
      <w:numFmt w:val="chineseCounting"/>
      <w:suff w:val="nothing"/>
      <w:lvlText w:val="（%1）"/>
      <w:lvlJc w:val="left"/>
      <w:rPr>
        <w:rFonts w:hint="eastAsia"/>
      </w:rPr>
    </w:lvl>
  </w:abstractNum>
  <w:abstractNum w:abstractNumId="8">
    <w:nsid w:val="661103C5"/>
    <w:multiLevelType w:val="singleLevel"/>
    <w:tmpl w:val="661103C5"/>
    <w:lvl w:ilvl="0" w:tentative="0">
      <w:start w:val="1"/>
      <w:numFmt w:val="chineseCounting"/>
      <w:suff w:val="nothing"/>
      <w:lvlText w:val="%1、"/>
      <w:lvlJc w:val="left"/>
      <w:rPr>
        <w:rFonts w:hint="eastAsia"/>
      </w:rPr>
    </w:lvl>
  </w:abstractNum>
  <w:num w:numId="1">
    <w:abstractNumId w:val="6"/>
  </w:num>
  <w:num w:numId="2">
    <w:abstractNumId w:val="2"/>
  </w:num>
  <w:num w:numId="3">
    <w:abstractNumId w:val="4"/>
  </w:num>
  <w:num w:numId="4">
    <w:abstractNumId w:val="0"/>
  </w:num>
  <w:num w:numId="5">
    <w:abstractNumId w:val="3"/>
  </w:num>
  <w:num w:numId="6">
    <w:abstractNumId w:val="8"/>
  </w:num>
  <w:num w:numId="7">
    <w:abstractNumId w:val="7"/>
  </w:num>
  <w:num w:numId="8">
    <w:abstractNumId w:val="5"/>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GZhMTQ4NjkyYjQ5YmE5ZDZlMzc4YTExMGMwNDljNTQifQ=="/>
  </w:docVars>
  <w:rsids>
    <w:rsidRoot w:val="00172A27"/>
    <w:rsid w:val="00003E10"/>
    <w:rsid w:val="000060B3"/>
    <w:rsid w:val="0001025A"/>
    <w:rsid w:val="00012110"/>
    <w:rsid w:val="0001250F"/>
    <w:rsid w:val="0001437F"/>
    <w:rsid w:val="00022A68"/>
    <w:rsid w:val="00025826"/>
    <w:rsid w:val="00025E89"/>
    <w:rsid w:val="0003339E"/>
    <w:rsid w:val="0003642C"/>
    <w:rsid w:val="00041C78"/>
    <w:rsid w:val="000434BC"/>
    <w:rsid w:val="0004364B"/>
    <w:rsid w:val="0004485A"/>
    <w:rsid w:val="00045F8A"/>
    <w:rsid w:val="000549D2"/>
    <w:rsid w:val="0005601F"/>
    <w:rsid w:val="00056413"/>
    <w:rsid w:val="00061B1F"/>
    <w:rsid w:val="0006238D"/>
    <w:rsid w:val="0006273D"/>
    <w:rsid w:val="00066043"/>
    <w:rsid w:val="00067BFC"/>
    <w:rsid w:val="000729DD"/>
    <w:rsid w:val="000733C4"/>
    <w:rsid w:val="0007386C"/>
    <w:rsid w:val="0007389B"/>
    <w:rsid w:val="00074422"/>
    <w:rsid w:val="00074783"/>
    <w:rsid w:val="0007669A"/>
    <w:rsid w:val="00076B2E"/>
    <w:rsid w:val="00077C1B"/>
    <w:rsid w:val="0008070B"/>
    <w:rsid w:val="000810AC"/>
    <w:rsid w:val="00081533"/>
    <w:rsid w:val="00081A02"/>
    <w:rsid w:val="00082231"/>
    <w:rsid w:val="00085CCD"/>
    <w:rsid w:val="000917B5"/>
    <w:rsid w:val="00092D38"/>
    <w:rsid w:val="0009377B"/>
    <w:rsid w:val="00095EA5"/>
    <w:rsid w:val="00097557"/>
    <w:rsid w:val="000A0E1F"/>
    <w:rsid w:val="000A1108"/>
    <w:rsid w:val="000A20C9"/>
    <w:rsid w:val="000A2DBF"/>
    <w:rsid w:val="000A63F0"/>
    <w:rsid w:val="000B058F"/>
    <w:rsid w:val="000B368D"/>
    <w:rsid w:val="000B4467"/>
    <w:rsid w:val="000B4DB9"/>
    <w:rsid w:val="000B7E98"/>
    <w:rsid w:val="000C0484"/>
    <w:rsid w:val="000C09AC"/>
    <w:rsid w:val="000C2B43"/>
    <w:rsid w:val="000C3F08"/>
    <w:rsid w:val="000C617D"/>
    <w:rsid w:val="000C699A"/>
    <w:rsid w:val="000C767F"/>
    <w:rsid w:val="000D02D7"/>
    <w:rsid w:val="000D1537"/>
    <w:rsid w:val="000D1D47"/>
    <w:rsid w:val="000D4598"/>
    <w:rsid w:val="000D5A44"/>
    <w:rsid w:val="000D7171"/>
    <w:rsid w:val="000E2FD7"/>
    <w:rsid w:val="000E3ED2"/>
    <w:rsid w:val="000E5F8A"/>
    <w:rsid w:val="000F0BD7"/>
    <w:rsid w:val="000F2BE8"/>
    <w:rsid w:val="000F4CC5"/>
    <w:rsid w:val="000F673D"/>
    <w:rsid w:val="000F69DD"/>
    <w:rsid w:val="001000CB"/>
    <w:rsid w:val="0010134C"/>
    <w:rsid w:val="00101A78"/>
    <w:rsid w:val="0010212A"/>
    <w:rsid w:val="00103D0D"/>
    <w:rsid w:val="00104023"/>
    <w:rsid w:val="00106229"/>
    <w:rsid w:val="001145CE"/>
    <w:rsid w:val="00121AF7"/>
    <w:rsid w:val="001231F0"/>
    <w:rsid w:val="00125123"/>
    <w:rsid w:val="001259B0"/>
    <w:rsid w:val="00126B1C"/>
    <w:rsid w:val="00131F42"/>
    <w:rsid w:val="00133FFC"/>
    <w:rsid w:val="001342C9"/>
    <w:rsid w:val="001353A3"/>
    <w:rsid w:val="001357F1"/>
    <w:rsid w:val="00135E0F"/>
    <w:rsid w:val="001377D8"/>
    <w:rsid w:val="001404E7"/>
    <w:rsid w:val="00140FA8"/>
    <w:rsid w:val="00142379"/>
    <w:rsid w:val="00142C50"/>
    <w:rsid w:val="00142FEB"/>
    <w:rsid w:val="00143A2D"/>
    <w:rsid w:val="00144B9F"/>
    <w:rsid w:val="00145A41"/>
    <w:rsid w:val="00151675"/>
    <w:rsid w:val="00151AE6"/>
    <w:rsid w:val="00152C83"/>
    <w:rsid w:val="00157435"/>
    <w:rsid w:val="0016059D"/>
    <w:rsid w:val="00161DC1"/>
    <w:rsid w:val="00162109"/>
    <w:rsid w:val="00162D35"/>
    <w:rsid w:val="0016326C"/>
    <w:rsid w:val="001632DA"/>
    <w:rsid w:val="001638D1"/>
    <w:rsid w:val="00166B7E"/>
    <w:rsid w:val="00167927"/>
    <w:rsid w:val="00171E01"/>
    <w:rsid w:val="001747FE"/>
    <w:rsid w:val="0017504D"/>
    <w:rsid w:val="0017671A"/>
    <w:rsid w:val="00177422"/>
    <w:rsid w:val="00181411"/>
    <w:rsid w:val="00184590"/>
    <w:rsid w:val="001860D8"/>
    <w:rsid w:val="00186E82"/>
    <w:rsid w:val="001870D1"/>
    <w:rsid w:val="0018781E"/>
    <w:rsid w:val="00190243"/>
    <w:rsid w:val="0019262D"/>
    <w:rsid w:val="00194283"/>
    <w:rsid w:val="001943EB"/>
    <w:rsid w:val="0019640E"/>
    <w:rsid w:val="00196C42"/>
    <w:rsid w:val="00197778"/>
    <w:rsid w:val="001A11BF"/>
    <w:rsid w:val="001A1B35"/>
    <w:rsid w:val="001A3EE5"/>
    <w:rsid w:val="001A48A2"/>
    <w:rsid w:val="001A6139"/>
    <w:rsid w:val="001A63FC"/>
    <w:rsid w:val="001A67B2"/>
    <w:rsid w:val="001A6BFE"/>
    <w:rsid w:val="001A6C5D"/>
    <w:rsid w:val="001A6F61"/>
    <w:rsid w:val="001A7F91"/>
    <w:rsid w:val="001B09ED"/>
    <w:rsid w:val="001B26C6"/>
    <w:rsid w:val="001B416E"/>
    <w:rsid w:val="001B5D8F"/>
    <w:rsid w:val="001B60E1"/>
    <w:rsid w:val="001B72B8"/>
    <w:rsid w:val="001B7AE4"/>
    <w:rsid w:val="001C3174"/>
    <w:rsid w:val="001C383C"/>
    <w:rsid w:val="001C69B3"/>
    <w:rsid w:val="001D0DEB"/>
    <w:rsid w:val="001D1CAA"/>
    <w:rsid w:val="001D25C0"/>
    <w:rsid w:val="001D39D5"/>
    <w:rsid w:val="001D4447"/>
    <w:rsid w:val="001D5537"/>
    <w:rsid w:val="001D5595"/>
    <w:rsid w:val="001D6A2E"/>
    <w:rsid w:val="001D7874"/>
    <w:rsid w:val="001D7F22"/>
    <w:rsid w:val="001E2C9B"/>
    <w:rsid w:val="001E5527"/>
    <w:rsid w:val="001E74E5"/>
    <w:rsid w:val="001F0F17"/>
    <w:rsid w:val="001F2BE0"/>
    <w:rsid w:val="001F3347"/>
    <w:rsid w:val="001F5528"/>
    <w:rsid w:val="001F553E"/>
    <w:rsid w:val="001F69E4"/>
    <w:rsid w:val="001F784E"/>
    <w:rsid w:val="00204EEB"/>
    <w:rsid w:val="00205542"/>
    <w:rsid w:val="00206108"/>
    <w:rsid w:val="00206697"/>
    <w:rsid w:val="002072AB"/>
    <w:rsid w:val="002101D6"/>
    <w:rsid w:val="002118BF"/>
    <w:rsid w:val="002125B4"/>
    <w:rsid w:val="00212B81"/>
    <w:rsid w:val="002136B6"/>
    <w:rsid w:val="002155B8"/>
    <w:rsid w:val="00215F90"/>
    <w:rsid w:val="00222BC9"/>
    <w:rsid w:val="00223CE5"/>
    <w:rsid w:val="00224839"/>
    <w:rsid w:val="002249B2"/>
    <w:rsid w:val="002256F6"/>
    <w:rsid w:val="00226574"/>
    <w:rsid w:val="0022742B"/>
    <w:rsid w:val="002278EC"/>
    <w:rsid w:val="00231E6E"/>
    <w:rsid w:val="0023280E"/>
    <w:rsid w:val="00232DDB"/>
    <w:rsid w:val="00232E64"/>
    <w:rsid w:val="0023384F"/>
    <w:rsid w:val="0023387E"/>
    <w:rsid w:val="00234D62"/>
    <w:rsid w:val="00236123"/>
    <w:rsid w:val="0023634C"/>
    <w:rsid w:val="002377D1"/>
    <w:rsid w:val="0023796C"/>
    <w:rsid w:val="0024252E"/>
    <w:rsid w:val="002506BC"/>
    <w:rsid w:val="00251458"/>
    <w:rsid w:val="00252C1C"/>
    <w:rsid w:val="00254345"/>
    <w:rsid w:val="00255D41"/>
    <w:rsid w:val="00256AC5"/>
    <w:rsid w:val="0026314D"/>
    <w:rsid w:val="00264557"/>
    <w:rsid w:val="00265552"/>
    <w:rsid w:val="0026602C"/>
    <w:rsid w:val="00270C05"/>
    <w:rsid w:val="00273458"/>
    <w:rsid w:val="002805AB"/>
    <w:rsid w:val="002832C6"/>
    <w:rsid w:val="00284204"/>
    <w:rsid w:val="00285793"/>
    <w:rsid w:val="00291773"/>
    <w:rsid w:val="002A168C"/>
    <w:rsid w:val="002A3DC7"/>
    <w:rsid w:val="002A5D65"/>
    <w:rsid w:val="002A5FD3"/>
    <w:rsid w:val="002B005B"/>
    <w:rsid w:val="002B12A4"/>
    <w:rsid w:val="002B1500"/>
    <w:rsid w:val="002B3074"/>
    <w:rsid w:val="002B49E2"/>
    <w:rsid w:val="002B4D31"/>
    <w:rsid w:val="002B66A9"/>
    <w:rsid w:val="002B7B00"/>
    <w:rsid w:val="002B7C44"/>
    <w:rsid w:val="002C04C2"/>
    <w:rsid w:val="002C23A8"/>
    <w:rsid w:val="002C2B17"/>
    <w:rsid w:val="002C3A48"/>
    <w:rsid w:val="002D3DD0"/>
    <w:rsid w:val="002D5745"/>
    <w:rsid w:val="002D579B"/>
    <w:rsid w:val="002E1F3A"/>
    <w:rsid w:val="002E298A"/>
    <w:rsid w:val="002E2C2E"/>
    <w:rsid w:val="002E6845"/>
    <w:rsid w:val="002E7CBA"/>
    <w:rsid w:val="002E7F12"/>
    <w:rsid w:val="002F3461"/>
    <w:rsid w:val="002F5A6B"/>
    <w:rsid w:val="002F6570"/>
    <w:rsid w:val="00300D45"/>
    <w:rsid w:val="00301978"/>
    <w:rsid w:val="00301B1E"/>
    <w:rsid w:val="0030332C"/>
    <w:rsid w:val="00304DEC"/>
    <w:rsid w:val="003051C2"/>
    <w:rsid w:val="003057AE"/>
    <w:rsid w:val="00305C8C"/>
    <w:rsid w:val="0031022A"/>
    <w:rsid w:val="00312296"/>
    <w:rsid w:val="00312452"/>
    <w:rsid w:val="00313800"/>
    <w:rsid w:val="00314F0E"/>
    <w:rsid w:val="00320B1A"/>
    <w:rsid w:val="00321D8E"/>
    <w:rsid w:val="00323096"/>
    <w:rsid w:val="00325928"/>
    <w:rsid w:val="00326FFE"/>
    <w:rsid w:val="0032787A"/>
    <w:rsid w:val="00327902"/>
    <w:rsid w:val="003302E4"/>
    <w:rsid w:val="00332863"/>
    <w:rsid w:val="0033684D"/>
    <w:rsid w:val="00337B42"/>
    <w:rsid w:val="00340AA9"/>
    <w:rsid w:val="00341B42"/>
    <w:rsid w:val="0034261C"/>
    <w:rsid w:val="0034348F"/>
    <w:rsid w:val="00344252"/>
    <w:rsid w:val="00344F54"/>
    <w:rsid w:val="00345814"/>
    <w:rsid w:val="00345918"/>
    <w:rsid w:val="00345C87"/>
    <w:rsid w:val="003527EC"/>
    <w:rsid w:val="00354389"/>
    <w:rsid w:val="003550FC"/>
    <w:rsid w:val="003551F9"/>
    <w:rsid w:val="00355266"/>
    <w:rsid w:val="00356653"/>
    <w:rsid w:val="0035743F"/>
    <w:rsid w:val="00357BE2"/>
    <w:rsid w:val="0036170C"/>
    <w:rsid w:val="00361C61"/>
    <w:rsid w:val="0036269E"/>
    <w:rsid w:val="00362E4D"/>
    <w:rsid w:val="00366E0F"/>
    <w:rsid w:val="00367C4E"/>
    <w:rsid w:val="0037171E"/>
    <w:rsid w:val="00371C3E"/>
    <w:rsid w:val="003739C8"/>
    <w:rsid w:val="00373FA5"/>
    <w:rsid w:val="00374F00"/>
    <w:rsid w:val="00374F83"/>
    <w:rsid w:val="003756B5"/>
    <w:rsid w:val="003773BD"/>
    <w:rsid w:val="003809E0"/>
    <w:rsid w:val="00381923"/>
    <w:rsid w:val="00381A72"/>
    <w:rsid w:val="00381EC6"/>
    <w:rsid w:val="00384676"/>
    <w:rsid w:val="00386EF3"/>
    <w:rsid w:val="00390857"/>
    <w:rsid w:val="00391DBE"/>
    <w:rsid w:val="00393B76"/>
    <w:rsid w:val="0039726D"/>
    <w:rsid w:val="00397BEF"/>
    <w:rsid w:val="00397CE3"/>
    <w:rsid w:val="003A2209"/>
    <w:rsid w:val="003A4BF3"/>
    <w:rsid w:val="003A5FEA"/>
    <w:rsid w:val="003B2543"/>
    <w:rsid w:val="003B371F"/>
    <w:rsid w:val="003B420D"/>
    <w:rsid w:val="003B786A"/>
    <w:rsid w:val="003C26C0"/>
    <w:rsid w:val="003C65BC"/>
    <w:rsid w:val="003C6C16"/>
    <w:rsid w:val="003C7782"/>
    <w:rsid w:val="003C7E72"/>
    <w:rsid w:val="003D0C8E"/>
    <w:rsid w:val="003D2AAD"/>
    <w:rsid w:val="003D4941"/>
    <w:rsid w:val="003D51FD"/>
    <w:rsid w:val="003D5C3F"/>
    <w:rsid w:val="003D5D55"/>
    <w:rsid w:val="003D6288"/>
    <w:rsid w:val="003D7913"/>
    <w:rsid w:val="003D794D"/>
    <w:rsid w:val="003E02D5"/>
    <w:rsid w:val="003E053E"/>
    <w:rsid w:val="003E2FA3"/>
    <w:rsid w:val="003E3058"/>
    <w:rsid w:val="003E3126"/>
    <w:rsid w:val="003E3739"/>
    <w:rsid w:val="003E3B10"/>
    <w:rsid w:val="003E3F95"/>
    <w:rsid w:val="003E76A9"/>
    <w:rsid w:val="003F01C1"/>
    <w:rsid w:val="003F0809"/>
    <w:rsid w:val="003F0DF8"/>
    <w:rsid w:val="003F28E3"/>
    <w:rsid w:val="003F59A5"/>
    <w:rsid w:val="003F5CC8"/>
    <w:rsid w:val="003F6A8C"/>
    <w:rsid w:val="003F6AA8"/>
    <w:rsid w:val="003F755C"/>
    <w:rsid w:val="00405C7B"/>
    <w:rsid w:val="00406F01"/>
    <w:rsid w:val="00410EE6"/>
    <w:rsid w:val="00411617"/>
    <w:rsid w:val="004142FA"/>
    <w:rsid w:val="00416D50"/>
    <w:rsid w:val="00416FD5"/>
    <w:rsid w:val="00417772"/>
    <w:rsid w:val="00420E6A"/>
    <w:rsid w:val="00422FD1"/>
    <w:rsid w:val="0042326E"/>
    <w:rsid w:val="0042476C"/>
    <w:rsid w:val="00425A9E"/>
    <w:rsid w:val="00426D6B"/>
    <w:rsid w:val="00430768"/>
    <w:rsid w:val="0043099C"/>
    <w:rsid w:val="00430A43"/>
    <w:rsid w:val="00431E6C"/>
    <w:rsid w:val="00433CE7"/>
    <w:rsid w:val="00433DE6"/>
    <w:rsid w:val="004369C2"/>
    <w:rsid w:val="004431A1"/>
    <w:rsid w:val="00443B87"/>
    <w:rsid w:val="004457DC"/>
    <w:rsid w:val="00446619"/>
    <w:rsid w:val="00450D67"/>
    <w:rsid w:val="00452375"/>
    <w:rsid w:val="00452738"/>
    <w:rsid w:val="00454158"/>
    <w:rsid w:val="00456091"/>
    <w:rsid w:val="004600E4"/>
    <w:rsid w:val="0046062C"/>
    <w:rsid w:val="00463296"/>
    <w:rsid w:val="00466321"/>
    <w:rsid w:val="004744F8"/>
    <w:rsid w:val="00475C0D"/>
    <w:rsid w:val="00481AE9"/>
    <w:rsid w:val="00482C74"/>
    <w:rsid w:val="0048389F"/>
    <w:rsid w:val="00484B9B"/>
    <w:rsid w:val="004855F6"/>
    <w:rsid w:val="00486370"/>
    <w:rsid w:val="0048645A"/>
    <w:rsid w:val="0048661E"/>
    <w:rsid w:val="00494670"/>
    <w:rsid w:val="00496332"/>
    <w:rsid w:val="004966E3"/>
    <w:rsid w:val="004967DD"/>
    <w:rsid w:val="004971F7"/>
    <w:rsid w:val="004A09B6"/>
    <w:rsid w:val="004A1D9B"/>
    <w:rsid w:val="004A3823"/>
    <w:rsid w:val="004A4CE1"/>
    <w:rsid w:val="004A55E0"/>
    <w:rsid w:val="004A7B4C"/>
    <w:rsid w:val="004B173E"/>
    <w:rsid w:val="004B3A33"/>
    <w:rsid w:val="004B4759"/>
    <w:rsid w:val="004B5608"/>
    <w:rsid w:val="004B6942"/>
    <w:rsid w:val="004C5EAD"/>
    <w:rsid w:val="004C6648"/>
    <w:rsid w:val="004D06D0"/>
    <w:rsid w:val="004D0F56"/>
    <w:rsid w:val="004D21B6"/>
    <w:rsid w:val="004D2984"/>
    <w:rsid w:val="004D441C"/>
    <w:rsid w:val="004D6048"/>
    <w:rsid w:val="004D67A4"/>
    <w:rsid w:val="004E1014"/>
    <w:rsid w:val="004E3B67"/>
    <w:rsid w:val="004E3FA2"/>
    <w:rsid w:val="004E4474"/>
    <w:rsid w:val="004E6946"/>
    <w:rsid w:val="004E7A48"/>
    <w:rsid w:val="004F1AD8"/>
    <w:rsid w:val="004F315D"/>
    <w:rsid w:val="004F73ED"/>
    <w:rsid w:val="00500999"/>
    <w:rsid w:val="005039CB"/>
    <w:rsid w:val="0050402C"/>
    <w:rsid w:val="00504E40"/>
    <w:rsid w:val="0050558F"/>
    <w:rsid w:val="005057B5"/>
    <w:rsid w:val="00506286"/>
    <w:rsid w:val="00507D59"/>
    <w:rsid w:val="00510434"/>
    <w:rsid w:val="005106D7"/>
    <w:rsid w:val="00510813"/>
    <w:rsid w:val="00510E90"/>
    <w:rsid w:val="00511990"/>
    <w:rsid w:val="00511DE0"/>
    <w:rsid w:val="00514870"/>
    <w:rsid w:val="00514B9B"/>
    <w:rsid w:val="0051731D"/>
    <w:rsid w:val="00517F02"/>
    <w:rsid w:val="00521A1E"/>
    <w:rsid w:val="00524303"/>
    <w:rsid w:val="005255D5"/>
    <w:rsid w:val="005258A2"/>
    <w:rsid w:val="00525B22"/>
    <w:rsid w:val="00526B8E"/>
    <w:rsid w:val="00532A35"/>
    <w:rsid w:val="00533878"/>
    <w:rsid w:val="00534EDC"/>
    <w:rsid w:val="00534FBE"/>
    <w:rsid w:val="00535A64"/>
    <w:rsid w:val="00536ABD"/>
    <w:rsid w:val="005401AE"/>
    <w:rsid w:val="005421C7"/>
    <w:rsid w:val="00542E07"/>
    <w:rsid w:val="00545424"/>
    <w:rsid w:val="00545FBF"/>
    <w:rsid w:val="005507CA"/>
    <w:rsid w:val="00550AB7"/>
    <w:rsid w:val="005518D6"/>
    <w:rsid w:val="00552943"/>
    <w:rsid w:val="00553A80"/>
    <w:rsid w:val="0055413D"/>
    <w:rsid w:val="00554A7B"/>
    <w:rsid w:val="005551F5"/>
    <w:rsid w:val="0055572C"/>
    <w:rsid w:val="00555A78"/>
    <w:rsid w:val="0055703E"/>
    <w:rsid w:val="0056106A"/>
    <w:rsid w:val="005651D2"/>
    <w:rsid w:val="00570A72"/>
    <w:rsid w:val="005720AE"/>
    <w:rsid w:val="00574290"/>
    <w:rsid w:val="00574C6C"/>
    <w:rsid w:val="00575F85"/>
    <w:rsid w:val="0057630F"/>
    <w:rsid w:val="005801AD"/>
    <w:rsid w:val="00580912"/>
    <w:rsid w:val="00583499"/>
    <w:rsid w:val="00583E74"/>
    <w:rsid w:val="00584602"/>
    <w:rsid w:val="00586969"/>
    <w:rsid w:val="0058767B"/>
    <w:rsid w:val="00590C8B"/>
    <w:rsid w:val="00593CC5"/>
    <w:rsid w:val="00594D77"/>
    <w:rsid w:val="005951D8"/>
    <w:rsid w:val="005969E4"/>
    <w:rsid w:val="005A06B7"/>
    <w:rsid w:val="005A1759"/>
    <w:rsid w:val="005A18C2"/>
    <w:rsid w:val="005A68A7"/>
    <w:rsid w:val="005B1D4E"/>
    <w:rsid w:val="005B1DB4"/>
    <w:rsid w:val="005B39C2"/>
    <w:rsid w:val="005C294C"/>
    <w:rsid w:val="005C511A"/>
    <w:rsid w:val="005C74B4"/>
    <w:rsid w:val="005C74CA"/>
    <w:rsid w:val="005D0A45"/>
    <w:rsid w:val="005D3463"/>
    <w:rsid w:val="005D3673"/>
    <w:rsid w:val="005D36AB"/>
    <w:rsid w:val="005D3A94"/>
    <w:rsid w:val="005D4FEE"/>
    <w:rsid w:val="005D5966"/>
    <w:rsid w:val="005D5EDB"/>
    <w:rsid w:val="005E3180"/>
    <w:rsid w:val="005E33FE"/>
    <w:rsid w:val="005F3B4C"/>
    <w:rsid w:val="005F3E0A"/>
    <w:rsid w:val="005F4785"/>
    <w:rsid w:val="005F5051"/>
    <w:rsid w:val="005F759B"/>
    <w:rsid w:val="005F7BEE"/>
    <w:rsid w:val="006026B3"/>
    <w:rsid w:val="006045BC"/>
    <w:rsid w:val="006063C5"/>
    <w:rsid w:val="00606522"/>
    <w:rsid w:val="00606CEA"/>
    <w:rsid w:val="006100F5"/>
    <w:rsid w:val="006130A7"/>
    <w:rsid w:val="00613971"/>
    <w:rsid w:val="00616632"/>
    <w:rsid w:val="00616E72"/>
    <w:rsid w:val="00617CC3"/>
    <w:rsid w:val="0062410F"/>
    <w:rsid w:val="00624EF7"/>
    <w:rsid w:val="00625EC8"/>
    <w:rsid w:val="00626242"/>
    <w:rsid w:val="00627F38"/>
    <w:rsid w:val="00636801"/>
    <w:rsid w:val="006377A6"/>
    <w:rsid w:val="00637A3D"/>
    <w:rsid w:val="00640324"/>
    <w:rsid w:val="006411EF"/>
    <w:rsid w:val="00641CAF"/>
    <w:rsid w:val="0064388C"/>
    <w:rsid w:val="006439C3"/>
    <w:rsid w:val="00643BA8"/>
    <w:rsid w:val="006443D7"/>
    <w:rsid w:val="006454A0"/>
    <w:rsid w:val="00645614"/>
    <w:rsid w:val="00650194"/>
    <w:rsid w:val="00651DA0"/>
    <w:rsid w:val="006522B3"/>
    <w:rsid w:val="0066028C"/>
    <w:rsid w:val="00660CCF"/>
    <w:rsid w:val="00662258"/>
    <w:rsid w:val="006638DB"/>
    <w:rsid w:val="00666320"/>
    <w:rsid w:val="006675C1"/>
    <w:rsid w:val="00667D3C"/>
    <w:rsid w:val="00667F8C"/>
    <w:rsid w:val="006700B7"/>
    <w:rsid w:val="00671C86"/>
    <w:rsid w:val="006721FA"/>
    <w:rsid w:val="006724AE"/>
    <w:rsid w:val="006748B8"/>
    <w:rsid w:val="0067505F"/>
    <w:rsid w:val="006758F1"/>
    <w:rsid w:val="00675F19"/>
    <w:rsid w:val="006775C3"/>
    <w:rsid w:val="00680176"/>
    <w:rsid w:val="006801B4"/>
    <w:rsid w:val="00683325"/>
    <w:rsid w:val="00683B23"/>
    <w:rsid w:val="006846EB"/>
    <w:rsid w:val="00687166"/>
    <w:rsid w:val="00690A60"/>
    <w:rsid w:val="00690EB6"/>
    <w:rsid w:val="0069290A"/>
    <w:rsid w:val="006944D5"/>
    <w:rsid w:val="00694523"/>
    <w:rsid w:val="00695D13"/>
    <w:rsid w:val="00695D38"/>
    <w:rsid w:val="00695ED4"/>
    <w:rsid w:val="0069775A"/>
    <w:rsid w:val="00697813"/>
    <w:rsid w:val="006A039E"/>
    <w:rsid w:val="006A05FA"/>
    <w:rsid w:val="006A28DA"/>
    <w:rsid w:val="006A2F05"/>
    <w:rsid w:val="006A3EE8"/>
    <w:rsid w:val="006A6CAF"/>
    <w:rsid w:val="006A72BF"/>
    <w:rsid w:val="006A78E3"/>
    <w:rsid w:val="006B0158"/>
    <w:rsid w:val="006B03F2"/>
    <w:rsid w:val="006B0B8F"/>
    <w:rsid w:val="006B0C9E"/>
    <w:rsid w:val="006B2740"/>
    <w:rsid w:val="006B37DC"/>
    <w:rsid w:val="006B4F68"/>
    <w:rsid w:val="006C0592"/>
    <w:rsid w:val="006C0EF8"/>
    <w:rsid w:val="006C272E"/>
    <w:rsid w:val="006C2D6F"/>
    <w:rsid w:val="006C5479"/>
    <w:rsid w:val="006C7910"/>
    <w:rsid w:val="006D13B5"/>
    <w:rsid w:val="006D43DC"/>
    <w:rsid w:val="006D63D1"/>
    <w:rsid w:val="006D6BB4"/>
    <w:rsid w:val="006E09A6"/>
    <w:rsid w:val="006E12FF"/>
    <w:rsid w:val="006E26F6"/>
    <w:rsid w:val="006E2B9C"/>
    <w:rsid w:val="006E43FC"/>
    <w:rsid w:val="006E5146"/>
    <w:rsid w:val="006E56A7"/>
    <w:rsid w:val="006E58EA"/>
    <w:rsid w:val="006E607E"/>
    <w:rsid w:val="006F06F9"/>
    <w:rsid w:val="006F297B"/>
    <w:rsid w:val="006F429B"/>
    <w:rsid w:val="006F4C25"/>
    <w:rsid w:val="006F4F2A"/>
    <w:rsid w:val="006F5F86"/>
    <w:rsid w:val="00701CEE"/>
    <w:rsid w:val="00704CA6"/>
    <w:rsid w:val="00705042"/>
    <w:rsid w:val="00706576"/>
    <w:rsid w:val="00706C5D"/>
    <w:rsid w:val="00713BD2"/>
    <w:rsid w:val="00715F4B"/>
    <w:rsid w:val="007229DE"/>
    <w:rsid w:val="007238BA"/>
    <w:rsid w:val="007239F8"/>
    <w:rsid w:val="00730706"/>
    <w:rsid w:val="00732922"/>
    <w:rsid w:val="00732B55"/>
    <w:rsid w:val="00736576"/>
    <w:rsid w:val="007378C4"/>
    <w:rsid w:val="0074547E"/>
    <w:rsid w:val="0075162E"/>
    <w:rsid w:val="00752B36"/>
    <w:rsid w:val="00752C56"/>
    <w:rsid w:val="00754034"/>
    <w:rsid w:val="00755F87"/>
    <w:rsid w:val="00756556"/>
    <w:rsid w:val="00761075"/>
    <w:rsid w:val="007618C4"/>
    <w:rsid w:val="00762B27"/>
    <w:rsid w:val="00766B24"/>
    <w:rsid w:val="007671A3"/>
    <w:rsid w:val="00767980"/>
    <w:rsid w:val="00770B19"/>
    <w:rsid w:val="0077463F"/>
    <w:rsid w:val="0077503E"/>
    <w:rsid w:val="00776115"/>
    <w:rsid w:val="00777ADD"/>
    <w:rsid w:val="00777D41"/>
    <w:rsid w:val="00777E25"/>
    <w:rsid w:val="007836EA"/>
    <w:rsid w:val="00783A9E"/>
    <w:rsid w:val="00783C98"/>
    <w:rsid w:val="00784AFB"/>
    <w:rsid w:val="00784CDA"/>
    <w:rsid w:val="00785BE7"/>
    <w:rsid w:val="007906C4"/>
    <w:rsid w:val="007930C4"/>
    <w:rsid w:val="00793541"/>
    <w:rsid w:val="00793CC8"/>
    <w:rsid w:val="007940EA"/>
    <w:rsid w:val="00795371"/>
    <w:rsid w:val="007963F8"/>
    <w:rsid w:val="007967E8"/>
    <w:rsid w:val="00797052"/>
    <w:rsid w:val="007A0E5C"/>
    <w:rsid w:val="007A1114"/>
    <w:rsid w:val="007A1B25"/>
    <w:rsid w:val="007A2170"/>
    <w:rsid w:val="007A22BF"/>
    <w:rsid w:val="007A3323"/>
    <w:rsid w:val="007A66DB"/>
    <w:rsid w:val="007B0F3E"/>
    <w:rsid w:val="007B232F"/>
    <w:rsid w:val="007B64D8"/>
    <w:rsid w:val="007B72B8"/>
    <w:rsid w:val="007B7547"/>
    <w:rsid w:val="007B769E"/>
    <w:rsid w:val="007B7A58"/>
    <w:rsid w:val="007C21B5"/>
    <w:rsid w:val="007C2C0F"/>
    <w:rsid w:val="007C4565"/>
    <w:rsid w:val="007D1D72"/>
    <w:rsid w:val="007D1F66"/>
    <w:rsid w:val="007D3332"/>
    <w:rsid w:val="007D384E"/>
    <w:rsid w:val="007E0411"/>
    <w:rsid w:val="007E1807"/>
    <w:rsid w:val="007E3D59"/>
    <w:rsid w:val="007E4BD2"/>
    <w:rsid w:val="007E62FF"/>
    <w:rsid w:val="007F3E41"/>
    <w:rsid w:val="008001C9"/>
    <w:rsid w:val="0080121E"/>
    <w:rsid w:val="00801393"/>
    <w:rsid w:val="00801E39"/>
    <w:rsid w:val="00802F88"/>
    <w:rsid w:val="00805208"/>
    <w:rsid w:val="00806EA3"/>
    <w:rsid w:val="00807766"/>
    <w:rsid w:val="0081293E"/>
    <w:rsid w:val="00814114"/>
    <w:rsid w:val="00815465"/>
    <w:rsid w:val="00816B53"/>
    <w:rsid w:val="00817E96"/>
    <w:rsid w:val="00817E9A"/>
    <w:rsid w:val="0082132A"/>
    <w:rsid w:val="00823850"/>
    <w:rsid w:val="00824B5A"/>
    <w:rsid w:val="00825A51"/>
    <w:rsid w:val="008306BD"/>
    <w:rsid w:val="00831A80"/>
    <w:rsid w:val="008320C8"/>
    <w:rsid w:val="00833743"/>
    <w:rsid w:val="008340A4"/>
    <w:rsid w:val="00834962"/>
    <w:rsid w:val="00835527"/>
    <w:rsid w:val="0083719E"/>
    <w:rsid w:val="008428AF"/>
    <w:rsid w:val="0084305C"/>
    <w:rsid w:val="00847993"/>
    <w:rsid w:val="008505FC"/>
    <w:rsid w:val="0085081B"/>
    <w:rsid w:val="008522BC"/>
    <w:rsid w:val="00853918"/>
    <w:rsid w:val="00857E5F"/>
    <w:rsid w:val="00862C4D"/>
    <w:rsid w:val="008638D3"/>
    <w:rsid w:val="0086522F"/>
    <w:rsid w:val="0087135F"/>
    <w:rsid w:val="008717F1"/>
    <w:rsid w:val="0087216C"/>
    <w:rsid w:val="00872D94"/>
    <w:rsid w:val="008742D0"/>
    <w:rsid w:val="00874329"/>
    <w:rsid w:val="008766D5"/>
    <w:rsid w:val="008777F1"/>
    <w:rsid w:val="00880364"/>
    <w:rsid w:val="0088053B"/>
    <w:rsid w:val="00881AA0"/>
    <w:rsid w:val="00883D13"/>
    <w:rsid w:val="008859B1"/>
    <w:rsid w:val="00885A0E"/>
    <w:rsid w:val="00885ABE"/>
    <w:rsid w:val="008900E3"/>
    <w:rsid w:val="00891592"/>
    <w:rsid w:val="00891E9E"/>
    <w:rsid w:val="008929D0"/>
    <w:rsid w:val="00894CFD"/>
    <w:rsid w:val="008976C9"/>
    <w:rsid w:val="00897CFE"/>
    <w:rsid w:val="008A0AB3"/>
    <w:rsid w:val="008A2F68"/>
    <w:rsid w:val="008A7DD0"/>
    <w:rsid w:val="008A7EEE"/>
    <w:rsid w:val="008B08F9"/>
    <w:rsid w:val="008B3803"/>
    <w:rsid w:val="008B4FA6"/>
    <w:rsid w:val="008B5282"/>
    <w:rsid w:val="008B5486"/>
    <w:rsid w:val="008B7C17"/>
    <w:rsid w:val="008C2D01"/>
    <w:rsid w:val="008C40E6"/>
    <w:rsid w:val="008C7481"/>
    <w:rsid w:val="008C7B13"/>
    <w:rsid w:val="008D0F7A"/>
    <w:rsid w:val="008D1B9A"/>
    <w:rsid w:val="008D68E4"/>
    <w:rsid w:val="008D6D5C"/>
    <w:rsid w:val="008E0506"/>
    <w:rsid w:val="008E0CFF"/>
    <w:rsid w:val="008E479F"/>
    <w:rsid w:val="008E5D6B"/>
    <w:rsid w:val="008E63AC"/>
    <w:rsid w:val="008E6949"/>
    <w:rsid w:val="008E76F0"/>
    <w:rsid w:val="008F06C8"/>
    <w:rsid w:val="008F0800"/>
    <w:rsid w:val="008F15FE"/>
    <w:rsid w:val="008F2D29"/>
    <w:rsid w:val="008F4C34"/>
    <w:rsid w:val="008F5187"/>
    <w:rsid w:val="008F60D8"/>
    <w:rsid w:val="008F76A5"/>
    <w:rsid w:val="0090005A"/>
    <w:rsid w:val="009014C6"/>
    <w:rsid w:val="00902727"/>
    <w:rsid w:val="00902C87"/>
    <w:rsid w:val="0090312B"/>
    <w:rsid w:val="00905373"/>
    <w:rsid w:val="00906A10"/>
    <w:rsid w:val="00906AE4"/>
    <w:rsid w:val="00912A51"/>
    <w:rsid w:val="009145A5"/>
    <w:rsid w:val="00915642"/>
    <w:rsid w:val="00915663"/>
    <w:rsid w:val="0091609F"/>
    <w:rsid w:val="00916C43"/>
    <w:rsid w:val="009170BF"/>
    <w:rsid w:val="0091736D"/>
    <w:rsid w:val="009179F8"/>
    <w:rsid w:val="00920A08"/>
    <w:rsid w:val="00925005"/>
    <w:rsid w:val="00925919"/>
    <w:rsid w:val="00925A9D"/>
    <w:rsid w:val="00926AD9"/>
    <w:rsid w:val="009276CB"/>
    <w:rsid w:val="00927C01"/>
    <w:rsid w:val="0093037A"/>
    <w:rsid w:val="009307B6"/>
    <w:rsid w:val="009314B3"/>
    <w:rsid w:val="0093219B"/>
    <w:rsid w:val="0094154D"/>
    <w:rsid w:val="00942B8D"/>
    <w:rsid w:val="00944A9E"/>
    <w:rsid w:val="00945F6B"/>
    <w:rsid w:val="0094783D"/>
    <w:rsid w:val="0095155F"/>
    <w:rsid w:val="009515EF"/>
    <w:rsid w:val="00951BC7"/>
    <w:rsid w:val="0095430A"/>
    <w:rsid w:val="00954429"/>
    <w:rsid w:val="009563CE"/>
    <w:rsid w:val="00956C3F"/>
    <w:rsid w:val="00957AA3"/>
    <w:rsid w:val="00960C93"/>
    <w:rsid w:val="00963BCB"/>
    <w:rsid w:val="00963E4C"/>
    <w:rsid w:val="00966512"/>
    <w:rsid w:val="0096706E"/>
    <w:rsid w:val="00967F4D"/>
    <w:rsid w:val="00970110"/>
    <w:rsid w:val="00970A2F"/>
    <w:rsid w:val="00972480"/>
    <w:rsid w:val="0097294A"/>
    <w:rsid w:val="00973D7B"/>
    <w:rsid w:val="00974585"/>
    <w:rsid w:val="00976328"/>
    <w:rsid w:val="00976457"/>
    <w:rsid w:val="0097680D"/>
    <w:rsid w:val="00976FDD"/>
    <w:rsid w:val="00981B21"/>
    <w:rsid w:val="00982438"/>
    <w:rsid w:val="0098404C"/>
    <w:rsid w:val="00985283"/>
    <w:rsid w:val="00987B47"/>
    <w:rsid w:val="00990217"/>
    <w:rsid w:val="009939BD"/>
    <w:rsid w:val="0099441F"/>
    <w:rsid w:val="00994D32"/>
    <w:rsid w:val="00995992"/>
    <w:rsid w:val="00995CE8"/>
    <w:rsid w:val="009964CE"/>
    <w:rsid w:val="009974DF"/>
    <w:rsid w:val="009A03E5"/>
    <w:rsid w:val="009A0F3B"/>
    <w:rsid w:val="009A0FD5"/>
    <w:rsid w:val="009A1BB4"/>
    <w:rsid w:val="009A2628"/>
    <w:rsid w:val="009A3200"/>
    <w:rsid w:val="009A6C6C"/>
    <w:rsid w:val="009A79B4"/>
    <w:rsid w:val="009B0897"/>
    <w:rsid w:val="009B5C4F"/>
    <w:rsid w:val="009B673E"/>
    <w:rsid w:val="009B68F9"/>
    <w:rsid w:val="009B7BD9"/>
    <w:rsid w:val="009C34D0"/>
    <w:rsid w:val="009C3ACE"/>
    <w:rsid w:val="009C68F6"/>
    <w:rsid w:val="009C6F16"/>
    <w:rsid w:val="009C7DD5"/>
    <w:rsid w:val="009D1998"/>
    <w:rsid w:val="009D4BB6"/>
    <w:rsid w:val="009D5356"/>
    <w:rsid w:val="009D781A"/>
    <w:rsid w:val="009D7BDE"/>
    <w:rsid w:val="009E0384"/>
    <w:rsid w:val="009E0AA7"/>
    <w:rsid w:val="009E13B1"/>
    <w:rsid w:val="009E16AE"/>
    <w:rsid w:val="009E1F72"/>
    <w:rsid w:val="009E227D"/>
    <w:rsid w:val="009E3D86"/>
    <w:rsid w:val="009E4E8A"/>
    <w:rsid w:val="009E5019"/>
    <w:rsid w:val="009E68B2"/>
    <w:rsid w:val="009E7EA9"/>
    <w:rsid w:val="00A01FA0"/>
    <w:rsid w:val="00A04F1B"/>
    <w:rsid w:val="00A0501B"/>
    <w:rsid w:val="00A06AC5"/>
    <w:rsid w:val="00A07666"/>
    <w:rsid w:val="00A118C4"/>
    <w:rsid w:val="00A119CB"/>
    <w:rsid w:val="00A12A17"/>
    <w:rsid w:val="00A13110"/>
    <w:rsid w:val="00A14947"/>
    <w:rsid w:val="00A14997"/>
    <w:rsid w:val="00A1531F"/>
    <w:rsid w:val="00A17EC4"/>
    <w:rsid w:val="00A17F89"/>
    <w:rsid w:val="00A21E33"/>
    <w:rsid w:val="00A259EC"/>
    <w:rsid w:val="00A31183"/>
    <w:rsid w:val="00A32A83"/>
    <w:rsid w:val="00A33CFD"/>
    <w:rsid w:val="00A35168"/>
    <w:rsid w:val="00A35F6A"/>
    <w:rsid w:val="00A36390"/>
    <w:rsid w:val="00A368DB"/>
    <w:rsid w:val="00A37A88"/>
    <w:rsid w:val="00A4184E"/>
    <w:rsid w:val="00A41E19"/>
    <w:rsid w:val="00A423AA"/>
    <w:rsid w:val="00A4298A"/>
    <w:rsid w:val="00A4326A"/>
    <w:rsid w:val="00A4691E"/>
    <w:rsid w:val="00A4717E"/>
    <w:rsid w:val="00A47241"/>
    <w:rsid w:val="00A51657"/>
    <w:rsid w:val="00A52E58"/>
    <w:rsid w:val="00A53EC6"/>
    <w:rsid w:val="00A54D6D"/>
    <w:rsid w:val="00A55C0F"/>
    <w:rsid w:val="00A56C83"/>
    <w:rsid w:val="00A57228"/>
    <w:rsid w:val="00A600D8"/>
    <w:rsid w:val="00A60241"/>
    <w:rsid w:val="00A63A20"/>
    <w:rsid w:val="00A63C64"/>
    <w:rsid w:val="00A6467F"/>
    <w:rsid w:val="00A66204"/>
    <w:rsid w:val="00A66AE9"/>
    <w:rsid w:val="00A67A49"/>
    <w:rsid w:val="00A76573"/>
    <w:rsid w:val="00A766BB"/>
    <w:rsid w:val="00A8713F"/>
    <w:rsid w:val="00A90261"/>
    <w:rsid w:val="00A9029E"/>
    <w:rsid w:val="00A90B36"/>
    <w:rsid w:val="00A90BA1"/>
    <w:rsid w:val="00A918D7"/>
    <w:rsid w:val="00A94587"/>
    <w:rsid w:val="00A94A04"/>
    <w:rsid w:val="00A96A1F"/>
    <w:rsid w:val="00A97A9A"/>
    <w:rsid w:val="00AA0671"/>
    <w:rsid w:val="00AA2416"/>
    <w:rsid w:val="00AA2531"/>
    <w:rsid w:val="00AA304D"/>
    <w:rsid w:val="00AA355B"/>
    <w:rsid w:val="00AA767B"/>
    <w:rsid w:val="00AA7A97"/>
    <w:rsid w:val="00AB1E09"/>
    <w:rsid w:val="00AB3354"/>
    <w:rsid w:val="00AB4A0A"/>
    <w:rsid w:val="00AB5330"/>
    <w:rsid w:val="00AB56C6"/>
    <w:rsid w:val="00AB68AB"/>
    <w:rsid w:val="00AB767B"/>
    <w:rsid w:val="00AB7747"/>
    <w:rsid w:val="00AB77AB"/>
    <w:rsid w:val="00AC14CE"/>
    <w:rsid w:val="00AC2A56"/>
    <w:rsid w:val="00AC3880"/>
    <w:rsid w:val="00AC3B66"/>
    <w:rsid w:val="00AD055E"/>
    <w:rsid w:val="00AD0990"/>
    <w:rsid w:val="00AD3B78"/>
    <w:rsid w:val="00AD47A7"/>
    <w:rsid w:val="00AD5DF1"/>
    <w:rsid w:val="00AD610C"/>
    <w:rsid w:val="00AD6ABA"/>
    <w:rsid w:val="00AD78B8"/>
    <w:rsid w:val="00AE5DE7"/>
    <w:rsid w:val="00AE712E"/>
    <w:rsid w:val="00AF0CBF"/>
    <w:rsid w:val="00AF257F"/>
    <w:rsid w:val="00AF2930"/>
    <w:rsid w:val="00AF33CF"/>
    <w:rsid w:val="00AF4D50"/>
    <w:rsid w:val="00AF549E"/>
    <w:rsid w:val="00AF6179"/>
    <w:rsid w:val="00AF6F22"/>
    <w:rsid w:val="00B0145C"/>
    <w:rsid w:val="00B0318E"/>
    <w:rsid w:val="00B05A23"/>
    <w:rsid w:val="00B1295A"/>
    <w:rsid w:val="00B12A16"/>
    <w:rsid w:val="00B13AFB"/>
    <w:rsid w:val="00B16B24"/>
    <w:rsid w:val="00B17954"/>
    <w:rsid w:val="00B205A7"/>
    <w:rsid w:val="00B20A45"/>
    <w:rsid w:val="00B21C74"/>
    <w:rsid w:val="00B22C5C"/>
    <w:rsid w:val="00B23326"/>
    <w:rsid w:val="00B24F30"/>
    <w:rsid w:val="00B2501A"/>
    <w:rsid w:val="00B26425"/>
    <w:rsid w:val="00B275EF"/>
    <w:rsid w:val="00B301DD"/>
    <w:rsid w:val="00B30BD1"/>
    <w:rsid w:val="00B31ABF"/>
    <w:rsid w:val="00B33508"/>
    <w:rsid w:val="00B33BE3"/>
    <w:rsid w:val="00B3486E"/>
    <w:rsid w:val="00B34FD4"/>
    <w:rsid w:val="00B35592"/>
    <w:rsid w:val="00B41461"/>
    <w:rsid w:val="00B44F4D"/>
    <w:rsid w:val="00B515A6"/>
    <w:rsid w:val="00B53B5D"/>
    <w:rsid w:val="00B6055E"/>
    <w:rsid w:val="00B6317D"/>
    <w:rsid w:val="00B65986"/>
    <w:rsid w:val="00B67111"/>
    <w:rsid w:val="00B67533"/>
    <w:rsid w:val="00B70567"/>
    <w:rsid w:val="00B70C54"/>
    <w:rsid w:val="00B71D9E"/>
    <w:rsid w:val="00B76311"/>
    <w:rsid w:val="00B76CC4"/>
    <w:rsid w:val="00B7723F"/>
    <w:rsid w:val="00B77D27"/>
    <w:rsid w:val="00B80534"/>
    <w:rsid w:val="00B81E65"/>
    <w:rsid w:val="00B8433C"/>
    <w:rsid w:val="00B87491"/>
    <w:rsid w:val="00B91077"/>
    <w:rsid w:val="00B92484"/>
    <w:rsid w:val="00B939AC"/>
    <w:rsid w:val="00B94ACD"/>
    <w:rsid w:val="00BA29E9"/>
    <w:rsid w:val="00BA2B8C"/>
    <w:rsid w:val="00BA7142"/>
    <w:rsid w:val="00BA7800"/>
    <w:rsid w:val="00BA7FDB"/>
    <w:rsid w:val="00BB21EA"/>
    <w:rsid w:val="00BB237C"/>
    <w:rsid w:val="00BB41A3"/>
    <w:rsid w:val="00BB755B"/>
    <w:rsid w:val="00BC32DC"/>
    <w:rsid w:val="00BC35B6"/>
    <w:rsid w:val="00BC3B47"/>
    <w:rsid w:val="00BC5CF0"/>
    <w:rsid w:val="00BC5F11"/>
    <w:rsid w:val="00BD12DC"/>
    <w:rsid w:val="00BD1B51"/>
    <w:rsid w:val="00BD254B"/>
    <w:rsid w:val="00BD4596"/>
    <w:rsid w:val="00BD5795"/>
    <w:rsid w:val="00BE1405"/>
    <w:rsid w:val="00BE16FB"/>
    <w:rsid w:val="00BE312D"/>
    <w:rsid w:val="00BE57BA"/>
    <w:rsid w:val="00BE5F59"/>
    <w:rsid w:val="00BE70D3"/>
    <w:rsid w:val="00BF1C20"/>
    <w:rsid w:val="00BF1DC0"/>
    <w:rsid w:val="00BF3060"/>
    <w:rsid w:val="00BF5D94"/>
    <w:rsid w:val="00BF77C2"/>
    <w:rsid w:val="00C029DB"/>
    <w:rsid w:val="00C03066"/>
    <w:rsid w:val="00C075D8"/>
    <w:rsid w:val="00C10578"/>
    <w:rsid w:val="00C10E2D"/>
    <w:rsid w:val="00C11196"/>
    <w:rsid w:val="00C135BC"/>
    <w:rsid w:val="00C14FBB"/>
    <w:rsid w:val="00C15C95"/>
    <w:rsid w:val="00C16493"/>
    <w:rsid w:val="00C17A1D"/>
    <w:rsid w:val="00C17BCE"/>
    <w:rsid w:val="00C21B76"/>
    <w:rsid w:val="00C22856"/>
    <w:rsid w:val="00C22900"/>
    <w:rsid w:val="00C2469C"/>
    <w:rsid w:val="00C247E8"/>
    <w:rsid w:val="00C2596A"/>
    <w:rsid w:val="00C26CC5"/>
    <w:rsid w:val="00C27537"/>
    <w:rsid w:val="00C2757E"/>
    <w:rsid w:val="00C3013F"/>
    <w:rsid w:val="00C328FE"/>
    <w:rsid w:val="00C33507"/>
    <w:rsid w:val="00C4409D"/>
    <w:rsid w:val="00C44814"/>
    <w:rsid w:val="00C44E72"/>
    <w:rsid w:val="00C45A06"/>
    <w:rsid w:val="00C45D9D"/>
    <w:rsid w:val="00C45E95"/>
    <w:rsid w:val="00C4730D"/>
    <w:rsid w:val="00C47E5B"/>
    <w:rsid w:val="00C50C1D"/>
    <w:rsid w:val="00C515C0"/>
    <w:rsid w:val="00C53692"/>
    <w:rsid w:val="00C53EE0"/>
    <w:rsid w:val="00C55EC6"/>
    <w:rsid w:val="00C567BB"/>
    <w:rsid w:val="00C56F04"/>
    <w:rsid w:val="00C57AAB"/>
    <w:rsid w:val="00C57AD7"/>
    <w:rsid w:val="00C616A1"/>
    <w:rsid w:val="00C61E4B"/>
    <w:rsid w:val="00C64BFF"/>
    <w:rsid w:val="00C659E9"/>
    <w:rsid w:val="00C704E9"/>
    <w:rsid w:val="00C72340"/>
    <w:rsid w:val="00C7440D"/>
    <w:rsid w:val="00C759F5"/>
    <w:rsid w:val="00C75C8B"/>
    <w:rsid w:val="00C75FDA"/>
    <w:rsid w:val="00C76188"/>
    <w:rsid w:val="00C763C9"/>
    <w:rsid w:val="00C80057"/>
    <w:rsid w:val="00C802CB"/>
    <w:rsid w:val="00C81753"/>
    <w:rsid w:val="00C82232"/>
    <w:rsid w:val="00C82913"/>
    <w:rsid w:val="00C82C64"/>
    <w:rsid w:val="00C836A4"/>
    <w:rsid w:val="00C865BE"/>
    <w:rsid w:val="00C86CC6"/>
    <w:rsid w:val="00C87229"/>
    <w:rsid w:val="00C925F1"/>
    <w:rsid w:val="00C96372"/>
    <w:rsid w:val="00C96DDF"/>
    <w:rsid w:val="00C972B1"/>
    <w:rsid w:val="00C97758"/>
    <w:rsid w:val="00CA1429"/>
    <w:rsid w:val="00CA2CCE"/>
    <w:rsid w:val="00CA3689"/>
    <w:rsid w:val="00CA43FD"/>
    <w:rsid w:val="00CA794A"/>
    <w:rsid w:val="00CA7EF8"/>
    <w:rsid w:val="00CB05C5"/>
    <w:rsid w:val="00CB5435"/>
    <w:rsid w:val="00CC489B"/>
    <w:rsid w:val="00CC6909"/>
    <w:rsid w:val="00CC77BB"/>
    <w:rsid w:val="00CD14CC"/>
    <w:rsid w:val="00CD2BCD"/>
    <w:rsid w:val="00CD3A4C"/>
    <w:rsid w:val="00CD3DA9"/>
    <w:rsid w:val="00CE10E9"/>
    <w:rsid w:val="00CE2910"/>
    <w:rsid w:val="00CE2BDE"/>
    <w:rsid w:val="00CE5388"/>
    <w:rsid w:val="00CE5393"/>
    <w:rsid w:val="00CE5DDB"/>
    <w:rsid w:val="00CF36BE"/>
    <w:rsid w:val="00CF36E5"/>
    <w:rsid w:val="00CF54EA"/>
    <w:rsid w:val="00CF6000"/>
    <w:rsid w:val="00CF6E40"/>
    <w:rsid w:val="00D003F3"/>
    <w:rsid w:val="00D01395"/>
    <w:rsid w:val="00D0364F"/>
    <w:rsid w:val="00D05E54"/>
    <w:rsid w:val="00D06834"/>
    <w:rsid w:val="00D10606"/>
    <w:rsid w:val="00D1297C"/>
    <w:rsid w:val="00D16A32"/>
    <w:rsid w:val="00D16C43"/>
    <w:rsid w:val="00D21FFB"/>
    <w:rsid w:val="00D25A47"/>
    <w:rsid w:val="00D2717D"/>
    <w:rsid w:val="00D308ED"/>
    <w:rsid w:val="00D30FBB"/>
    <w:rsid w:val="00D31D89"/>
    <w:rsid w:val="00D31E45"/>
    <w:rsid w:val="00D324BC"/>
    <w:rsid w:val="00D358C0"/>
    <w:rsid w:val="00D36D86"/>
    <w:rsid w:val="00D4015D"/>
    <w:rsid w:val="00D41D3B"/>
    <w:rsid w:val="00D428AA"/>
    <w:rsid w:val="00D43A64"/>
    <w:rsid w:val="00D44252"/>
    <w:rsid w:val="00D44CE3"/>
    <w:rsid w:val="00D4691F"/>
    <w:rsid w:val="00D470AC"/>
    <w:rsid w:val="00D5075A"/>
    <w:rsid w:val="00D50A34"/>
    <w:rsid w:val="00D520B0"/>
    <w:rsid w:val="00D534A5"/>
    <w:rsid w:val="00D53EFA"/>
    <w:rsid w:val="00D60C49"/>
    <w:rsid w:val="00D62A5A"/>
    <w:rsid w:val="00D64AAC"/>
    <w:rsid w:val="00D652C0"/>
    <w:rsid w:val="00D65C06"/>
    <w:rsid w:val="00D70C88"/>
    <w:rsid w:val="00D71EDC"/>
    <w:rsid w:val="00D73180"/>
    <w:rsid w:val="00D75381"/>
    <w:rsid w:val="00D7638E"/>
    <w:rsid w:val="00D845D6"/>
    <w:rsid w:val="00D907CB"/>
    <w:rsid w:val="00D9170A"/>
    <w:rsid w:val="00D93C03"/>
    <w:rsid w:val="00D93CC7"/>
    <w:rsid w:val="00D9450A"/>
    <w:rsid w:val="00D94A7C"/>
    <w:rsid w:val="00D95896"/>
    <w:rsid w:val="00D96D13"/>
    <w:rsid w:val="00DA39A3"/>
    <w:rsid w:val="00DA39BB"/>
    <w:rsid w:val="00DA6CAA"/>
    <w:rsid w:val="00DA7669"/>
    <w:rsid w:val="00DB06FD"/>
    <w:rsid w:val="00DB2646"/>
    <w:rsid w:val="00DB2983"/>
    <w:rsid w:val="00DB2E2D"/>
    <w:rsid w:val="00DB46B1"/>
    <w:rsid w:val="00DB5ADC"/>
    <w:rsid w:val="00DC002A"/>
    <w:rsid w:val="00DC0FFE"/>
    <w:rsid w:val="00DC1257"/>
    <w:rsid w:val="00DC1F7A"/>
    <w:rsid w:val="00DC31D9"/>
    <w:rsid w:val="00DC3DC0"/>
    <w:rsid w:val="00DC5B2B"/>
    <w:rsid w:val="00DC629D"/>
    <w:rsid w:val="00DC6C8C"/>
    <w:rsid w:val="00DD224D"/>
    <w:rsid w:val="00DD318D"/>
    <w:rsid w:val="00DD4F14"/>
    <w:rsid w:val="00DD598D"/>
    <w:rsid w:val="00DD6B9F"/>
    <w:rsid w:val="00DD73C1"/>
    <w:rsid w:val="00DD7B8A"/>
    <w:rsid w:val="00DE0C67"/>
    <w:rsid w:val="00DE714D"/>
    <w:rsid w:val="00DF2E12"/>
    <w:rsid w:val="00DF4B30"/>
    <w:rsid w:val="00DF514A"/>
    <w:rsid w:val="00DF5218"/>
    <w:rsid w:val="00DF54F0"/>
    <w:rsid w:val="00DF6690"/>
    <w:rsid w:val="00DF6804"/>
    <w:rsid w:val="00E00600"/>
    <w:rsid w:val="00E01119"/>
    <w:rsid w:val="00E032A4"/>
    <w:rsid w:val="00E0358D"/>
    <w:rsid w:val="00E04170"/>
    <w:rsid w:val="00E04323"/>
    <w:rsid w:val="00E048D5"/>
    <w:rsid w:val="00E070A2"/>
    <w:rsid w:val="00E1357A"/>
    <w:rsid w:val="00E149F2"/>
    <w:rsid w:val="00E14A55"/>
    <w:rsid w:val="00E203FD"/>
    <w:rsid w:val="00E2306D"/>
    <w:rsid w:val="00E262D9"/>
    <w:rsid w:val="00E2656A"/>
    <w:rsid w:val="00E26E77"/>
    <w:rsid w:val="00E316D9"/>
    <w:rsid w:val="00E32BAC"/>
    <w:rsid w:val="00E33185"/>
    <w:rsid w:val="00E34918"/>
    <w:rsid w:val="00E34F38"/>
    <w:rsid w:val="00E36B23"/>
    <w:rsid w:val="00E412D0"/>
    <w:rsid w:val="00E42984"/>
    <w:rsid w:val="00E44E88"/>
    <w:rsid w:val="00E46607"/>
    <w:rsid w:val="00E51896"/>
    <w:rsid w:val="00E51BA1"/>
    <w:rsid w:val="00E534F5"/>
    <w:rsid w:val="00E56322"/>
    <w:rsid w:val="00E56397"/>
    <w:rsid w:val="00E56728"/>
    <w:rsid w:val="00E57981"/>
    <w:rsid w:val="00E60982"/>
    <w:rsid w:val="00E60DD2"/>
    <w:rsid w:val="00E61C47"/>
    <w:rsid w:val="00E62C62"/>
    <w:rsid w:val="00E6477A"/>
    <w:rsid w:val="00E65209"/>
    <w:rsid w:val="00E654C1"/>
    <w:rsid w:val="00E65D97"/>
    <w:rsid w:val="00E706F6"/>
    <w:rsid w:val="00E72A5A"/>
    <w:rsid w:val="00E73185"/>
    <w:rsid w:val="00E73354"/>
    <w:rsid w:val="00E802AA"/>
    <w:rsid w:val="00E80CBF"/>
    <w:rsid w:val="00E8188E"/>
    <w:rsid w:val="00E85D7B"/>
    <w:rsid w:val="00E903ED"/>
    <w:rsid w:val="00E920E9"/>
    <w:rsid w:val="00E922A4"/>
    <w:rsid w:val="00E9242D"/>
    <w:rsid w:val="00E92449"/>
    <w:rsid w:val="00E93B9A"/>
    <w:rsid w:val="00E94190"/>
    <w:rsid w:val="00EA040E"/>
    <w:rsid w:val="00EA0EAC"/>
    <w:rsid w:val="00EA3511"/>
    <w:rsid w:val="00EB2FE1"/>
    <w:rsid w:val="00EB41E0"/>
    <w:rsid w:val="00EB5255"/>
    <w:rsid w:val="00EB5C47"/>
    <w:rsid w:val="00EC049C"/>
    <w:rsid w:val="00EC4D13"/>
    <w:rsid w:val="00EC5669"/>
    <w:rsid w:val="00EC6626"/>
    <w:rsid w:val="00ED0639"/>
    <w:rsid w:val="00ED0898"/>
    <w:rsid w:val="00ED3E57"/>
    <w:rsid w:val="00ED6AA2"/>
    <w:rsid w:val="00ED7A30"/>
    <w:rsid w:val="00ED7F94"/>
    <w:rsid w:val="00EF0ABB"/>
    <w:rsid w:val="00EF1249"/>
    <w:rsid w:val="00EF2A42"/>
    <w:rsid w:val="00EF38C0"/>
    <w:rsid w:val="00EF38E8"/>
    <w:rsid w:val="00EF4559"/>
    <w:rsid w:val="00EF4614"/>
    <w:rsid w:val="00EF4755"/>
    <w:rsid w:val="00EF7135"/>
    <w:rsid w:val="00F01683"/>
    <w:rsid w:val="00F0271A"/>
    <w:rsid w:val="00F027DB"/>
    <w:rsid w:val="00F07460"/>
    <w:rsid w:val="00F13EAA"/>
    <w:rsid w:val="00F14A7A"/>
    <w:rsid w:val="00F15D4C"/>
    <w:rsid w:val="00F16B42"/>
    <w:rsid w:val="00F172AB"/>
    <w:rsid w:val="00F21773"/>
    <w:rsid w:val="00F22985"/>
    <w:rsid w:val="00F234BE"/>
    <w:rsid w:val="00F2732D"/>
    <w:rsid w:val="00F322F3"/>
    <w:rsid w:val="00F3383E"/>
    <w:rsid w:val="00F35156"/>
    <w:rsid w:val="00F3573D"/>
    <w:rsid w:val="00F43E3A"/>
    <w:rsid w:val="00F465A7"/>
    <w:rsid w:val="00F4661D"/>
    <w:rsid w:val="00F47EF8"/>
    <w:rsid w:val="00F5006A"/>
    <w:rsid w:val="00F50B7C"/>
    <w:rsid w:val="00F519CE"/>
    <w:rsid w:val="00F550E6"/>
    <w:rsid w:val="00F5602C"/>
    <w:rsid w:val="00F56163"/>
    <w:rsid w:val="00F56B15"/>
    <w:rsid w:val="00F57300"/>
    <w:rsid w:val="00F60DAE"/>
    <w:rsid w:val="00F63039"/>
    <w:rsid w:val="00F64063"/>
    <w:rsid w:val="00F712CE"/>
    <w:rsid w:val="00F716D5"/>
    <w:rsid w:val="00F71C3C"/>
    <w:rsid w:val="00F733AE"/>
    <w:rsid w:val="00F73784"/>
    <w:rsid w:val="00F73B84"/>
    <w:rsid w:val="00F74345"/>
    <w:rsid w:val="00F750C1"/>
    <w:rsid w:val="00F7672C"/>
    <w:rsid w:val="00F8098D"/>
    <w:rsid w:val="00F80A0A"/>
    <w:rsid w:val="00F82601"/>
    <w:rsid w:val="00F82B19"/>
    <w:rsid w:val="00F83A2E"/>
    <w:rsid w:val="00F871ED"/>
    <w:rsid w:val="00F91D42"/>
    <w:rsid w:val="00F9212D"/>
    <w:rsid w:val="00F94532"/>
    <w:rsid w:val="00F965DA"/>
    <w:rsid w:val="00FA406A"/>
    <w:rsid w:val="00FA4078"/>
    <w:rsid w:val="00FA5244"/>
    <w:rsid w:val="00FB0D6A"/>
    <w:rsid w:val="00FB278C"/>
    <w:rsid w:val="00FB503A"/>
    <w:rsid w:val="00FB516C"/>
    <w:rsid w:val="00FB7F9E"/>
    <w:rsid w:val="00FC1258"/>
    <w:rsid w:val="00FC31B6"/>
    <w:rsid w:val="00FC506D"/>
    <w:rsid w:val="00FC6646"/>
    <w:rsid w:val="00FC7137"/>
    <w:rsid w:val="00FD0236"/>
    <w:rsid w:val="00FD1414"/>
    <w:rsid w:val="00FD18F4"/>
    <w:rsid w:val="00FD258A"/>
    <w:rsid w:val="00FD2B5A"/>
    <w:rsid w:val="00FD36FC"/>
    <w:rsid w:val="00FD4644"/>
    <w:rsid w:val="00FD54DB"/>
    <w:rsid w:val="00FD619F"/>
    <w:rsid w:val="00FD62D5"/>
    <w:rsid w:val="00FD7523"/>
    <w:rsid w:val="00FE735E"/>
    <w:rsid w:val="00FF65A6"/>
    <w:rsid w:val="01290F7E"/>
    <w:rsid w:val="015D1E09"/>
    <w:rsid w:val="017A611A"/>
    <w:rsid w:val="019058A2"/>
    <w:rsid w:val="01E5421F"/>
    <w:rsid w:val="022168C8"/>
    <w:rsid w:val="023F4F2A"/>
    <w:rsid w:val="026477B5"/>
    <w:rsid w:val="02697903"/>
    <w:rsid w:val="02B00F58"/>
    <w:rsid w:val="02D152AF"/>
    <w:rsid w:val="02F46F81"/>
    <w:rsid w:val="02F96569"/>
    <w:rsid w:val="03393718"/>
    <w:rsid w:val="036B7687"/>
    <w:rsid w:val="038F3747"/>
    <w:rsid w:val="03D459C9"/>
    <w:rsid w:val="03EA7B21"/>
    <w:rsid w:val="03EB040F"/>
    <w:rsid w:val="03EB7E9A"/>
    <w:rsid w:val="03F452A7"/>
    <w:rsid w:val="040C75CD"/>
    <w:rsid w:val="044B7EF6"/>
    <w:rsid w:val="0450313E"/>
    <w:rsid w:val="0452688C"/>
    <w:rsid w:val="04F53780"/>
    <w:rsid w:val="05101702"/>
    <w:rsid w:val="05411285"/>
    <w:rsid w:val="0546791D"/>
    <w:rsid w:val="05620295"/>
    <w:rsid w:val="05637683"/>
    <w:rsid w:val="0565010C"/>
    <w:rsid w:val="05BE0EFF"/>
    <w:rsid w:val="05C73CFF"/>
    <w:rsid w:val="05E34EEB"/>
    <w:rsid w:val="05F83EAE"/>
    <w:rsid w:val="062D520C"/>
    <w:rsid w:val="063E7D85"/>
    <w:rsid w:val="06896151"/>
    <w:rsid w:val="069B2A76"/>
    <w:rsid w:val="069E2622"/>
    <w:rsid w:val="06E27BEB"/>
    <w:rsid w:val="06FD269B"/>
    <w:rsid w:val="07094A18"/>
    <w:rsid w:val="07293586"/>
    <w:rsid w:val="07295285"/>
    <w:rsid w:val="07636392"/>
    <w:rsid w:val="076B2806"/>
    <w:rsid w:val="0773218C"/>
    <w:rsid w:val="07770C56"/>
    <w:rsid w:val="078E62CB"/>
    <w:rsid w:val="0797489E"/>
    <w:rsid w:val="07DE2A8E"/>
    <w:rsid w:val="07EA2D18"/>
    <w:rsid w:val="07FB6BDB"/>
    <w:rsid w:val="083718A6"/>
    <w:rsid w:val="0839554A"/>
    <w:rsid w:val="086B03E2"/>
    <w:rsid w:val="08AE1E9F"/>
    <w:rsid w:val="08BF276D"/>
    <w:rsid w:val="08CA0902"/>
    <w:rsid w:val="08D93616"/>
    <w:rsid w:val="08FB150D"/>
    <w:rsid w:val="092217DD"/>
    <w:rsid w:val="09271661"/>
    <w:rsid w:val="09330E1C"/>
    <w:rsid w:val="093A7294"/>
    <w:rsid w:val="094A4C8B"/>
    <w:rsid w:val="09673C9A"/>
    <w:rsid w:val="09683BE0"/>
    <w:rsid w:val="09687C62"/>
    <w:rsid w:val="096E0A3C"/>
    <w:rsid w:val="09772BD9"/>
    <w:rsid w:val="098544DA"/>
    <w:rsid w:val="09887799"/>
    <w:rsid w:val="09976A2F"/>
    <w:rsid w:val="09DE67B4"/>
    <w:rsid w:val="09E93240"/>
    <w:rsid w:val="0A074A5B"/>
    <w:rsid w:val="0A171F07"/>
    <w:rsid w:val="0A252915"/>
    <w:rsid w:val="0A263993"/>
    <w:rsid w:val="0A286FDF"/>
    <w:rsid w:val="0A2D0A8C"/>
    <w:rsid w:val="0A2D3AC2"/>
    <w:rsid w:val="0A606E0F"/>
    <w:rsid w:val="0AA755DF"/>
    <w:rsid w:val="0AF72C33"/>
    <w:rsid w:val="0B052585"/>
    <w:rsid w:val="0B120D44"/>
    <w:rsid w:val="0B4E1717"/>
    <w:rsid w:val="0B974B09"/>
    <w:rsid w:val="0BC44A6C"/>
    <w:rsid w:val="0BD27BF6"/>
    <w:rsid w:val="0C3B3C7D"/>
    <w:rsid w:val="0C587015"/>
    <w:rsid w:val="0C6538B7"/>
    <w:rsid w:val="0C6E02C3"/>
    <w:rsid w:val="0CAB2EAE"/>
    <w:rsid w:val="0CC872A8"/>
    <w:rsid w:val="0D163535"/>
    <w:rsid w:val="0D621C7D"/>
    <w:rsid w:val="0D6864C0"/>
    <w:rsid w:val="0DD70FB8"/>
    <w:rsid w:val="0DE33A87"/>
    <w:rsid w:val="0E2F1DC1"/>
    <w:rsid w:val="0E4C4DBC"/>
    <w:rsid w:val="0E73034D"/>
    <w:rsid w:val="0E76332D"/>
    <w:rsid w:val="0E793AB1"/>
    <w:rsid w:val="0E824E13"/>
    <w:rsid w:val="0EBD3DA0"/>
    <w:rsid w:val="0F13775A"/>
    <w:rsid w:val="0F5F45FE"/>
    <w:rsid w:val="0F6C1B67"/>
    <w:rsid w:val="0F761FC7"/>
    <w:rsid w:val="0F841BAC"/>
    <w:rsid w:val="0F9A112B"/>
    <w:rsid w:val="0FFD0B06"/>
    <w:rsid w:val="10073775"/>
    <w:rsid w:val="10132CE3"/>
    <w:rsid w:val="102E7713"/>
    <w:rsid w:val="106D2F64"/>
    <w:rsid w:val="107C2F8D"/>
    <w:rsid w:val="10816865"/>
    <w:rsid w:val="10A00BE1"/>
    <w:rsid w:val="10B63710"/>
    <w:rsid w:val="10C761F4"/>
    <w:rsid w:val="10F10820"/>
    <w:rsid w:val="10F44B0F"/>
    <w:rsid w:val="111B3AE8"/>
    <w:rsid w:val="111C2F7A"/>
    <w:rsid w:val="11206881"/>
    <w:rsid w:val="112B749A"/>
    <w:rsid w:val="11370250"/>
    <w:rsid w:val="115B45F8"/>
    <w:rsid w:val="11665CA1"/>
    <w:rsid w:val="11A6566B"/>
    <w:rsid w:val="11C90C9D"/>
    <w:rsid w:val="11EA053D"/>
    <w:rsid w:val="12A45FD2"/>
    <w:rsid w:val="13951726"/>
    <w:rsid w:val="13953615"/>
    <w:rsid w:val="13985C26"/>
    <w:rsid w:val="13D2503A"/>
    <w:rsid w:val="13E44050"/>
    <w:rsid w:val="13EA6429"/>
    <w:rsid w:val="14396509"/>
    <w:rsid w:val="143C5757"/>
    <w:rsid w:val="14651AB2"/>
    <w:rsid w:val="14843BD9"/>
    <w:rsid w:val="148D5E53"/>
    <w:rsid w:val="148D631C"/>
    <w:rsid w:val="14DD2C3C"/>
    <w:rsid w:val="14EF5D19"/>
    <w:rsid w:val="14FE26E5"/>
    <w:rsid w:val="15066FB5"/>
    <w:rsid w:val="153F0EE5"/>
    <w:rsid w:val="155F36E9"/>
    <w:rsid w:val="16087E1D"/>
    <w:rsid w:val="160A7DFB"/>
    <w:rsid w:val="162D2075"/>
    <w:rsid w:val="16B74615"/>
    <w:rsid w:val="171952CF"/>
    <w:rsid w:val="172565EC"/>
    <w:rsid w:val="173269F8"/>
    <w:rsid w:val="17701D14"/>
    <w:rsid w:val="17735226"/>
    <w:rsid w:val="17BE4544"/>
    <w:rsid w:val="17C6288A"/>
    <w:rsid w:val="18114AE8"/>
    <w:rsid w:val="187C53BE"/>
    <w:rsid w:val="189F624C"/>
    <w:rsid w:val="18ED07C2"/>
    <w:rsid w:val="19120A76"/>
    <w:rsid w:val="1930409A"/>
    <w:rsid w:val="1935043F"/>
    <w:rsid w:val="19353F17"/>
    <w:rsid w:val="19464237"/>
    <w:rsid w:val="195B78D1"/>
    <w:rsid w:val="19742FD7"/>
    <w:rsid w:val="19764314"/>
    <w:rsid w:val="197734F8"/>
    <w:rsid w:val="19874179"/>
    <w:rsid w:val="199776E9"/>
    <w:rsid w:val="19A15B8C"/>
    <w:rsid w:val="19DE010A"/>
    <w:rsid w:val="19E00033"/>
    <w:rsid w:val="19E97377"/>
    <w:rsid w:val="19EA3C0B"/>
    <w:rsid w:val="1A1C66C0"/>
    <w:rsid w:val="1A2E2A0B"/>
    <w:rsid w:val="1A42393B"/>
    <w:rsid w:val="1A5B5472"/>
    <w:rsid w:val="1A624227"/>
    <w:rsid w:val="1A6E774D"/>
    <w:rsid w:val="1A7B3D17"/>
    <w:rsid w:val="1A7F6FA7"/>
    <w:rsid w:val="1A886935"/>
    <w:rsid w:val="1AAD45DE"/>
    <w:rsid w:val="1ADC4437"/>
    <w:rsid w:val="1AEF2B0A"/>
    <w:rsid w:val="1B046F80"/>
    <w:rsid w:val="1B3267B5"/>
    <w:rsid w:val="1B40161D"/>
    <w:rsid w:val="1B441859"/>
    <w:rsid w:val="1B5B38A4"/>
    <w:rsid w:val="1B6606B1"/>
    <w:rsid w:val="1B680DC1"/>
    <w:rsid w:val="1B782F58"/>
    <w:rsid w:val="1BC11B30"/>
    <w:rsid w:val="1BDE10D9"/>
    <w:rsid w:val="1BF633B0"/>
    <w:rsid w:val="1C2D3AD9"/>
    <w:rsid w:val="1C4865C1"/>
    <w:rsid w:val="1C5B1EE6"/>
    <w:rsid w:val="1C5E7925"/>
    <w:rsid w:val="1C78676A"/>
    <w:rsid w:val="1C7C1A9C"/>
    <w:rsid w:val="1CEF4A2B"/>
    <w:rsid w:val="1CFD070F"/>
    <w:rsid w:val="1D156539"/>
    <w:rsid w:val="1D173770"/>
    <w:rsid w:val="1D391D7D"/>
    <w:rsid w:val="1D5319AE"/>
    <w:rsid w:val="1D5F6196"/>
    <w:rsid w:val="1D6132A5"/>
    <w:rsid w:val="1D864D41"/>
    <w:rsid w:val="1D8E56D5"/>
    <w:rsid w:val="1D957FBA"/>
    <w:rsid w:val="1DA146C9"/>
    <w:rsid w:val="1DDF655B"/>
    <w:rsid w:val="1E3F4C88"/>
    <w:rsid w:val="1E4669F6"/>
    <w:rsid w:val="1E7A43DA"/>
    <w:rsid w:val="1EA673C2"/>
    <w:rsid w:val="1EC75469"/>
    <w:rsid w:val="1EFC2CFA"/>
    <w:rsid w:val="1F1221E1"/>
    <w:rsid w:val="1F3A5DE3"/>
    <w:rsid w:val="1F801AC6"/>
    <w:rsid w:val="1FE7539E"/>
    <w:rsid w:val="2015277A"/>
    <w:rsid w:val="20210DD0"/>
    <w:rsid w:val="20381626"/>
    <w:rsid w:val="204D57E5"/>
    <w:rsid w:val="205748D7"/>
    <w:rsid w:val="20671BE0"/>
    <w:rsid w:val="206E1210"/>
    <w:rsid w:val="20730B4D"/>
    <w:rsid w:val="207460B1"/>
    <w:rsid w:val="20963CB8"/>
    <w:rsid w:val="20A81A1B"/>
    <w:rsid w:val="20AC194C"/>
    <w:rsid w:val="20AC3D49"/>
    <w:rsid w:val="20AC4E60"/>
    <w:rsid w:val="20B07FB6"/>
    <w:rsid w:val="20B3409F"/>
    <w:rsid w:val="20B646FB"/>
    <w:rsid w:val="21394254"/>
    <w:rsid w:val="213B74B1"/>
    <w:rsid w:val="215A2310"/>
    <w:rsid w:val="2163494A"/>
    <w:rsid w:val="21654CB5"/>
    <w:rsid w:val="218602C2"/>
    <w:rsid w:val="21A90747"/>
    <w:rsid w:val="21B6637F"/>
    <w:rsid w:val="21DE318A"/>
    <w:rsid w:val="21E2678E"/>
    <w:rsid w:val="21E66351"/>
    <w:rsid w:val="21EF5B80"/>
    <w:rsid w:val="223B53BA"/>
    <w:rsid w:val="22576990"/>
    <w:rsid w:val="22631E9D"/>
    <w:rsid w:val="227F7949"/>
    <w:rsid w:val="2285589C"/>
    <w:rsid w:val="22855954"/>
    <w:rsid w:val="228D0920"/>
    <w:rsid w:val="22B3587A"/>
    <w:rsid w:val="22DB78DD"/>
    <w:rsid w:val="22F339FB"/>
    <w:rsid w:val="22F47480"/>
    <w:rsid w:val="23157590"/>
    <w:rsid w:val="2326328A"/>
    <w:rsid w:val="234378C3"/>
    <w:rsid w:val="23571659"/>
    <w:rsid w:val="23652EF4"/>
    <w:rsid w:val="23DE1C48"/>
    <w:rsid w:val="23F5677C"/>
    <w:rsid w:val="23F62E75"/>
    <w:rsid w:val="240210CD"/>
    <w:rsid w:val="244006CD"/>
    <w:rsid w:val="244F5E50"/>
    <w:rsid w:val="24683CE4"/>
    <w:rsid w:val="24A212FF"/>
    <w:rsid w:val="24AE49E2"/>
    <w:rsid w:val="24BF09F7"/>
    <w:rsid w:val="24C4063E"/>
    <w:rsid w:val="250D073D"/>
    <w:rsid w:val="2527505B"/>
    <w:rsid w:val="252D53FE"/>
    <w:rsid w:val="25361333"/>
    <w:rsid w:val="255B4D05"/>
    <w:rsid w:val="25644B0D"/>
    <w:rsid w:val="25711A11"/>
    <w:rsid w:val="259326F1"/>
    <w:rsid w:val="25A67CCB"/>
    <w:rsid w:val="25B61B9F"/>
    <w:rsid w:val="25C73E15"/>
    <w:rsid w:val="25CB59E7"/>
    <w:rsid w:val="25EC2D81"/>
    <w:rsid w:val="26075AD4"/>
    <w:rsid w:val="2685028B"/>
    <w:rsid w:val="269A360B"/>
    <w:rsid w:val="26E614EE"/>
    <w:rsid w:val="26FE3B9A"/>
    <w:rsid w:val="26FE3D7D"/>
    <w:rsid w:val="27086F53"/>
    <w:rsid w:val="2719665F"/>
    <w:rsid w:val="277057A2"/>
    <w:rsid w:val="277A5916"/>
    <w:rsid w:val="278E4350"/>
    <w:rsid w:val="2791576E"/>
    <w:rsid w:val="27B122BE"/>
    <w:rsid w:val="282274AA"/>
    <w:rsid w:val="283A25D8"/>
    <w:rsid w:val="28AF7842"/>
    <w:rsid w:val="28DF4D77"/>
    <w:rsid w:val="28F811E9"/>
    <w:rsid w:val="28FB32DD"/>
    <w:rsid w:val="290B4866"/>
    <w:rsid w:val="291207E5"/>
    <w:rsid w:val="29192F0D"/>
    <w:rsid w:val="29206EB8"/>
    <w:rsid w:val="294F4B81"/>
    <w:rsid w:val="29595666"/>
    <w:rsid w:val="29712D49"/>
    <w:rsid w:val="29874881"/>
    <w:rsid w:val="29A4429D"/>
    <w:rsid w:val="29BF5775"/>
    <w:rsid w:val="29D725CF"/>
    <w:rsid w:val="29E325E0"/>
    <w:rsid w:val="29F87019"/>
    <w:rsid w:val="2A21651D"/>
    <w:rsid w:val="2A2A5CDA"/>
    <w:rsid w:val="2A452503"/>
    <w:rsid w:val="2A60484F"/>
    <w:rsid w:val="2A6B613D"/>
    <w:rsid w:val="2A6E0744"/>
    <w:rsid w:val="2A707412"/>
    <w:rsid w:val="2A7467F6"/>
    <w:rsid w:val="2B2D015D"/>
    <w:rsid w:val="2B2F1D6E"/>
    <w:rsid w:val="2B5B2D39"/>
    <w:rsid w:val="2B5B43E9"/>
    <w:rsid w:val="2B6D5CBC"/>
    <w:rsid w:val="2B7D59D5"/>
    <w:rsid w:val="2B8723B0"/>
    <w:rsid w:val="2B8D0149"/>
    <w:rsid w:val="2B944ACD"/>
    <w:rsid w:val="2B9F3B9D"/>
    <w:rsid w:val="2BA936A8"/>
    <w:rsid w:val="2C315A5A"/>
    <w:rsid w:val="2C4B1C25"/>
    <w:rsid w:val="2CB30145"/>
    <w:rsid w:val="2CBB2C3A"/>
    <w:rsid w:val="2CCD03B2"/>
    <w:rsid w:val="2CD258AD"/>
    <w:rsid w:val="2CF02411"/>
    <w:rsid w:val="2D3C541C"/>
    <w:rsid w:val="2D6973AD"/>
    <w:rsid w:val="2D9E56F5"/>
    <w:rsid w:val="2DBB39A9"/>
    <w:rsid w:val="2DC976A1"/>
    <w:rsid w:val="2E171B05"/>
    <w:rsid w:val="2E667F96"/>
    <w:rsid w:val="2E8226AB"/>
    <w:rsid w:val="2EDB09DE"/>
    <w:rsid w:val="2EFD3C6D"/>
    <w:rsid w:val="2F1D58B9"/>
    <w:rsid w:val="2F4C6882"/>
    <w:rsid w:val="2F556561"/>
    <w:rsid w:val="2F581804"/>
    <w:rsid w:val="2FA97EAC"/>
    <w:rsid w:val="2FBE5DAE"/>
    <w:rsid w:val="2FD065E6"/>
    <w:rsid w:val="2FD96870"/>
    <w:rsid w:val="2FE9288F"/>
    <w:rsid w:val="30202DD3"/>
    <w:rsid w:val="30580BC9"/>
    <w:rsid w:val="30961732"/>
    <w:rsid w:val="311E2ED7"/>
    <w:rsid w:val="313A2942"/>
    <w:rsid w:val="314C656B"/>
    <w:rsid w:val="315619EE"/>
    <w:rsid w:val="315C449C"/>
    <w:rsid w:val="31AE55C2"/>
    <w:rsid w:val="31B82709"/>
    <w:rsid w:val="31D05482"/>
    <w:rsid w:val="32400B34"/>
    <w:rsid w:val="32413963"/>
    <w:rsid w:val="32506B03"/>
    <w:rsid w:val="32571FF6"/>
    <w:rsid w:val="329E6876"/>
    <w:rsid w:val="32A36A1D"/>
    <w:rsid w:val="32CE3684"/>
    <w:rsid w:val="32EB25DC"/>
    <w:rsid w:val="33042EAD"/>
    <w:rsid w:val="330662B0"/>
    <w:rsid w:val="333015F2"/>
    <w:rsid w:val="334B6320"/>
    <w:rsid w:val="335A529C"/>
    <w:rsid w:val="33864689"/>
    <w:rsid w:val="338F6F5E"/>
    <w:rsid w:val="33921838"/>
    <w:rsid w:val="33A22329"/>
    <w:rsid w:val="33B72FA9"/>
    <w:rsid w:val="33D934D4"/>
    <w:rsid w:val="33E53710"/>
    <w:rsid w:val="33FE2F6A"/>
    <w:rsid w:val="340E07E5"/>
    <w:rsid w:val="34235BF7"/>
    <w:rsid w:val="34372941"/>
    <w:rsid w:val="344968DD"/>
    <w:rsid w:val="344B2032"/>
    <w:rsid w:val="345D2E9C"/>
    <w:rsid w:val="348358B1"/>
    <w:rsid w:val="34897488"/>
    <w:rsid w:val="351C03B3"/>
    <w:rsid w:val="35482E39"/>
    <w:rsid w:val="35494F50"/>
    <w:rsid w:val="358C5FA8"/>
    <w:rsid w:val="35A20611"/>
    <w:rsid w:val="35C15DF1"/>
    <w:rsid w:val="35D73F34"/>
    <w:rsid w:val="36074A7F"/>
    <w:rsid w:val="364A02AA"/>
    <w:rsid w:val="36923549"/>
    <w:rsid w:val="36B75FBF"/>
    <w:rsid w:val="36BC4B34"/>
    <w:rsid w:val="36BD0C45"/>
    <w:rsid w:val="36CE3589"/>
    <w:rsid w:val="373C7433"/>
    <w:rsid w:val="37594C6E"/>
    <w:rsid w:val="37701469"/>
    <w:rsid w:val="377F402B"/>
    <w:rsid w:val="379D3A66"/>
    <w:rsid w:val="37E00298"/>
    <w:rsid w:val="37EC081F"/>
    <w:rsid w:val="38166DF8"/>
    <w:rsid w:val="3818013A"/>
    <w:rsid w:val="38271DCF"/>
    <w:rsid w:val="386A108F"/>
    <w:rsid w:val="3878127C"/>
    <w:rsid w:val="38B302F9"/>
    <w:rsid w:val="38D83318"/>
    <w:rsid w:val="38EB46A2"/>
    <w:rsid w:val="38EE4F10"/>
    <w:rsid w:val="38F12CD3"/>
    <w:rsid w:val="38F94775"/>
    <w:rsid w:val="39061F80"/>
    <w:rsid w:val="391050F3"/>
    <w:rsid w:val="392971ED"/>
    <w:rsid w:val="39325651"/>
    <w:rsid w:val="39477622"/>
    <w:rsid w:val="396301BC"/>
    <w:rsid w:val="39E65BB5"/>
    <w:rsid w:val="3A761B04"/>
    <w:rsid w:val="3A872856"/>
    <w:rsid w:val="3B27770B"/>
    <w:rsid w:val="3B3763D1"/>
    <w:rsid w:val="3B6914E4"/>
    <w:rsid w:val="3B7F495D"/>
    <w:rsid w:val="3B8E32E7"/>
    <w:rsid w:val="3BCB0097"/>
    <w:rsid w:val="3C2B179C"/>
    <w:rsid w:val="3C2F6E1E"/>
    <w:rsid w:val="3C4A1903"/>
    <w:rsid w:val="3C4F64BA"/>
    <w:rsid w:val="3C5C5193"/>
    <w:rsid w:val="3C6D58F6"/>
    <w:rsid w:val="3C75570C"/>
    <w:rsid w:val="3CC73F22"/>
    <w:rsid w:val="3CDA245A"/>
    <w:rsid w:val="3CDB69FF"/>
    <w:rsid w:val="3CDE4BFD"/>
    <w:rsid w:val="3CE6551C"/>
    <w:rsid w:val="3CE7042A"/>
    <w:rsid w:val="3CEE7A91"/>
    <w:rsid w:val="3D062EB0"/>
    <w:rsid w:val="3D1E06B7"/>
    <w:rsid w:val="3D3578D9"/>
    <w:rsid w:val="3D74242C"/>
    <w:rsid w:val="3DA26518"/>
    <w:rsid w:val="3DA648F9"/>
    <w:rsid w:val="3DEB282F"/>
    <w:rsid w:val="3DF044EF"/>
    <w:rsid w:val="3DFA1107"/>
    <w:rsid w:val="3DFF0731"/>
    <w:rsid w:val="3E0D274E"/>
    <w:rsid w:val="3E292D8F"/>
    <w:rsid w:val="3E477D61"/>
    <w:rsid w:val="3EC40666"/>
    <w:rsid w:val="3EDA0523"/>
    <w:rsid w:val="3F1644D6"/>
    <w:rsid w:val="3F8A1452"/>
    <w:rsid w:val="3FA00F3A"/>
    <w:rsid w:val="40002E29"/>
    <w:rsid w:val="4028431C"/>
    <w:rsid w:val="40325B01"/>
    <w:rsid w:val="403958D8"/>
    <w:rsid w:val="405108D1"/>
    <w:rsid w:val="407A6407"/>
    <w:rsid w:val="408B5DFF"/>
    <w:rsid w:val="40A514E5"/>
    <w:rsid w:val="40A965D8"/>
    <w:rsid w:val="40CF5D4F"/>
    <w:rsid w:val="40E57644"/>
    <w:rsid w:val="40EB20BD"/>
    <w:rsid w:val="4120538F"/>
    <w:rsid w:val="414D2D67"/>
    <w:rsid w:val="41856F3A"/>
    <w:rsid w:val="418B446A"/>
    <w:rsid w:val="41AC11DF"/>
    <w:rsid w:val="41B23984"/>
    <w:rsid w:val="41F540C0"/>
    <w:rsid w:val="4200449D"/>
    <w:rsid w:val="42314467"/>
    <w:rsid w:val="423A3BCC"/>
    <w:rsid w:val="424E57D2"/>
    <w:rsid w:val="425B28AF"/>
    <w:rsid w:val="428F3E63"/>
    <w:rsid w:val="42B26C49"/>
    <w:rsid w:val="42D45CE1"/>
    <w:rsid w:val="42E45C1E"/>
    <w:rsid w:val="430E3019"/>
    <w:rsid w:val="430F216E"/>
    <w:rsid w:val="43194EF2"/>
    <w:rsid w:val="431D1161"/>
    <w:rsid w:val="433230F1"/>
    <w:rsid w:val="433A6FE6"/>
    <w:rsid w:val="43480868"/>
    <w:rsid w:val="4350713C"/>
    <w:rsid w:val="436653E0"/>
    <w:rsid w:val="43994F1E"/>
    <w:rsid w:val="43B644DD"/>
    <w:rsid w:val="43C4431A"/>
    <w:rsid w:val="43C55573"/>
    <w:rsid w:val="43D03656"/>
    <w:rsid w:val="43E04373"/>
    <w:rsid w:val="440F1C53"/>
    <w:rsid w:val="44320903"/>
    <w:rsid w:val="443A3B6B"/>
    <w:rsid w:val="443A6796"/>
    <w:rsid w:val="44691568"/>
    <w:rsid w:val="44832483"/>
    <w:rsid w:val="44B951CC"/>
    <w:rsid w:val="44CD14E0"/>
    <w:rsid w:val="44D32901"/>
    <w:rsid w:val="44E20341"/>
    <w:rsid w:val="44F20B0B"/>
    <w:rsid w:val="45180CC4"/>
    <w:rsid w:val="452E5F4C"/>
    <w:rsid w:val="45341B2C"/>
    <w:rsid w:val="454A5E13"/>
    <w:rsid w:val="45612018"/>
    <w:rsid w:val="458946E9"/>
    <w:rsid w:val="459F2F61"/>
    <w:rsid w:val="45A47C0E"/>
    <w:rsid w:val="45CE5353"/>
    <w:rsid w:val="45D37956"/>
    <w:rsid w:val="45FE72BB"/>
    <w:rsid w:val="46341847"/>
    <w:rsid w:val="46523984"/>
    <w:rsid w:val="46577FD6"/>
    <w:rsid w:val="469B7E7E"/>
    <w:rsid w:val="46D955A7"/>
    <w:rsid w:val="46EA66D5"/>
    <w:rsid w:val="47125E4A"/>
    <w:rsid w:val="47133957"/>
    <w:rsid w:val="472A0B6A"/>
    <w:rsid w:val="473A5340"/>
    <w:rsid w:val="477F18CB"/>
    <w:rsid w:val="479971D7"/>
    <w:rsid w:val="47A07E0C"/>
    <w:rsid w:val="47A23C1C"/>
    <w:rsid w:val="47AD50E6"/>
    <w:rsid w:val="47DA005D"/>
    <w:rsid w:val="480908C5"/>
    <w:rsid w:val="48123636"/>
    <w:rsid w:val="481B05F8"/>
    <w:rsid w:val="483218AA"/>
    <w:rsid w:val="48457149"/>
    <w:rsid w:val="4870272E"/>
    <w:rsid w:val="48F25003"/>
    <w:rsid w:val="491B2DF6"/>
    <w:rsid w:val="49582A72"/>
    <w:rsid w:val="496407B2"/>
    <w:rsid w:val="49822167"/>
    <w:rsid w:val="49A02C8A"/>
    <w:rsid w:val="49C574BA"/>
    <w:rsid w:val="49DC2E0E"/>
    <w:rsid w:val="49DC7715"/>
    <w:rsid w:val="49EC13C3"/>
    <w:rsid w:val="49ED2B2D"/>
    <w:rsid w:val="4A023139"/>
    <w:rsid w:val="4A48500C"/>
    <w:rsid w:val="4A5E379E"/>
    <w:rsid w:val="4A7B576F"/>
    <w:rsid w:val="4A917315"/>
    <w:rsid w:val="4A9D52F4"/>
    <w:rsid w:val="4AF561A9"/>
    <w:rsid w:val="4B102A00"/>
    <w:rsid w:val="4B2C6611"/>
    <w:rsid w:val="4B2D194F"/>
    <w:rsid w:val="4B315A7E"/>
    <w:rsid w:val="4B4469F6"/>
    <w:rsid w:val="4B5955E4"/>
    <w:rsid w:val="4B8B7843"/>
    <w:rsid w:val="4BB06DB8"/>
    <w:rsid w:val="4BD72A88"/>
    <w:rsid w:val="4C4267E4"/>
    <w:rsid w:val="4C4A0649"/>
    <w:rsid w:val="4C6F0F12"/>
    <w:rsid w:val="4C7E5ECA"/>
    <w:rsid w:val="4C876AA5"/>
    <w:rsid w:val="4C9606EC"/>
    <w:rsid w:val="4CF40BB6"/>
    <w:rsid w:val="4CFD3C38"/>
    <w:rsid w:val="4D0E00FB"/>
    <w:rsid w:val="4D154E8B"/>
    <w:rsid w:val="4D176606"/>
    <w:rsid w:val="4D587BF8"/>
    <w:rsid w:val="4DEC4FB0"/>
    <w:rsid w:val="4DF711BF"/>
    <w:rsid w:val="4E075D8A"/>
    <w:rsid w:val="4E1A0137"/>
    <w:rsid w:val="4E341AC4"/>
    <w:rsid w:val="4E566C6E"/>
    <w:rsid w:val="4E8A421F"/>
    <w:rsid w:val="4EB35F79"/>
    <w:rsid w:val="4EB64E7B"/>
    <w:rsid w:val="4EC00FAD"/>
    <w:rsid w:val="4EED0ABB"/>
    <w:rsid w:val="4EF45D9B"/>
    <w:rsid w:val="4F585C8E"/>
    <w:rsid w:val="4F9843DC"/>
    <w:rsid w:val="4FC62A8C"/>
    <w:rsid w:val="4FD53F62"/>
    <w:rsid w:val="4FE20F0D"/>
    <w:rsid w:val="4FE51552"/>
    <w:rsid w:val="504A3037"/>
    <w:rsid w:val="50504C4B"/>
    <w:rsid w:val="505503E9"/>
    <w:rsid w:val="505B01BA"/>
    <w:rsid w:val="506A211C"/>
    <w:rsid w:val="50923421"/>
    <w:rsid w:val="509C6E7C"/>
    <w:rsid w:val="50A53D8C"/>
    <w:rsid w:val="50B43820"/>
    <w:rsid w:val="50B96C00"/>
    <w:rsid w:val="50DC5D82"/>
    <w:rsid w:val="510D24D8"/>
    <w:rsid w:val="510D4856"/>
    <w:rsid w:val="512322CB"/>
    <w:rsid w:val="5127196E"/>
    <w:rsid w:val="512D5190"/>
    <w:rsid w:val="51481DCD"/>
    <w:rsid w:val="51495E20"/>
    <w:rsid w:val="51497F84"/>
    <w:rsid w:val="514A3707"/>
    <w:rsid w:val="514C537E"/>
    <w:rsid w:val="5162104E"/>
    <w:rsid w:val="519E1021"/>
    <w:rsid w:val="51BD159B"/>
    <w:rsid w:val="51C25394"/>
    <w:rsid w:val="52045760"/>
    <w:rsid w:val="521A6AAB"/>
    <w:rsid w:val="522910BA"/>
    <w:rsid w:val="52974D1F"/>
    <w:rsid w:val="52B70983"/>
    <w:rsid w:val="53426A39"/>
    <w:rsid w:val="53457C1F"/>
    <w:rsid w:val="5346301D"/>
    <w:rsid w:val="53582700"/>
    <w:rsid w:val="535E1F8C"/>
    <w:rsid w:val="53A039CC"/>
    <w:rsid w:val="53A1505A"/>
    <w:rsid w:val="54063E08"/>
    <w:rsid w:val="5411538F"/>
    <w:rsid w:val="54133046"/>
    <w:rsid w:val="54314A02"/>
    <w:rsid w:val="543437E8"/>
    <w:rsid w:val="543552EA"/>
    <w:rsid w:val="54391142"/>
    <w:rsid w:val="54460179"/>
    <w:rsid w:val="54460539"/>
    <w:rsid w:val="54595C00"/>
    <w:rsid w:val="547075D6"/>
    <w:rsid w:val="547E7F44"/>
    <w:rsid w:val="54867BBC"/>
    <w:rsid w:val="54AA2D9E"/>
    <w:rsid w:val="54B61E35"/>
    <w:rsid w:val="54BB15CE"/>
    <w:rsid w:val="54E13BA7"/>
    <w:rsid w:val="54F73313"/>
    <w:rsid w:val="54F80955"/>
    <w:rsid w:val="5506363A"/>
    <w:rsid w:val="55254864"/>
    <w:rsid w:val="555170A7"/>
    <w:rsid w:val="55826821"/>
    <w:rsid w:val="5587536D"/>
    <w:rsid w:val="559B174B"/>
    <w:rsid w:val="55AA11AB"/>
    <w:rsid w:val="55AF5B34"/>
    <w:rsid w:val="55CE0CF4"/>
    <w:rsid w:val="56065F6F"/>
    <w:rsid w:val="56126F56"/>
    <w:rsid w:val="561674B5"/>
    <w:rsid w:val="56167F29"/>
    <w:rsid w:val="56AE528D"/>
    <w:rsid w:val="56B22A9C"/>
    <w:rsid w:val="56BC18A7"/>
    <w:rsid w:val="56D07064"/>
    <w:rsid w:val="56EE0C86"/>
    <w:rsid w:val="57002240"/>
    <w:rsid w:val="579706B0"/>
    <w:rsid w:val="579A2803"/>
    <w:rsid w:val="57A41E19"/>
    <w:rsid w:val="57B72A76"/>
    <w:rsid w:val="57C06AC6"/>
    <w:rsid w:val="57C3426C"/>
    <w:rsid w:val="57C71608"/>
    <w:rsid w:val="57CE1F93"/>
    <w:rsid w:val="57E8073C"/>
    <w:rsid w:val="57F10402"/>
    <w:rsid w:val="57F2466C"/>
    <w:rsid w:val="580B364C"/>
    <w:rsid w:val="583C00B4"/>
    <w:rsid w:val="587B4A7E"/>
    <w:rsid w:val="588743D1"/>
    <w:rsid w:val="5887701A"/>
    <w:rsid w:val="58D319AC"/>
    <w:rsid w:val="59012EF2"/>
    <w:rsid w:val="5902548A"/>
    <w:rsid w:val="59174204"/>
    <w:rsid w:val="59230F47"/>
    <w:rsid w:val="59376914"/>
    <w:rsid w:val="5974750E"/>
    <w:rsid w:val="59B021AC"/>
    <w:rsid w:val="59C0439F"/>
    <w:rsid w:val="59D94497"/>
    <w:rsid w:val="5A777F5D"/>
    <w:rsid w:val="5A7871E4"/>
    <w:rsid w:val="5A81078E"/>
    <w:rsid w:val="5ABE2233"/>
    <w:rsid w:val="5AC02876"/>
    <w:rsid w:val="5B252B7C"/>
    <w:rsid w:val="5B390F56"/>
    <w:rsid w:val="5B5C08B4"/>
    <w:rsid w:val="5B8A5421"/>
    <w:rsid w:val="5BD64622"/>
    <w:rsid w:val="5BDF5D95"/>
    <w:rsid w:val="5BFE7528"/>
    <w:rsid w:val="5C0E1586"/>
    <w:rsid w:val="5C7C23A3"/>
    <w:rsid w:val="5CCC438A"/>
    <w:rsid w:val="5CDF354A"/>
    <w:rsid w:val="5D223308"/>
    <w:rsid w:val="5D240CDB"/>
    <w:rsid w:val="5D6121B1"/>
    <w:rsid w:val="5DEC2EC1"/>
    <w:rsid w:val="5E1951D9"/>
    <w:rsid w:val="5E2467F1"/>
    <w:rsid w:val="5E2B7CC0"/>
    <w:rsid w:val="5E363FE7"/>
    <w:rsid w:val="5E7637FE"/>
    <w:rsid w:val="5E7A49EE"/>
    <w:rsid w:val="5EB013A1"/>
    <w:rsid w:val="5EE17CBE"/>
    <w:rsid w:val="5EFF5730"/>
    <w:rsid w:val="5F1A2B43"/>
    <w:rsid w:val="5F2E2567"/>
    <w:rsid w:val="5F2F70DC"/>
    <w:rsid w:val="5F3759A0"/>
    <w:rsid w:val="5F4F13E1"/>
    <w:rsid w:val="5F7A6958"/>
    <w:rsid w:val="5F8403BB"/>
    <w:rsid w:val="5F8A0E44"/>
    <w:rsid w:val="5FB837BB"/>
    <w:rsid w:val="5FC87DCF"/>
    <w:rsid w:val="600464FC"/>
    <w:rsid w:val="60183C3E"/>
    <w:rsid w:val="60243980"/>
    <w:rsid w:val="60306D75"/>
    <w:rsid w:val="604E1113"/>
    <w:rsid w:val="604E36B1"/>
    <w:rsid w:val="6086201C"/>
    <w:rsid w:val="60C058C6"/>
    <w:rsid w:val="60CC405A"/>
    <w:rsid w:val="61046BE4"/>
    <w:rsid w:val="615D35E3"/>
    <w:rsid w:val="61A85D23"/>
    <w:rsid w:val="61D66D9B"/>
    <w:rsid w:val="61DB30C2"/>
    <w:rsid w:val="61E215D8"/>
    <w:rsid w:val="61FE58E3"/>
    <w:rsid w:val="62021CF4"/>
    <w:rsid w:val="620E751D"/>
    <w:rsid w:val="621B3775"/>
    <w:rsid w:val="62364782"/>
    <w:rsid w:val="623E6F65"/>
    <w:rsid w:val="62783AF4"/>
    <w:rsid w:val="62C55CE9"/>
    <w:rsid w:val="62E4037F"/>
    <w:rsid w:val="6312747F"/>
    <w:rsid w:val="6342047F"/>
    <w:rsid w:val="634371A7"/>
    <w:rsid w:val="6381535B"/>
    <w:rsid w:val="6394356A"/>
    <w:rsid w:val="63C61B2C"/>
    <w:rsid w:val="63D40BE9"/>
    <w:rsid w:val="63D478A7"/>
    <w:rsid w:val="63DC2A95"/>
    <w:rsid w:val="63EB1B26"/>
    <w:rsid w:val="63FA5542"/>
    <w:rsid w:val="64102431"/>
    <w:rsid w:val="64632B13"/>
    <w:rsid w:val="64A5243A"/>
    <w:rsid w:val="64B02BC8"/>
    <w:rsid w:val="64D515E0"/>
    <w:rsid w:val="64DB34BA"/>
    <w:rsid w:val="64F531DE"/>
    <w:rsid w:val="65256574"/>
    <w:rsid w:val="65373578"/>
    <w:rsid w:val="65670581"/>
    <w:rsid w:val="656C41F2"/>
    <w:rsid w:val="65B27275"/>
    <w:rsid w:val="660C3D04"/>
    <w:rsid w:val="663F764A"/>
    <w:rsid w:val="66481EF6"/>
    <w:rsid w:val="668D0E99"/>
    <w:rsid w:val="66D47EAE"/>
    <w:rsid w:val="66E04A8F"/>
    <w:rsid w:val="66FB27B8"/>
    <w:rsid w:val="671F124A"/>
    <w:rsid w:val="67234B3D"/>
    <w:rsid w:val="673420F1"/>
    <w:rsid w:val="673D47F9"/>
    <w:rsid w:val="677A33C6"/>
    <w:rsid w:val="678E6299"/>
    <w:rsid w:val="67995DB7"/>
    <w:rsid w:val="67D4222E"/>
    <w:rsid w:val="68172E56"/>
    <w:rsid w:val="681F6961"/>
    <w:rsid w:val="685430F2"/>
    <w:rsid w:val="68610A2F"/>
    <w:rsid w:val="68805514"/>
    <w:rsid w:val="689203D4"/>
    <w:rsid w:val="68996CA3"/>
    <w:rsid w:val="68997279"/>
    <w:rsid w:val="68B24209"/>
    <w:rsid w:val="68D57192"/>
    <w:rsid w:val="68D868DF"/>
    <w:rsid w:val="69316E2F"/>
    <w:rsid w:val="694E2071"/>
    <w:rsid w:val="69526CDE"/>
    <w:rsid w:val="69766163"/>
    <w:rsid w:val="6979332A"/>
    <w:rsid w:val="697A3B33"/>
    <w:rsid w:val="69986B8B"/>
    <w:rsid w:val="699F6337"/>
    <w:rsid w:val="69C67039"/>
    <w:rsid w:val="69D44760"/>
    <w:rsid w:val="69F85A5F"/>
    <w:rsid w:val="6A341401"/>
    <w:rsid w:val="6A4E5372"/>
    <w:rsid w:val="6A520EC7"/>
    <w:rsid w:val="6A862596"/>
    <w:rsid w:val="6AB253C6"/>
    <w:rsid w:val="6ABD7563"/>
    <w:rsid w:val="6ACD70D8"/>
    <w:rsid w:val="6AE95E85"/>
    <w:rsid w:val="6AF87E20"/>
    <w:rsid w:val="6B322639"/>
    <w:rsid w:val="6B3375C2"/>
    <w:rsid w:val="6B4F21E3"/>
    <w:rsid w:val="6B7F6B8B"/>
    <w:rsid w:val="6B853525"/>
    <w:rsid w:val="6B8F6EB7"/>
    <w:rsid w:val="6BFD39ED"/>
    <w:rsid w:val="6C03399D"/>
    <w:rsid w:val="6C053876"/>
    <w:rsid w:val="6C636C38"/>
    <w:rsid w:val="6CB57E24"/>
    <w:rsid w:val="6CC82FAC"/>
    <w:rsid w:val="6CCB33A9"/>
    <w:rsid w:val="6CDF07F0"/>
    <w:rsid w:val="6D875B5B"/>
    <w:rsid w:val="6D927244"/>
    <w:rsid w:val="6DA46816"/>
    <w:rsid w:val="6DB34098"/>
    <w:rsid w:val="6DB545B6"/>
    <w:rsid w:val="6DC3150A"/>
    <w:rsid w:val="6DD14C0D"/>
    <w:rsid w:val="6DDD4672"/>
    <w:rsid w:val="6DE02FB4"/>
    <w:rsid w:val="6E14108A"/>
    <w:rsid w:val="6E42473E"/>
    <w:rsid w:val="6E514CED"/>
    <w:rsid w:val="6E674762"/>
    <w:rsid w:val="6E88590D"/>
    <w:rsid w:val="6EB153BC"/>
    <w:rsid w:val="6EB563D5"/>
    <w:rsid w:val="6EB86E64"/>
    <w:rsid w:val="6EBD7464"/>
    <w:rsid w:val="6ED92677"/>
    <w:rsid w:val="6F0D66BE"/>
    <w:rsid w:val="6F101C89"/>
    <w:rsid w:val="6F225983"/>
    <w:rsid w:val="6F3F32A7"/>
    <w:rsid w:val="6F474FFF"/>
    <w:rsid w:val="6F5D2BD1"/>
    <w:rsid w:val="6F5E106A"/>
    <w:rsid w:val="6F712728"/>
    <w:rsid w:val="6F7B465E"/>
    <w:rsid w:val="6F9E7F1B"/>
    <w:rsid w:val="6FA9746E"/>
    <w:rsid w:val="6FB93762"/>
    <w:rsid w:val="6FBC4FF3"/>
    <w:rsid w:val="6FFC5590"/>
    <w:rsid w:val="700F78E9"/>
    <w:rsid w:val="702D3BED"/>
    <w:rsid w:val="703F0930"/>
    <w:rsid w:val="706D1DD0"/>
    <w:rsid w:val="70727700"/>
    <w:rsid w:val="70856B87"/>
    <w:rsid w:val="708F31E5"/>
    <w:rsid w:val="70C804F8"/>
    <w:rsid w:val="70D527EE"/>
    <w:rsid w:val="70F10D07"/>
    <w:rsid w:val="711C6E9E"/>
    <w:rsid w:val="715173C6"/>
    <w:rsid w:val="715546F5"/>
    <w:rsid w:val="715B5300"/>
    <w:rsid w:val="718810E7"/>
    <w:rsid w:val="718F5129"/>
    <w:rsid w:val="71C034F3"/>
    <w:rsid w:val="71D27F8A"/>
    <w:rsid w:val="71EF5B0E"/>
    <w:rsid w:val="71F55C18"/>
    <w:rsid w:val="72130821"/>
    <w:rsid w:val="721B697B"/>
    <w:rsid w:val="721D6EC1"/>
    <w:rsid w:val="7222372C"/>
    <w:rsid w:val="723F785F"/>
    <w:rsid w:val="72553024"/>
    <w:rsid w:val="727A2494"/>
    <w:rsid w:val="72850351"/>
    <w:rsid w:val="72910164"/>
    <w:rsid w:val="72B30690"/>
    <w:rsid w:val="73122968"/>
    <w:rsid w:val="73180476"/>
    <w:rsid w:val="731F5D5E"/>
    <w:rsid w:val="73351CBE"/>
    <w:rsid w:val="736E51D0"/>
    <w:rsid w:val="73C51AD5"/>
    <w:rsid w:val="741E793C"/>
    <w:rsid w:val="744234EA"/>
    <w:rsid w:val="745846D6"/>
    <w:rsid w:val="745E3944"/>
    <w:rsid w:val="74716D26"/>
    <w:rsid w:val="7472484C"/>
    <w:rsid w:val="74C5690F"/>
    <w:rsid w:val="74D84FF7"/>
    <w:rsid w:val="74F52643"/>
    <w:rsid w:val="75022089"/>
    <w:rsid w:val="751B05C9"/>
    <w:rsid w:val="755C396F"/>
    <w:rsid w:val="757E5A2E"/>
    <w:rsid w:val="75E45BAD"/>
    <w:rsid w:val="75E4686F"/>
    <w:rsid w:val="75F30A79"/>
    <w:rsid w:val="760706B3"/>
    <w:rsid w:val="760A40C2"/>
    <w:rsid w:val="762312B9"/>
    <w:rsid w:val="7635099D"/>
    <w:rsid w:val="763B5ECD"/>
    <w:rsid w:val="76557926"/>
    <w:rsid w:val="76B914B7"/>
    <w:rsid w:val="77737A4C"/>
    <w:rsid w:val="77762421"/>
    <w:rsid w:val="777A1A35"/>
    <w:rsid w:val="77933CBE"/>
    <w:rsid w:val="779562C4"/>
    <w:rsid w:val="77B56B1F"/>
    <w:rsid w:val="78066D81"/>
    <w:rsid w:val="780F09F4"/>
    <w:rsid w:val="782E3B7D"/>
    <w:rsid w:val="783A38D3"/>
    <w:rsid w:val="78A90480"/>
    <w:rsid w:val="78C913ED"/>
    <w:rsid w:val="78D23F01"/>
    <w:rsid w:val="794C77EC"/>
    <w:rsid w:val="79DB78C6"/>
    <w:rsid w:val="7A147D16"/>
    <w:rsid w:val="7A364017"/>
    <w:rsid w:val="7A3A1A3C"/>
    <w:rsid w:val="7A3E00A9"/>
    <w:rsid w:val="7A4F24B2"/>
    <w:rsid w:val="7A661346"/>
    <w:rsid w:val="7A8265E1"/>
    <w:rsid w:val="7A97397D"/>
    <w:rsid w:val="7AB317CB"/>
    <w:rsid w:val="7AEA4406"/>
    <w:rsid w:val="7B203254"/>
    <w:rsid w:val="7B306547"/>
    <w:rsid w:val="7B4E7DC1"/>
    <w:rsid w:val="7B686D42"/>
    <w:rsid w:val="7B841746"/>
    <w:rsid w:val="7BB62F97"/>
    <w:rsid w:val="7BE25BFE"/>
    <w:rsid w:val="7BF72FDA"/>
    <w:rsid w:val="7C1242A9"/>
    <w:rsid w:val="7C240819"/>
    <w:rsid w:val="7C480CB4"/>
    <w:rsid w:val="7C6C5AC7"/>
    <w:rsid w:val="7C7378DE"/>
    <w:rsid w:val="7CC6544B"/>
    <w:rsid w:val="7CD53B62"/>
    <w:rsid w:val="7CDC15F5"/>
    <w:rsid w:val="7CFB22B1"/>
    <w:rsid w:val="7D0239FF"/>
    <w:rsid w:val="7D0E4813"/>
    <w:rsid w:val="7D51609B"/>
    <w:rsid w:val="7D5E40CD"/>
    <w:rsid w:val="7DAE5C47"/>
    <w:rsid w:val="7DC117F0"/>
    <w:rsid w:val="7DCD56F2"/>
    <w:rsid w:val="7DF77816"/>
    <w:rsid w:val="7DFD19B3"/>
    <w:rsid w:val="7E1B387D"/>
    <w:rsid w:val="7E8930CB"/>
    <w:rsid w:val="7F001CE7"/>
    <w:rsid w:val="7F0C03A8"/>
    <w:rsid w:val="7F1511D7"/>
    <w:rsid w:val="7F616428"/>
    <w:rsid w:val="7FA02BB5"/>
    <w:rsid w:val="7FE47E5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semiHidden="0" w:name="heading 2" w:locked="1"/>
    <w:lsdException w:qFormat="1" w:uiPriority="0" w:name="heading 3" w:locked="1"/>
    <w:lsdException w:qFormat="1"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1"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unhideWhenUsed="0" w:uiPriority="0" w:semiHidden="0" w:name="Body Text First Indent" w:locked="1"/>
    <w:lsdException w:qFormat="1" w:unhideWhenUsed="0" w:uiPriority="99"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99" w:semiHidden="0" w:name="Body Text Indent 2" w:locked="1"/>
    <w:lsdException w:unhideWhenUsed="0" w:uiPriority="0" w:semiHidden="0" w:name="Body Text Indent 3" w:locked="1"/>
    <w:lsdException w:qFormat="1" w:unhideWhenUsed="0" w:uiPriority="0" w:semiHidden="0" w:name="Block Text" w:locked="1"/>
    <w:lsdException w:qFormat="1" w:uiPriority="99"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qFormat="1"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left"/>
    </w:pPr>
    <w:rPr>
      <w:rFonts w:ascii="Times New Roman" w:hAnsi="Times New Roman" w:eastAsia="宋体" w:cs="Times New Roman"/>
      <w:kern w:val="2"/>
      <w:sz w:val="24"/>
      <w:szCs w:val="24"/>
      <w:lang w:val="en-US" w:eastAsia="zh-CN" w:bidi="ar-SA"/>
    </w:rPr>
  </w:style>
  <w:style w:type="paragraph" w:styleId="2">
    <w:name w:val="heading 1"/>
    <w:basedOn w:val="1"/>
    <w:next w:val="1"/>
    <w:autoRedefine/>
    <w:qFormat/>
    <w:locked/>
    <w:uiPriority w:val="99"/>
    <w:pPr>
      <w:keepNext/>
      <w:overflowPunct w:val="0"/>
      <w:snapToGrid w:val="0"/>
      <w:spacing w:before="120" w:after="160" w:line="240" w:lineRule="auto"/>
      <w:ind w:left="0" w:hanging="432"/>
      <w:jc w:val="left"/>
      <w:outlineLvl w:val="0"/>
    </w:pPr>
    <w:rPr>
      <w:rFonts w:ascii="宋体" w:hAnsi="宋体"/>
      <w:b/>
      <w:color w:val="000000"/>
      <w:kern w:val="44"/>
      <w:sz w:val="24"/>
      <w:szCs w:val="30"/>
    </w:rPr>
  </w:style>
  <w:style w:type="paragraph" w:styleId="3">
    <w:name w:val="heading 2"/>
    <w:basedOn w:val="1"/>
    <w:next w:val="1"/>
    <w:link w:val="35"/>
    <w:autoRedefine/>
    <w:unhideWhenUsed/>
    <w:qFormat/>
    <w:locked/>
    <w:uiPriority w:val="0"/>
    <w:pPr>
      <w:keepNext/>
      <w:keepLines/>
      <w:spacing w:before="260" w:after="260" w:line="416" w:lineRule="auto"/>
      <w:outlineLvl w:val="1"/>
    </w:pPr>
    <w:rPr>
      <w:rFonts w:ascii="Cambria" w:hAnsi="Cambria" w:eastAsia="宋体" w:cs="Times New Roman"/>
      <w:b/>
      <w:bCs/>
      <w:sz w:val="32"/>
      <w:szCs w:val="32"/>
    </w:rPr>
  </w:style>
  <w:style w:type="paragraph" w:styleId="4">
    <w:name w:val="heading 3"/>
    <w:basedOn w:val="1"/>
    <w:next w:val="1"/>
    <w:semiHidden/>
    <w:unhideWhenUsed/>
    <w:qFormat/>
    <w:locked/>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paragraph" w:styleId="5">
    <w:name w:val="heading 4"/>
    <w:basedOn w:val="1"/>
    <w:next w:val="1"/>
    <w:link w:val="36"/>
    <w:autoRedefine/>
    <w:unhideWhenUsed/>
    <w:qFormat/>
    <w:locked/>
    <w:uiPriority w:val="0"/>
    <w:pPr>
      <w:keepNext/>
      <w:keepLines/>
      <w:spacing w:before="280" w:after="290" w:line="376" w:lineRule="auto"/>
      <w:outlineLvl w:val="3"/>
    </w:pPr>
    <w:rPr>
      <w:rFonts w:ascii="Cambria" w:hAnsi="Cambria" w:eastAsia="宋体" w:cs="Times New Roman"/>
      <w:b/>
      <w:bCs/>
      <w:sz w:val="28"/>
      <w:szCs w:val="28"/>
    </w:rPr>
  </w:style>
  <w:style w:type="character" w:default="1" w:styleId="26">
    <w:name w:val="Default Paragraph Font"/>
    <w:autoRedefine/>
    <w:semiHidden/>
    <w:qFormat/>
    <w:uiPriority w:val="0"/>
  </w:style>
  <w:style w:type="table" w:default="1" w:styleId="23">
    <w:name w:val="Normal Table"/>
    <w:autoRedefin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6">
    <w:name w:val="Normal Indent"/>
    <w:basedOn w:val="1"/>
    <w:next w:val="1"/>
    <w:autoRedefine/>
    <w:qFormat/>
    <w:locked/>
    <w:uiPriority w:val="0"/>
    <w:rPr>
      <w:rFonts w:eastAsia="宋体"/>
      <w:sz w:val="24"/>
      <w:szCs w:val="20"/>
    </w:rPr>
  </w:style>
  <w:style w:type="paragraph" w:styleId="7">
    <w:name w:val="caption"/>
    <w:basedOn w:val="1"/>
    <w:next w:val="1"/>
    <w:unhideWhenUsed/>
    <w:qFormat/>
    <w:locked/>
    <w:uiPriority w:val="0"/>
    <w:pPr>
      <w:ind w:firstLine="0" w:firstLineChars="0"/>
      <w:jc w:val="center"/>
    </w:pPr>
    <w:rPr>
      <w:b/>
    </w:rPr>
  </w:style>
  <w:style w:type="paragraph" w:styleId="8">
    <w:name w:val="annotation text"/>
    <w:basedOn w:val="1"/>
    <w:link w:val="37"/>
    <w:autoRedefine/>
    <w:semiHidden/>
    <w:qFormat/>
    <w:uiPriority w:val="0"/>
    <w:pPr>
      <w:jc w:val="left"/>
    </w:pPr>
    <w:rPr>
      <w:kern w:val="0"/>
      <w:sz w:val="24"/>
      <w:szCs w:val="20"/>
    </w:rPr>
  </w:style>
  <w:style w:type="paragraph" w:styleId="9">
    <w:name w:val="Body Text"/>
    <w:basedOn w:val="1"/>
    <w:next w:val="1"/>
    <w:link w:val="38"/>
    <w:autoRedefine/>
    <w:qFormat/>
    <w:uiPriority w:val="0"/>
    <w:pPr>
      <w:widowControl/>
      <w:snapToGrid w:val="0"/>
      <w:spacing w:before="60" w:after="160" w:line="259" w:lineRule="auto"/>
      <w:ind w:right="113"/>
    </w:pPr>
    <w:rPr>
      <w:kern w:val="0"/>
      <w:sz w:val="18"/>
      <w:szCs w:val="20"/>
    </w:rPr>
  </w:style>
  <w:style w:type="paragraph" w:styleId="10">
    <w:name w:val="Body Text Indent"/>
    <w:basedOn w:val="1"/>
    <w:next w:val="9"/>
    <w:link w:val="39"/>
    <w:autoRedefine/>
    <w:qFormat/>
    <w:uiPriority w:val="0"/>
    <w:pPr>
      <w:spacing w:after="120"/>
      <w:ind w:left="420" w:leftChars="200"/>
    </w:pPr>
    <w:rPr>
      <w:kern w:val="0"/>
      <w:sz w:val="24"/>
      <w:szCs w:val="20"/>
    </w:rPr>
  </w:style>
  <w:style w:type="paragraph" w:styleId="11">
    <w:name w:val="Block Text"/>
    <w:basedOn w:val="1"/>
    <w:autoRedefine/>
    <w:qFormat/>
    <w:locked/>
    <w:uiPriority w:val="0"/>
    <w:pPr>
      <w:snapToGrid w:val="0"/>
      <w:spacing w:line="408" w:lineRule="auto"/>
      <w:ind w:left="-113" w:right="-510" w:firstLine="510"/>
    </w:pPr>
    <w:rPr>
      <w:sz w:val="24"/>
      <w:szCs w:val="20"/>
    </w:rPr>
  </w:style>
  <w:style w:type="paragraph" w:styleId="12">
    <w:name w:val="Plain Text"/>
    <w:basedOn w:val="1"/>
    <w:link w:val="40"/>
    <w:autoRedefine/>
    <w:qFormat/>
    <w:locked/>
    <w:uiPriority w:val="0"/>
    <w:rPr>
      <w:rFonts w:ascii="宋体" w:hAnsi="Courier New" w:cs="Courier New"/>
      <w:szCs w:val="21"/>
    </w:rPr>
  </w:style>
  <w:style w:type="paragraph" w:styleId="13">
    <w:name w:val="Date"/>
    <w:basedOn w:val="1"/>
    <w:next w:val="1"/>
    <w:link w:val="41"/>
    <w:autoRedefine/>
    <w:qFormat/>
    <w:uiPriority w:val="0"/>
    <w:pPr>
      <w:ind w:left="100" w:leftChars="2500"/>
    </w:pPr>
    <w:rPr>
      <w:kern w:val="0"/>
      <w:sz w:val="24"/>
      <w:szCs w:val="20"/>
    </w:rPr>
  </w:style>
  <w:style w:type="paragraph" w:styleId="14">
    <w:name w:val="Body Text Indent 2"/>
    <w:basedOn w:val="15"/>
    <w:next w:val="1"/>
    <w:autoRedefine/>
    <w:qFormat/>
    <w:locked/>
    <w:uiPriority w:val="99"/>
    <w:pPr>
      <w:spacing w:after="120" w:afterLines="0" w:line="480" w:lineRule="auto"/>
      <w:ind w:left="420" w:leftChars="200"/>
    </w:pPr>
  </w:style>
  <w:style w:type="paragraph" w:customStyle="1" w:styleId="15">
    <w:name w:val="表头"/>
    <w:basedOn w:val="1"/>
    <w:autoRedefine/>
    <w:qFormat/>
    <w:uiPriority w:val="0"/>
    <w:pPr>
      <w:spacing w:line="360" w:lineRule="auto"/>
      <w:jc w:val="center"/>
    </w:pPr>
    <w:rPr>
      <w:b/>
      <w:sz w:val="24"/>
    </w:rPr>
  </w:style>
  <w:style w:type="paragraph" w:styleId="16">
    <w:name w:val="Balloon Text"/>
    <w:basedOn w:val="1"/>
    <w:link w:val="42"/>
    <w:autoRedefine/>
    <w:semiHidden/>
    <w:qFormat/>
    <w:uiPriority w:val="0"/>
    <w:rPr>
      <w:kern w:val="0"/>
      <w:sz w:val="18"/>
      <w:szCs w:val="20"/>
    </w:rPr>
  </w:style>
  <w:style w:type="paragraph" w:styleId="17">
    <w:name w:val="footer"/>
    <w:basedOn w:val="1"/>
    <w:link w:val="43"/>
    <w:autoRedefine/>
    <w:qFormat/>
    <w:uiPriority w:val="99"/>
    <w:pPr>
      <w:tabs>
        <w:tab w:val="center" w:pos="4153"/>
        <w:tab w:val="right" w:pos="8306"/>
      </w:tabs>
      <w:snapToGrid w:val="0"/>
      <w:jc w:val="left"/>
    </w:pPr>
    <w:rPr>
      <w:kern w:val="0"/>
      <w:sz w:val="18"/>
      <w:szCs w:val="20"/>
    </w:rPr>
  </w:style>
  <w:style w:type="paragraph" w:styleId="18">
    <w:name w:val="header"/>
    <w:basedOn w:val="1"/>
    <w:link w:val="44"/>
    <w:autoRedefine/>
    <w:qFormat/>
    <w:uiPriority w:val="0"/>
    <w:pPr>
      <w:pBdr>
        <w:bottom w:val="single" w:color="auto" w:sz="6" w:space="1"/>
      </w:pBdr>
      <w:tabs>
        <w:tab w:val="center" w:pos="4153"/>
        <w:tab w:val="right" w:pos="8306"/>
      </w:tabs>
      <w:snapToGrid w:val="0"/>
      <w:jc w:val="center"/>
    </w:pPr>
    <w:rPr>
      <w:kern w:val="0"/>
      <w:sz w:val="18"/>
      <w:szCs w:val="20"/>
    </w:rPr>
  </w:style>
  <w:style w:type="paragraph" w:styleId="19">
    <w:name w:val="Normal (Web)"/>
    <w:basedOn w:val="1"/>
    <w:link w:val="45"/>
    <w:autoRedefine/>
    <w:qFormat/>
    <w:uiPriority w:val="0"/>
    <w:pPr>
      <w:widowControl/>
      <w:spacing w:before="100" w:beforeAutospacing="1" w:after="100" w:afterAutospacing="1"/>
      <w:jc w:val="left"/>
    </w:pPr>
    <w:rPr>
      <w:rFonts w:ascii="宋体" w:hAnsi="宋体"/>
      <w:kern w:val="0"/>
      <w:sz w:val="24"/>
      <w:szCs w:val="20"/>
    </w:rPr>
  </w:style>
  <w:style w:type="paragraph" w:styleId="20">
    <w:name w:val="Title"/>
    <w:basedOn w:val="1"/>
    <w:next w:val="1"/>
    <w:link w:val="46"/>
    <w:autoRedefine/>
    <w:qFormat/>
    <w:locked/>
    <w:uiPriority w:val="1"/>
    <w:pPr>
      <w:spacing w:before="28"/>
      <w:ind w:right="18"/>
      <w:jc w:val="center"/>
    </w:pPr>
    <w:rPr>
      <w:rFonts w:ascii="宋体" w:hAnsi="宋体" w:cs="宋体"/>
      <w:b/>
      <w:bCs/>
      <w:sz w:val="52"/>
      <w:szCs w:val="52"/>
    </w:rPr>
  </w:style>
  <w:style w:type="paragraph" w:styleId="21">
    <w:name w:val="annotation subject"/>
    <w:basedOn w:val="8"/>
    <w:next w:val="8"/>
    <w:link w:val="47"/>
    <w:autoRedefine/>
    <w:semiHidden/>
    <w:qFormat/>
    <w:uiPriority w:val="0"/>
    <w:rPr>
      <w:b/>
      <w:kern w:val="2"/>
    </w:rPr>
  </w:style>
  <w:style w:type="paragraph" w:styleId="22">
    <w:name w:val="Body Text First Indent 2"/>
    <w:basedOn w:val="10"/>
    <w:next w:val="1"/>
    <w:autoRedefine/>
    <w:qFormat/>
    <w:locked/>
    <w:uiPriority w:val="99"/>
    <w:pPr>
      <w:ind w:firstLine="420"/>
    </w:pPr>
    <w:rPr>
      <w:sz w:val="21"/>
    </w:rPr>
  </w:style>
  <w:style w:type="table" w:styleId="24">
    <w:name w:val="Table Grid"/>
    <w:basedOn w:val="23"/>
    <w:autoRedefine/>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25">
    <w:name w:val="Table Theme"/>
    <w:basedOn w:val="23"/>
    <w:autoRedefine/>
    <w:qFormat/>
    <w:locked/>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7">
    <w:name w:val="page number"/>
    <w:basedOn w:val="26"/>
    <w:autoRedefine/>
    <w:qFormat/>
    <w:locked/>
    <w:uiPriority w:val="0"/>
  </w:style>
  <w:style w:type="character" w:styleId="28">
    <w:name w:val="Hyperlink"/>
    <w:autoRedefine/>
    <w:unhideWhenUsed/>
    <w:qFormat/>
    <w:locked/>
    <w:uiPriority w:val="99"/>
    <w:rPr>
      <w:color w:val="0000FF"/>
      <w:u w:val="single"/>
    </w:rPr>
  </w:style>
  <w:style w:type="character" w:styleId="29">
    <w:name w:val="annotation reference"/>
    <w:autoRedefine/>
    <w:semiHidden/>
    <w:qFormat/>
    <w:uiPriority w:val="0"/>
    <w:rPr>
      <w:sz w:val="21"/>
    </w:rPr>
  </w:style>
  <w:style w:type="paragraph" w:customStyle="1" w:styleId="30">
    <w:name w:val="样式 正文文本缩进 + 行距: 1.5 倍行距"/>
    <w:basedOn w:val="1"/>
    <w:autoRedefine/>
    <w:qFormat/>
    <w:uiPriority w:val="0"/>
    <w:pPr>
      <w:spacing w:after="120" w:line="360" w:lineRule="auto"/>
      <w:ind w:left="90" w:leftChars="32" w:firstLine="560" w:firstLineChars="200"/>
    </w:pPr>
    <w:rPr>
      <w:rFonts w:cs="宋体"/>
    </w:rPr>
  </w:style>
  <w:style w:type="paragraph" w:customStyle="1" w:styleId="31">
    <w:name w:val="Default"/>
    <w:basedOn w:val="32"/>
    <w:next w:val="1"/>
    <w:autoRedefine/>
    <w:qFormat/>
    <w:uiPriority w:val="0"/>
    <w:pPr>
      <w:widowControl w:val="0"/>
      <w:autoSpaceDE w:val="0"/>
      <w:autoSpaceDN w:val="0"/>
      <w:adjustRightInd w:val="0"/>
    </w:pPr>
    <w:rPr>
      <w:rFonts w:ascii="宋体" w:cs="宋体"/>
      <w:color w:val="000000"/>
      <w:sz w:val="24"/>
      <w:szCs w:val="24"/>
      <w:lang w:val="en-US" w:eastAsia="zh-CN" w:bidi="ar-SA"/>
    </w:rPr>
  </w:style>
  <w:style w:type="paragraph" w:customStyle="1" w:styleId="32">
    <w:name w:val="标题2"/>
    <w:basedOn w:val="1"/>
    <w:autoRedefine/>
    <w:qFormat/>
    <w:uiPriority w:val="0"/>
    <w:rPr>
      <w:rFonts w:ascii="宋体" w:hAnsi="宋体"/>
      <w:b/>
      <w:kern w:val="0"/>
      <w:sz w:val="24"/>
      <w:szCs w:val="24"/>
    </w:rPr>
  </w:style>
  <w:style w:type="paragraph" w:customStyle="1" w:styleId="33">
    <w:name w:val="样式35"/>
    <w:basedOn w:val="1"/>
    <w:next w:val="1"/>
    <w:autoRedefine/>
    <w:qFormat/>
    <w:uiPriority w:val="0"/>
    <w:pPr>
      <w:spacing w:line="312" w:lineRule="auto"/>
      <w:ind w:firstLine="567"/>
    </w:pPr>
    <w:rPr>
      <w:rFonts w:ascii="宋体"/>
      <w:sz w:val="28"/>
    </w:rPr>
  </w:style>
  <w:style w:type="paragraph" w:customStyle="1" w:styleId="34">
    <w:name w:val="无间隔1"/>
    <w:autoRedefine/>
    <w:qFormat/>
    <w:uiPriority w:val="0"/>
    <w:pPr>
      <w:adjustRightInd w:val="0"/>
      <w:snapToGrid w:val="0"/>
    </w:pPr>
    <w:rPr>
      <w:rFonts w:ascii="Tahoma" w:hAnsi="Tahoma" w:eastAsia="微软雅黑" w:cs="Times New Roman"/>
      <w:sz w:val="22"/>
      <w:szCs w:val="22"/>
      <w:lang w:val="en-US" w:eastAsia="zh-CN" w:bidi="ar-SA"/>
    </w:rPr>
  </w:style>
  <w:style w:type="character" w:customStyle="1" w:styleId="35">
    <w:name w:val="标题 2 Char"/>
    <w:link w:val="3"/>
    <w:autoRedefine/>
    <w:semiHidden/>
    <w:qFormat/>
    <w:uiPriority w:val="0"/>
    <w:rPr>
      <w:rFonts w:ascii="Cambria" w:hAnsi="Cambria" w:eastAsia="宋体" w:cs="Times New Roman"/>
      <w:b/>
      <w:bCs/>
      <w:kern w:val="2"/>
      <w:sz w:val="32"/>
      <w:szCs w:val="32"/>
    </w:rPr>
  </w:style>
  <w:style w:type="character" w:customStyle="1" w:styleId="36">
    <w:name w:val="标题 4 Char"/>
    <w:link w:val="5"/>
    <w:autoRedefine/>
    <w:semiHidden/>
    <w:qFormat/>
    <w:uiPriority w:val="0"/>
    <w:rPr>
      <w:rFonts w:ascii="Cambria" w:hAnsi="Cambria" w:eastAsia="宋体" w:cs="Times New Roman"/>
      <w:b/>
      <w:bCs/>
      <w:kern w:val="2"/>
      <w:sz w:val="28"/>
      <w:szCs w:val="28"/>
    </w:rPr>
  </w:style>
  <w:style w:type="character" w:customStyle="1" w:styleId="37">
    <w:name w:val="批注文字 Char"/>
    <w:link w:val="8"/>
    <w:autoRedefine/>
    <w:qFormat/>
    <w:locked/>
    <w:uiPriority w:val="0"/>
    <w:rPr>
      <w:rFonts w:ascii="Times New Roman" w:hAnsi="Times New Roman" w:eastAsia="宋体"/>
      <w:sz w:val="24"/>
    </w:rPr>
  </w:style>
  <w:style w:type="character" w:customStyle="1" w:styleId="38">
    <w:name w:val="正文文本 Char"/>
    <w:link w:val="9"/>
    <w:autoRedefine/>
    <w:qFormat/>
    <w:locked/>
    <w:uiPriority w:val="0"/>
    <w:rPr>
      <w:sz w:val="18"/>
    </w:rPr>
  </w:style>
  <w:style w:type="character" w:customStyle="1" w:styleId="39">
    <w:name w:val="正文文本缩进 Char"/>
    <w:link w:val="10"/>
    <w:autoRedefine/>
    <w:semiHidden/>
    <w:qFormat/>
    <w:locked/>
    <w:uiPriority w:val="0"/>
    <w:rPr>
      <w:rFonts w:ascii="Times New Roman" w:hAnsi="Times New Roman" w:eastAsia="宋体"/>
      <w:sz w:val="24"/>
    </w:rPr>
  </w:style>
  <w:style w:type="character" w:customStyle="1" w:styleId="40">
    <w:name w:val="纯文本 Char"/>
    <w:link w:val="12"/>
    <w:autoRedefine/>
    <w:qFormat/>
    <w:uiPriority w:val="0"/>
    <w:rPr>
      <w:rFonts w:ascii="宋体" w:hAnsi="Courier New" w:cs="Courier New"/>
      <w:kern w:val="2"/>
      <w:sz w:val="21"/>
      <w:szCs w:val="21"/>
    </w:rPr>
  </w:style>
  <w:style w:type="character" w:customStyle="1" w:styleId="41">
    <w:name w:val="日期 Char"/>
    <w:link w:val="13"/>
    <w:autoRedefine/>
    <w:qFormat/>
    <w:locked/>
    <w:uiPriority w:val="0"/>
    <w:rPr>
      <w:rFonts w:ascii="Times New Roman" w:hAnsi="Times New Roman" w:eastAsia="宋体"/>
      <w:sz w:val="24"/>
    </w:rPr>
  </w:style>
  <w:style w:type="character" w:customStyle="1" w:styleId="42">
    <w:name w:val="批注框文本 Char"/>
    <w:link w:val="16"/>
    <w:autoRedefine/>
    <w:semiHidden/>
    <w:qFormat/>
    <w:locked/>
    <w:uiPriority w:val="0"/>
    <w:rPr>
      <w:rFonts w:ascii="Times New Roman" w:hAnsi="Times New Roman" w:eastAsia="宋体"/>
      <w:sz w:val="18"/>
    </w:rPr>
  </w:style>
  <w:style w:type="character" w:customStyle="1" w:styleId="43">
    <w:name w:val="页脚 Char"/>
    <w:link w:val="17"/>
    <w:autoRedefine/>
    <w:qFormat/>
    <w:locked/>
    <w:uiPriority w:val="99"/>
    <w:rPr>
      <w:sz w:val="18"/>
    </w:rPr>
  </w:style>
  <w:style w:type="character" w:customStyle="1" w:styleId="44">
    <w:name w:val="页眉 Char"/>
    <w:link w:val="18"/>
    <w:autoRedefine/>
    <w:qFormat/>
    <w:locked/>
    <w:uiPriority w:val="0"/>
    <w:rPr>
      <w:sz w:val="18"/>
    </w:rPr>
  </w:style>
  <w:style w:type="character" w:customStyle="1" w:styleId="45">
    <w:name w:val="普通(网站) Char"/>
    <w:link w:val="19"/>
    <w:autoRedefine/>
    <w:qFormat/>
    <w:locked/>
    <w:uiPriority w:val="0"/>
    <w:rPr>
      <w:rFonts w:ascii="宋体" w:hAnsi="宋体" w:eastAsia="宋体"/>
      <w:sz w:val="24"/>
    </w:rPr>
  </w:style>
  <w:style w:type="character" w:customStyle="1" w:styleId="46">
    <w:name w:val="标题 Char"/>
    <w:link w:val="20"/>
    <w:autoRedefine/>
    <w:qFormat/>
    <w:uiPriority w:val="1"/>
    <w:rPr>
      <w:rFonts w:ascii="宋体" w:hAnsi="宋体" w:cs="宋体"/>
      <w:b/>
      <w:bCs/>
      <w:kern w:val="2"/>
      <w:sz w:val="52"/>
      <w:szCs w:val="52"/>
    </w:rPr>
  </w:style>
  <w:style w:type="character" w:customStyle="1" w:styleId="47">
    <w:name w:val="批注主题 Char"/>
    <w:link w:val="21"/>
    <w:autoRedefine/>
    <w:semiHidden/>
    <w:qFormat/>
    <w:locked/>
    <w:uiPriority w:val="0"/>
    <w:rPr>
      <w:rFonts w:ascii="Times New Roman" w:hAnsi="Times New Roman" w:eastAsia="宋体"/>
      <w:b/>
      <w:kern w:val="2"/>
      <w:sz w:val="24"/>
    </w:rPr>
  </w:style>
  <w:style w:type="character" w:customStyle="1" w:styleId="48">
    <w:name w:val="页脚 字符"/>
    <w:basedOn w:val="26"/>
    <w:autoRedefine/>
    <w:qFormat/>
    <w:uiPriority w:val="99"/>
  </w:style>
  <w:style w:type="character" w:customStyle="1" w:styleId="49">
    <w:name w:val="正文文本 字符1"/>
    <w:autoRedefine/>
    <w:semiHidden/>
    <w:qFormat/>
    <w:uiPriority w:val="0"/>
    <w:rPr>
      <w:rFonts w:ascii="Times New Roman" w:hAnsi="Times New Roman" w:eastAsia="宋体"/>
      <w:sz w:val="24"/>
    </w:rPr>
  </w:style>
  <w:style w:type="character" w:customStyle="1" w:styleId="50">
    <w:name w:val="表格 Char"/>
    <w:link w:val="51"/>
    <w:autoRedefine/>
    <w:qFormat/>
    <w:locked/>
    <w:uiPriority w:val="0"/>
    <w:rPr>
      <w:rFonts w:ascii="宋体"/>
      <w:sz w:val="21"/>
    </w:rPr>
  </w:style>
  <w:style w:type="paragraph" w:customStyle="1" w:styleId="51">
    <w:name w:val="表格"/>
    <w:basedOn w:val="6"/>
    <w:link w:val="50"/>
    <w:autoRedefine/>
    <w:qFormat/>
    <w:uiPriority w:val="0"/>
    <w:pPr>
      <w:adjustRightInd w:val="0"/>
      <w:snapToGrid w:val="0"/>
      <w:spacing w:beforeLines="10" w:afterLines="10" w:line="259" w:lineRule="auto"/>
      <w:jc w:val="center"/>
    </w:pPr>
    <w:rPr>
      <w:rFonts w:ascii="宋体"/>
      <w:kern w:val="0"/>
      <w:szCs w:val="20"/>
    </w:rPr>
  </w:style>
  <w:style w:type="character" w:customStyle="1" w:styleId="52">
    <w:name w:val="日期 字符"/>
    <w:autoRedefine/>
    <w:semiHidden/>
    <w:qFormat/>
    <w:uiPriority w:val="0"/>
    <w:rPr>
      <w:rFonts w:ascii="Times New Roman" w:hAnsi="Times New Roman" w:eastAsia="宋体"/>
      <w:sz w:val="24"/>
    </w:rPr>
  </w:style>
  <w:style w:type="character" w:customStyle="1" w:styleId="53">
    <w:name w:val="批注文字 字符1"/>
    <w:autoRedefine/>
    <w:semiHidden/>
    <w:qFormat/>
    <w:uiPriority w:val="0"/>
    <w:rPr>
      <w:rFonts w:ascii="Times New Roman" w:hAnsi="Times New Roman" w:eastAsia="宋体"/>
      <w:sz w:val="24"/>
    </w:rPr>
  </w:style>
  <w:style w:type="paragraph" w:customStyle="1" w:styleId="54">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5">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56">
    <w:name w:val="段落"/>
    <w:basedOn w:val="12"/>
    <w:autoRedefine/>
    <w:qFormat/>
    <w:uiPriority w:val="0"/>
    <w:pPr>
      <w:spacing w:line="480" w:lineRule="exact"/>
      <w:ind w:firstLine="578"/>
    </w:pPr>
    <w:rPr>
      <w:sz w:val="28"/>
      <w:szCs w:val="28"/>
    </w:rPr>
  </w:style>
  <w:style w:type="paragraph" w:customStyle="1" w:styleId="57">
    <w:name w:val="段落 Char"/>
    <w:basedOn w:val="12"/>
    <w:autoRedefine/>
    <w:qFormat/>
    <w:uiPriority w:val="0"/>
    <w:pPr>
      <w:spacing w:line="500" w:lineRule="exact"/>
      <w:ind w:firstLine="578"/>
    </w:pPr>
    <w:rPr>
      <w:rFonts w:ascii="Times New Roman" w:hAnsi="Times New Roman" w:cs="Times New Roman"/>
      <w:sz w:val="28"/>
      <w:szCs w:val="28"/>
    </w:rPr>
  </w:style>
  <w:style w:type="paragraph" w:customStyle="1" w:styleId="58">
    <w:name w:val="文字"/>
    <w:basedOn w:val="1"/>
    <w:autoRedefine/>
    <w:qFormat/>
    <w:uiPriority w:val="0"/>
    <w:pPr>
      <w:widowControl/>
      <w:spacing w:afterLines="50" w:line="360" w:lineRule="auto"/>
      <w:ind w:firstLine="420"/>
    </w:pPr>
    <w:rPr>
      <w:kern w:val="0"/>
      <w:sz w:val="24"/>
    </w:rPr>
  </w:style>
  <w:style w:type="character" w:customStyle="1" w:styleId="59">
    <w:name w:val="NormalCharacter"/>
    <w:autoRedefine/>
    <w:qFormat/>
    <w:uiPriority w:val="0"/>
  </w:style>
  <w:style w:type="character" w:customStyle="1" w:styleId="60">
    <w:name w:val="UserStyle_1"/>
    <w:link w:val="61"/>
    <w:autoRedefine/>
    <w:qFormat/>
    <w:locked/>
    <w:uiPriority w:val="0"/>
    <w:rPr>
      <w:rFonts w:ascii="宋体" w:hAnsi="宋体"/>
      <w:sz w:val="28"/>
    </w:rPr>
  </w:style>
  <w:style w:type="paragraph" w:customStyle="1" w:styleId="61">
    <w:name w:val="NormalIndent"/>
    <w:basedOn w:val="1"/>
    <w:link w:val="60"/>
    <w:autoRedefine/>
    <w:qFormat/>
    <w:uiPriority w:val="0"/>
    <w:pPr>
      <w:widowControl/>
      <w:textAlignment w:val="baseline"/>
    </w:pPr>
    <w:rPr>
      <w:rFonts w:ascii="宋体" w:hAnsi="宋体"/>
      <w:kern w:val="0"/>
      <w:sz w:val="28"/>
      <w:szCs w:val="20"/>
    </w:rPr>
  </w:style>
  <w:style w:type="paragraph" w:customStyle="1" w:styleId="62">
    <w:name w:val="Table Paragraph"/>
    <w:basedOn w:val="1"/>
    <w:autoRedefine/>
    <w:qFormat/>
    <w:uiPriority w:val="1"/>
    <w:pPr>
      <w:widowControl/>
      <w:jc w:val="left"/>
    </w:pPr>
    <w:rPr>
      <w:rFonts w:ascii="Calibri" w:hAnsi="Calibri" w:cs="宋体"/>
      <w:kern w:val="0"/>
      <w:sz w:val="22"/>
      <w:szCs w:val="22"/>
    </w:rPr>
  </w:style>
  <w:style w:type="paragraph" w:customStyle="1" w:styleId="63">
    <w:name w:val="TT正文"/>
    <w:basedOn w:val="1"/>
    <w:autoRedefine/>
    <w:qFormat/>
    <w:uiPriority w:val="0"/>
    <w:pPr>
      <w:ind w:firstLine="200" w:firstLineChars="200"/>
    </w:pPr>
    <w:rPr>
      <w:rFonts w:cs="宋体"/>
      <w:color w:val="000000"/>
      <w:sz w:val="24"/>
      <w:szCs w:val="20"/>
    </w:rPr>
  </w:style>
  <w:style w:type="paragraph" w:customStyle="1" w:styleId="64">
    <w:name w:val="表内"/>
    <w:basedOn w:val="1"/>
    <w:autoRedefine/>
    <w:qFormat/>
    <w:uiPriority w:val="99"/>
    <w:pPr>
      <w:framePr w:hSpace="180" w:wrap="around" w:vAnchor="page" w:hAnchor="margin" w:y="1411"/>
      <w:widowControl/>
    </w:pPr>
    <w:rPr>
      <w:rFonts w:ascii="宋体" w:hAnsi="宋体" w:eastAsia="仿宋"/>
      <w:kern w:val="0"/>
      <w:sz w:val="20"/>
      <w:szCs w:val="20"/>
    </w:rPr>
  </w:style>
  <w:style w:type="paragraph" w:customStyle="1" w:styleId="65">
    <w:name w:val="样式1"/>
    <w:basedOn w:val="1"/>
    <w:link w:val="66"/>
    <w:autoRedefine/>
    <w:qFormat/>
    <w:uiPriority w:val="0"/>
    <w:pPr>
      <w:jc w:val="left"/>
    </w:pPr>
    <w:rPr>
      <w:rFonts w:eastAsia="仿宋" w:cs="Times New Roman"/>
      <w:snapToGrid w:val="0"/>
      <w:kern w:val="0"/>
      <w:sz w:val="20"/>
      <w:szCs w:val="20"/>
      <w:shd w:val="clear" w:color="auto" w:fill="FFFFFF"/>
    </w:rPr>
  </w:style>
  <w:style w:type="character" w:customStyle="1" w:styleId="66">
    <w:name w:val="样式1 Char"/>
    <w:link w:val="65"/>
    <w:autoRedefine/>
    <w:qFormat/>
    <w:uiPriority w:val="0"/>
    <w:rPr>
      <w:rFonts w:eastAsia="仿宋" w:cs="Times New Roman"/>
      <w:snapToGrid w:val="0"/>
    </w:rPr>
  </w:style>
  <w:style w:type="paragraph" w:customStyle="1" w:styleId="67">
    <w:name w:val="22磅行间距"/>
    <w:autoRedefine/>
    <w:qFormat/>
    <w:uiPriority w:val="0"/>
    <w:pPr>
      <w:widowControl w:val="0"/>
      <w:adjustRightInd w:val="0"/>
      <w:snapToGrid w:val="0"/>
      <w:spacing w:line="440" w:lineRule="exact"/>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68">
    <w:name w:val="鸿达表头"/>
    <w:basedOn w:val="1"/>
    <w:autoRedefine/>
    <w:qFormat/>
    <w:uiPriority w:val="0"/>
    <w:pPr>
      <w:adjustRightInd/>
      <w:snapToGrid/>
      <w:textAlignment w:val="auto"/>
    </w:pPr>
    <w:rPr>
      <w:b/>
      <w:kern w:val="2"/>
      <w:szCs w:val="24"/>
    </w:rPr>
  </w:style>
  <w:style w:type="paragraph" w:customStyle="1" w:styleId="69">
    <w:name w:val="样式36"/>
    <w:autoRedefine/>
    <w:qFormat/>
    <w:uiPriority w:val="0"/>
    <w:pPr>
      <w:autoSpaceDE w:val="0"/>
      <w:autoSpaceDN w:val="0"/>
      <w:adjustRightInd w:val="0"/>
      <w:snapToGrid w:val="0"/>
      <w:spacing w:after="157" w:afterLines="50"/>
      <w:jc w:val="left"/>
    </w:pPr>
    <w:rPr>
      <w:rFonts w:hint="eastAsia" w:ascii="Times New Roman" w:hAnsi="Times New Roman" w:eastAsia="宋体" w:cs="Times New Roman"/>
    </w:rPr>
  </w:style>
  <w:style w:type="paragraph" w:customStyle="1" w:styleId="70">
    <w:name w:val="样式37"/>
    <w:autoRedefine/>
    <w:qFormat/>
    <w:uiPriority w:val="0"/>
    <w:pPr>
      <w:autoSpaceDE w:val="0"/>
      <w:autoSpaceDN w:val="0"/>
      <w:adjustRightInd w:val="0"/>
      <w:snapToGrid w:val="0"/>
      <w:jc w:val="left"/>
    </w:pPr>
    <w:rPr>
      <w:rFonts w:ascii="Times New Roman" w:hAnsi="Times New Roman" w:eastAsia="宋体" w:cs="Times New Roman"/>
      <w:sz w:val="24"/>
    </w:rPr>
  </w:style>
  <w:style w:type="paragraph" w:styleId="71">
    <w:name w:val="List Paragraph"/>
    <w:basedOn w:val="1"/>
    <w:autoRedefine/>
    <w:qFormat/>
    <w:uiPriority w:val="34"/>
    <w:pPr>
      <w:ind w:firstLine="420" w:firstLineChars="200"/>
    </w:pPr>
  </w:style>
  <w:style w:type="paragraph" w:customStyle="1" w:styleId="72">
    <w:name w:val="鸿达表格文字"/>
    <w:basedOn w:val="1"/>
    <w:autoRedefine/>
    <w:qFormat/>
    <w:uiPriority w:val="0"/>
    <w:pPr>
      <w:contextualSpacing/>
      <w:jc w:val="center"/>
    </w:pPr>
    <w:rPr>
      <w:rFonts w:ascii="Times New Roman" w:hAnsi="Times New Roman" w:eastAsia="宋体"/>
      <w:szCs w:val="21"/>
    </w:rPr>
  </w:style>
  <w:style w:type="paragraph" w:customStyle="1" w:styleId="73">
    <w:name w:val="_Style 1"/>
    <w:basedOn w:val="1"/>
    <w:autoRedefine/>
    <w:qFormat/>
    <w:uiPriority w:val="34"/>
    <w:pPr>
      <w:ind w:firstLine="420" w:firstLineChars="200"/>
    </w:pPr>
    <w:rPr>
      <w:rFonts w:ascii="Times New Roman" w:hAnsi="Times New Roman" w:eastAsia="宋体"/>
    </w:rPr>
  </w:style>
  <w:style w:type="paragraph" w:customStyle="1" w:styleId="74">
    <w:name w:val="中文报告书样式"/>
    <w:basedOn w:val="1"/>
    <w:autoRedefine/>
    <w:qFormat/>
    <w:uiPriority w:val="0"/>
    <w:pPr>
      <w:adjustRightInd w:val="0"/>
      <w:spacing w:line="480" w:lineRule="atLeast"/>
      <w:ind w:firstLine="482"/>
      <w:textAlignment w:val="baseline"/>
    </w:pPr>
    <w:rPr>
      <w:rFonts w:cs="宋体"/>
      <w:color w:val="000000"/>
      <w:kern w:val="24"/>
      <w:sz w:val="24"/>
    </w:rPr>
  </w:style>
  <w:style w:type="paragraph" w:customStyle="1" w:styleId="75">
    <w:name w:val="赵正文"/>
    <w:basedOn w:val="1"/>
    <w:autoRedefine/>
    <w:qFormat/>
    <w:uiPriority w:val="0"/>
    <w:pPr>
      <w:spacing w:line="520" w:lineRule="exact"/>
      <w:ind w:firstLine="640" w:firstLineChars="200"/>
    </w:pPr>
    <w:rPr>
      <w:kern w:val="0"/>
      <w:sz w:val="24"/>
    </w:rPr>
  </w:style>
  <w:style w:type="paragraph" w:customStyle="1" w:styleId="76">
    <w:name w:val="正文1"/>
    <w:basedOn w:val="1"/>
    <w:autoRedefine/>
    <w:qFormat/>
    <w:uiPriority w:val="0"/>
    <w:pPr>
      <w:ind w:firstLine="552"/>
    </w:pPr>
    <w:rPr>
      <w:rFonts w:ascii="楷体_GB2312" w:eastAsia="楷体_GB2312"/>
      <w:b/>
    </w:rPr>
  </w:style>
  <w:style w:type="character" w:customStyle="1" w:styleId="77">
    <w:name w:val="font21"/>
    <w:basedOn w:val="26"/>
    <w:autoRedefine/>
    <w:qFormat/>
    <w:uiPriority w:val="0"/>
    <w:rPr>
      <w:rFonts w:hint="default" w:ascii="Times New Roman" w:hAnsi="Times New Roman" w:cs="Times New Roman"/>
      <w:color w:val="000000"/>
      <w:sz w:val="21"/>
      <w:szCs w:val="21"/>
      <w:u w:val="none"/>
    </w:rPr>
  </w:style>
  <w:style w:type="character" w:customStyle="1" w:styleId="78">
    <w:name w:val="font11"/>
    <w:basedOn w:val="26"/>
    <w:autoRedefine/>
    <w:qFormat/>
    <w:uiPriority w:val="0"/>
    <w:rPr>
      <w:rFonts w:hint="eastAsia" w:ascii="宋体" w:hAnsi="宋体" w:eastAsia="宋体" w:cs="宋体"/>
      <w:color w:val="000000"/>
      <w:sz w:val="21"/>
      <w:szCs w:val="21"/>
      <w:u w:val="none"/>
    </w:rPr>
  </w:style>
  <w:style w:type="paragraph" w:customStyle="1" w:styleId="79">
    <w:name w:val="鸿达表加粗"/>
    <w:basedOn w:val="1"/>
    <w:autoRedefine/>
    <w:qFormat/>
    <w:uiPriority w:val="0"/>
    <w:pPr>
      <w:adjustRightInd/>
      <w:snapToGrid/>
      <w:spacing w:line="240" w:lineRule="auto"/>
      <w:ind w:firstLine="0" w:firstLineChars="0"/>
      <w:jc w:val="center"/>
      <w:textAlignment w:val="auto"/>
    </w:pPr>
    <w:rPr>
      <w:rFonts w:cs="宋体"/>
      <w:b/>
      <w:color w:val="000000"/>
      <w:kern w:val="2"/>
      <w:sz w:val="21"/>
    </w:rPr>
  </w:style>
  <w:style w:type="paragraph" w:customStyle="1" w:styleId="80">
    <w:name w:val="表格内容"/>
    <w:basedOn w:val="1"/>
    <w:autoRedefine/>
    <w:qFormat/>
    <w:uiPriority w:val="0"/>
    <w:pPr>
      <w:spacing w:line="400" w:lineRule="atLeast"/>
      <w:jc w:val="center"/>
    </w:pPr>
    <w:rPr>
      <w:rFonts w:hint="eastAsia" w:ascii="Microsoft JhengHei Light" w:hAnsi="Microsoft JhengHei Light" w:eastAsia="Microsoft JhengHei Light"/>
      <w:color w:val="000000"/>
      <w:kern w:val="0"/>
      <w:sz w:val="22"/>
    </w:rPr>
  </w:style>
  <w:style w:type="paragraph" w:customStyle="1" w:styleId="81">
    <w:name w:val="1.1.1.1 格式"/>
    <w:basedOn w:val="1"/>
    <w:qFormat/>
    <w:uiPriority w:val="0"/>
    <w:pPr>
      <w:ind w:firstLine="0" w:firstLineChars="0"/>
      <w:outlineLvl w:val="3"/>
    </w:pPr>
  </w:style>
  <w:style w:type="paragraph" w:customStyle="1" w:styleId="82">
    <w:name w:val="表内 定"/>
    <w:basedOn w:val="1"/>
    <w:qFormat/>
    <w:uiPriority w:val="0"/>
    <w:pPr>
      <w:spacing w:line="240" w:lineRule="auto"/>
      <w:ind w:firstLine="0" w:firstLineChars="0"/>
      <w:jc w:val="left"/>
    </w:pPr>
    <w:rPr>
      <w:rFonts w:eastAsia="仿宋"/>
      <w:color w:val="000000"/>
      <w:kern w:val="0"/>
      <w:sz w:val="20"/>
      <w:szCs w:val="22"/>
    </w:rPr>
  </w:style>
  <w:style w:type="paragraph" w:customStyle="1" w:styleId="83">
    <w:name w:val="报告表表格文字"/>
    <w:basedOn w:val="1"/>
    <w:qFormat/>
    <w:uiPriority w:val="0"/>
    <w:pPr>
      <w:autoSpaceDE w:val="0"/>
      <w:autoSpaceDN w:val="0"/>
      <w:adjustRightInd w:val="0"/>
      <w:snapToGrid w:val="0"/>
      <w:spacing w:line="360" w:lineRule="exact"/>
      <w:jc w:val="center"/>
    </w:pPr>
    <w:rPr>
      <w:rFonts w:ascii="Calibri" w:hAnsi="Calibri" w:eastAsia="等线"/>
      <w:color w:val="000000"/>
      <w:kern w:val="0"/>
      <w:szCs w:val="21"/>
    </w:rPr>
  </w:style>
  <w:style w:type="character" w:customStyle="1" w:styleId="84">
    <w:name w:val="font31"/>
    <w:basedOn w:val="26"/>
    <w:qFormat/>
    <w:uiPriority w:val="0"/>
    <w:rPr>
      <w:rFonts w:hint="eastAsia" w:ascii="宋体" w:hAnsi="宋体" w:eastAsia="宋体" w:cs="宋体"/>
      <w:color w:val="000000"/>
      <w:sz w:val="20"/>
      <w:szCs w:val="20"/>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header" Target="header2.xml"/><Relationship Id="rId48" Type="http://schemas.openxmlformats.org/officeDocument/2006/relationships/fontTable" Target="fontTable.xml"/><Relationship Id="rId47" Type="http://schemas.openxmlformats.org/officeDocument/2006/relationships/numbering" Target="numbering.xml"/><Relationship Id="rId46" Type="http://schemas.openxmlformats.org/officeDocument/2006/relationships/customXml" Target="../customXml/item1.xml"/><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footer" Target="footer1.xml"/><Relationship Id="rId39" Type="http://schemas.openxmlformats.org/officeDocument/2006/relationships/image" Target="media/image32.jpeg"/><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jpeg"/><Relationship Id="rId35" Type="http://schemas.openxmlformats.org/officeDocument/2006/relationships/image" Target="media/image28.png"/><Relationship Id="rId34" Type="http://schemas.openxmlformats.org/officeDocument/2006/relationships/image" Target="media/image27.jpeg"/><Relationship Id="rId33" Type="http://schemas.openxmlformats.org/officeDocument/2006/relationships/image" Target="media/image26.jpeg"/><Relationship Id="rId32" Type="http://schemas.openxmlformats.org/officeDocument/2006/relationships/image" Target="media/image25.jpe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header" Target="header1.xml"/><Relationship Id="rId29" Type="http://schemas.openxmlformats.org/officeDocument/2006/relationships/image" Target="media/image22.pn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jpeg"/><Relationship Id="rId21" Type="http://schemas.openxmlformats.org/officeDocument/2006/relationships/image" Target="media/image14.jpe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100</Pages>
  <Words>32721</Words>
  <Characters>37774</Characters>
  <Lines>1</Lines>
  <Paragraphs>1</Paragraphs>
  <TotalTime>0</TotalTime>
  <ScaleCrop>false</ScaleCrop>
  <LinksUpToDate>false</LinksUpToDate>
  <CharactersWithSpaces>38095</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WPS_1509862140</cp:lastModifiedBy>
  <cp:lastPrinted>2025-07-31T02:03:00Z</cp:lastPrinted>
  <dcterms:modified xsi:type="dcterms:W3CDTF">2026-03-25T00:38:54Z</dcterms:modified>
  <dc:title>附件2</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F916D12C3A204D47871AAABA47C6EE3D_13</vt:lpwstr>
  </property>
  <property fmtid="{D5CDD505-2E9C-101B-9397-08002B2CF9AE}" pid="4" name="KSOTemplateDocerSaveRecord">
    <vt:lpwstr>eyJoZGlkIjoiZWZhMmE3Y2ZkMWQ0NzBlOThhODRlMGIzZmZkZGIwNGEiLCJ1c2VySWQiOiIzMjAyNDgwNzEifQ==</vt:lpwstr>
  </property>
</Properties>
</file>