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C486D87">
      <w:pPr>
        <w:bidi w:val="0"/>
        <w:spacing w:line="360" w:lineRule="auto"/>
        <w:jc w:val="center"/>
        <w:rPr>
          <w:rFonts w:hint="eastAsia" w:ascii="黑体" w:hAnsi="黑体" w:eastAsia="黑体" w:cs="黑体"/>
          <w:b w:val="0"/>
          <w:bCs w:val="0"/>
          <w:sz w:val="30"/>
          <w:szCs w:val="30"/>
          <w:lang w:eastAsia="zh-CN"/>
        </w:rPr>
        <w:sectPr>
          <w:headerReference r:id="rId3" w:type="default"/>
          <w:footerReference r:id="rId4" w:type="default"/>
          <w:pgSz w:w="11906" w:h="16838"/>
          <w:pgMar w:top="1531" w:right="1531" w:bottom="1531" w:left="1531" w:header="851" w:footer="851" w:gutter="0"/>
          <w:pgBorders>
            <w:top w:val="none" w:sz="0" w:space="0"/>
            <w:left w:val="none" w:sz="0" w:space="0"/>
            <w:bottom w:val="none" w:sz="0" w:space="0"/>
            <w:right w:val="none" w:sz="0" w:space="0"/>
          </w:pgBorders>
          <w:pgNumType w:start="1"/>
          <w:cols w:space="720" w:num="1"/>
          <w:docGrid w:linePitch="312" w:charSpace="0"/>
        </w:sectPr>
      </w:pPr>
      <w:r>
        <w:rPr>
          <w:rFonts w:hint="eastAsia" w:ascii="黑体" w:hAnsi="黑体" w:eastAsia="黑体" w:cs="黑体"/>
          <w:b w:val="0"/>
          <w:bCs w:val="0"/>
          <w:sz w:val="30"/>
          <w:szCs w:val="30"/>
          <w:lang w:eastAsia="zh-CN"/>
        </w:rPr>
        <w:drawing>
          <wp:inline distT="0" distB="0" distL="114300" distR="114300">
            <wp:extent cx="5610860" cy="7999730"/>
            <wp:effectExtent l="0" t="0" r="8890" b="1270"/>
            <wp:docPr id="7" name="图片 7" descr="封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封皮_01"/>
                    <pic:cNvPicPr>
                      <a:picLocks noChangeAspect="1"/>
                    </pic:cNvPicPr>
                  </pic:nvPicPr>
                  <pic:blipFill>
                    <a:blip r:embed="rId8"/>
                    <a:stretch>
                      <a:fillRect/>
                    </a:stretch>
                  </pic:blipFill>
                  <pic:spPr>
                    <a:xfrm>
                      <a:off x="0" y="0"/>
                      <a:ext cx="5610860" cy="7999730"/>
                    </a:xfrm>
                    <a:prstGeom prst="rect">
                      <a:avLst/>
                    </a:prstGeom>
                  </pic:spPr>
                </pic:pic>
              </a:graphicData>
            </a:graphic>
          </wp:inline>
        </w:drawing>
      </w:r>
    </w:p>
    <w:p w14:paraId="795127FD">
      <w:pPr>
        <w:pStyle w:val="21"/>
        <w:keepNext w:val="0"/>
        <w:keepLines w:val="0"/>
        <w:pageBreakBefore w:val="0"/>
        <w:widowControl w:val="0"/>
        <w:kinsoku/>
        <w:wordWrap/>
        <w:overflowPunct/>
        <w:topLinePunct w:val="0"/>
        <w:autoSpaceDE/>
        <w:autoSpaceDN/>
        <w:bidi w:val="0"/>
        <w:adjustRightInd/>
        <w:snapToGrid/>
        <w:ind w:left="0" w:leftChars="0" w:firstLine="0"/>
        <w:textAlignment w:val="auto"/>
        <w:rPr>
          <w:rFonts w:hint="eastAsia" w:eastAsia="宋体"/>
          <w:lang w:eastAsia="zh-CN"/>
        </w:rPr>
      </w:pPr>
      <w:r>
        <w:rPr>
          <w:rFonts w:hint="eastAsia" w:eastAsia="宋体"/>
          <w:lang w:eastAsia="zh-CN"/>
        </w:rPr>
        <w:drawing>
          <wp:inline distT="0" distB="0" distL="114300" distR="114300">
            <wp:extent cx="5615940" cy="7943215"/>
            <wp:effectExtent l="0" t="0" r="3810" b="635"/>
            <wp:docPr id="26" name="图片 26" descr="11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11_02"/>
                    <pic:cNvPicPr>
                      <a:picLocks noChangeAspect="1"/>
                    </pic:cNvPicPr>
                  </pic:nvPicPr>
                  <pic:blipFill>
                    <a:blip r:embed="rId9"/>
                    <a:stretch>
                      <a:fillRect/>
                    </a:stretch>
                  </pic:blipFill>
                  <pic:spPr>
                    <a:xfrm>
                      <a:off x="0" y="0"/>
                      <a:ext cx="5615940" cy="7943215"/>
                    </a:xfrm>
                    <a:prstGeom prst="rect">
                      <a:avLst/>
                    </a:prstGeom>
                  </pic:spPr>
                </pic:pic>
              </a:graphicData>
            </a:graphic>
          </wp:inline>
        </w:drawing>
      </w:r>
    </w:p>
    <w:p w14:paraId="35FC6A91">
      <w:pPr>
        <w:rPr>
          <w:rFonts w:hint="eastAsia" w:eastAsia="宋体"/>
          <w:lang w:eastAsia="zh-CN"/>
        </w:rPr>
      </w:pPr>
    </w:p>
    <w:p w14:paraId="73A68A12">
      <w:pPr>
        <w:rPr>
          <w:rFonts w:hint="eastAsia" w:eastAsia="宋体"/>
          <w:lang w:eastAsia="zh-CN"/>
        </w:rPr>
      </w:pPr>
    </w:p>
    <w:p w14:paraId="4CD3577F">
      <w:pPr>
        <w:rPr>
          <w:rFonts w:hint="eastAsia" w:eastAsia="宋体"/>
          <w:lang w:eastAsia="zh-CN"/>
        </w:rPr>
      </w:pPr>
    </w:p>
    <w:p w14:paraId="39100D72">
      <w:pPr>
        <w:rPr>
          <w:rFonts w:hint="eastAsia" w:eastAsia="宋体"/>
          <w:lang w:eastAsia="zh-CN"/>
        </w:rPr>
      </w:pPr>
    </w:p>
    <w:p w14:paraId="2C3BC536">
      <w:pPr>
        <w:rPr>
          <w:rFonts w:hint="eastAsia" w:eastAsia="宋体"/>
          <w:lang w:eastAsia="zh-CN"/>
        </w:rPr>
      </w:pPr>
    </w:p>
    <w:p w14:paraId="163856FC">
      <w:pPr>
        <w:rPr>
          <w:rFonts w:hint="eastAsia" w:eastAsia="宋体"/>
          <w:lang w:eastAsia="zh-CN"/>
        </w:rPr>
        <w:sectPr>
          <w:pgSz w:w="11906" w:h="16838"/>
          <w:pgMar w:top="1531" w:right="1531" w:bottom="1531" w:left="1531" w:header="851" w:footer="851" w:gutter="0"/>
          <w:pgBorders>
            <w:top w:val="none" w:sz="0" w:space="0"/>
            <w:left w:val="none" w:sz="0" w:space="0"/>
            <w:bottom w:val="none" w:sz="0" w:space="0"/>
            <w:right w:val="none" w:sz="0" w:space="0"/>
          </w:pgBorders>
          <w:pgNumType w:start="1"/>
          <w:cols w:space="720" w:num="1"/>
          <w:docGrid w:linePitch="312" w:charSpace="0"/>
        </w:sectPr>
      </w:pPr>
      <w:r>
        <w:rPr>
          <w:rFonts w:hint="eastAsia" w:eastAsia="宋体"/>
          <w:lang w:eastAsia="zh-CN"/>
        </w:rPr>
        <w:drawing>
          <wp:inline distT="0" distB="0" distL="114300" distR="114300">
            <wp:extent cx="5615940" cy="7943215"/>
            <wp:effectExtent l="0" t="0" r="3810" b="635"/>
            <wp:docPr id="27" name="图片 27" descr="11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11_01"/>
                    <pic:cNvPicPr>
                      <a:picLocks noChangeAspect="1"/>
                    </pic:cNvPicPr>
                  </pic:nvPicPr>
                  <pic:blipFill>
                    <a:blip r:embed="rId10"/>
                    <a:stretch>
                      <a:fillRect/>
                    </a:stretch>
                  </pic:blipFill>
                  <pic:spPr>
                    <a:xfrm>
                      <a:off x="0" y="0"/>
                      <a:ext cx="5615940" cy="7943215"/>
                    </a:xfrm>
                    <a:prstGeom prst="rect">
                      <a:avLst/>
                    </a:prstGeom>
                  </pic:spPr>
                </pic:pic>
              </a:graphicData>
            </a:graphic>
          </wp:inline>
        </w:drawing>
      </w:r>
    </w:p>
    <w:p w14:paraId="18017CA9">
      <w:pPr>
        <w:pStyle w:val="21"/>
        <w:keepNext w:val="0"/>
        <w:keepLines w:val="0"/>
        <w:pageBreakBefore w:val="0"/>
        <w:widowControl w:val="0"/>
        <w:kinsoku/>
        <w:wordWrap/>
        <w:overflowPunct/>
        <w:topLinePunct w:val="0"/>
        <w:autoSpaceDE/>
        <w:autoSpaceDN/>
        <w:bidi w:val="0"/>
        <w:adjustRightInd/>
        <w:snapToGrid/>
        <w:ind w:left="0" w:leftChars="0" w:firstLine="0"/>
        <w:textAlignment w:val="auto"/>
        <w:rPr>
          <w:rFonts w:hint="eastAsia"/>
        </w:rPr>
        <w:sectPr>
          <w:pgSz w:w="11906" w:h="16838"/>
          <w:pgMar w:top="1531" w:right="1531" w:bottom="1531" w:left="1531" w:header="851" w:footer="851" w:gutter="0"/>
          <w:pgBorders>
            <w:top w:val="none" w:sz="0" w:space="0"/>
            <w:left w:val="none" w:sz="0" w:space="0"/>
            <w:bottom w:val="none" w:sz="0" w:space="0"/>
            <w:right w:val="none" w:sz="0" w:space="0"/>
          </w:pgBorders>
          <w:pgNumType w:start="1"/>
          <w:cols w:space="720" w:num="1"/>
          <w:docGrid w:linePitch="312" w:charSpace="0"/>
        </w:sectPr>
      </w:pPr>
      <w:r>
        <w:rPr>
          <w:rFonts w:hint="eastAsia" w:ascii="黑体" w:hAnsi="黑体" w:eastAsia="黑体" w:cs="黑体"/>
          <w:b w:val="0"/>
          <w:bCs w:val="0"/>
          <w:sz w:val="30"/>
          <w:szCs w:val="30"/>
          <w:lang w:eastAsia="zh-CN"/>
        </w:rPr>
        <w:drawing>
          <wp:inline distT="0" distB="0" distL="114300" distR="114300">
            <wp:extent cx="5615940" cy="7942580"/>
            <wp:effectExtent l="0" t="0" r="3810" b="1270"/>
            <wp:docPr id="11" name="图片 11" descr="4译洋环境营业执照副本20250103——最新pdf(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4译洋环境营业执照副本20250103——最新pdf(1)_01"/>
                    <pic:cNvPicPr>
                      <a:picLocks noChangeAspect="1"/>
                    </pic:cNvPicPr>
                  </pic:nvPicPr>
                  <pic:blipFill>
                    <a:blip r:embed="rId11"/>
                    <a:stretch>
                      <a:fillRect/>
                    </a:stretch>
                  </pic:blipFill>
                  <pic:spPr>
                    <a:xfrm>
                      <a:off x="0" y="0"/>
                      <a:ext cx="5615940" cy="7942580"/>
                    </a:xfrm>
                    <a:prstGeom prst="rect">
                      <a:avLst/>
                    </a:prstGeom>
                  </pic:spPr>
                </pic:pic>
              </a:graphicData>
            </a:graphic>
          </wp:inline>
        </w:drawing>
      </w:r>
      <w:r>
        <w:rPr>
          <w:rFonts w:hint="eastAsia" w:ascii="黑体" w:hAnsi="黑体" w:eastAsia="黑体" w:cs="黑体"/>
          <w:b w:val="0"/>
          <w:bCs w:val="0"/>
          <w:sz w:val="30"/>
          <w:szCs w:val="30"/>
          <w:lang w:eastAsia="zh-CN"/>
        </w:rPr>
        <w:drawing>
          <wp:inline distT="0" distB="0" distL="114300" distR="114300">
            <wp:extent cx="5610860" cy="7999730"/>
            <wp:effectExtent l="0" t="0" r="8890" b="1270"/>
            <wp:docPr id="12" name="图片 12" descr="5刘威证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刘威证书_01"/>
                    <pic:cNvPicPr>
                      <a:picLocks noChangeAspect="1"/>
                    </pic:cNvPicPr>
                  </pic:nvPicPr>
                  <pic:blipFill>
                    <a:blip r:embed="rId12"/>
                    <a:stretch>
                      <a:fillRect/>
                    </a:stretch>
                  </pic:blipFill>
                  <pic:spPr>
                    <a:xfrm>
                      <a:off x="0" y="0"/>
                      <a:ext cx="5610860" cy="7999730"/>
                    </a:xfrm>
                    <a:prstGeom prst="rect">
                      <a:avLst/>
                    </a:prstGeom>
                  </pic:spPr>
                </pic:pic>
              </a:graphicData>
            </a:graphic>
          </wp:inline>
        </w:drawing>
      </w:r>
    </w:p>
    <w:p w14:paraId="14E20271">
      <w:pPr>
        <w:bidi w:val="0"/>
        <w:spacing w:line="360" w:lineRule="auto"/>
        <w:jc w:val="center"/>
        <w:rPr>
          <w:rFonts w:hint="eastAsia" w:ascii="黑体" w:hAnsi="黑体" w:eastAsia="黑体" w:cs="黑体"/>
          <w:b w:val="0"/>
          <w:bCs w:val="0"/>
          <w:sz w:val="30"/>
          <w:szCs w:val="30"/>
          <w:lang w:eastAsia="zh-CN"/>
        </w:rPr>
      </w:pPr>
      <w:r>
        <w:rPr>
          <w:rFonts w:hint="eastAsia" w:ascii="黑体" w:hAnsi="黑体" w:eastAsia="黑体" w:cs="黑体"/>
          <w:b w:val="0"/>
          <w:bCs w:val="0"/>
          <w:sz w:val="30"/>
          <w:szCs w:val="30"/>
          <w:lang w:eastAsia="zh-CN"/>
        </w:rPr>
        <w:drawing>
          <wp:inline distT="0" distB="0" distL="114300" distR="114300">
            <wp:extent cx="5614035" cy="7932420"/>
            <wp:effectExtent l="0" t="0" r="5715" b="11430"/>
            <wp:docPr id="13" name="图片 13" descr="7刘威社保20251117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7刘威社保20251117_01"/>
                    <pic:cNvPicPr>
                      <a:picLocks noChangeAspect="1"/>
                    </pic:cNvPicPr>
                  </pic:nvPicPr>
                  <pic:blipFill>
                    <a:blip r:embed="rId13"/>
                    <a:stretch>
                      <a:fillRect/>
                    </a:stretch>
                  </pic:blipFill>
                  <pic:spPr>
                    <a:xfrm>
                      <a:off x="0" y="0"/>
                      <a:ext cx="5614035" cy="7932420"/>
                    </a:xfrm>
                    <a:prstGeom prst="rect">
                      <a:avLst/>
                    </a:prstGeom>
                  </pic:spPr>
                </pic:pic>
              </a:graphicData>
            </a:graphic>
          </wp:inline>
        </w:drawing>
      </w:r>
    </w:p>
    <w:p w14:paraId="3F9710D6">
      <w:pPr>
        <w:bidi w:val="0"/>
        <w:spacing w:line="360" w:lineRule="auto"/>
        <w:jc w:val="center"/>
        <w:rPr>
          <w:rFonts w:hint="eastAsia" w:ascii="黑体" w:hAnsi="黑体" w:eastAsia="黑体" w:cs="黑体"/>
          <w:b w:val="0"/>
          <w:bCs w:val="0"/>
          <w:sz w:val="30"/>
          <w:szCs w:val="30"/>
          <w:lang w:eastAsia="zh-CN"/>
        </w:rPr>
      </w:pPr>
    </w:p>
    <w:p w14:paraId="0669363F">
      <w:pPr>
        <w:bidi w:val="0"/>
        <w:spacing w:line="360" w:lineRule="auto"/>
        <w:jc w:val="center"/>
        <w:rPr>
          <w:rFonts w:hint="eastAsia" w:ascii="黑体" w:hAnsi="黑体" w:eastAsia="黑体" w:cs="黑体"/>
          <w:b w:val="0"/>
          <w:bCs w:val="0"/>
          <w:sz w:val="30"/>
          <w:szCs w:val="30"/>
          <w:lang w:eastAsia="zh-CN"/>
        </w:rPr>
      </w:pPr>
    </w:p>
    <w:p w14:paraId="7F2D5890">
      <w:pPr>
        <w:bidi w:val="0"/>
        <w:spacing w:line="360" w:lineRule="auto"/>
        <w:jc w:val="center"/>
        <w:rPr>
          <w:rFonts w:hint="eastAsia" w:ascii="黑体" w:hAnsi="黑体" w:eastAsia="黑体" w:cs="黑体"/>
          <w:b w:val="0"/>
          <w:bCs w:val="0"/>
          <w:sz w:val="30"/>
          <w:szCs w:val="30"/>
          <w:lang w:val="en-US" w:eastAsia="zh-CN"/>
        </w:rPr>
      </w:pPr>
      <w:r>
        <w:rPr>
          <w:rFonts w:hint="eastAsia" w:ascii="黑体" w:hAnsi="黑体" w:eastAsia="黑体" w:cs="黑体"/>
          <w:b w:val="0"/>
          <w:bCs w:val="0"/>
          <w:sz w:val="30"/>
          <w:szCs w:val="30"/>
        </w:rPr>
        <w:t>一、建设项目基本情况</w:t>
      </w:r>
    </w:p>
    <w:tbl>
      <w:tblPr>
        <w:tblStyle w:val="22"/>
        <w:tblW w:w="984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92"/>
        <w:gridCol w:w="608"/>
        <w:gridCol w:w="1576"/>
        <w:gridCol w:w="2505"/>
        <w:gridCol w:w="1958"/>
        <w:gridCol w:w="3015"/>
        <w:gridCol w:w="92"/>
      </w:tblGrid>
      <w:tr w14:paraId="60E700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118CFBB8">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建设项目名称</w:t>
            </w:r>
          </w:p>
        </w:tc>
        <w:tc>
          <w:tcPr>
            <w:tcW w:w="7570" w:type="dxa"/>
            <w:gridSpan w:val="4"/>
            <w:noWrap w:val="0"/>
            <w:vAlign w:val="center"/>
          </w:tcPr>
          <w:p w14:paraId="739016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jc w:val="center"/>
              <w:textAlignment w:val="auto"/>
              <w:rPr>
                <w:rFonts w:hint="default"/>
                <w:color w:val="auto"/>
                <w:lang w:val="en-US" w:eastAsia="zh-CN"/>
              </w:rPr>
            </w:pPr>
            <w:r>
              <w:rPr>
                <w:rFonts w:hint="eastAsia" w:ascii="宋体" w:hAnsi="宋体" w:cs="宋体"/>
                <w:color w:val="auto"/>
                <w:sz w:val="24"/>
                <w:szCs w:val="24"/>
                <w:highlight w:val="none"/>
                <w:lang w:eastAsia="zh-CN"/>
              </w:rPr>
              <w:t>河南</w:t>
            </w:r>
            <w:r>
              <w:rPr>
                <w:rFonts w:hint="eastAsia" w:ascii="宋体" w:hAnsi="宋体" w:cs="宋体"/>
                <w:color w:val="auto"/>
                <w:sz w:val="24"/>
                <w:szCs w:val="24"/>
                <w:highlight w:val="none"/>
                <w:lang w:val="en-US" w:eastAsia="zh-CN"/>
              </w:rPr>
              <w:t>丰盛源纸业有限公司</w:t>
            </w:r>
            <w:r>
              <w:rPr>
                <w:rFonts w:hint="eastAsia" w:ascii="宋体" w:hAnsi="宋体" w:cs="宋体"/>
                <w:color w:val="auto"/>
                <w:sz w:val="24"/>
                <w:szCs w:val="24"/>
                <w:highlight w:val="none"/>
                <w:lang w:eastAsia="zh-CN"/>
              </w:rPr>
              <w:t>年产</w:t>
            </w:r>
            <w:r>
              <w:rPr>
                <w:rFonts w:hint="eastAsia" w:cs="Times New Roman"/>
                <w:color w:val="auto"/>
                <w:sz w:val="24"/>
                <w:szCs w:val="24"/>
                <w:highlight w:val="none"/>
                <w:lang w:val="en-US" w:eastAsia="zh-CN"/>
              </w:rPr>
              <w:t>23000吨食品级淋膜纸</w:t>
            </w:r>
            <w:r>
              <w:rPr>
                <w:rFonts w:hint="eastAsia" w:ascii="宋体" w:hAnsi="宋体" w:cs="宋体"/>
                <w:color w:val="auto"/>
                <w:sz w:val="24"/>
                <w:szCs w:val="24"/>
                <w:highlight w:val="none"/>
                <w:lang w:val="en-US" w:eastAsia="zh-CN"/>
              </w:rPr>
              <w:t>项目</w:t>
            </w:r>
          </w:p>
        </w:tc>
      </w:tr>
      <w:tr w14:paraId="73BAC7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309F039A">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项目代码</w:t>
            </w:r>
          </w:p>
        </w:tc>
        <w:tc>
          <w:tcPr>
            <w:tcW w:w="7570" w:type="dxa"/>
            <w:gridSpan w:val="4"/>
            <w:noWrap w:val="0"/>
            <w:vAlign w:val="center"/>
          </w:tcPr>
          <w:p w14:paraId="45FCA4A4">
            <w:pPr>
              <w:keepNext w:val="0"/>
              <w:keepLines w:val="0"/>
              <w:suppressLineNumbers w:val="0"/>
              <w:adjustRightInd w:val="0"/>
              <w:snapToGrid w:val="0"/>
              <w:spacing w:before="0" w:beforeAutospacing="0" w:after="0" w:afterAutospacing="0"/>
              <w:ind w:left="0" w:right="0"/>
              <w:jc w:val="center"/>
              <w:rPr>
                <w:rFonts w:hint="default" w:ascii="宋体" w:hAnsi="宋体" w:eastAsia="宋体"/>
                <w:color w:val="auto"/>
                <w:sz w:val="24"/>
                <w:highlight w:val="none"/>
                <w:lang w:val="en-US" w:eastAsia="zh-CN"/>
              </w:rPr>
            </w:pPr>
            <w:r>
              <w:rPr>
                <w:rFonts w:hint="eastAsia" w:cs="Times New Roman"/>
                <w:color w:val="auto"/>
                <w:sz w:val="24"/>
                <w:szCs w:val="24"/>
                <w:highlight w:val="none"/>
                <w:lang w:val="en-US" w:eastAsia="zh-CN"/>
              </w:rPr>
              <w:t>2507-410721-04-01-207376</w:t>
            </w:r>
          </w:p>
        </w:tc>
      </w:tr>
      <w:tr w14:paraId="6ADAC6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5134CD3D">
            <w:pPr>
              <w:keepNext w:val="0"/>
              <w:keepLines w:val="0"/>
              <w:suppressLineNumbers w:val="0"/>
              <w:adjustRightInd w:val="0"/>
              <w:snapToGrid w:val="0"/>
              <w:spacing w:before="0" w:beforeAutospacing="0" w:after="0" w:afterAutospacing="0"/>
              <w:ind w:left="0" w:right="0"/>
              <w:jc w:val="center"/>
              <w:rPr>
                <w:rFonts w:hint="default" w:ascii="宋体" w:hAnsi="宋体"/>
                <w:color w:val="000000" w:themeColor="text1"/>
                <w:sz w:val="24"/>
                <w14:textFill>
                  <w14:solidFill>
                    <w14:schemeClr w14:val="tx1"/>
                  </w14:solidFill>
                </w14:textFill>
              </w:rPr>
            </w:pPr>
            <w:r>
              <w:rPr>
                <w:rFonts w:hint="default" w:ascii="宋体" w:hAnsi="宋体"/>
                <w:color w:val="000000" w:themeColor="text1"/>
                <w:sz w:val="24"/>
                <w14:textFill>
                  <w14:solidFill>
                    <w14:schemeClr w14:val="tx1"/>
                  </w14:solidFill>
                </w14:textFill>
              </w:rPr>
              <w:t>建设单位联系人</w:t>
            </w:r>
          </w:p>
        </w:tc>
        <w:tc>
          <w:tcPr>
            <w:tcW w:w="2505" w:type="dxa"/>
            <w:noWrap w:val="0"/>
            <w:vAlign w:val="center"/>
          </w:tcPr>
          <w:p w14:paraId="37D9D6EF">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eastAsia="宋体"/>
                <w:color w:val="000000" w:themeColor="text1"/>
                <w:sz w:val="24"/>
                <w:highlight w:val="none"/>
                <w:lang w:val="en-US" w:eastAsia="zh-CN"/>
                <w14:textFill>
                  <w14:solidFill>
                    <w14:schemeClr w14:val="tx1"/>
                  </w14:solidFill>
                </w14:textFill>
              </w:rPr>
            </w:pPr>
            <w:r>
              <w:rPr>
                <w:rFonts w:hint="eastAsia" w:ascii="宋体" w:hAnsi="宋体"/>
                <w:color w:val="000000" w:themeColor="text1"/>
                <w:sz w:val="24"/>
                <w:highlight w:val="none"/>
                <w:lang w:val="en-US" w:eastAsia="zh-CN"/>
                <w14:textFill>
                  <w14:solidFill>
                    <w14:schemeClr w14:val="tx1"/>
                  </w14:solidFill>
                </w14:textFill>
              </w:rPr>
              <w:t>毛刘军</w:t>
            </w:r>
          </w:p>
        </w:tc>
        <w:tc>
          <w:tcPr>
            <w:tcW w:w="1958" w:type="dxa"/>
            <w:noWrap w:val="0"/>
            <w:vAlign w:val="center"/>
          </w:tcPr>
          <w:p w14:paraId="3F757212">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color w:val="000000" w:themeColor="text1"/>
                <w:sz w:val="24"/>
                <w:highlight w:val="none"/>
                <w14:textFill>
                  <w14:solidFill>
                    <w14:schemeClr w14:val="tx1"/>
                  </w14:solidFill>
                </w14:textFill>
              </w:rPr>
            </w:pPr>
            <w:r>
              <w:rPr>
                <w:rFonts w:hint="default" w:ascii="宋体" w:hAnsi="宋体"/>
                <w:color w:val="000000" w:themeColor="text1"/>
                <w:sz w:val="24"/>
                <w:highlight w:val="none"/>
                <w14:textFill>
                  <w14:solidFill>
                    <w14:schemeClr w14:val="tx1"/>
                  </w14:solidFill>
                </w14:textFill>
              </w:rPr>
              <w:t>联系方式</w:t>
            </w:r>
          </w:p>
        </w:tc>
        <w:tc>
          <w:tcPr>
            <w:tcW w:w="3107" w:type="dxa"/>
            <w:gridSpan w:val="2"/>
            <w:noWrap w:val="0"/>
            <w:vAlign w:val="center"/>
          </w:tcPr>
          <w:p w14:paraId="1715C2BF">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13569********</w:t>
            </w:r>
          </w:p>
        </w:tc>
      </w:tr>
      <w:tr w14:paraId="38F5CF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2EA847D3">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建设单位法人</w:t>
            </w:r>
          </w:p>
        </w:tc>
        <w:tc>
          <w:tcPr>
            <w:tcW w:w="2505" w:type="dxa"/>
            <w:noWrap w:val="0"/>
            <w:vAlign w:val="center"/>
          </w:tcPr>
          <w:p w14:paraId="17685179">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bCs/>
                <w:color w:val="FF0000"/>
                <w:sz w:val="24"/>
                <w:highlight w:val="none"/>
                <w:lang w:val="en-US"/>
              </w:rPr>
            </w:pPr>
            <w:r>
              <w:rPr>
                <w:rFonts w:hint="eastAsia" w:ascii="宋体" w:hAnsi="宋体"/>
                <w:color w:val="000000" w:themeColor="text1"/>
                <w:sz w:val="24"/>
                <w:highlight w:val="none"/>
                <w:lang w:val="en-US" w:eastAsia="zh-CN"/>
                <w14:textFill>
                  <w14:solidFill>
                    <w14:schemeClr w14:val="tx1"/>
                  </w14:solidFill>
                </w14:textFill>
              </w:rPr>
              <w:t>毛刘军</w:t>
            </w:r>
            <w:r>
              <w:rPr>
                <w:rFonts w:hint="eastAsia" w:cs="Times New Roman"/>
                <w:b w:val="0"/>
                <w:bCs w:val="0"/>
                <w:color w:val="000000" w:themeColor="text1"/>
                <w:sz w:val="24"/>
                <w:szCs w:val="24"/>
                <w:highlight w:val="none"/>
                <w:lang w:val="en-US" w:eastAsia="zh-CN"/>
                <w14:textFill>
                  <w14:solidFill>
                    <w14:schemeClr w14:val="tx1"/>
                  </w14:solidFill>
                </w14:textFill>
              </w:rPr>
              <w:t>4107211*************</w:t>
            </w:r>
            <w:bookmarkStart w:id="4" w:name="_GoBack"/>
            <w:bookmarkEnd w:id="4"/>
          </w:p>
        </w:tc>
        <w:tc>
          <w:tcPr>
            <w:tcW w:w="1958" w:type="dxa"/>
            <w:noWrap w:val="0"/>
            <w:vAlign w:val="center"/>
          </w:tcPr>
          <w:p w14:paraId="77213E69">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color w:val="auto"/>
                <w:sz w:val="24"/>
                <w:highlight w:val="none"/>
              </w:rPr>
            </w:pPr>
            <w:r>
              <w:rPr>
                <w:rFonts w:hint="default" w:ascii="宋体" w:hAnsi="宋体"/>
                <w:color w:val="auto"/>
                <w:sz w:val="24"/>
                <w:highlight w:val="none"/>
              </w:rPr>
              <w:t>统一社会信用代码</w:t>
            </w:r>
          </w:p>
        </w:tc>
        <w:tc>
          <w:tcPr>
            <w:tcW w:w="3107" w:type="dxa"/>
            <w:gridSpan w:val="2"/>
            <w:noWrap w:val="0"/>
            <w:vAlign w:val="center"/>
          </w:tcPr>
          <w:p w14:paraId="70423944">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auto"/>
                <w:sz w:val="24"/>
                <w:highlight w:val="none"/>
                <w:lang w:val="en-US" w:eastAsia="zh-CN"/>
              </w:rPr>
            </w:pPr>
            <w:r>
              <w:rPr>
                <w:rFonts w:hint="default" w:ascii="Times New Roman" w:hAnsi="Times New Roman" w:eastAsia="宋体" w:cs="Times New Roman"/>
                <w:color w:val="auto"/>
                <w:sz w:val="24"/>
                <w:szCs w:val="24"/>
              </w:rPr>
              <w:t>914107</w:t>
            </w:r>
            <w:r>
              <w:rPr>
                <w:rFonts w:hint="eastAsia" w:cs="Times New Roman"/>
                <w:color w:val="auto"/>
                <w:sz w:val="24"/>
                <w:szCs w:val="24"/>
                <w:lang w:val="en-US" w:eastAsia="zh-CN"/>
              </w:rPr>
              <w:t>21************</w:t>
            </w:r>
          </w:p>
        </w:tc>
      </w:tr>
      <w:tr w14:paraId="20406F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49A64D9C">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eastAsia" w:hAnsi="宋体"/>
                <w:color w:val="000000"/>
                <w:sz w:val="24"/>
              </w:rPr>
              <w:t>建设单位</w:t>
            </w:r>
          </w:p>
        </w:tc>
        <w:tc>
          <w:tcPr>
            <w:tcW w:w="7570" w:type="dxa"/>
            <w:gridSpan w:val="4"/>
            <w:noWrap w:val="0"/>
            <w:vAlign w:val="center"/>
          </w:tcPr>
          <w:p w14:paraId="08DCCE04">
            <w:pPr>
              <w:pStyle w:val="18"/>
              <w:keepNext w:val="0"/>
              <w:keepLines w:val="0"/>
              <w:widowControl/>
              <w:suppressLineNumbers w:val="0"/>
              <w:spacing w:before="0" w:beforeAutospacing="0" w:after="0" w:afterAutospacing="0"/>
              <w:ind w:left="0" w:leftChars="0" w:right="0" w:rightChars="0" w:firstLine="0" w:firstLineChars="0"/>
              <w:jc w:val="center"/>
              <w:rPr>
                <w:rFonts w:hint="default" w:ascii="宋体" w:hAnsi="宋体" w:eastAsia="宋体"/>
                <w:color w:val="000000"/>
                <w:sz w:val="24"/>
                <w:lang w:val="en-US" w:eastAsia="zh-CN"/>
              </w:rPr>
            </w:pPr>
            <w:r>
              <w:rPr>
                <w:rFonts w:hint="eastAsia" w:cs="宋体"/>
                <w:color w:val="auto"/>
                <w:sz w:val="24"/>
                <w:szCs w:val="24"/>
                <w:highlight w:val="none"/>
                <w:lang w:val="en-US" w:eastAsia="zh-CN"/>
              </w:rPr>
              <w:t>河南丰盛源纸业有限公司</w:t>
            </w:r>
          </w:p>
        </w:tc>
      </w:tr>
      <w:tr w14:paraId="591FAA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09C6C7DC">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建设地点</w:t>
            </w:r>
          </w:p>
        </w:tc>
        <w:tc>
          <w:tcPr>
            <w:tcW w:w="7570" w:type="dxa"/>
            <w:gridSpan w:val="4"/>
            <w:noWrap w:val="0"/>
            <w:vAlign w:val="center"/>
          </w:tcPr>
          <w:p w14:paraId="2A712E6D">
            <w:pPr>
              <w:pStyle w:val="18"/>
              <w:keepNext w:val="0"/>
              <w:keepLines w:val="0"/>
              <w:widowControl/>
              <w:suppressLineNumbers w:val="0"/>
              <w:spacing w:before="0" w:beforeAutospacing="0" w:after="0" w:afterAutospacing="0"/>
              <w:ind w:left="0" w:leftChars="0" w:right="0" w:rightChars="0" w:firstLine="0" w:firstLineChars="0"/>
              <w:jc w:val="center"/>
              <w:rPr>
                <w:rFonts w:hint="default" w:ascii="宋体" w:hAnsi="宋体" w:eastAsia="宋体"/>
                <w:sz w:val="24"/>
                <w:lang w:val="en-US" w:eastAsia="zh-CN"/>
              </w:rPr>
            </w:pPr>
            <w:r>
              <w:rPr>
                <w:rFonts w:hint="eastAsia" w:cs="宋体"/>
                <w:color w:val="auto"/>
                <w:sz w:val="24"/>
                <w:szCs w:val="24"/>
                <w:lang w:val="en-US" w:eastAsia="zh-CN"/>
              </w:rPr>
              <w:t>河南省新乡市新乡县七里营镇南位庄村工业</w:t>
            </w:r>
            <w:r>
              <w:rPr>
                <w:rFonts w:hint="default" w:ascii="Times New Roman" w:hAnsi="Times New Roman" w:cs="Times New Roman"/>
                <w:color w:val="auto"/>
                <w:sz w:val="24"/>
                <w:szCs w:val="24"/>
                <w:lang w:val="en-US" w:eastAsia="zh-CN"/>
              </w:rPr>
              <w:t>路698号</w:t>
            </w:r>
          </w:p>
        </w:tc>
      </w:tr>
      <w:tr w14:paraId="37FFB6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39499DD1">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地理坐标</w:t>
            </w:r>
          </w:p>
        </w:tc>
        <w:tc>
          <w:tcPr>
            <w:tcW w:w="7570" w:type="dxa"/>
            <w:gridSpan w:val="4"/>
            <w:noWrap w:val="0"/>
            <w:vAlign w:val="center"/>
          </w:tcPr>
          <w:p w14:paraId="3CE00F71">
            <w:pPr>
              <w:keepNext w:val="0"/>
              <w:keepLines w:val="0"/>
              <w:suppressLineNumbers w:val="0"/>
              <w:spacing w:before="0" w:beforeAutospacing="0" w:after="0" w:afterAutospacing="0"/>
              <w:ind w:left="0" w:right="0"/>
              <w:jc w:val="center"/>
              <w:rPr>
                <w:rFonts w:hint="default" w:ascii="宋体" w:hAnsi="宋体"/>
                <w:sz w:val="24"/>
              </w:rPr>
            </w:pPr>
            <w:r>
              <w:rPr>
                <w:rFonts w:hint="default" w:ascii="Times New Roman" w:hAnsi="Times New Roman" w:cs="Times New Roman"/>
                <w:color w:val="000000" w:themeColor="text1"/>
                <w:sz w:val="24"/>
                <w:highlight w:val="none"/>
                <w14:textFill>
                  <w14:solidFill>
                    <w14:schemeClr w14:val="tx1"/>
                  </w14:solidFill>
                </w14:textFill>
              </w:rPr>
              <w:t>（</w:t>
            </w:r>
            <w:r>
              <w:rPr>
                <w:rFonts w:hint="eastAsia" w:ascii="Times New Roman" w:hAnsi="Times New Roman" w:cs="Times New Roman"/>
                <w:color w:val="000000" w:themeColor="text1"/>
                <w:sz w:val="24"/>
                <w:highlight w:val="none"/>
                <w:u w:val="single"/>
                <w:lang w:val="en-US" w:eastAsia="zh-CN"/>
                <w14:textFill>
                  <w14:solidFill>
                    <w14:schemeClr w14:val="tx1"/>
                  </w14:solidFill>
                </w14:textFill>
              </w:rPr>
              <w:t>11</w:t>
            </w:r>
            <w:r>
              <w:rPr>
                <w:rFonts w:hint="eastAsia" w:cs="Times New Roman"/>
                <w:color w:val="000000" w:themeColor="text1"/>
                <w:sz w:val="24"/>
                <w:highlight w:val="none"/>
                <w:u w:val="single"/>
                <w:lang w:val="en-US" w:eastAsia="zh-CN"/>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度</w:t>
            </w:r>
            <w:r>
              <w:rPr>
                <w:rFonts w:hint="eastAsia" w:cs="Times New Roman"/>
                <w:color w:val="000000" w:themeColor="text1"/>
                <w:sz w:val="24"/>
                <w:highlight w:val="none"/>
                <w:u w:val="single"/>
                <w:lang w:val="en-US" w:eastAsia="zh-CN"/>
                <w14:textFill>
                  <w14:solidFill>
                    <w14:schemeClr w14:val="tx1"/>
                  </w14:solidFill>
                </w14:textFill>
              </w:rPr>
              <w:t>48</w:t>
            </w:r>
            <w:r>
              <w:rPr>
                <w:rFonts w:hint="default" w:ascii="Times New Roman" w:hAnsi="Times New Roman" w:cs="Times New Roman"/>
                <w:color w:val="000000" w:themeColor="text1"/>
                <w:sz w:val="24"/>
                <w:highlight w:val="none"/>
                <w14:textFill>
                  <w14:solidFill>
                    <w14:schemeClr w14:val="tx1"/>
                  </w14:solidFill>
                </w14:textFill>
              </w:rPr>
              <w:t>分</w:t>
            </w:r>
            <w:r>
              <w:rPr>
                <w:rFonts w:hint="eastAsia" w:cs="Times New Roman"/>
                <w:color w:val="000000" w:themeColor="text1"/>
                <w:sz w:val="24"/>
                <w:highlight w:val="none"/>
                <w:u w:val="single"/>
                <w:lang w:val="en-US" w:eastAsia="zh-CN"/>
                <w14:textFill>
                  <w14:solidFill>
                    <w14:schemeClr w14:val="tx1"/>
                  </w14:solidFill>
                </w14:textFill>
              </w:rPr>
              <w:t>28.481</w:t>
            </w:r>
            <w:r>
              <w:rPr>
                <w:rFonts w:hint="default" w:ascii="Times New Roman" w:hAnsi="Times New Roman" w:cs="Times New Roman"/>
                <w:color w:val="000000" w:themeColor="text1"/>
                <w:sz w:val="24"/>
                <w:highlight w:val="none"/>
                <w14:textFill>
                  <w14:solidFill>
                    <w14:schemeClr w14:val="tx1"/>
                  </w14:solidFill>
                </w14:textFill>
              </w:rPr>
              <w:t>秒，</w:t>
            </w:r>
            <w:r>
              <w:rPr>
                <w:rFonts w:hint="default" w:ascii="Times New Roman" w:hAnsi="Times New Roman" w:cs="Times New Roman"/>
                <w:color w:val="000000" w:themeColor="text1"/>
                <w:sz w:val="24"/>
                <w:highlight w:val="none"/>
                <w:u w:val="single"/>
                <w14:textFill>
                  <w14:solidFill>
                    <w14:schemeClr w14:val="tx1"/>
                  </w14:solidFill>
                </w14:textFill>
              </w:rPr>
              <w:t>35</w:t>
            </w:r>
            <w:r>
              <w:rPr>
                <w:rFonts w:hint="default" w:ascii="Times New Roman" w:hAnsi="Times New Roman" w:cs="Times New Roman"/>
                <w:color w:val="000000" w:themeColor="text1"/>
                <w:sz w:val="24"/>
                <w:highlight w:val="none"/>
                <w14:textFill>
                  <w14:solidFill>
                    <w14:schemeClr w14:val="tx1"/>
                  </w14:solidFill>
                </w14:textFill>
              </w:rPr>
              <w:t>度</w:t>
            </w:r>
            <w:r>
              <w:rPr>
                <w:rFonts w:hint="eastAsia" w:cs="Times New Roman"/>
                <w:color w:val="000000" w:themeColor="text1"/>
                <w:sz w:val="24"/>
                <w:highlight w:val="none"/>
                <w:u w:val="single"/>
                <w:lang w:val="en-US" w:eastAsia="zh-CN"/>
                <w14:textFill>
                  <w14:solidFill>
                    <w14:schemeClr w14:val="tx1"/>
                  </w14:solidFill>
                </w14:textFill>
              </w:rPr>
              <w:t>7</w:t>
            </w:r>
            <w:r>
              <w:rPr>
                <w:rFonts w:hint="default" w:ascii="Times New Roman" w:hAnsi="Times New Roman" w:cs="Times New Roman"/>
                <w:color w:val="000000" w:themeColor="text1"/>
                <w:sz w:val="24"/>
                <w:highlight w:val="none"/>
                <w14:textFill>
                  <w14:solidFill>
                    <w14:schemeClr w14:val="tx1"/>
                  </w14:solidFill>
                </w14:textFill>
              </w:rPr>
              <w:t>分</w:t>
            </w:r>
            <w:r>
              <w:rPr>
                <w:rFonts w:hint="eastAsia" w:cs="Times New Roman"/>
                <w:color w:val="000000" w:themeColor="text1"/>
                <w:sz w:val="24"/>
                <w:highlight w:val="none"/>
                <w:u w:val="single"/>
                <w:lang w:val="en-US" w:eastAsia="zh-CN"/>
                <w14:textFill>
                  <w14:solidFill>
                    <w14:schemeClr w14:val="tx1"/>
                  </w14:solidFill>
                </w14:textFill>
              </w:rPr>
              <w:t>29.299</w:t>
            </w:r>
            <w:r>
              <w:rPr>
                <w:rFonts w:hint="default" w:ascii="Times New Roman" w:hAnsi="Times New Roman" w:cs="Times New Roman"/>
                <w:color w:val="000000" w:themeColor="text1"/>
                <w:sz w:val="24"/>
                <w:highlight w:val="none"/>
                <w14:textFill>
                  <w14:solidFill>
                    <w14:schemeClr w14:val="tx1"/>
                  </w14:solidFill>
                </w14:textFill>
              </w:rPr>
              <w:t>秒）</w:t>
            </w:r>
          </w:p>
        </w:tc>
      </w:tr>
      <w:tr w14:paraId="1BC698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2A5A50E2">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4"/>
              </w:rPr>
            </w:pPr>
            <w:r>
              <w:rPr>
                <w:rFonts w:hint="default" w:ascii="宋体" w:hAnsi="宋体"/>
                <w:color w:val="auto"/>
                <w:sz w:val="24"/>
              </w:rPr>
              <w:t>国民经济</w:t>
            </w:r>
          </w:p>
          <w:p w14:paraId="0BE56364">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4"/>
              </w:rPr>
            </w:pPr>
            <w:r>
              <w:rPr>
                <w:rFonts w:hint="default" w:ascii="宋体" w:hAnsi="宋体"/>
                <w:color w:val="auto"/>
                <w:sz w:val="24"/>
              </w:rPr>
              <w:t>行业类别</w:t>
            </w:r>
          </w:p>
        </w:tc>
        <w:tc>
          <w:tcPr>
            <w:tcW w:w="2505" w:type="dxa"/>
            <w:noWrap w:val="0"/>
            <w:vAlign w:val="center"/>
          </w:tcPr>
          <w:p w14:paraId="315367C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宋体" w:hAnsi="宋体"/>
                <w:color w:val="auto"/>
                <w:sz w:val="24"/>
                <w:highlight w:val="yellow"/>
                <w:lang w:val="en-US"/>
              </w:rPr>
            </w:pPr>
            <w:r>
              <w:rPr>
                <w:rFonts w:hint="eastAsia" w:cs="Times New Roman"/>
                <w:sz w:val="24"/>
                <w:highlight w:val="none"/>
                <w:lang w:val="en-US" w:eastAsia="zh-CN"/>
              </w:rPr>
              <w:t>C2223加工纸制造</w:t>
            </w:r>
          </w:p>
        </w:tc>
        <w:tc>
          <w:tcPr>
            <w:tcW w:w="1958" w:type="dxa"/>
            <w:noWrap w:val="0"/>
            <w:vAlign w:val="center"/>
          </w:tcPr>
          <w:p w14:paraId="31173AF1">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4"/>
                <w:highlight w:val="none"/>
              </w:rPr>
            </w:pPr>
            <w:r>
              <w:rPr>
                <w:rFonts w:hint="default" w:ascii="宋体" w:hAnsi="宋体"/>
                <w:color w:val="auto"/>
                <w:sz w:val="24"/>
                <w:highlight w:val="none"/>
              </w:rPr>
              <w:t>建设项目</w:t>
            </w:r>
          </w:p>
          <w:p w14:paraId="66A36567">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color w:val="auto"/>
                <w:sz w:val="24"/>
                <w:highlight w:val="none"/>
              </w:rPr>
            </w:pPr>
            <w:r>
              <w:rPr>
                <w:rFonts w:hint="default" w:ascii="宋体" w:hAnsi="宋体"/>
                <w:color w:val="auto"/>
                <w:sz w:val="24"/>
                <w:highlight w:val="none"/>
              </w:rPr>
              <w:t>行业类别</w:t>
            </w:r>
          </w:p>
        </w:tc>
        <w:tc>
          <w:tcPr>
            <w:tcW w:w="3107" w:type="dxa"/>
            <w:gridSpan w:val="2"/>
            <w:noWrap w:val="0"/>
            <w:vAlign w:val="center"/>
          </w:tcPr>
          <w:p w14:paraId="3E31620E">
            <w:pPr>
              <w:keepNext w:val="0"/>
              <w:keepLines w:val="0"/>
              <w:suppressLineNumbers w:val="0"/>
              <w:bidi w:val="0"/>
              <w:spacing w:before="0" w:beforeAutospacing="0" w:after="0" w:afterAutospacing="0"/>
              <w:ind w:left="0" w:leftChars="0" w:right="0" w:rightChars="0"/>
              <w:rPr>
                <w:rFonts w:hint="default" w:ascii="宋体" w:hAnsi="宋体"/>
                <w:color w:val="auto"/>
                <w:sz w:val="24"/>
                <w:highlight w:val="none"/>
                <w:lang w:val="en-US"/>
              </w:rPr>
            </w:pPr>
            <w:r>
              <w:rPr>
                <w:rFonts w:hint="eastAsia" w:ascii="宋体" w:hAnsi="宋体"/>
                <w:sz w:val="24"/>
                <w:lang w:val="en-US" w:eastAsia="zh-CN"/>
              </w:rPr>
              <w:t>十九</w:t>
            </w:r>
            <w:r>
              <w:rPr>
                <w:rFonts w:hint="eastAsia" w:ascii="宋体" w:hAnsi="宋体"/>
                <w:sz w:val="24"/>
              </w:rPr>
              <w:t>、</w:t>
            </w:r>
            <w:r>
              <w:rPr>
                <w:rFonts w:hint="eastAsia" w:ascii="宋体" w:hAnsi="宋体"/>
                <w:sz w:val="24"/>
                <w:lang w:val="en-US" w:eastAsia="zh-CN"/>
              </w:rPr>
              <w:t>造纸和纸制品业</w:t>
            </w:r>
            <w:r>
              <w:rPr>
                <w:rFonts w:hint="eastAsia" w:ascii="宋体" w:hAnsi="宋体"/>
                <w:sz w:val="24"/>
              </w:rPr>
              <w:t>，</w:t>
            </w:r>
            <w:r>
              <w:rPr>
                <w:rFonts w:hint="eastAsia" w:cs="Times New Roman"/>
                <w:sz w:val="24"/>
                <w:lang w:val="en-US" w:eastAsia="zh-CN"/>
              </w:rPr>
              <w:t>22</w:t>
            </w:r>
            <w:r>
              <w:rPr>
                <w:rFonts w:hint="eastAsia" w:ascii="宋体" w:hAnsi="宋体"/>
                <w:sz w:val="24"/>
                <w:lang w:val="en-US" w:eastAsia="zh-CN"/>
              </w:rPr>
              <w:t>-</w:t>
            </w:r>
            <w:r>
              <w:rPr>
                <w:rFonts w:hint="eastAsia" w:cs="Times New Roman"/>
                <w:sz w:val="24"/>
                <w:lang w:val="en-US" w:eastAsia="zh-CN"/>
              </w:rPr>
              <w:t>37造纸223*（含废纸造纸）-手工纸制造；有涂布、浸渍、印刷、粘胶工艺的加工纸制造</w:t>
            </w:r>
          </w:p>
        </w:tc>
      </w:tr>
      <w:tr w14:paraId="408236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65FCAE12">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hAnsi="宋体"/>
                <w:sz w:val="24"/>
              </w:rPr>
              <w:t>建设性质</w:t>
            </w:r>
          </w:p>
        </w:tc>
        <w:tc>
          <w:tcPr>
            <w:tcW w:w="2505" w:type="dxa"/>
            <w:noWrap w:val="0"/>
            <w:vAlign w:val="center"/>
          </w:tcPr>
          <w:p w14:paraId="073AAC9A">
            <w:pPr>
              <w:keepNext w:val="0"/>
              <w:keepLines w:val="0"/>
              <w:suppressLineNumbers w:val="0"/>
              <w:spacing w:before="0" w:beforeAutospacing="0" w:after="0" w:afterAutospacing="0"/>
              <w:ind w:left="0" w:right="0"/>
              <w:jc w:val="left"/>
              <w:rPr>
                <w:rFonts w:hint="default" w:ascii="宋体" w:hAnsi="宋体"/>
                <w:sz w:val="24"/>
              </w:rPr>
            </w:pPr>
            <w:r>
              <w:rPr>
                <w:rFonts w:hint="eastAsia" w:ascii="宋体" w:hAnsi="宋体"/>
                <w:sz w:val="24"/>
                <w:lang w:eastAsia="zh-CN"/>
              </w:rPr>
              <w:t>☑</w:t>
            </w:r>
            <w:r>
              <w:rPr>
                <w:rFonts w:hint="default" w:ascii="宋体" w:hAnsi="宋体"/>
                <w:sz w:val="24"/>
              </w:rPr>
              <w:t>新建（迁建）</w:t>
            </w:r>
          </w:p>
          <w:p w14:paraId="4B8AD3D9">
            <w:pPr>
              <w:keepNext w:val="0"/>
              <w:keepLines w:val="0"/>
              <w:suppressLineNumbers w:val="0"/>
              <w:spacing w:before="0" w:beforeAutospacing="0" w:after="0" w:afterAutospacing="0"/>
              <w:ind w:left="0" w:right="0"/>
              <w:jc w:val="left"/>
              <w:rPr>
                <w:rFonts w:hint="default" w:ascii="宋体" w:hAnsi="宋体"/>
                <w:sz w:val="24"/>
              </w:rPr>
            </w:pPr>
            <w:r>
              <w:rPr>
                <w:rFonts w:hint="eastAsia" w:ascii="宋体" w:hAnsi="宋体"/>
                <w:sz w:val="24"/>
                <w:lang w:eastAsia="zh-CN"/>
              </w:rPr>
              <w:t>□</w:t>
            </w:r>
            <w:r>
              <w:rPr>
                <w:rFonts w:hint="default" w:ascii="宋体" w:hAnsi="宋体"/>
                <w:sz w:val="24"/>
              </w:rPr>
              <w:t>改建</w:t>
            </w:r>
          </w:p>
          <w:p w14:paraId="5DD37DB0">
            <w:pPr>
              <w:keepNext w:val="0"/>
              <w:keepLines w:val="0"/>
              <w:suppressLineNumbers w:val="0"/>
              <w:spacing w:before="0" w:beforeAutospacing="0" w:after="0" w:afterAutospacing="0"/>
              <w:ind w:left="0" w:right="0"/>
              <w:jc w:val="left"/>
              <w:rPr>
                <w:rFonts w:hint="default" w:ascii="宋体" w:hAnsi="宋体"/>
                <w:sz w:val="24"/>
              </w:rPr>
            </w:pPr>
            <w:r>
              <w:rPr>
                <w:rFonts w:hint="eastAsia" w:ascii="宋体" w:hAnsi="宋体"/>
                <w:sz w:val="24"/>
                <w:lang w:eastAsia="zh-CN"/>
              </w:rPr>
              <w:t>□</w:t>
            </w:r>
            <w:r>
              <w:rPr>
                <w:rFonts w:hint="default" w:ascii="宋体" w:hAnsi="宋体"/>
                <w:sz w:val="24"/>
              </w:rPr>
              <w:t>扩建</w:t>
            </w:r>
          </w:p>
          <w:p w14:paraId="1544AAE7">
            <w:pPr>
              <w:keepNext w:val="0"/>
              <w:keepLines w:val="0"/>
              <w:suppressLineNumbers w:val="0"/>
              <w:spacing w:before="0" w:beforeAutospacing="0" w:after="0" w:afterAutospacing="0"/>
              <w:ind w:left="0" w:right="0"/>
              <w:jc w:val="left"/>
              <w:rPr>
                <w:rFonts w:hint="default"/>
                <w:sz w:val="24"/>
              </w:rPr>
            </w:pPr>
            <w:r>
              <w:rPr>
                <w:rFonts w:hint="default" w:ascii="宋体" w:hAnsi="宋体"/>
                <w:sz w:val="24"/>
              </w:rPr>
              <w:t>□技术改造</w:t>
            </w:r>
          </w:p>
        </w:tc>
        <w:tc>
          <w:tcPr>
            <w:tcW w:w="1958" w:type="dxa"/>
            <w:noWrap w:val="0"/>
            <w:vAlign w:val="center"/>
          </w:tcPr>
          <w:p w14:paraId="1C140FF2">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hAnsi="宋体"/>
                <w:sz w:val="24"/>
              </w:rPr>
              <w:t>建设项目</w:t>
            </w:r>
          </w:p>
          <w:p w14:paraId="30F96383">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hAnsi="宋体"/>
                <w:sz w:val="24"/>
              </w:rPr>
              <w:t>申报情形</w:t>
            </w:r>
          </w:p>
        </w:tc>
        <w:tc>
          <w:tcPr>
            <w:tcW w:w="3107" w:type="dxa"/>
            <w:gridSpan w:val="2"/>
            <w:noWrap w:val="0"/>
            <w:vAlign w:val="center"/>
          </w:tcPr>
          <w:p w14:paraId="2550C429">
            <w:pPr>
              <w:keepNext w:val="0"/>
              <w:keepLines w:val="0"/>
              <w:suppressLineNumbers w:val="0"/>
              <w:spacing w:before="0" w:beforeAutospacing="0" w:after="0" w:afterAutospacing="0"/>
              <w:ind w:left="0" w:right="0"/>
              <w:jc w:val="left"/>
              <w:rPr>
                <w:rFonts w:hint="default"/>
                <w:sz w:val="24"/>
              </w:rPr>
            </w:pPr>
            <w:r>
              <w:rPr>
                <w:rFonts w:hint="eastAsia" w:ascii="宋体" w:hAnsi="宋体"/>
                <w:sz w:val="24"/>
                <w:lang w:eastAsia="zh-CN"/>
              </w:rPr>
              <w:t>☑</w:t>
            </w:r>
            <w:r>
              <w:rPr>
                <w:rFonts w:hint="default" w:hAnsi="宋体"/>
                <w:sz w:val="24"/>
              </w:rPr>
              <w:t>首次申报项目</w:t>
            </w:r>
            <w:r>
              <w:rPr>
                <w:rFonts w:hint="default"/>
                <w:sz w:val="24"/>
              </w:rPr>
              <w:t xml:space="preserve">             </w:t>
            </w:r>
          </w:p>
          <w:p w14:paraId="6EE61BAC">
            <w:pPr>
              <w:keepNext w:val="0"/>
              <w:keepLines w:val="0"/>
              <w:suppressLineNumbers w:val="0"/>
              <w:spacing w:before="0" w:beforeAutospacing="0" w:after="0" w:afterAutospacing="0"/>
              <w:ind w:left="0" w:right="0"/>
              <w:jc w:val="left"/>
              <w:rPr>
                <w:rFonts w:hint="default" w:ascii="宋体" w:hAnsi="宋体"/>
                <w:sz w:val="24"/>
              </w:rPr>
            </w:pPr>
            <w:r>
              <w:rPr>
                <w:rFonts w:hint="default" w:ascii="宋体" w:hAnsi="宋体"/>
                <w:sz w:val="24"/>
              </w:rPr>
              <w:t>□不予批准后再次申报项目</w:t>
            </w:r>
          </w:p>
          <w:p w14:paraId="16489469">
            <w:pPr>
              <w:keepNext w:val="0"/>
              <w:keepLines w:val="0"/>
              <w:suppressLineNumbers w:val="0"/>
              <w:spacing w:before="0" w:beforeAutospacing="0" w:after="0" w:afterAutospacing="0"/>
              <w:ind w:left="0" w:right="0"/>
              <w:jc w:val="left"/>
              <w:rPr>
                <w:rFonts w:hint="default" w:ascii="宋体" w:hAnsi="宋体"/>
                <w:sz w:val="24"/>
              </w:rPr>
            </w:pPr>
            <w:r>
              <w:rPr>
                <w:rFonts w:hint="default" w:ascii="宋体" w:hAnsi="宋体"/>
                <w:sz w:val="24"/>
              </w:rPr>
              <w:t xml:space="preserve">□超五年重新审核项目     </w:t>
            </w:r>
          </w:p>
          <w:p w14:paraId="70E0CBEE">
            <w:pPr>
              <w:keepNext w:val="0"/>
              <w:keepLines w:val="0"/>
              <w:suppressLineNumbers w:val="0"/>
              <w:spacing w:before="0" w:beforeAutospacing="0" w:after="0" w:afterAutospacing="0"/>
              <w:ind w:left="0" w:right="0"/>
              <w:jc w:val="left"/>
              <w:rPr>
                <w:rFonts w:hint="default"/>
                <w:sz w:val="24"/>
              </w:rPr>
            </w:pPr>
            <w:r>
              <w:rPr>
                <w:rFonts w:hint="default" w:ascii="宋体" w:hAnsi="宋体"/>
                <w:sz w:val="24"/>
              </w:rPr>
              <w:t>□重大变动重新报批项目</w:t>
            </w:r>
          </w:p>
        </w:tc>
      </w:tr>
      <w:tr w14:paraId="680731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2E2774AB">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项目审批（核准/</w:t>
            </w:r>
          </w:p>
          <w:p w14:paraId="0CC03495">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备案）部门（选填）</w:t>
            </w:r>
          </w:p>
        </w:tc>
        <w:tc>
          <w:tcPr>
            <w:tcW w:w="2505" w:type="dxa"/>
            <w:noWrap w:val="0"/>
            <w:vAlign w:val="center"/>
          </w:tcPr>
          <w:p w14:paraId="42447C06">
            <w:pPr>
              <w:keepNext w:val="0"/>
              <w:keepLines w:val="0"/>
              <w:suppressLineNumbers w:val="0"/>
              <w:adjustRightInd w:val="0"/>
              <w:snapToGrid w:val="0"/>
              <w:spacing w:before="0" w:beforeAutospacing="0" w:after="0" w:afterAutospacing="0"/>
              <w:ind w:left="0" w:right="0"/>
              <w:jc w:val="center"/>
              <w:rPr>
                <w:rFonts w:hint="default" w:ascii="宋体" w:hAnsi="宋体"/>
                <w:sz w:val="24"/>
                <w:lang w:val="en-US"/>
              </w:rPr>
            </w:pPr>
            <w:r>
              <w:rPr>
                <w:rFonts w:hint="eastAsia" w:ascii="宋体" w:hAnsi="宋体"/>
                <w:sz w:val="24"/>
                <w:highlight w:val="none"/>
                <w:lang w:val="en-US" w:eastAsia="zh-CN"/>
              </w:rPr>
              <w:t>新乡县发展和改革委员会</w:t>
            </w:r>
          </w:p>
        </w:tc>
        <w:tc>
          <w:tcPr>
            <w:tcW w:w="1958" w:type="dxa"/>
            <w:noWrap w:val="0"/>
            <w:vAlign w:val="center"/>
          </w:tcPr>
          <w:p w14:paraId="2E2D6D7A">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项目审批（核准/</w:t>
            </w:r>
          </w:p>
          <w:p w14:paraId="261DDB56">
            <w:pPr>
              <w:keepNext w:val="0"/>
              <w:keepLines w:val="0"/>
              <w:suppressLineNumbers w:val="0"/>
              <w:adjustRightInd w:val="0"/>
              <w:snapToGrid w:val="0"/>
              <w:spacing w:before="0" w:beforeAutospacing="0" w:after="0" w:afterAutospacing="0"/>
              <w:ind w:left="0" w:right="0"/>
              <w:jc w:val="center"/>
              <w:rPr>
                <w:rFonts w:hint="default" w:ascii="宋体" w:hAnsi="宋体"/>
                <w:sz w:val="24"/>
              </w:rPr>
            </w:pPr>
            <w:r>
              <w:rPr>
                <w:rFonts w:hint="default" w:ascii="宋体" w:hAnsi="宋体"/>
                <w:sz w:val="24"/>
              </w:rPr>
              <w:t>备案）文号（选填）</w:t>
            </w:r>
          </w:p>
        </w:tc>
        <w:tc>
          <w:tcPr>
            <w:tcW w:w="3107" w:type="dxa"/>
            <w:gridSpan w:val="2"/>
            <w:noWrap w:val="0"/>
            <w:vAlign w:val="center"/>
          </w:tcPr>
          <w:p w14:paraId="5523965E">
            <w:pPr>
              <w:keepNext w:val="0"/>
              <w:keepLines w:val="0"/>
              <w:suppressLineNumbers w:val="0"/>
              <w:adjustRightInd w:val="0"/>
              <w:snapToGrid w:val="0"/>
              <w:spacing w:before="0" w:beforeAutospacing="0" w:after="0" w:afterAutospacing="0"/>
              <w:ind w:left="0" w:right="0"/>
              <w:jc w:val="center"/>
              <w:rPr>
                <w:rFonts w:hint="default" w:ascii="宋体" w:hAnsi="宋体" w:eastAsia="宋体"/>
                <w:color w:val="FF0000"/>
                <w:sz w:val="24"/>
                <w:lang w:val="en-US" w:eastAsia="zh-CN"/>
              </w:rPr>
            </w:pPr>
            <w:r>
              <w:rPr>
                <w:rFonts w:hint="eastAsia" w:ascii="宋体" w:hAnsi="宋体"/>
                <w:color w:val="auto"/>
                <w:sz w:val="24"/>
                <w:lang w:val="en-US" w:eastAsia="zh-CN"/>
              </w:rPr>
              <w:t>/</w:t>
            </w:r>
          </w:p>
        </w:tc>
      </w:tr>
      <w:tr w14:paraId="23C438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4CF0B98E">
            <w:pPr>
              <w:keepNext w:val="0"/>
              <w:keepLines w:val="0"/>
              <w:suppressLineNumbers w:val="0"/>
              <w:adjustRightInd w:val="0"/>
              <w:snapToGrid w:val="0"/>
              <w:spacing w:before="0" w:beforeAutospacing="0" w:after="0" w:afterAutospacing="0"/>
              <w:ind w:left="0" w:right="0"/>
              <w:jc w:val="center"/>
              <w:rPr>
                <w:rFonts w:hint="default" w:ascii="宋体" w:hAnsi="宋体"/>
                <w:color w:val="000000"/>
                <w:sz w:val="24"/>
              </w:rPr>
            </w:pPr>
            <w:r>
              <w:rPr>
                <w:rFonts w:hint="default" w:ascii="宋体" w:hAnsi="宋体"/>
                <w:color w:val="000000"/>
                <w:sz w:val="24"/>
              </w:rPr>
              <w:t>总投资（万元）</w:t>
            </w:r>
          </w:p>
        </w:tc>
        <w:tc>
          <w:tcPr>
            <w:tcW w:w="2505" w:type="dxa"/>
            <w:noWrap w:val="0"/>
            <w:vAlign w:val="center"/>
          </w:tcPr>
          <w:p w14:paraId="09A3D04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highlight w:val="none"/>
                <w:lang w:val="en-US" w:eastAsia="zh-CN"/>
              </w:rPr>
            </w:pPr>
            <w:r>
              <w:rPr>
                <w:rFonts w:hint="eastAsia" w:cs="Times New Roman"/>
                <w:sz w:val="24"/>
                <w:highlight w:val="none"/>
                <w:lang w:val="en-US" w:eastAsia="zh-CN"/>
              </w:rPr>
              <w:t>500</w:t>
            </w:r>
          </w:p>
        </w:tc>
        <w:tc>
          <w:tcPr>
            <w:tcW w:w="1958" w:type="dxa"/>
            <w:noWrap w:val="0"/>
            <w:tcMar>
              <w:top w:w="16" w:type="dxa"/>
              <w:left w:w="16" w:type="dxa"/>
              <w:right w:w="16" w:type="dxa"/>
            </w:tcMar>
            <w:vAlign w:val="center"/>
          </w:tcPr>
          <w:p w14:paraId="356FB62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环保投资（万元）</w:t>
            </w:r>
          </w:p>
        </w:tc>
        <w:tc>
          <w:tcPr>
            <w:tcW w:w="3107" w:type="dxa"/>
            <w:gridSpan w:val="2"/>
            <w:noWrap w:val="0"/>
            <w:vAlign w:val="center"/>
          </w:tcPr>
          <w:p w14:paraId="494E103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sz w:val="24"/>
                <w:highlight w:val="yellow"/>
                <w:lang w:val="en-US" w:eastAsia="zh-CN"/>
              </w:rPr>
            </w:pPr>
            <w:r>
              <w:rPr>
                <w:rFonts w:hint="eastAsia" w:cs="Times New Roman"/>
                <w:color w:val="000000" w:themeColor="text1"/>
                <w:sz w:val="24"/>
                <w:highlight w:val="none"/>
                <w:lang w:val="en-US" w:eastAsia="zh-CN"/>
                <w14:textFill>
                  <w14:solidFill>
                    <w14:schemeClr w14:val="tx1"/>
                  </w14:solidFill>
                </w14:textFill>
              </w:rPr>
              <w:t>30</w:t>
            </w:r>
          </w:p>
        </w:tc>
      </w:tr>
      <w:tr w14:paraId="7556D8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4B0C893E">
            <w:pPr>
              <w:keepNext w:val="0"/>
              <w:keepLines w:val="0"/>
              <w:suppressLineNumbers w:val="0"/>
              <w:adjustRightInd w:val="0"/>
              <w:snapToGrid w:val="0"/>
              <w:spacing w:before="0" w:beforeAutospacing="0" w:after="0" w:afterAutospacing="0"/>
              <w:ind w:left="0" w:right="0"/>
              <w:jc w:val="center"/>
              <w:rPr>
                <w:rFonts w:hint="default" w:ascii="宋体" w:hAnsi="宋体"/>
                <w:color w:val="000000"/>
                <w:sz w:val="24"/>
              </w:rPr>
            </w:pPr>
            <w:r>
              <w:rPr>
                <w:rFonts w:hint="default" w:ascii="宋体" w:hAnsi="宋体"/>
                <w:color w:val="000000"/>
                <w:sz w:val="24"/>
              </w:rPr>
              <w:t>环保投资占比（</w:t>
            </w:r>
            <w:r>
              <w:rPr>
                <w:rFonts w:hint="default" w:ascii="Times New Roman" w:hAnsi="Times New Roman" w:cs="Times New Roman"/>
                <w:color w:val="000000"/>
                <w:sz w:val="24"/>
              </w:rPr>
              <w:t>%</w:t>
            </w:r>
            <w:r>
              <w:rPr>
                <w:rFonts w:hint="default" w:ascii="宋体" w:hAnsi="宋体"/>
                <w:color w:val="000000"/>
                <w:sz w:val="24"/>
              </w:rPr>
              <w:t>）</w:t>
            </w:r>
          </w:p>
        </w:tc>
        <w:tc>
          <w:tcPr>
            <w:tcW w:w="2505" w:type="dxa"/>
            <w:noWrap w:val="0"/>
            <w:vAlign w:val="center"/>
          </w:tcPr>
          <w:p w14:paraId="758FB37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highlight w:val="none"/>
                <w:lang w:val="en-US" w:eastAsia="zh-CN"/>
              </w:rPr>
            </w:pPr>
            <w:r>
              <w:rPr>
                <w:rFonts w:hint="eastAsia" w:cs="Times New Roman"/>
                <w:sz w:val="24"/>
                <w:highlight w:val="none"/>
                <w:lang w:val="en-US" w:eastAsia="zh-CN"/>
              </w:rPr>
              <w:t>6%</w:t>
            </w:r>
          </w:p>
        </w:tc>
        <w:tc>
          <w:tcPr>
            <w:tcW w:w="1958" w:type="dxa"/>
            <w:noWrap w:val="0"/>
            <w:tcMar>
              <w:top w:w="16" w:type="dxa"/>
              <w:left w:w="16" w:type="dxa"/>
              <w:right w:w="16" w:type="dxa"/>
            </w:tcMar>
            <w:vAlign w:val="center"/>
          </w:tcPr>
          <w:p w14:paraId="5C47055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4"/>
                <w:highlight w:val="none"/>
              </w:rPr>
            </w:pPr>
            <w:r>
              <w:rPr>
                <w:rFonts w:hint="default" w:ascii="Times New Roman" w:hAnsi="Times New Roman" w:cs="Times New Roman"/>
                <w:color w:val="000000"/>
                <w:sz w:val="24"/>
                <w:highlight w:val="none"/>
              </w:rPr>
              <w:t>施工工期</w:t>
            </w:r>
          </w:p>
        </w:tc>
        <w:tc>
          <w:tcPr>
            <w:tcW w:w="3107" w:type="dxa"/>
            <w:gridSpan w:val="2"/>
            <w:noWrap w:val="0"/>
            <w:vAlign w:val="center"/>
          </w:tcPr>
          <w:p w14:paraId="1B1ABB8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000000"/>
                <w:sz w:val="24"/>
                <w:highlight w:val="yellow"/>
              </w:rPr>
            </w:pPr>
            <w:r>
              <w:rPr>
                <w:rFonts w:hint="eastAsia" w:cs="Times New Roman"/>
                <w:color w:val="000000"/>
                <w:sz w:val="24"/>
                <w:highlight w:val="none"/>
                <w:lang w:val="en-US" w:eastAsia="zh-CN"/>
              </w:rPr>
              <w:t>6</w:t>
            </w:r>
            <w:r>
              <w:rPr>
                <w:rFonts w:hint="default" w:ascii="Times New Roman" w:hAnsi="Times New Roman" w:cs="Times New Roman"/>
                <w:color w:val="000000"/>
                <w:sz w:val="24"/>
                <w:highlight w:val="none"/>
              </w:rPr>
              <w:t>个月</w:t>
            </w:r>
          </w:p>
        </w:tc>
      </w:tr>
      <w:tr w14:paraId="3B9F6B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gridBefore w:val="1"/>
          <w:wBefore w:w="92" w:type="dxa"/>
          <w:trHeight w:val="567" w:hRule="atLeast"/>
          <w:jc w:val="center"/>
        </w:trPr>
        <w:tc>
          <w:tcPr>
            <w:tcW w:w="2184" w:type="dxa"/>
            <w:gridSpan w:val="2"/>
            <w:noWrap w:val="0"/>
            <w:tcMar>
              <w:top w:w="16" w:type="dxa"/>
              <w:left w:w="16" w:type="dxa"/>
              <w:right w:w="16" w:type="dxa"/>
            </w:tcMar>
            <w:vAlign w:val="center"/>
          </w:tcPr>
          <w:p w14:paraId="0A08D638">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hAnsi="宋体"/>
                <w:sz w:val="24"/>
              </w:rPr>
              <w:t>是否开工建设</w:t>
            </w:r>
          </w:p>
        </w:tc>
        <w:tc>
          <w:tcPr>
            <w:tcW w:w="2505" w:type="dxa"/>
            <w:noWrap w:val="0"/>
            <w:vAlign w:val="center"/>
          </w:tcPr>
          <w:p w14:paraId="17C076F4">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sz w:val="24"/>
                <w:highlight w:val="none"/>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否</w:t>
            </w:r>
          </w:p>
          <w:p w14:paraId="4EC80198">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sz w:val="24"/>
                <w:highlight w:val="none"/>
              </w:rPr>
            </w:pPr>
            <w:r>
              <w:rPr>
                <w:rFonts w:hint="eastAsia" w:ascii="Times New Roman" w:hAnsi="Times New Roman" w:cs="Times New Roman"/>
                <w:sz w:val="24"/>
                <w:highlight w:val="none"/>
                <w:lang w:eastAsia="zh-CN"/>
              </w:rPr>
              <w:t>□</w:t>
            </w:r>
            <w:r>
              <w:rPr>
                <w:rFonts w:hint="default" w:ascii="Times New Roman" w:hAnsi="Times New Roman" w:cs="Times New Roman"/>
                <w:sz w:val="24"/>
                <w:highlight w:val="none"/>
              </w:rPr>
              <w:t>是：</w:t>
            </w:r>
            <w:r>
              <w:rPr>
                <w:rFonts w:hint="default" w:ascii="Times New Roman" w:hAnsi="Times New Roman" w:cs="Times New Roman"/>
                <w:sz w:val="24"/>
                <w:highlight w:val="none"/>
                <w:u w:val="single"/>
              </w:rPr>
              <w:t xml:space="preserve">             </w:t>
            </w:r>
          </w:p>
        </w:tc>
        <w:tc>
          <w:tcPr>
            <w:tcW w:w="1958" w:type="dxa"/>
            <w:noWrap w:val="0"/>
            <w:tcMar>
              <w:top w:w="16" w:type="dxa"/>
              <w:left w:w="16" w:type="dxa"/>
              <w:right w:w="16" w:type="dxa"/>
            </w:tcMar>
            <w:vAlign w:val="center"/>
          </w:tcPr>
          <w:p w14:paraId="680F2E7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spacing w:val="-6"/>
                <w:sz w:val="24"/>
                <w:highlight w:val="none"/>
              </w:rPr>
            </w:pPr>
            <w:r>
              <w:rPr>
                <w:rFonts w:hint="default" w:ascii="Times New Roman" w:hAnsi="Times New Roman" w:cs="Times New Roman"/>
                <w:spacing w:val="-6"/>
                <w:sz w:val="24"/>
                <w:highlight w:val="none"/>
              </w:rPr>
              <w:t>用地面积（m</w:t>
            </w:r>
            <w:r>
              <w:rPr>
                <w:rFonts w:hint="default" w:ascii="Times New Roman" w:hAnsi="Times New Roman" w:cs="Times New Roman"/>
                <w:spacing w:val="-6"/>
                <w:sz w:val="24"/>
                <w:highlight w:val="none"/>
                <w:vertAlign w:val="superscript"/>
              </w:rPr>
              <w:t>2</w:t>
            </w:r>
            <w:r>
              <w:rPr>
                <w:rFonts w:hint="default" w:ascii="Times New Roman" w:hAnsi="Times New Roman" w:cs="Times New Roman"/>
                <w:spacing w:val="-6"/>
                <w:sz w:val="24"/>
                <w:highlight w:val="none"/>
              </w:rPr>
              <w:t>）</w:t>
            </w:r>
          </w:p>
        </w:tc>
        <w:tc>
          <w:tcPr>
            <w:tcW w:w="3107" w:type="dxa"/>
            <w:gridSpan w:val="2"/>
            <w:noWrap w:val="0"/>
            <w:vAlign w:val="center"/>
          </w:tcPr>
          <w:p w14:paraId="2F61B1B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4"/>
                <w:highlight w:val="none"/>
                <w:lang w:val="en-US" w:eastAsia="zh-CN"/>
              </w:rPr>
            </w:pPr>
            <w:r>
              <w:rPr>
                <w:rFonts w:hint="eastAsia" w:cs="Times New Roman"/>
                <w:sz w:val="24"/>
                <w:highlight w:val="none"/>
                <w:lang w:val="en-US" w:eastAsia="zh-CN"/>
              </w:rPr>
              <w:t>8000</w:t>
            </w:r>
          </w:p>
        </w:tc>
      </w:tr>
      <w:tr w14:paraId="71CA5D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wBefore w:w="92" w:type="dxa"/>
          <w:trHeight w:val="647" w:hRule="atLeast"/>
          <w:jc w:val="center"/>
        </w:trPr>
        <w:tc>
          <w:tcPr>
            <w:tcW w:w="2184" w:type="dxa"/>
            <w:gridSpan w:val="2"/>
            <w:noWrap w:val="0"/>
            <w:vAlign w:val="center"/>
          </w:tcPr>
          <w:p w14:paraId="2D38F81C">
            <w:pPr>
              <w:keepNext w:val="0"/>
              <w:keepLines w:val="0"/>
              <w:suppressLineNumbers w:val="0"/>
              <w:autoSpaceDE w:val="0"/>
              <w:autoSpaceDN w:val="0"/>
              <w:adjustRightInd w:val="0"/>
              <w:snapToGrid w:val="0"/>
              <w:spacing w:before="0" w:beforeAutospacing="0" w:after="0" w:afterAutospacing="0"/>
              <w:ind w:left="0" w:right="0"/>
              <w:jc w:val="center"/>
              <w:rPr>
                <w:rFonts w:hint="default"/>
                <w:kern w:val="0"/>
                <w:sz w:val="24"/>
              </w:rPr>
            </w:pPr>
            <w:r>
              <w:rPr>
                <w:rFonts w:hint="default" w:hAnsi="宋体"/>
                <w:kern w:val="0"/>
                <w:sz w:val="24"/>
              </w:rPr>
              <w:t>专项评价设置情况</w:t>
            </w:r>
          </w:p>
        </w:tc>
        <w:tc>
          <w:tcPr>
            <w:tcW w:w="7570" w:type="dxa"/>
            <w:gridSpan w:val="4"/>
            <w:noWrap w:val="0"/>
            <w:vAlign w:val="center"/>
          </w:tcPr>
          <w:p w14:paraId="4AD24C7C">
            <w:pPr>
              <w:keepNext w:val="0"/>
              <w:keepLines w:val="0"/>
              <w:suppressLineNumbers w:val="0"/>
              <w:autoSpaceDE w:val="0"/>
              <w:autoSpaceDN w:val="0"/>
              <w:adjustRightInd w:val="0"/>
              <w:snapToGrid w:val="0"/>
              <w:spacing w:before="0" w:beforeAutospacing="0" w:after="0" w:afterAutospacing="0"/>
              <w:ind w:left="0" w:right="0"/>
              <w:jc w:val="center"/>
              <w:rPr>
                <w:rFonts w:hint="eastAsia"/>
                <w:kern w:val="0"/>
                <w:sz w:val="24"/>
                <w:lang w:val="en-US" w:eastAsia="zh-CN"/>
              </w:rPr>
            </w:pPr>
          </w:p>
          <w:p w14:paraId="5F954B48">
            <w:pPr>
              <w:keepNext w:val="0"/>
              <w:keepLines w:val="0"/>
              <w:suppressLineNumbers w:val="0"/>
              <w:autoSpaceDE w:val="0"/>
              <w:autoSpaceDN w:val="0"/>
              <w:adjustRightInd w:val="0"/>
              <w:snapToGrid w:val="0"/>
              <w:spacing w:before="0" w:beforeAutospacing="0" w:after="0" w:afterAutospacing="0"/>
              <w:ind w:left="0" w:right="0"/>
              <w:jc w:val="center"/>
              <w:rPr>
                <w:rFonts w:hint="eastAsia"/>
                <w:kern w:val="0"/>
                <w:sz w:val="24"/>
                <w:lang w:val="en-US" w:eastAsia="zh-CN"/>
              </w:rPr>
            </w:pPr>
          </w:p>
          <w:p w14:paraId="251A8684">
            <w:pPr>
              <w:keepNext w:val="0"/>
              <w:keepLines w:val="0"/>
              <w:suppressLineNumbers w:val="0"/>
              <w:autoSpaceDE w:val="0"/>
              <w:autoSpaceDN w:val="0"/>
              <w:adjustRightInd w:val="0"/>
              <w:snapToGrid w:val="0"/>
              <w:spacing w:before="0" w:beforeAutospacing="0" w:after="0" w:afterAutospacing="0"/>
              <w:ind w:left="0" w:right="0"/>
              <w:jc w:val="center"/>
              <w:rPr>
                <w:rFonts w:hint="eastAsia"/>
                <w:kern w:val="0"/>
                <w:sz w:val="24"/>
                <w:lang w:val="en-US" w:eastAsia="zh-CN"/>
              </w:rPr>
            </w:pPr>
            <w:r>
              <w:rPr>
                <w:rFonts w:hint="eastAsia"/>
                <w:kern w:val="0"/>
                <w:sz w:val="24"/>
                <w:lang w:val="en-US" w:eastAsia="zh-CN"/>
              </w:rPr>
              <w:t>无</w:t>
            </w:r>
          </w:p>
          <w:p w14:paraId="4860B033">
            <w:pPr>
              <w:keepNext w:val="0"/>
              <w:keepLines w:val="0"/>
              <w:suppressLineNumbers w:val="0"/>
              <w:autoSpaceDE w:val="0"/>
              <w:autoSpaceDN w:val="0"/>
              <w:adjustRightInd w:val="0"/>
              <w:snapToGrid w:val="0"/>
              <w:spacing w:before="0" w:beforeAutospacing="0" w:after="0" w:afterAutospacing="0"/>
              <w:ind w:left="0" w:right="0"/>
              <w:jc w:val="both"/>
              <w:rPr>
                <w:rFonts w:hint="eastAsia"/>
                <w:kern w:val="0"/>
                <w:sz w:val="24"/>
                <w:lang w:val="en-US" w:eastAsia="zh-CN"/>
              </w:rPr>
            </w:pPr>
          </w:p>
        </w:tc>
      </w:tr>
      <w:tr w14:paraId="50C0D9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wBefore w:w="92" w:type="dxa"/>
          <w:trHeight w:val="617" w:hRule="atLeast"/>
          <w:jc w:val="center"/>
        </w:trPr>
        <w:tc>
          <w:tcPr>
            <w:tcW w:w="2184" w:type="dxa"/>
            <w:gridSpan w:val="2"/>
            <w:noWrap w:val="0"/>
            <w:vAlign w:val="center"/>
          </w:tcPr>
          <w:p w14:paraId="637566E0">
            <w:pPr>
              <w:keepNext w:val="0"/>
              <w:keepLines w:val="0"/>
              <w:suppressLineNumbers w:val="0"/>
              <w:autoSpaceDE w:val="0"/>
              <w:autoSpaceDN w:val="0"/>
              <w:adjustRightInd w:val="0"/>
              <w:snapToGrid w:val="0"/>
              <w:spacing w:before="0" w:beforeAutospacing="0" w:after="0" w:afterAutospacing="0"/>
              <w:ind w:left="0" w:right="0"/>
              <w:jc w:val="center"/>
              <w:rPr>
                <w:rFonts w:hint="default"/>
                <w:kern w:val="0"/>
                <w:sz w:val="24"/>
              </w:rPr>
            </w:pPr>
            <w:r>
              <w:rPr>
                <w:rFonts w:hint="default" w:hAnsi="宋体"/>
                <w:sz w:val="24"/>
              </w:rPr>
              <w:t>规划情况</w:t>
            </w:r>
          </w:p>
        </w:tc>
        <w:tc>
          <w:tcPr>
            <w:tcW w:w="7570" w:type="dxa"/>
            <w:gridSpan w:val="4"/>
            <w:noWrap w:val="0"/>
            <w:vAlign w:val="center"/>
          </w:tcPr>
          <w:p w14:paraId="4620456D">
            <w:pPr>
              <w:keepNext w:val="0"/>
              <w:keepLines w:val="0"/>
              <w:suppressLineNumbers w:val="0"/>
              <w:bidi w:val="0"/>
              <w:spacing w:before="0" w:beforeAutospacing="0" w:after="0" w:afterAutospacing="0" w:line="240" w:lineRule="auto"/>
              <w:ind w:left="0" w:right="0"/>
              <w:jc w:val="center"/>
              <w:rPr>
                <w:rFonts w:hint="eastAsia" w:cs="Times New Roman"/>
                <w:sz w:val="24"/>
                <w:szCs w:val="24"/>
                <w:lang w:val="en-US" w:eastAsia="zh-CN"/>
              </w:rPr>
            </w:pPr>
          </w:p>
          <w:p w14:paraId="4B3FA5B1">
            <w:pPr>
              <w:keepNext w:val="0"/>
              <w:keepLines w:val="0"/>
              <w:suppressLineNumbers w:val="0"/>
              <w:bidi w:val="0"/>
              <w:spacing w:before="0" w:beforeAutospacing="0" w:after="0" w:afterAutospacing="0" w:line="240" w:lineRule="auto"/>
              <w:ind w:left="0" w:right="0"/>
              <w:jc w:val="center"/>
              <w:rPr>
                <w:rFonts w:hint="eastAsia" w:cs="Times New Roman"/>
                <w:sz w:val="24"/>
                <w:szCs w:val="24"/>
                <w:lang w:val="en-US" w:eastAsia="zh-CN"/>
              </w:rPr>
            </w:pPr>
            <w:r>
              <w:rPr>
                <w:rFonts w:hint="eastAsia" w:cs="Times New Roman"/>
                <w:sz w:val="24"/>
                <w:szCs w:val="24"/>
                <w:lang w:val="en-US" w:eastAsia="zh-CN"/>
              </w:rPr>
              <w:t>无</w:t>
            </w:r>
          </w:p>
          <w:p w14:paraId="0711F7FA">
            <w:pPr>
              <w:keepNext w:val="0"/>
              <w:keepLines w:val="0"/>
              <w:suppressLineNumbers w:val="0"/>
              <w:bidi w:val="0"/>
              <w:spacing w:before="0" w:beforeAutospacing="0" w:after="0" w:afterAutospacing="0" w:line="240" w:lineRule="auto"/>
              <w:ind w:left="0" w:right="0"/>
              <w:jc w:val="center"/>
              <w:rPr>
                <w:rFonts w:hint="default" w:cs="Times New Roman"/>
                <w:sz w:val="24"/>
                <w:szCs w:val="24"/>
                <w:lang w:val="en-US" w:eastAsia="zh-CN"/>
              </w:rPr>
            </w:pPr>
          </w:p>
        </w:tc>
      </w:tr>
      <w:tr w14:paraId="12E1F3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wBefore w:w="92" w:type="dxa"/>
          <w:trHeight w:val="872" w:hRule="atLeast"/>
          <w:jc w:val="center"/>
        </w:trPr>
        <w:tc>
          <w:tcPr>
            <w:tcW w:w="2184" w:type="dxa"/>
            <w:gridSpan w:val="2"/>
            <w:noWrap w:val="0"/>
            <w:vAlign w:val="center"/>
          </w:tcPr>
          <w:p w14:paraId="142FCA20">
            <w:pPr>
              <w:keepNext w:val="0"/>
              <w:keepLines w:val="0"/>
              <w:suppressLineNumbers w:val="0"/>
              <w:adjustRightInd w:val="0"/>
              <w:snapToGrid w:val="0"/>
              <w:spacing w:before="0" w:beforeAutospacing="0" w:after="0" w:afterAutospacing="0"/>
              <w:ind w:left="0" w:right="0"/>
              <w:jc w:val="center"/>
              <w:rPr>
                <w:rFonts w:hint="default"/>
                <w:sz w:val="24"/>
              </w:rPr>
            </w:pPr>
            <w:r>
              <w:rPr>
                <w:rFonts w:hint="default" w:hAnsi="宋体"/>
                <w:sz w:val="24"/>
              </w:rPr>
              <w:t>规划环境影响</w:t>
            </w:r>
          </w:p>
          <w:p w14:paraId="6FC8D6BE">
            <w:pPr>
              <w:keepNext w:val="0"/>
              <w:keepLines w:val="0"/>
              <w:suppressLineNumbers w:val="0"/>
              <w:adjustRightInd w:val="0"/>
              <w:snapToGrid w:val="0"/>
              <w:spacing w:before="0" w:beforeAutospacing="0" w:after="0" w:afterAutospacing="0"/>
              <w:ind w:left="0" w:right="0"/>
              <w:jc w:val="center"/>
              <w:rPr>
                <w:rFonts w:hint="default"/>
                <w:kern w:val="0"/>
                <w:sz w:val="24"/>
              </w:rPr>
            </w:pPr>
            <w:r>
              <w:rPr>
                <w:rFonts w:hint="default" w:hAnsi="宋体"/>
                <w:sz w:val="24"/>
              </w:rPr>
              <w:t>评价情况</w:t>
            </w:r>
          </w:p>
        </w:tc>
        <w:tc>
          <w:tcPr>
            <w:tcW w:w="7570" w:type="dxa"/>
            <w:gridSpan w:val="4"/>
            <w:noWrap w:val="0"/>
            <w:vAlign w:val="center"/>
          </w:tcPr>
          <w:p w14:paraId="4B159D75">
            <w:pPr>
              <w:keepNext w:val="0"/>
              <w:keepLines w:val="0"/>
              <w:suppressLineNumbers w:val="0"/>
              <w:bidi w:val="0"/>
              <w:spacing w:before="0" w:beforeAutospacing="0" w:after="0" w:afterAutospacing="0" w:line="240" w:lineRule="auto"/>
              <w:ind w:left="0" w:right="0"/>
              <w:jc w:val="center"/>
              <w:rPr>
                <w:rFonts w:hint="eastAsia" w:eastAsia="宋体"/>
                <w:kern w:val="0"/>
                <w:lang w:eastAsia="zh-CN"/>
              </w:rPr>
            </w:pPr>
            <w:r>
              <w:rPr>
                <w:rFonts w:hint="eastAsia" w:cs="Times New Roman"/>
                <w:sz w:val="24"/>
                <w:szCs w:val="24"/>
                <w:lang w:val="en-US" w:eastAsia="zh-CN"/>
              </w:rPr>
              <w:t>无</w:t>
            </w:r>
          </w:p>
        </w:tc>
      </w:tr>
      <w:tr w14:paraId="1B9517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wBefore w:w="92" w:type="dxa"/>
          <w:trHeight w:val="822" w:hRule="atLeast"/>
          <w:jc w:val="center"/>
        </w:trPr>
        <w:tc>
          <w:tcPr>
            <w:tcW w:w="2184" w:type="dxa"/>
            <w:gridSpan w:val="2"/>
            <w:noWrap w:val="0"/>
            <w:vAlign w:val="center"/>
          </w:tcPr>
          <w:p w14:paraId="6C4A887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kern w:val="0"/>
                <w:sz w:val="24"/>
              </w:rPr>
            </w:pPr>
            <w:r>
              <w:rPr>
                <w:rFonts w:hint="default" w:hAnsi="宋体"/>
                <w:kern w:val="0"/>
                <w:sz w:val="24"/>
              </w:rPr>
              <w:t>规划及规划环境影响评价符合性分析</w:t>
            </w:r>
          </w:p>
        </w:tc>
        <w:tc>
          <w:tcPr>
            <w:tcW w:w="7570" w:type="dxa"/>
            <w:gridSpan w:val="4"/>
            <w:noWrap w:val="0"/>
            <w:vAlign w:val="center"/>
          </w:tcPr>
          <w:p w14:paraId="77A011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b w:val="0"/>
                <w:bCs w:val="0"/>
                <w:lang w:val="en-US" w:eastAsia="zh-CN"/>
              </w:rPr>
            </w:pPr>
            <w:r>
              <w:rPr>
                <w:rFonts w:hint="eastAsia"/>
                <w:b w:val="0"/>
                <w:bCs w:val="0"/>
                <w:lang w:val="en-US" w:eastAsia="zh-CN"/>
              </w:rPr>
              <w:t>无</w:t>
            </w:r>
          </w:p>
        </w:tc>
      </w:tr>
      <w:tr w14:paraId="7C5C58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After w:val="1"/>
          <w:wAfter w:w="92" w:type="dxa"/>
          <w:trHeight w:val="13803" w:hRule="atLeast"/>
          <w:jc w:val="center"/>
        </w:trPr>
        <w:tc>
          <w:tcPr>
            <w:tcW w:w="700" w:type="dxa"/>
            <w:gridSpan w:val="2"/>
            <w:noWrap w:val="0"/>
            <w:vAlign w:val="center"/>
          </w:tcPr>
          <w:p w14:paraId="5E10E40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440" w:lineRule="exact"/>
              <w:ind w:left="0" w:right="0"/>
              <w:jc w:val="center"/>
              <w:textAlignment w:val="auto"/>
              <w:rPr>
                <w:rFonts w:hint="default"/>
                <w:kern w:val="0"/>
                <w:sz w:val="24"/>
              </w:rPr>
            </w:pPr>
            <w:r>
              <w:rPr>
                <w:rFonts w:hint="default" w:hAnsi="宋体"/>
                <w:kern w:val="0"/>
                <w:sz w:val="24"/>
              </w:rPr>
              <w:t>其他符合性分析</w:t>
            </w:r>
          </w:p>
        </w:tc>
        <w:tc>
          <w:tcPr>
            <w:tcW w:w="9054" w:type="dxa"/>
            <w:gridSpan w:val="4"/>
            <w:noWrap w:val="0"/>
            <w:vAlign w:val="top"/>
          </w:tcPr>
          <w:p w14:paraId="5B10AB5A">
            <w:pPr>
              <w:keepNext w:val="0"/>
              <w:keepLines w:val="0"/>
              <w:suppressLineNumbers w:val="0"/>
              <w:spacing w:before="0" w:beforeAutospacing="0" w:after="0" w:afterAutospacing="0" w:line="440" w:lineRule="exact"/>
              <w:ind w:left="0" w:right="0" w:firstLine="482" w:firstLineChars="200"/>
              <w:jc w:val="both"/>
              <w:textAlignment w:val="baseline"/>
              <w:rPr>
                <w:rFonts w:hint="eastAsia" w:ascii="宋体" w:hAnsi="宋体"/>
                <w:b/>
                <w:bCs/>
                <w:color w:val="000000"/>
                <w:sz w:val="24"/>
              </w:rPr>
            </w:pPr>
            <w:r>
              <w:rPr>
                <w:rFonts w:hint="default" w:ascii="Times New Roman" w:hAnsi="Times New Roman" w:cs="Times New Roman"/>
                <w:b/>
                <w:bCs/>
                <w:color w:val="000000"/>
                <w:sz w:val="24"/>
              </w:rPr>
              <w:t>1</w:t>
            </w:r>
            <w:r>
              <w:rPr>
                <w:rFonts w:hint="eastAsia" w:ascii="宋体" w:hAnsi="宋体"/>
                <w:b/>
                <w:bCs/>
                <w:color w:val="000000"/>
                <w:sz w:val="24"/>
              </w:rPr>
              <w:t>、“三线一单”符合性分析</w:t>
            </w:r>
          </w:p>
          <w:p w14:paraId="374A68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baseline"/>
              <w:rPr>
                <w:rFonts w:hint="eastAsia" w:ascii="宋体" w:hAnsi="宋体"/>
                <w:b/>
                <w:bCs/>
                <w:color w:val="000000"/>
                <w:sz w:val="24"/>
              </w:rPr>
            </w:pPr>
            <w:r>
              <w:rPr>
                <w:rFonts w:hint="eastAsia" w:ascii="宋体" w:hAnsi="宋体"/>
                <w:color w:val="000000"/>
                <w:sz w:val="24"/>
              </w:rPr>
              <w:t>根据《关于以改善环境质量为核心加强环境影响评价管理的通知》(环环评</w:t>
            </w:r>
            <w:r>
              <w:rPr>
                <w:rFonts w:hint="default" w:ascii="Times New Roman" w:hAnsi="Times New Roman" w:cs="Times New Roman"/>
                <w:color w:val="000000"/>
                <w:sz w:val="24"/>
              </w:rPr>
              <w:t>[2016]150</w:t>
            </w:r>
            <w:r>
              <w:rPr>
                <w:rFonts w:hint="eastAsia" w:ascii="宋体" w:hAnsi="宋体"/>
                <w:color w:val="000000"/>
                <w:sz w:val="24"/>
              </w:rPr>
              <w:t>号)要求，落实“生态保护红线、环境质量底线、资源利用上线和环境准入负面清单”（以下简称“三线一单”）约束，现分析如下</w:t>
            </w:r>
            <w:r>
              <w:rPr>
                <w:rFonts w:hint="eastAsia" w:ascii="宋体" w:hAnsi="宋体"/>
                <w:color w:val="000000"/>
                <w:sz w:val="24"/>
                <w:lang w:eastAsia="zh-CN"/>
              </w:rPr>
              <w:t>：</w:t>
            </w:r>
          </w:p>
          <w:p w14:paraId="0FD3A1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baseline"/>
              <w:rPr>
                <w:rFonts w:hint="eastAsia" w:ascii="宋体" w:hAnsi="宋体" w:eastAsia="宋体"/>
                <w:b/>
                <w:bCs/>
                <w:color w:val="000000"/>
                <w:sz w:val="24"/>
                <w:lang w:eastAsia="zh-CN"/>
              </w:rPr>
            </w:pPr>
            <w:r>
              <w:rPr>
                <w:rFonts w:hint="eastAsia" w:ascii="宋体" w:hAnsi="宋体"/>
                <w:b/>
                <w:bCs/>
                <w:color w:val="000000"/>
                <w:sz w:val="24"/>
              </w:rPr>
              <w:t>（</w:t>
            </w:r>
            <w:r>
              <w:rPr>
                <w:rFonts w:hint="default" w:ascii="Times New Roman" w:hAnsi="Times New Roman" w:cs="Times New Roman"/>
                <w:b/>
                <w:bCs/>
                <w:color w:val="000000"/>
                <w:sz w:val="24"/>
              </w:rPr>
              <w:t>1</w:t>
            </w:r>
            <w:r>
              <w:rPr>
                <w:rFonts w:hint="eastAsia" w:ascii="宋体" w:hAnsi="宋体"/>
                <w:b/>
                <w:bCs/>
                <w:color w:val="000000"/>
                <w:sz w:val="24"/>
              </w:rPr>
              <w:t>）</w:t>
            </w:r>
            <w:r>
              <w:rPr>
                <w:rFonts w:hint="eastAsia" w:ascii="宋体" w:hAnsi="宋体"/>
                <w:b/>
                <w:bCs/>
                <w:color w:val="000000"/>
                <w:sz w:val="24"/>
                <w:lang w:eastAsia="zh-CN"/>
              </w:rPr>
              <w:t>生态保护红线相符性分析</w:t>
            </w:r>
          </w:p>
          <w:p w14:paraId="2BC822C5">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color w:val="000000" w:themeColor="text1"/>
                <w:sz w:val="24"/>
                <w:lang w:val="en-US" w:eastAsia="zh-CN"/>
                <w14:textFill>
                  <w14:solidFill>
                    <w14:schemeClr w14:val="tx1"/>
                  </w14:solidFill>
                </w14:textFill>
              </w:rPr>
            </w:pPr>
            <w:r>
              <w:rPr>
                <w:rFonts w:hint="default" w:ascii="宋体" w:hAnsi="宋体"/>
                <w:color w:val="000000" w:themeColor="text1"/>
                <w:sz w:val="24"/>
                <w14:textFill>
                  <w14:solidFill>
                    <w14:schemeClr w14:val="tx1"/>
                  </w14:solidFill>
                </w14:textFill>
              </w:rPr>
              <w:t>本项目</w:t>
            </w:r>
            <w:r>
              <w:rPr>
                <w:rFonts w:hint="eastAsia" w:ascii="宋体" w:hAnsi="宋体"/>
                <w:color w:val="000000" w:themeColor="text1"/>
                <w:sz w:val="24"/>
                <w:lang w:eastAsia="zh-CN"/>
                <w14:textFill>
                  <w14:solidFill>
                    <w14:schemeClr w14:val="tx1"/>
                  </w14:solidFill>
                </w14:textFill>
              </w:rPr>
              <w:t>厂址</w:t>
            </w:r>
            <w:r>
              <w:rPr>
                <w:rFonts w:hint="default" w:ascii="宋体" w:hAnsi="宋体"/>
                <w:color w:val="000000" w:themeColor="text1"/>
                <w:sz w:val="24"/>
                <w14:textFill>
                  <w14:solidFill>
                    <w14:schemeClr w14:val="tx1"/>
                  </w14:solidFill>
                </w14:textFill>
              </w:rPr>
              <w:t>位于</w:t>
            </w:r>
            <w:r>
              <w:rPr>
                <w:rFonts w:hint="eastAsia" w:ascii="宋体" w:hAnsi="宋体" w:cs="宋体"/>
                <w:color w:val="auto"/>
                <w:sz w:val="24"/>
                <w:szCs w:val="24"/>
                <w:lang w:val="en-US" w:eastAsia="zh-CN"/>
              </w:rPr>
              <w:t>河南省新乡</w:t>
            </w:r>
            <w:r>
              <w:rPr>
                <w:rFonts w:hint="default" w:ascii="Times New Roman" w:hAnsi="Times New Roman" w:cs="Times New Roman"/>
                <w:color w:val="auto"/>
                <w:sz w:val="24"/>
                <w:szCs w:val="24"/>
                <w:lang w:val="en-US" w:eastAsia="zh-CN"/>
              </w:rPr>
              <w:t>市新乡县七里营镇南位庄村工业路698号</w:t>
            </w:r>
            <w:r>
              <w:rPr>
                <w:rFonts w:hint="default" w:ascii="Times New Roman" w:hAnsi="Times New Roman" w:cs="Times New Roman"/>
                <w:color w:val="000000" w:themeColor="text1"/>
                <w:sz w:val="24"/>
                <w14:textFill>
                  <w14:solidFill>
                    <w14:schemeClr w14:val="tx1"/>
                  </w14:solidFill>
                </w14:textFill>
              </w:rPr>
              <w:t>，</w:t>
            </w:r>
            <w:r>
              <w:rPr>
                <w:rFonts w:hint="eastAsia"/>
                <w:color w:val="000000"/>
                <w:sz w:val="24"/>
              </w:rPr>
              <w:t>不在当地饮用水源、风景区、自然保护区等生态保护区内，</w:t>
            </w:r>
            <w:r>
              <w:rPr>
                <w:rFonts w:hint="eastAsia" w:ascii="宋体" w:hAnsi="宋体"/>
                <w:color w:val="auto"/>
                <w:sz w:val="24"/>
                <w:highlight w:val="none"/>
              </w:rPr>
              <w:t>经查阅《新乡市生态</w:t>
            </w:r>
            <w:r>
              <w:rPr>
                <w:rFonts w:hint="eastAsia" w:ascii="宋体" w:hAnsi="宋体"/>
                <w:color w:val="auto"/>
                <w:sz w:val="24"/>
                <w:highlight w:val="none"/>
                <w:lang w:eastAsia="zh-CN"/>
              </w:rPr>
              <w:t>分区管控</w:t>
            </w:r>
            <w:r>
              <w:rPr>
                <w:rFonts w:hint="eastAsia" w:ascii="宋体" w:hAnsi="宋体"/>
                <w:color w:val="auto"/>
                <w:sz w:val="24"/>
                <w:highlight w:val="none"/>
              </w:rPr>
              <w:t>图》，本项</w:t>
            </w:r>
            <w:r>
              <w:rPr>
                <w:rFonts w:hint="eastAsia" w:ascii="宋体" w:hAnsi="宋体"/>
                <w:color w:val="auto"/>
                <w:sz w:val="24"/>
              </w:rPr>
              <w:t>目所</w:t>
            </w:r>
            <w:r>
              <w:rPr>
                <w:rFonts w:hint="eastAsia" w:ascii="宋体" w:hAnsi="宋体"/>
                <w:color w:val="000000" w:themeColor="text1"/>
                <w:sz w:val="24"/>
                <w14:textFill>
                  <w14:solidFill>
                    <w14:schemeClr w14:val="tx1"/>
                  </w14:solidFill>
                </w14:textFill>
              </w:rPr>
              <w:t>在地</w:t>
            </w:r>
            <w:r>
              <w:rPr>
                <w:rFonts w:hint="eastAsia" w:ascii="宋体" w:hAnsi="宋体"/>
                <w:color w:val="000000" w:themeColor="text1"/>
                <w:sz w:val="24"/>
                <w:lang w:eastAsia="zh-CN"/>
                <w14:textFill>
                  <w14:solidFill>
                    <w14:schemeClr w14:val="tx1"/>
                  </w14:solidFill>
                </w14:textFill>
              </w:rPr>
              <w:t>属于重点管控单元，不涉及生态保护红线。</w:t>
            </w:r>
          </w:p>
          <w:p w14:paraId="2E70B743">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color w:val="000000" w:themeColor="text1"/>
                <w:sz w:val="24"/>
                <w:lang w:eastAsia="zh-CN"/>
                <w14:textFill>
                  <w14:solidFill>
                    <w14:schemeClr w14:val="tx1"/>
                  </w14:solidFill>
                </w14:textFill>
              </w:rPr>
            </w:pPr>
            <w:r>
              <w:rPr>
                <w:rFonts w:hint="default"/>
                <w:sz w:val="24"/>
              </w:rPr>
              <w:drawing>
                <wp:anchor distT="0" distB="0" distL="114300" distR="114300" simplePos="0" relativeHeight="251661312" behindDoc="0" locked="0" layoutInCell="1" allowOverlap="1">
                  <wp:simplePos x="0" y="0"/>
                  <wp:positionH relativeFrom="column">
                    <wp:posOffset>119380</wp:posOffset>
                  </wp:positionH>
                  <wp:positionV relativeFrom="paragraph">
                    <wp:posOffset>36830</wp:posOffset>
                  </wp:positionV>
                  <wp:extent cx="5382895" cy="3789680"/>
                  <wp:effectExtent l="0" t="0" r="8255" b="1270"/>
                  <wp:wrapNone/>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4"/>
                          <a:stretch>
                            <a:fillRect/>
                          </a:stretch>
                        </pic:blipFill>
                        <pic:spPr>
                          <a:xfrm>
                            <a:off x="1269365" y="1125855"/>
                            <a:ext cx="5382895" cy="3789680"/>
                          </a:xfrm>
                          <a:prstGeom prst="rect">
                            <a:avLst/>
                          </a:prstGeom>
                          <a:noFill/>
                          <a:ln>
                            <a:noFill/>
                          </a:ln>
                        </pic:spPr>
                      </pic:pic>
                    </a:graphicData>
                  </a:graphic>
                </wp:anchor>
              </w:drawing>
            </w:r>
          </w:p>
          <w:p w14:paraId="78E27B5D">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color w:val="000000" w:themeColor="text1"/>
                <w:sz w:val="24"/>
                <w:lang w:eastAsia="zh-CN"/>
                <w14:textFill>
                  <w14:solidFill>
                    <w14:schemeClr w14:val="tx1"/>
                  </w14:solidFill>
                </w14:textFill>
              </w:rPr>
            </w:pPr>
          </w:p>
          <w:p w14:paraId="3ECDCBAE">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color w:val="000000" w:themeColor="text1"/>
                <w:sz w:val="24"/>
                <w:lang w:eastAsia="zh-CN"/>
                <w14:textFill>
                  <w14:solidFill>
                    <w14:schemeClr w14:val="tx1"/>
                  </w14:solidFill>
                </w14:textFill>
              </w:rPr>
            </w:pPr>
          </w:p>
          <w:p w14:paraId="34F910EC">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color w:val="000000" w:themeColor="text1"/>
                <w:sz w:val="24"/>
                <w:lang w:eastAsia="zh-CN"/>
                <w14:textFill>
                  <w14:solidFill>
                    <w14:schemeClr w14:val="tx1"/>
                  </w14:solidFill>
                </w14:textFill>
              </w:rPr>
            </w:pPr>
          </w:p>
          <w:p w14:paraId="1E92D0CE">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color w:val="000000" w:themeColor="text1"/>
                <w:sz w:val="24"/>
                <w:lang w:eastAsia="zh-CN"/>
                <w14:textFill>
                  <w14:solidFill>
                    <w14:schemeClr w14:val="tx1"/>
                  </w14:solidFill>
                </w14:textFill>
              </w:rPr>
            </w:pPr>
          </w:p>
          <w:p w14:paraId="52345C1D">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color w:val="000000" w:themeColor="text1"/>
                <w:sz w:val="24"/>
                <w:lang w:eastAsia="zh-CN"/>
                <w14:textFill>
                  <w14:solidFill>
                    <w14:schemeClr w14:val="tx1"/>
                  </w14:solidFill>
                </w14:textFill>
              </w:rPr>
            </w:pPr>
          </w:p>
          <w:p w14:paraId="50A037EE">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color w:val="000000" w:themeColor="text1"/>
                <w:sz w:val="24"/>
                <w:lang w:eastAsia="zh-CN"/>
                <w14:textFill>
                  <w14:solidFill>
                    <w14:schemeClr w14:val="tx1"/>
                  </w14:solidFill>
                </w14:textFill>
              </w:rPr>
            </w:pPr>
            <w:r>
              <w:rPr>
                <w:rFonts w:hint="default"/>
                <w:sz w:val="24"/>
              </w:rPr>
              <mc:AlternateContent>
                <mc:Choice Requires="wps">
                  <w:drawing>
                    <wp:anchor distT="0" distB="0" distL="114300" distR="114300" simplePos="0" relativeHeight="251662336" behindDoc="0" locked="0" layoutInCell="1" allowOverlap="1">
                      <wp:simplePos x="0" y="0"/>
                      <wp:positionH relativeFrom="column">
                        <wp:posOffset>1909445</wp:posOffset>
                      </wp:positionH>
                      <wp:positionV relativeFrom="paragraph">
                        <wp:posOffset>84455</wp:posOffset>
                      </wp:positionV>
                      <wp:extent cx="848360" cy="450215"/>
                      <wp:effectExtent l="466090" t="12700" r="19050" b="527685"/>
                      <wp:wrapNone/>
                      <wp:docPr id="3" name="圆角矩形标注 3"/>
                      <wp:cNvGraphicFramePr/>
                      <a:graphic xmlns:a="http://schemas.openxmlformats.org/drawingml/2006/main">
                        <a:graphicData uri="http://schemas.microsoft.com/office/word/2010/wordprocessingShape">
                          <wps:wsp>
                            <wps:cNvSpPr/>
                            <wps:spPr>
                              <a:xfrm>
                                <a:off x="2954655" y="2752725"/>
                                <a:ext cx="848360" cy="450215"/>
                              </a:xfrm>
                              <a:prstGeom prst="wedgeRoundRectCallout">
                                <a:avLst>
                                  <a:gd name="adj1" fmla="val -103443"/>
                                  <a:gd name="adj2" fmla="val 160719"/>
                                  <a:gd name="adj3" fmla="val 1666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39E9DE2">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50.35pt;margin-top:6.65pt;height:35.45pt;width:66.8pt;z-index:251662336;v-text-anchor:middle;mso-width-relative:page;mso-height-relative:page;" fillcolor="#FFFFFF [3212]" filled="t" stroked="t" coordsize="21600,21600" o:gfxdata="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9LfD3tcA&#10;AAAJAQAADwAAAAAAAAABACAAAAAiAAAAZHJzL2Rvd25yZXYueG1sUEsBAhQAFAAAAAgAh07iQOQl&#10;6i7LAgAAiAUAAA4AAAAAAAAAAQAgAAAAJgEAAGRycy9lMm9Eb2MueG1sUEsFBgAAAAAGAAYAWQEA&#10;AGMGAAAAAA==&#10;" adj="-11544,45515,14400">
                      <v:fill on="t" focussize="0,0"/>
                      <v:stroke weight="2pt" color="#000000 [3213]" joinstyle="round"/>
                      <v:imagedata o:title=""/>
                      <o:lock v:ext="edit" aspectratio="f"/>
                      <v:textbox>
                        <w:txbxContent>
                          <w:p w14:paraId="439E9DE2">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w:t>
                            </w:r>
                          </w:p>
                        </w:txbxContent>
                      </v:textbox>
                    </v:shape>
                  </w:pict>
                </mc:Fallback>
              </mc:AlternateContent>
            </w:r>
          </w:p>
          <w:p w14:paraId="31C65DF7">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color w:val="000000" w:themeColor="text1"/>
                <w:sz w:val="24"/>
                <w:lang w:eastAsia="zh-CN"/>
                <w14:textFill>
                  <w14:solidFill>
                    <w14:schemeClr w14:val="tx1"/>
                  </w14:solidFill>
                </w14:textFill>
              </w:rPr>
            </w:pPr>
          </w:p>
          <w:p w14:paraId="48B7F415">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color w:val="000000" w:themeColor="text1"/>
                <w:sz w:val="24"/>
                <w:lang w:eastAsia="zh-CN"/>
                <w14:textFill>
                  <w14:solidFill>
                    <w14:schemeClr w14:val="tx1"/>
                  </w14:solidFill>
                </w14:textFill>
              </w:rPr>
            </w:pPr>
          </w:p>
          <w:p w14:paraId="0BA494D5">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color w:val="000000" w:themeColor="text1"/>
                <w:sz w:val="24"/>
                <w:lang w:eastAsia="zh-CN"/>
                <w14:textFill>
                  <w14:solidFill>
                    <w14:schemeClr w14:val="tx1"/>
                  </w14:solidFill>
                </w14:textFill>
              </w:rPr>
            </w:pPr>
          </w:p>
          <w:p w14:paraId="6089B69B">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color w:val="000000" w:themeColor="text1"/>
                <w:sz w:val="24"/>
                <w:lang w:eastAsia="zh-CN"/>
                <w14:textFill>
                  <w14:solidFill>
                    <w14:schemeClr w14:val="tx1"/>
                  </w14:solidFill>
                </w14:textFill>
              </w:rPr>
            </w:pPr>
          </w:p>
          <w:p w14:paraId="65F0179B">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color w:val="000000" w:themeColor="text1"/>
                <w:sz w:val="24"/>
                <w:lang w:eastAsia="zh-CN"/>
                <w14:textFill>
                  <w14:solidFill>
                    <w14:schemeClr w14:val="tx1"/>
                  </w14:solidFill>
                </w14:textFill>
              </w:rPr>
            </w:pPr>
          </w:p>
          <w:p w14:paraId="2B4647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jc w:val="center"/>
              <w:textAlignment w:val="auto"/>
              <w:rPr>
                <w:rFonts w:hint="eastAsia" w:ascii="宋体" w:hAnsi="宋体"/>
                <w:b/>
                <w:bCs/>
                <w:color w:val="000000" w:themeColor="text1"/>
                <w:sz w:val="24"/>
                <w:lang w:eastAsia="zh-CN"/>
                <w14:textFill>
                  <w14:solidFill>
                    <w14:schemeClr w14:val="tx1"/>
                  </w14:solidFill>
                </w14:textFill>
              </w:rPr>
            </w:pPr>
          </w:p>
          <w:p w14:paraId="6D02E79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jc w:val="center"/>
              <w:textAlignment w:val="auto"/>
              <w:rPr>
                <w:rFonts w:hint="eastAsia" w:ascii="宋体" w:hAnsi="宋体"/>
                <w:b/>
                <w:bCs/>
                <w:color w:val="000000" w:themeColor="text1"/>
                <w:sz w:val="24"/>
                <w:lang w:eastAsia="zh-CN"/>
                <w14:textFill>
                  <w14:solidFill>
                    <w14:schemeClr w14:val="tx1"/>
                  </w14:solidFill>
                </w14:textFill>
              </w:rPr>
            </w:pPr>
          </w:p>
          <w:p w14:paraId="4A67E8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jc w:val="center"/>
              <w:textAlignment w:val="auto"/>
              <w:rPr>
                <w:rFonts w:hint="eastAsia" w:ascii="宋体" w:hAnsi="宋体"/>
                <w:b/>
                <w:bCs/>
                <w:color w:val="000000" w:themeColor="text1"/>
                <w:sz w:val="24"/>
                <w:lang w:eastAsia="zh-CN"/>
                <w14:textFill>
                  <w14:solidFill>
                    <w14:schemeClr w14:val="tx1"/>
                  </w14:solidFill>
                </w14:textFill>
              </w:rPr>
            </w:pPr>
            <w:r>
              <w:rPr>
                <w:rFonts w:hint="eastAsia" w:ascii="宋体" w:hAnsi="宋体"/>
                <w:b/>
                <w:bCs/>
                <w:color w:val="000000" w:themeColor="text1"/>
                <w:sz w:val="24"/>
                <w:lang w:eastAsia="zh-CN"/>
                <w14:textFill>
                  <w14:solidFill>
                    <w14:schemeClr w14:val="tx1"/>
                  </w14:solidFill>
                </w14:textFill>
              </w:rPr>
              <w:t>图</w:t>
            </w:r>
            <w:r>
              <w:rPr>
                <w:rFonts w:hint="default" w:ascii="Times New Roman" w:hAnsi="Times New Roman" w:cs="Times New Roman"/>
                <w:b/>
                <w:bCs/>
                <w:color w:val="000000" w:themeColor="text1"/>
                <w:sz w:val="24"/>
                <w:lang w:eastAsia="zh-CN"/>
                <w14:textFill>
                  <w14:solidFill>
                    <w14:schemeClr w14:val="tx1"/>
                  </w14:solidFill>
                </w14:textFill>
              </w:rPr>
              <w:t>1</w:t>
            </w:r>
            <w:r>
              <w:rPr>
                <w:rFonts w:hint="eastAsia" w:ascii="宋体" w:hAnsi="宋体"/>
                <w:b/>
                <w:bCs/>
                <w:color w:val="000000" w:themeColor="text1"/>
                <w:sz w:val="24"/>
                <w:lang w:eastAsia="zh-CN"/>
                <w14:textFill>
                  <w14:solidFill>
                    <w14:schemeClr w14:val="tx1"/>
                  </w14:solidFill>
                </w14:textFill>
              </w:rPr>
              <w:t xml:space="preserve">    新乡市生态环境管控单元分布示意图</w:t>
            </w:r>
          </w:p>
          <w:p w14:paraId="21331BE7">
            <w:pPr>
              <w:keepNext w:val="0"/>
              <w:keepLines w:val="0"/>
              <w:suppressLineNumbers w:val="0"/>
              <w:spacing w:before="0" w:beforeAutospacing="0" w:after="0" w:afterAutospacing="0" w:line="440" w:lineRule="exact"/>
              <w:ind w:left="0" w:right="0" w:firstLine="482" w:firstLineChars="200"/>
              <w:jc w:val="both"/>
              <w:textAlignment w:val="baseline"/>
              <w:rPr>
                <w:rFonts w:hint="eastAsia" w:ascii="宋体" w:hAnsi="宋体"/>
                <w:b/>
                <w:color w:val="000000"/>
                <w:sz w:val="24"/>
              </w:rPr>
            </w:pPr>
            <w:r>
              <w:rPr>
                <w:rFonts w:hint="eastAsia" w:ascii="宋体" w:hAnsi="宋体"/>
                <w:b/>
                <w:color w:val="000000"/>
                <w:sz w:val="24"/>
              </w:rPr>
              <w:t>（</w:t>
            </w:r>
            <w:r>
              <w:rPr>
                <w:rFonts w:hint="default" w:ascii="Times New Roman" w:hAnsi="Times New Roman" w:cs="Times New Roman"/>
                <w:b/>
                <w:color w:val="000000"/>
                <w:sz w:val="24"/>
              </w:rPr>
              <w:t>2</w:t>
            </w:r>
            <w:r>
              <w:rPr>
                <w:rFonts w:hint="eastAsia" w:ascii="宋体" w:hAnsi="宋体"/>
                <w:b/>
                <w:color w:val="000000"/>
                <w:sz w:val="24"/>
              </w:rPr>
              <w:t>）环境质量底线相符性分析</w:t>
            </w:r>
          </w:p>
          <w:p w14:paraId="2BFD083E">
            <w:pPr>
              <w:keepNext w:val="0"/>
              <w:keepLines w:val="0"/>
              <w:suppressLineNumbers w:val="0"/>
              <w:spacing w:before="0" w:beforeAutospacing="0" w:after="0" w:afterAutospacing="0" w:line="440" w:lineRule="exact"/>
              <w:ind w:left="0" w:right="0" w:firstLine="480" w:firstLineChars="200"/>
              <w:jc w:val="both"/>
              <w:textAlignment w:val="baseline"/>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auto"/>
                <w:sz w:val="24"/>
                <w:szCs w:val="24"/>
                <w:highlight w:val="none"/>
                <w:lang w:val="en-US" w:eastAsia="zh-CN"/>
              </w:rPr>
              <w:t>项目厂址位于</w:t>
            </w:r>
            <w:r>
              <w:rPr>
                <w:rFonts w:hint="eastAsia" w:ascii="宋体" w:hAnsi="宋体" w:cs="宋体"/>
                <w:color w:val="auto"/>
                <w:sz w:val="24"/>
                <w:szCs w:val="24"/>
                <w:lang w:val="en-US" w:eastAsia="zh-CN"/>
              </w:rPr>
              <w:t>河南省新乡市新乡县七</w:t>
            </w:r>
            <w:r>
              <w:rPr>
                <w:rFonts w:hint="default" w:ascii="Times New Roman" w:hAnsi="Times New Roman" w:cs="Times New Roman"/>
                <w:color w:val="auto"/>
                <w:sz w:val="24"/>
                <w:szCs w:val="24"/>
                <w:lang w:val="en-US" w:eastAsia="zh-CN"/>
              </w:rPr>
              <w:t>里营镇南位庄村工业路698号</w:t>
            </w:r>
            <w:r>
              <w:rPr>
                <w:rFonts w:hint="default" w:ascii="Times New Roman" w:hAnsi="Times New Roman" w:eastAsia="宋体" w:cs="Times New Roman"/>
                <w:color w:val="auto"/>
                <w:sz w:val="24"/>
                <w:szCs w:val="24"/>
                <w:highlight w:val="none"/>
                <w:lang w:val="en-US" w:eastAsia="zh-CN"/>
              </w:rPr>
              <w:t>，区域环境空气为二类功能区；</w:t>
            </w:r>
            <w:r>
              <w:rPr>
                <w:rFonts w:hint="eastAsia" w:cs="Times New Roman"/>
                <w:color w:val="auto"/>
                <w:sz w:val="24"/>
                <w:szCs w:val="24"/>
                <w:highlight w:val="none"/>
                <w:lang w:val="en-US" w:eastAsia="zh-CN"/>
              </w:rPr>
              <w:t>附近最近地表</w:t>
            </w:r>
            <w:r>
              <w:rPr>
                <w:rFonts w:hint="default" w:ascii="Times New Roman" w:hAnsi="Times New Roman" w:eastAsia="宋体" w:cs="Times New Roman"/>
                <w:color w:val="auto"/>
                <w:sz w:val="24"/>
                <w:szCs w:val="24"/>
                <w:highlight w:val="none"/>
                <w:lang w:val="en-US" w:eastAsia="zh-CN"/>
              </w:rPr>
              <w:t>水体为</w:t>
            </w:r>
            <w:r>
              <w:rPr>
                <w:rFonts w:hint="eastAsia" w:cs="Times New Roman"/>
                <w:color w:val="auto"/>
                <w:sz w:val="24"/>
                <w:szCs w:val="24"/>
                <w:highlight w:val="none"/>
                <w:lang w:val="en-US" w:eastAsia="zh-CN"/>
              </w:rPr>
              <w:t>东孟姜女河</w:t>
            </w:r>
            <w:r>
              <w:rPr>
                <w:rFonts w:hint="default" w:ascii="Times New Roman" w:hAnsi="Times New Roman" w:eastAsia="宋体" w:cs="Times New Roman"/>
                <w:color w:val="auto"/>
                <w:sz w:val="24"/>
                <w:szCs w:val="24"/>
                <w:highlight w:val="none"/>
                <w:lang w:val="en-US" w:eastAsia="zh-CN"/>
              </w:rPr>
              <w:t>，水体功能类别为</w:t>
            </w:r>
            <w:r>
              <w:rPr>
                <w:rFonts w:hint="default" w:ascii="Times New Roman" w:hAnsi="Times New Roman" w:eastAsia="微软雅黑" w:cs="Times New Roman"/>
                <w:color w:val="auto"/>
                <w:sz w:val="24"/>
                <w:szCs w:val="24"/>
                <w:highlight w:val="none"/>
                <w:lang w:val="en-US" w:eastAsia="zh-CN"/>
              </w:rPr>
              <w:t>Ⅲ</w:t>
            </w:r>
            <w:r>
              <w:rPr>
                <w:rFonts w:hint="default" w:ascii="Times New Roman" w:hAnsi="Times New Roman" w:eastAsia="宋体" w:cs="Times New Roman"/>
                <w:color w:val="auto"/>
                <w:sz w:val="24"/>
                <w:szCs w:val="24"/>
                <w:highlight w:val="none"/>
                <w:lang w:val="en-US" w:eastAsia="zh-CN"/>
              </w:rPr>
              <w:t>类；噪声区划为</w:t>
            </w:r>
            <w:r>
              <w:rPr>
                <w:rFonts w:hint="eastAsia"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类声功能区。本项目建成后，废气、废水、噪声都能够实现达标排放，固废均进行了无害化处置或资源化利用。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本项目新增废气污染物非甲烷总烃</w:t>
            </w:r>
            <w:r>
              <w:rPr>
                <w:rFonts w:hint="eastAsia" w:cs="Times New Roman"/>
                <w:color w:val="000000" w:themeColor="text1"/>
                <w:sz w:val="24"/>
                <w:szCs w:val="24"/>
                <w:highlight w:val="none"/>
                <w:lang w:val="en-US" w:eastAsia="zh-CN"/>
                <w14:textFill>
                  <w14:solidFill>
                    <w14:schemeClr w14:val="tx1"/>
                  </w14:solidFill>
                </w14:textFill>
              </w:rPr>
              <w:t>0.2199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t/a，进行了区域倍量削减替代。不会对区域环境质量底线造成冲击，满足环境质量底线的要求。</w:t>
            </w:r>
          </w:p>
          <w:p w14:paraId="220865C3">
            <w:pPr>
              <w:keepNext w:val="0"/>
              <w:keepLines w:val="0"/>
              <w:suppressLineNumbers w:val="0"/>
              <w:spacing w:before="0" w:beforeAutospacing="0" w:after="0" w:afterAutospacing="0" w:line="440" w:lineRule="exact"/>
              <w:ind w:left="0" w:right="0" w:firstLine="482" w:firstLineChars="200"/>
              <w:jc w:val="both"/>
              <w:textAlignment w:val="baseline"/>
              <w:rPr>
                <w:rFonts w:hint="eastAsia" w:ascii="宋体" w:hAnsi="宋体"/>
                <w:b/>
                <w:color w:val="000000"/>
                <w:sz w:val="24"/>
              </w:rPr>
            </w:pPr>
            <w:r>
              <w:rPr>
                <w:rFonts w:hint="eastAsia" w:ascii="宋体" w:hAnsi="宋体"/>
                <w:b/>
                <w:color w:val="000000"/>
                <w:sz w:val="24"/>
              </w:rPr>
              <w:t>（</w:t>
            </w:r>
            <w:r>
              <w:rPr>
                <w:rFonts w:hint="default" w:ascii="Times New Roman" w:hAnsi="Times New Roman" w:cs="Times New Roman"/>
                <w:b/>
                <w:color w:val="000000"/>
                <w:sz w:val="24"/>
              </w:rPr>
              <w:t>3</w:t>
            </w:r>
            <w:r>
              <w:rPr>
                <w:rFonts w:hint="eastAsia" w:ascii="宋体" w:hAnsi="宋体"/>
                <w:b/>
                <w:color w:val="000000"/>
                <w:sz w:val="24"/>
              </w:rPr>
              <w:t>）资源利用上线相符性分析</w:t>
            </w:r>
          </w:p>
          <w:p w14:paraId="3571D2F2">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b/>
                <w:bCs/>
                <w:sz w:val="24"/>
                <w:highlight w:val="none"/>
              </w:rPr>
            </w:pPr>
            <w:r>
              <w:rPr>
                <w:rFonts w:hint="eastAsia" w:ascii="宋体" w:hAnsi="宋体"/>
                <w:color w:val="auto"/>
                <w:sz w:val="24"/>
                <w:highlight w:val="none"/>
              </w:rPr>
              <w:t>本项目</w:t>
            </w:r>
            <w:r>
              <w:rPr>
                <w:rFonts w:hint="eastAsia" w:ascii="宋体" w:hAnsi="宋体"/>
                <w:color w:val="auto"/>
                <w:sz w:val="24"/>
                <w:highlight w:val="none"/>
                <w:lang w:val="en-US" w:eastAsia="zh-CN"/>
              </w:rPr>
              <w:t>租赁现有厂房进行建设</w:t>
            </w:r>
            <w:r>
              <w:rPr>
                <w:rFonts w:hint="eastAsia" w:ascii="宋体" w:hAnsi="宋体"/>
                <w:color w:val="auto"/>
                <w:sz w:val="24"/>
                <w:highlight w:val="none"/>
              </w:rPr>
              <w:t>，</w:t>
            </w:r>
            <w:r>
              <w:rPr>
                <w:rFonts w:hint="eastAsia" w:ascii="宋体" w:hAnsi="宋体"/>
                <w:color w:val="auto"/>
                <w:sz w:val="24"/>
                <w:highlight w:val="none"/>
                <w:lang w:eastAsia="zh-CN"/>
              </w:rPr>
              <w:t>不占用新的土地资源</w:t>
            </w:r>
            <w:r>
              <w:rPr>
                <w:rFonts w:hint="eastAsia" w:ascii="宋体" w:hAnsi="宋体"/>
                <w:color w:val="auto"/>
                <w:sz w:val="24"/>
                <w:highlight w:val="none"/>
              </w:rPr>
              <w:t>。</w:t>
            </w:r>
            <w:r>
              <w:rPr>
                <w:rFonts w:hint="default" w:ascii="宋体" w:hAnsi="宋体"/>
                <w:color w:val="000000"/>
                <w:sz w:val="24"/>
                <w:highlight w:val="none"/>
              </w:rPr>
              <w:t>本项目</w:t>
            </w:r>
            <w:r>
              <w:rPr>
                <w:rFonts w:hint="eastAsia" w:ascii="宋体" w:hAnsi="宋体"/>
                <w:color w:val="000000"/>
                <w:sz w:val="24"/>
                <w:highlight w:val="none"/>
              </w:rPr>
              <w:t>属于</w:t>
            </w:r>
            <w:r>
              <w:rPr>
                <w:rFonts w:hint="eastAsia" w:cs="Times New Roman"/>
                <w:sz w:val="24"/>
                <w:highlight w:val="none"/>
                <w:lang w:val="en-US" w:eastAsia="zh-CN"/>
              </w:rPr>
              <w:t>加工纸制造</w:t>
            </w:r>
            <w:r>
              <w:rPr>
                <w:rFonts w:hint="eastAsia" w:ascii="宋体" w:hAnsi="宋体"/>
                <w:color w:val="000000"/>
                <w:sz w:val="24"/>
                <w:highlight w:val="none"/>
                <w:lang w:eastAsia="zh-CN"/>
              </w:rPr>
              <w:t>，</w:t>
            </w:r>
            <w:r>
              <w:rPr>
                <w:rFonts w:hint="eastAsia" w:ascii="宋体" w:hAnsi="宋体"/>
                <w:color w:val="auto"/>
                <w:sz w:val="24"/>
                <w:highlight w:val="none"/>
              </w:rPr>
              <w:t>不属于高耗水工业行业</w:t>
            </w:r>
            <w:r>
              <w:rPr>
                <w:rFonts w:hint="eastAsia" w:ascii="宋体" w:hAnsi="宋体"/>
                <w:color w:val="auto"/>
                <w:sz w:val="24"/>
                <w:highlight w:val="none"/>
                <w:lang w:eastAsia="zh-CN"/>
              </w:rPr>
              <w:t>。</w:t>
            </w:r>
            <w:r>
              <w:rPr>
                <w:rFonts w:hint="eastAsia" w:ascii="宋体" w:hAnsi="宋体"/>
                <w:color w:val="auto"/>
                <w:sz w:val="24"/>
                <w:highlight w:val="none"/>
                <w:lang w:val="en-US" w:eastAsia="zh-CN"/>
              </w:rPr>
              <w:t>项目主要用水为村集体统一供水，不使用地下水资源。项目用电依托供电系统。项目废物均得到资源化利用。</w:t>
            </w:r>
            <w:r>
              <w:rPr>
                <w:rFonts w:hint="eastAsia" w:ascii="宋体" w:hAnsi="宋体"/>
                <w:color w:val="auto"/>
                <w:sz w:val="24"/>
                <w:highlight w:val="none"/>
              </w:rPr>
              <w:t>营运期通过内部管理</w:t>
            </w:r>
            <w:r>
              <w:rPr>
                <w:rFonts w:hint="eastAsia" w:ascii="宋体" w:hAnsi="宋体"/>
                <w:color w:val="000000"/>
                <w:sz w:val="24"/>
                <w:highlight w:val="none"/>
              </w:rPr>
              <w:t>、设备选择、原辅材料的选用和管理、废物回收利用、污染治理等多方面采取合理可行的防治措施，以“节能、降耗、减污”为目标，有效地控制污染，实现废物资源化。故本项目不会对区域资源利用造成负面影响。</w:t>
            </w:r>
            <w:r>
              <w:rPr>
                <w:rFonts w:hint="default" w:ascii="宋体" w:hAnsi="宋体"/>
                <w:color w:val="000000"/>
                <w:sz w:val="24"/>
                <w:highlight w:val="none"/>
              </w:rPr>
              <w:t>项目资源利用不会突破区域的资源利用上线。</w:t>
            </w:r>
          </w:p>
          <w:p w14:paraId="2D38523E">
            <w:pPr>
              <w:keepNext w:val="0"/>
              <w:keepLines w:val="0"/>
              <w:suppressLineNumbers w:val="0"/>
              <w:spacing w:before="0" w:beforeAutospacing="0" w:after="0" w:afterAutospacing="0" w:line="440" w:lineRule="exact"/>
              <w:ind w:left="0" w:right="0" w:firstLine="482" w:firstLineChars="200"/>
              <w:jc w:val="both"/>
              <w:textAlignment w:val="baseline"/>
              <w:rPr>
                <w:rFonts w:hint="default" w:ascii="Times New Roman" w:hAnsi="Times New Roman" w:eastAsia="宋体" w:cs="Times New Roman"/>
                <w:b/>
                <w:bCs/>
                <w:sz w:val="24"/>
                <w:szCs w:val="24"/>
              </w:rPr>
            </w:pPr>
            <w:r>
              <w:rPr>
                <w:rFonts w:hint="eastAsia" w:ascii="宋体" w:hAnsi="宋体"/>
                <w:b/>
                <w:bCs/>
                <w:sz w:val="24"/>
                <w:highlight w:val="none"/>
              </w:rPr>
              <w:t>（</w:t>
            </w:r>
            <w:r>
              <w:rPr>
                <w:rFonts w:hint="default" w:ascii="Times New Roman" w:hAnsi="Times New Roman" w:cs="Times New Roman"/>
                <w:b/>
                <w:bCs/>
                <w:sz w:val="24"/>
                <w:highlight w:val="none"/>
              </w:rPr>
              <w:t>4</w:t>
            </w:r>
            <w:r>
              <w:rPr>
                <w:rFonts w:hint="eastAsia" w:ascii="宋体" w:hAnsi="宋体"/>
                <w:b/>
                <w:bCs/>
                <w:sz w:val="24"/>
                <w:highlight w:val="none"/>
              </w:rPr>
              <w:t>）生态环境准入清单</w:t>
            </w:r>
          </w:p>
          <w:p w14:paraId="765334BE">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440" w:lineRule="exact"/>
              <w:ind w:left="0" w:right="0" w:firstLine="480" w:firstLineChars="200"/>
              <w:jc w:val="both"/>
              <w:textAlignment w:val="baseline"/>
              <w:rPr>
                <w:rFonts w:hint="default"/>
                <w:bCs/>
                <w:color w:val="000000"/>
                <w:sz w:val="24"/>
              </w:rPr>
            </w:pPr>
            <w:r>
              <w:rPr>
                <w:rFonts w:hint="eastAsia" w:cs="Times New Roman"/>
                <w:bCs/>
                <w:color w:val="000000"/>
                <w:sz w:val="24"/>
                <w:highlight w:val="none"/>
                <w:lang w:val="en-US" w:eastAsia="zh-CN"/>
              </w:rPr>
              <w:t>本项目与</w:t>
            </w:r>
            <w:r>
              <w:rPr>
                <w:rFonts w:hint="eastAsia"/>
                <w:bCs/>
                <w:color w:val="000000"/>
                <w:sz w:val="24"/>
                <w:lang w:eastAsia="zh-CN"/>
              </w:rPr>
              <w:t>《</w:t>
            </w:r>
            <w:r>
              <w:rPr>
                <w:rFonts w:hint="default"/>
                <w:bCs/>
                <w:color w:val="000000"/>
                <w:sz w:val="24"/>
              </w:rPr>
              <w:t>河南省生态环境分区管控总体要求</w:t>
            </w:r>
            <w:r>
              <w:rPr>
                <w:rFonts w:hint="eastAsia"/>
                <w:bCs/>
                <w:color w:val="000000"/>
                <w:sz w:val="24"/>
                <w:lang w:eastAsia="zh-CN"/>
              </w:rPr>
              <w:t>》（</w:t>
            </w:r>
            <w:r>
              <w:rPr>
                <w:rFonts w:hint="eastAsia"/>
                <w:bCs/>
                <w:color w:val="000000"/>
                <w:sz w:val="24"/>
                <w:lang w:val="en-US" w:eastAsia="zh-CN"/>
              </w:rPr>
              <w:t>2023年版</w:t>
            </w:r>
            <w:r>
              <w:rPr>
                <w:rFonts w:hint="eastAsia"/>
                <w:bCs/>
                <w:color w:val="000000"/>
                <w:sz w:val="24"/>
                <w:lang w:eastAsia="zh-CN"/>
              </w:rPr>
              <w:t>）</w:t>
            </w:r>
            <w:r>
              <w:rPr>
                <w:rFonts w:hint="eastAsia"/>
                <w:bCs/>
                <w:color w:val="000000"/>
                <w:sz w:val="24"/>
                <w:highlight w:val="none"/>
                <w:lang w:val="en-US" w:eastAsia="zh-CN"/>
              </w:rPr>
              <w:t>相</w:t>
            </w:r>
            <w:r>
              <w:rPr>
                <w:rFonts w:hint="eastAsia"/>
                <w:bCs/>
                <w:color w:val="000000"/>
                <w:sz w:val="24"/>
                <w:lang w:val="en-US" w:eastAsia="zh-CN"/>
              </w:rPr>
              <w:t>符性进行分析，</w:t>
            </w:r>
            <w:r>
              <w:rPr>
                <w:rFonts w:hint="default"/>
                <w:bCs/>
                <w:color w:val="000000"/>
                <w:sz w:val="24"/>
              </w:rPr>
              <w:t>见下表。</w:t>
            </w:r>
          </w:p>
          <w:p w14:paraId="0EE9BC4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baseline"/>
              <w:rPr>
                <w:rFonts w:hint="default"/>
                <w:bCs/>
                <w:color w:val="000000"/>
                <w:sz w:val="24"/>
              </w:rPr>
            </w:pPr>
            <w:r>
              <w:rPr>
                <w:rFonts w:hint="default"/>
                <w:sz w:val="24"/>
              </w:rPr>
              <mc:AlternateContent>
                <mc:Choice Requires="wps">
                  <w:drawing>
                    <wp:anchor distT="0" distB="0" distL="114300" distR="114300" simplePos="0" relativeHeight="251663360" behindDoc="0" locked="0" layoutInCell="1" allowOverlap="1">
                      <wp:simplePos x="0" y="0"/>
                      <wp:positionH relativeFrom="column">
                        <wp:posOffset>3911600</wp:posOffset>
                      </wp:positionH>
                      <wp:positionV relativeFrom="paragraph">
                        <wp:posOffset>459740</wp:posOffset>
                      </wp:positionV>
                      <wp:extent cx="857885" cy="398145"/>
                      <wp:effectExtent l="91440" t="12700" r="22225" b="579755"/>
                      <wp:wrapNone/>
                      <wp:docPr id="4" name="圆角矩形标注 4"/>
                      <wp:cNvGraphicFramePr/>
                      <a:graphic xmlns:a="http://schemas.openxmlformats.org/drawingml/2006/main">
                        <a:graphicData uri="http://schemas.microsoft.com/office/word/2010/wordprocessingShape">
                          <wps:wsp>
                            <wps:cNvSpPr/>
                            <wps:spPr>
                              <a:xfrm>
                                <a:off x="4772660" y="5982970"/>
                                <a:ext cx="857885" cy="398145"/>
                              </a:xfrm>
                              <a:prstGeom prst="wedgeRoundRectCallout">
                                <a:avLst>
                                  <a:gd name="adj1" fmla="val -59178"/>
                                  <a:gd name="adj2" fmla="val 190829"/>
                                  <a:gd name="adj3" fmla="val 1666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D5B90B0">
                                  <w:pPr>
                                    <w:jc w:val="center"/>
                                    <w:rPr>
                                      <w:rFonts w:hint="default" w:eastAsia="宋体"/>
                                      <w:lang w:val="en-US" w:eastAsia="zh-CN"/>
                                    </w:rPr>
                                  </w:pPr>
                                  <w:r>
                                    <w:rPr>
                                      <w:rFonts w:hint="eastAsia"/>
                                      <w:color w:val="000000" w:themeColor="text1"/>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08pt;margin-top:36.2pt;height:31.35pt;width:67.55pt;z-index:251663360;v-text-anchor:middle;mso-width-relative:page;mso-height-relative:page;" fillcolor="#FFFFFF [3212]" filled="t" stroked="t" coordsize="21600,21600" o:gfxdata="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DEejP32AAAAAoB&#10;AAAPAAAAAAAAAAEAIAAAACIAAABkcnMvZG93bnJldi54bWxQSwECFAAUAAAACACHTuJAIWWD08YC&#10;AACHBQAADgAAAAAAAAABACAAAAAnAQAAZHJzL2Uyb0RvYy54bWxQSwUGAAAAAAYABgBZAQAAXwYA&#10;AAAA&#10;" adj="-1982,52019,14400">
                      <v:fill on="t" focussize="0,0"/>
                      <v:stroke weight="2pt" color="#000000 [3213]" joinstyle="round"/>
                      <v:imagedata o:title=""/>
                      <o:lock v:ext="edit" aspectratio="f"/>
                      <v:textbox>
                        <w:txbxContent>
                          <w:p w14:paraId="7D5B90B0">
                            <w:pPr>
                              <w:jc w:val="center"/>
                              <w:rPr>
                                <w:rFonts w:hint="default" w:eastAsia="宋体"/>
                                <w:lang w:val="en-US" w:eastAsia="zh-CN"/>
                              </w:rPr>
                            </w:pPr>
                            <w:r>
                              <w:rPr>
                                <w:rFonts w:hint="eastAsia"/>
                                <w:color w:val="000000" w:themeColor="text1"/>
                                <w:lang w:val="en-US" w:eastAsia="zh-CN"/>
                                <w14:textFill>
                                  <w14:solidFill>
                                    <w14:schemeClr w14:val="tx1"/>
                                  </w14:solidFill>
                                </w14:textFill>
                              </w:rPr>
                              <w:t>本项目</w:t>
                            </w:r>
                          </w:p>
                        </w:txbxContent>
                      </v:textbox>
                    </v:shape>
                  </w:pict>
                </mc:Fallback>
              </mc:AlternateContent>
            </w:r>
            <w:r>
              <w:rPr>
                <w:rFonts w:hint="default"/>
              </w:rPr>
              <w:drawing>
                <wp:inline distT="0" distB="0" distL="114300" distR="114300">
                  <wp:extent cx="5608955" cy="2804795"/>
                  <wp:effectExtent l="0" t="0" r="10795" b="1460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5"/>
                          <a:stretch>
                            <a:fillRect/>
                          </a:stretch>
                        </pic:blipFill>
                        <pic:spPr>
                          <a:xfrm>
                            <a:off x="0" y="0"/>
                            <a:ext cx="5608955" cy="2804795"/>
                          </a:xfrm>
                          <a:prstGeom prst="rect">
                            <a:avLst/>
                          </a:prstGeom>
                          <a:noFill/>
                          <a:ln>
                            <a:noFill/>
                          </a:ln>
                        </pic:spPr>
                      </pic:pic>
                    </a:graphicData>
                  </a:graphic>
                </wp:inline>
              </w:drawing>
            </w:r>
          </w:p>
          <w:p w14:paraId="7A600F72">
            <w:pPr>
              <w:keepNext w:val="0"/>
              <w:keepLines w:val="0"/>
              <w:suppressLineNumbers w:val="0"/>
              <w:spacing w:before="0" w:beforeAutospacing="0" w:after="0" w:afterAutospacing="0" w:line="440" w:lineRule="exact"/>
              <w:ind w:left="0" w:right="0" w:firstLine="482" w:firstLineChars="200"/>
              <w:jc w:val="center"/>
              <w:textAlignment w:val="baseline"/>
              <w:rPr>
                <w:rFonts w:hint="default" w:ascii="宋体" w:hAnsi="宋体"/>
                <w:b/>
                <w:bCs/>
                <w:color w:val="auto"/>
                <w:szCs w:val="21"/>
              </w:rPr>
            </w:pPr>
            <w:r>
              <w:rPr>
                <w:rFonts w:hint="default" w:ascii="宋体" w:hAnsi="宋体"/>
                <w:b/>
                <w:bCs/>
                <w:color w:val="auto"/>
                <w:szCs w:val="21"/>
              </w:rPr>
              <w:t>图</w:t>
            </w:r>
            <w:r>
              <w:rPr>
                <w:rFonts w:hint="eastAsia" w:cs="Times New Roman"/>
                <w:b/>
                <w:bCs/>
                <w:color w:val="auto"/>
                <w:szCs w:val="21"/>
                <w:lang w:val="en-US" w:eastAsia="zh-CN"/>
              </w:rPr>
              <w:t>2</w:t>
            </w:r>
            <w:r>
              <w:rPr>
                <w:rFonts w:hint="eastAsia" w:ascii="Times New Roman" w:hAnsi="Times New Roman" w:cs="Times New Roman"/>
                <w:b/>
                <w:bCs/>
                <w:color w:val="auto"/>
                <w:szCs w:val="21"/>
                <w:lang w:val="en-US" w:eastAsia="zh-CN"/>
              </w:rPr>
              <w:t xml:space="preserve"> </w:t>
            </w:r>
            <w:r>
              <w:rPr>
                <w:rFonts w:hint="default" w:ascii="Times New Roman" w:hAnsi="Times New Roman" w:cs="Times New Roman"/>
                <w:b/>
                <w:bCs/>
                <w:color w:val="auto"/>
                <w:szCs w:val="21"/>
              </w:rPr>
              <w:t xml:space="preserve"> </w:t>
            </w:r>
            <w:r>
              <w:rPr>
                <w:rFonts w:hint="default" w:ascii="宋体" w:hAnsi="宋体"/>
                <w:b/>
                <w:bCs/>
                <w:color w:val="auto"/>
                <w:szCs w:val="21"/>
              </w:rPr>
              <w:t xml:space="preserve"> </w:t>
            </w:r>
            <w:r>
              <w:rPr>
                <w:rFonts w:hint="default" w:ascii="Times New Roman" w:hAnsi="Times New Roman" w:eastAsia="宋体" w:cs="Times New Roman"/>
                <w:b/>
                <w:bCs/>
                <w:sz w:val="24"/>
                <w:szCs w:val="24"/>
              </w:rPr>
              <w:t>河南省三线一单综合信息应用平台研判分析图</w:t>
            </w:r>
          </w:p>
          <w:p w14:paraId="28ECDA1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440" w:lineRule="exact"/>
              <w:ind w:left="0" w:right="0" w:firstLine="480" w:firstLineChars="200"/>
              <w:textAlignment w:val="baseline"/>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bCs/>
                <w:color w:val="000000"/>
                <w:sz w:val="24"/>
                <w:highlight w:val="none"/>
                <w:lang w:val="en-US" w:eastAsia="zh-CN"/>
              </w:rPr>
              <w:t>根据图2，本项目位于</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重点管控单元（环境管控单元名称：</w:t>
            </w:r>
            <w:r>
              <w:rPr>
                <w:rFonts w:hint="eastAsia" w:ascii="宋体" w:hAnsi="宋体" w:eastAsia="宋体" w:cs="宋体"/>
                <w:i w:val="0"/>
                <w:iCs w:val="0"/>
                <w:caps w:val="0"/>
                <w:color w:val="000000" w:themeColor="text1"/>
                <w:spacing w:val="0"/>
                <w:sz w:val="24"/>
                <w:szCs w:val="24"/>
                <w14:textFill>
                  <w14:solidFill>
                    <w14:schemeClr w14:val="tx1"/>
                  </w14:solidFill>
                </w14:textFill>
              </w:rPr>
              <w:t>新乡县大气</w:t>
            </w:r>
            <w:r>
              <w:rPr>
                <w:rFonts w:hint="eastAsia" w:ascii="宋体" w:hAnsi="宋体" w:eastAsia="宋体" w:cs="宋体"/>
                <w:i w:val="0"/>
                <w:iCs w:val="0"/>
                <w:caps w:val="0"/>
                <w:color w:val="000000" w:themeColor="text1"/>
                <w:spacing w:val="0"/>
                <w:sz w:val="24"/>
                <w:szCs w:val="24"/>
                <w:lang w:val="en-US" w:eastAsia="zh-CN"/>
                <w14:textFill>
                  <w14:solidFill>
                    <w14:schemeClr w14:val="tx1"/>
                  </w14:solidFill>
                </w14:textFill>
              </w:rPr>
              <w:t>布局敏感</w:t>
            </w:r>
            <w:r>
              <w:rPr>
                <w:rFonts w:hint="eastAsia" w:ascii="宋体" w:hAnsi="宋体" w:eastAsia="宋体" w:cs="宋体"/>
                <w:i w:val="0"/>
                <w:iCs w:val="0"/>
                <w:caps w:val="0"/>
                <w:color w:val="000000" w:themeColor="text1"/>
                <w:spacing w:val="0"/>
                <w:sz w:val="24"/>
                <w:szCs w:val="24"/>
                <w14:textFill>
                  <w14:solidFill>
                    <w14:schemeClr w14:val="tx1"/>
                  </w14:solidFill>
                </w14:textFill>
              </w:rPr>
              <w:t>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，环境管控单元编码：ZH4107212000</w:t>
            </w:r>
            <w:r>
              <w:rPr>
                <w:rFonts w:hint="eastAsia" w:cs="Times New Roman"/>
                <w:color w:val="000000" w:themeColor="text1"/>
                <w:sz w:val="24"/>
                <w:szCs w:val="24"/>
                <w:highlight w:val="none"/>
                <w:lang w:val="en-US" w:eastAsia="zh-CN"/>
                <w14:textFill>
                  <w14:solidFill>
                    <w14:schemeClr w14:val="tx1"/>
                  </w14:solidFill>
                </w14:textFill>
              </w:rPr>
              <w:t>5</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w:t>
            </w:r>
          </w:p>
          <w:p w14:paraId="2520F9CB">
            <w:pPr>
              <w:keepNext w:val="0"/>
              <w:keepLines w:val="0"/>
              <w:suppressLineNumbers w:val="0"/>
              <w:spacing w:before="0" w:beforeAutospacing="0" w:after="0" w:afterAutospacing="0" w:line="440" w:lineRule="exact"/>
              <w:ind w:left="0" w:right="0" w:firstLine="480" w:firstLineChars="200"/>
              <w:textAlignment w:val="baseline"/>
              <w:rPr>
                <w:rFonts w:hint="eastAsia" w:cs="Times New Roman"/>
                <w:bCs/>
                <w:color w:val="000000"/>
                <w:sz w:val="24"/>
                <w:highlight w:val="none"/>
                <w:lang w:val="en-US" w:eastAsia="zh-CN"/>
              </w:rPr>
            </w:pPr>
            <w:r>
              <w:rPr>
                <w:rFonts w:hint="eastAsia" w:cs="Times New Roman"/>
                <w:bCs/>
                <w:color w:val="000000"/>
                <w:sz w:val="24"/>
                <w:highlight w:val="none"/>
                <w:lang w:val="en-US" w:eastAsia="zh-CN"/>
              </w:rPr>
              <w:t>本项目与</w:t>
            </w:r>
            <w:r>
              <w:rPr>
                <w:rFonts w:hint="eastAsia"/>
                <w:bCs/>
                <w:color w:val="000000"/>
                <w:sz w:val="24"/>
                <w:lang w:eastAsia="zh-CN"/>
              </w:rPr>
              <w:t>《</w:t>
            </w:r>
            <w:r>
              <w:rPr>
                <w:rFonts w:hint="default"/>
                <w:bCs/>
                <w:color w:val="000000"/>
                <w:sz w:val="24"/>
              </w:rPr>
              <w:t>河南省生态环境分区管控总体要求</w:t>
            </w:r>
            <w:r>
              <w:rPr>
                <w:rFonts w:hint="eastAsia"/>
                <w:bCs/>
                <w:color w:val="000000"/>
                <w:sz w:val="24"/>
                <w:lang w:eastAsia="zh-CN"/>
              </w:rPr>
              <w:t>》（</w:t>
            </w:r>
            <w:r>
              <w:rPr>
                <w:rFonts w:hint="eastAsia"/>
                <w:bCs/>
                <w:color w:val="000000"/>
                <w:sz w:val="24"/>
                <w:lang w:val="en-US" w:eastAsia="zh-CN"/>
              </w:rPr>
              <w:t>2023年版</w:t>
            </w:r>
            <w:r>
              <w:rPr>
                <w:rFonts w:hint="eastAsia"/>
                <w:bCs/>
                <w:color w:val="000000"/>
                <w:sz w:val="24"/>
                <w:lang w:eastAsia="zh-CN"/>
              </w:rPr>
              <w:t>）</w:t>
            </w:r>
            <w:r>
              <w:rPr>
                <w:rFonts w:hint="default"/>
                <w:bCs/>
                <w:color w:val="000000"/>
                <w:sz w:val="24"/>
              </w:rPr>
              <w:t>相符性分析见下表。</w:t>
            </w:r>
          </w:p>
          <w:p w14:paraId="718C315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440" w:lineRule="exact"/>
              <w:ind w:left="0" w:right="0" w:firstLine="480" w:firstLineChars="200"/>
              <w:jc w:val="both"/>
              <w:textAlignment w:val="baseline"/>
              <w:rPr>
                <w:rFonts w:hint="default"/>
                <w:bCs/>
                <w:color w:val="000000"/>
                <w:sz w:val="24"/>
              </w:rPr>
            </w:pPr>
          </w:p>
          <w:p w14:paraId="49A93C68">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440" w:lineRule="exact"/>
              <w:ind w:left="0" w:right="0" w:firstLine="480" w:firstLineChars="200"/>
              <w:jc w:val="both"/>
              <w:textAlignment w:val="baseline"/>
              <w:rPr>
                <w:rFonts w:hint="default"/>
                <w:bCs/>
                <w:color w:val="000000"/>
                <w:sz w:val="24"/>
              </w:rPr>
            </w:pPr>
          </w:p>
          <w:p w14:paraId="773C3F8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440" w:lineRule="exact"/>
              <w:ind w:left="0" w:right="0" w:firstLine="480" w:firstLineChars="200"/>
              <w:jc w:val="both"/>
              <w:textAlignment w:val="baseline"/>
              <w:rPr>
                <w:rFonts w:hint="default"/>
                <w:bCs/>
                <w:color w:val="000000"/>
                <w:sz w:val="24"/>
              </w:rPr>
            </w:pPr>
          </w:p>
          <w:p w14:paraId="4345EE2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440" w:lineRule="exact"/>
              <w:ind w:left="0" w:right="0" w:firstLine="480" w:firstLineChars="200"/>
              <w:jc w:val="both"/>
              <w:textAlignment w:val="baseline"/>
              <w:rPr>
                <w:rFonts w:hint="default"/>
                <w:bCs/>
                <w:color w:val="000000"/>
                <w:sz w:val="24"/>
              </w:rPr>
            </w:pPr>
          </w:p>
          <w:p w14:paraId="22C8F1D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440" w:lineRule="exact"/>
              <w:ind w:left="0" w:right="0" w:firstLine="480" w:firstLineChars="200"/>
              <w:jc w:val="both"/>
              <w:textAlignment w:val="baseline"/>
              <w:rPr>
                <w:rFonts w:hint="default"/>
                <w:bCs/>
                <w:color w:val="000000"/>
                <w:sz w:val="24"/>
              </w:rPr>
            </w:pPr>
          </w:p>
          <w:p w14:paraId="09A4A24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440" w:lineRule="exact"/>
              <w:ind w:left="0" w:right="0" w:firstLine="480" w:firstLineChars="200"/>
              <w:jc w:val="both"/>
              <w:textAlignment w:val="baseline"/>
              <w:rPr>
                <w:rFonts w:hint="default"/>
                <w:bCs/>
                <w:color w:val="000000"/>
                <w:sz w:val="24"/>
              </w:rPr>
            </w:pPr>
          </w:p>
          <w:p w14:paraId="2A04AE79">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440" w:lineRule="exact"/>
              <w:ind w:left="0" w:right="0" w:firstLine="480" w:firstLineChars="200"/>
              <w:jc w:val="both"/>
              <w:textAlignment w:val="baseline"/>
              <w:rPr>
                <w:rFonts w:hint="default"/>
                <w:bCs/>
                <w:color w:val="000000"/>
                <w:sz w:val="24"/>
              </w:rPr>
            </w:pPr>
          </w:p>
          <w:p w14:paraId="06308DA1">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440" w:lineRule="exact"/>
              <w:ind w:left="0" w:right="0" w:firstLine="480" w:firstLineChars="200"/>
              <w:jc w:val="both"/>
              <w:textAlignment w:val="baseline"/>
              <w:rPr>
                <w:rFonts w:hint="eastAsia"/>
                <w:bCs/>
                <w:color w:val="000000"/>
                <w:sz w:val="24"/>
                <w:lang w:val="en-US" w:eastAsia="zh-CN"/>
              </w:rPr>
            </w:pPr>
          </w:p>
          <w:p w14:paraId="4F66E634">
            <w:pPr>
              <w:keepNext w:val="0"/>
              <w:keepLines w:val="0"/>
              <w:suppressLineNumbers w:val="0"/>
              <w:spacing w:before="0" w:beforeAutospacing="0" w:after="0" w:afterAutospacing="0" w:line="440" w:lineRule="exact"/>
              <w:ind w:left="0" w:right="0"/>
              <w:jc w:val="center"/>
              <w:textAlignment w:val="baseline"/>
              <w:rPr>
                <w:rFonts w:hint="default" w:ascii="宋体" w:hAnsi="宋体"/>
                <w:b/>
                <w:bCs/>
                <w:color w:val="000000"/>
                <w:sz w:val="24"/>
                <w:highlight w:val="none"/>
              </w:rPr>
            </w:pPr>
          </w:p>
          <w:p w14:paraId="09CE8A5B">
            <w:pPr>
              <w:keepNext w:val="0"/>
              <w:keepLines w:val="0"/>
              <w:suppressLineNumbers w:val="0"/>
              <w:spacing w:before="0" w:beforeAutospacing="0" w:after="0" w:afterAutospacing="0" w:line="440" w:lineRule="exact"/>
              <w:ind w:left="0" w:right="0"/>
              <w:jc w:val="center"/>
              <w:textAlignment w:val="baseline"/>
              <w:rPr>
                <w:rFonts w:hint="default" w:ascii="宋体" w:hAnsi="宋体" w:eastAsia="宋体"/>
                <w:b/>
                <w:bCs/>
                <w:color w:val="000000"/>
                <w:sz w:val="24"/>
                <w:highlight w:val="none"/>
                <w:lang w:val="en-US" w:eastAsia="zh-CN"/>
              </w:rPr>
            </w:pPr>
            <w:r>
              <w:rPr>
                <w:rFonts w:hint="default" w:ascii="宋体" w:hAnsi="宋体"/>
                <w:b/>
                <w:bCs/>
                <w:color w:val="000000"/>
                <w:sz w:val="24"/>
                <w:highlight w:val="none"/>
              </w:rPr>
              <w:t>表</w:t>
            </w:r>
            <w:r>
              <w:rPr>
                <w:rFonts w:hint="eastAsia" w:cs="Times New Roman"/>
                <w:b/>
                <w:bCs/>
                <w:color w:val="000000"/>
                <w:sz w:val="24"/>
                <w:highlight w:val="none"/>
                <w:lang w:val="en-US" w:eastAsia="zh-CN"/>
              </w:rPr>
              <w:t>1</w:t>
            </w:r>
            <w:r>
              <w:rPr>
                <w:rFonts w:hint="default" w:ascii="Times New Roman" w:hAnsi="Times New Roman" w:cs="Times New Roman"/>
                <w:b/>
                <w:bCs/>
                <w:color w:val="000000"/>
                <w:sz w:val="24"/>
                <w:highlight w:val="none"/>
                <w:lang w:val="en-US" w:eastAsia="zh-CN"/>
              </w:rPr>
              <w:t xml:space="preserve"> </w:t>
            </w:r>
            <w:r>
              <w:rPr>
                <w:rFonts w:hint="eastAsia" w:ascii="宋体" w:hAnsi="宋体"/>
                <w:b/>
                <w:bCs/>
                <w:color w:val="000000"/>
                <w:sz w:val="24"/>
                <w:highlight w:val="none"/>
                <w:lang w:val="en-US" w:eastAsia="zh-CN"/>
              </w:rPr>
              <w:t xml:space="preserve"> </w:t>
            </w:r>
            <w:r>
              <w:rPr>
                <w:rFonts w:hint="eastAsia" w:cs="Times New Roman"/>
                <w:b/>
                <w:bCs w:val="0"/>
                <w:color w:val="000000"/>
                <w:sz w:val="24"/>
                <w:highlight w:val="none"/>
                <w:shd w:val="clear" w:color="auto" w:fill="auto"/>
                <w:lang w:val="en-US" w:eastAsia="zh-CN"/>
              </w:rPr>
              <w:t>本项目与</w:t>
            </w:r>
            <w:r>
              <w:rPr>
                <w:rFonts w:hint="default" w:ascii="Times New Roman" w:hAnsi="Times New Roman" w:eastAsia="宋体" w:cs="Times New Roman"/>
                <w:b/>
                <w:bCs w:val="0"/>
                <w:color w:val="000000"/>
                <w:sz w:val="24"/>
                <w:lang w:eastAsia="zh-CN"/>
              </w:rPr>
              <w:t>河南省生态环境分区管控总体</w:t>
            </w:r>
            <w:r>
              <w:rPr>
                <w:rFonts w:hint="default" w:ascii="Times New Roman" w:hAnsi="Times New Roman" w:eastAsia="宋体" w:cs="Times New Roman"/>
                <w:b/>
                <w:bCs w:val="0"/>
                <w:color w:val="000000"/>
                <w:sz w:val="24"/>
              </w:rPr>
              <w:t>要求符合性分析</w:t>
            </w:r>
          </w:p>
          <w:tbl>
            <w:tblPr>
              <w:tblStyle w:val="22"/>
              <w:tblW w:w="4997" w:type="pct"/>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0"/>
              <w:gridCol w:w="815"/>
              <w:gridCol w:w="4649"/>
              <w:gridCol w:w="1714"/>
              <w:gridCol w:w="615"/>
            </w:tblGrid>
            <w:tr w14:paraId="740E91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tcBorders>
                    <w:top w:val="single" w:color="auto" w:sz="8" w:space="0"/>
                    <w:bottom w:val="single" w:color="auto" w:sz="8" w:space="0"/>
                  </w:tcBorders>
                  <w:noWrap w:val="0"/>
                  <w:vAlign w:val="center"/>
                </w:tcPr>
                <w:p w14:paraId="6EBC1412">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环境管控单元分区</w:t>
                  </w:r>
                </w:p>
              </w:tc>
              <w:tc>
                <w:tcPr>
                  <w:tcW w:w="461" w:type="pct"/>
                  <w:tcBorders>
                    <w:top w:val="single" w:color="auto" w:sz="8" w:space="0"/>
                    <w:bottom w:val="single" w:color="auto" w:sz="8" w:space="0"/>
                  </w:tcBorders>
                  <w:noWrap w:val="0"/>
                  <w:vAlign w:val="center"/>
                </w:tcPr>
                <w:p w14:paraId="51FA7BF2">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管控类型</w:t>
                  </w:r>
                </w:p>
              </w:tc>
              <w:tc>
                <w:tcPr>
                  <w:tcW w:w="2631" w:type="pct"/>
                  <w:tcBorders>
                    <w:top w:val="single" w:color="auto" w:sz="8" w:space="0"/>
                    <w:bottom w:val="single" w:color="auto" w:sz="8" w:space="0"/>
                  </w:tcBorders>
                  <w:noWrap w:val="0"/>
                  <w:vAlign w:val="center"/>
                </w:tcPr>
                <w:p w14:paraId="7F503ABF">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入准要求</w:t>
                  </w:r>
                </w:p>
              </w:tc>
              <w:tc>
                <w:tcPr>
                  <w:tcW w:w="970" w:type="pct"/>
                  <w:tcBorders>
                    <w:top w:val="single" w:color="auto" w:sz="8" w:space="0"/>
                    <w:bottom w:val="single" w:color="auto" w:sz="8" w:space="0"/>
                  </w:tcBorders>
                  <w:noWrap w:val="0"/>
                  <w:vAlign w:val="center"/>
                </w:tcPr>
                <w:p w14:paraId="76D915D1">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本项目情况</w:t>
                  </w:r>
                </w:p>
              </w:tc>
              <w:tc>
                <w:tcPr>
                  <w:tcW w:w="348" w:type="pct"/>
                  <w:tcBorders>
                    <w:top w:val="single" w:color="auto" w:sz="8" w:space="0"/>
                    <w:bottom w:val="single" w:color="auto" w:sz="8" w:space="0"/>
                  </w:tcBorders>
                  <w:noWrap w:val="0"/>
                  <w:vAlign w:val="center"/>
                </w:tcPr>
                <w:p w14:paraId="57A62ED3">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相符性</w:t>
                  </w:r>
                </w:p>
              </w:tc>
            </w:tr>
            <w:tr w14:paraId="6E5EE6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5"/>
                  <w:tcBorders>
                    <w:top w:val="single" w:color="auto" w:sz="8" w:space="0"/>
                    <w:tl2br w:val="nil"/>
                    <w:tr2bl w:val="nil"/>
                  </w:tcBorders>
                  <w:noWrap w:val="0"/>
                  <w:vAlign w:val="center"/>
                </w:tcPr>
                <w:p w14:paraId="0E09B0D5">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b/>
                      <w:bCs/>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一、全省生态环境总体准入清单要求</w:t>
                  </w:r>
                </w:p>
              </w:tc>
            </w:tr>
            <w:tr w14:paraId="6945A3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3" w:hRule="atLeast"/>
              </w:trPr>
              <w:tc>
                <w:tcPr>
                  <w:tcW w:w="588" w:type="pct"/>
                  <w:vMerge w:val="restart"/>
                  <w:tcBorders>
                    <w:tl2br w:val="nil"/>
                    <w:tr2bl w:val="nil"/>
                  </w:tcBorders>
                  <w:noWrap w:val="0"/>
                  <w:vAlign w:val="center"/>
                </w:tcPr>
                <w:p w14:paraId="50677CA1">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重点管控</w:t>
                  </w:r>
                  <w:r>
                    <w:rPr>
                      <w:rFonts w:hint="eastAsia" w:ascii="Times New Roman"/>
                      <w:color w:val="000000" w:themeColor="text1"/>
                      <w:sz w:val="21"/>
                      <w:szCs w:val="21"/>
                      <w14:textFill>
                        <w14:solidFill>
                          <w14:schemeClr w14:val="tx1"/>
                        </w14:solidFill>
                      </w14:textFill>
                    </w:rPr>
                    <w:t>单元</w:t>
                  </w:r>
                </w:p>
              </w:tc>
              <w:tc>
                <w:tcPr>
                  <w:tcW w:w="461" w:type="pct"/>
                  <w:tcBorders>
                    <w:tl2br w:val="nil"/>
                    <w:tr2bl w:val="nil"/>
                  </w:tcBorders>
                  <w:noWrap w:val="0"/>
                  <w:vAlign w:val="center"/>
                </w:tcPr>
                <w:p w14:paraId="7BD5000B">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空间布局约束</w:t>
                  </w:r>
                </w:p>
              </w:tc>
              <w:tc>
                <w:tcPr>
                  <w:tcW w:w="2631" w:type="pct"/>
                  <w:tcBorders>
                    <w:tl2br w:val="nil"/>
                    <w:tr2bl w:val="nil"/>
                  </w:tcBorders>
                  <w:noWrap w:val="0"/>
                  <w:vAlign w:val="center"/>
                </w:tcPr>
                <w:p w14:paraId="510E216A">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 xml:space="preserve">1. 根据国家产业政策、区域定位及环境特征等，建立差别化的产业准入要求，鼓励建设符合规划环评的项目。 </w:t>
                  </w:r>
                </w:p>
                <w:p w14:paraId="29DECF2F">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 xml:space="preserve">4. 强化环境准入约束，坚决遏制“两高一低”项目盲目发展，对不符合规定的项目坚决停批停建。 </w:t>
                  </w:r>
                </w:p>
                <w:p w14:paraId="7A9B4466">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 xml:space="preserve">5. 涉及产能置换的项目，被置换产能及其配套设施关停后，新建项目方可投产。 </w:t>
                  </w:r>
                </w:p>
                <w:p w14:paraId="19A3020B">
                  <w:pPr>
                    <w:keepNext w:val="0"/>
                    <w:keepLines w:val="0"/>
                    <w:widowControl/>
                    <w:suppressLineNumbers w:val="0"/>
                    <w:spacing w:before="0" w:beforeAutospacing="0" w:after="0" w:afterAutospacing="0"/>
                    <w:ind w:left="0" w:leftChars="0" w:right="0" w:rightChars="0"/>
                    <w:jc w:val="both"/>
                    <w:rPr>
                      <w:rFonts w:hint="default"/>
                      <w:color w:val="000000" w:themeColor="text1"/>
                      <w:sz w:val="21"/>
                      <w:szCs w:val="21"/>
                      <w14:textFill>
                        <w14:solidFill>
                          <w14:schemeClr w14:val="tx1"/>
                        </w14:solidFill>
                      </w14:textFill>
                    </w:rPr>
                  </w:pPr>
                  <w:r>
                    <w:rPr>
                      <w:rFonts w:hint="default" w:ascii="Times New Roman" w:hAnsi="Times New Roman" w:eastAsia="宋体" w:cs="Times New Roman"/>
                      <w:color w:val="000000"/>
                      <w:kern w:val="0"/>
                      <w:sz w:val="21"/>
                      <w:szCs w:val="21"/>
                      <w:lang w:val="en-US" w:eastAsia="zh-CN" w:bidi="ar"/>
                    </w:rPr>
                    <w:t xml:space="preserve">7.将土壤环境要求纳入国土空间规划，根据土壤污染状况和风险合理规划土地用途。对列入建设用地土壤污染风险管控和修复名录的地块，不得作为住宅、公共管理与公共服务用地；不得办理土地征收、回购、收购、土地供应以及改变土地用途等手续。 </w:t>
                  </w:r>
                </w:p>
              </w:tc>
              <w:tc>
                <w:tcPr>
                  <w:tcW w:w="970" w:type="pct"/>
                  <w:tcBorders>
                    <w:tl2br w:val="nil"/>
                    <w:tr2bl w:val="nil"/>
                  </w:tcBorders>
                  <w:noWrap w:val="0"/>
                  <w:vAlign w:val="center"/>
                </w:tcPr>
                <w:p w14:paraId="336D0923">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ind w:left="0" w:right="0"/>
                    <w:jc w:val="both"/>
                    <w:textAlignment w:val="center"/>
                    <w:outlineLvl w:val="9"/>
                    <w:rPr>
                      <w:rFonts w:hint="eastAsia"/>
                      <w:color w:val="000000"/>
                      <w:sz w:val="21"/>
                      <w:szCs w:val="21"/>
                      <w:lang w:eastAsia="zh-CN"/>
                    </w:rPr>
                  </w:pPr>
                  <w:r>
                    <w:rPr>
                      <w:rFonts w:hint="eastAsia"/>
                      <w:color w:val="000000"/>
                      <w:sz w:val="21"/>
                      <w:szCs w:val="21"/>
                      <w:lang w:val="en-US" w:eastAsia="zh-CN"/>
                    </w:rPr>
                    <w:t>1、</w:t>
                  </w:r>
                  <w:r>
                    <w:rPr>
                      <w:rFonts w:hint="eastAsia"/>
                      <w:color w:val="000000"/>
                      <w:sz w:val="21"/>
                      <w:szCs w:val="21"/>
                      <w:lang w:eastAsia="zh-CN"/>
                    </w:rPr>
                    <w:t>本项目为</w:t>
                  </w:r>
                  <w:r>
                    <w:rPr>
                      <w:rFonts w:hint="eastAsia"/>
                      <w:color w:val="000000"/>
                      <w:sz w:val="21"/>
                      <w:szCs w:val="21"/>
                      <w:lang w:val="en-US" w:eastAsia="zh-CN"/>
                    </w:rPr>
                    <w:t>加工纸制造</w:t>
                  </w:r>
                  <w:r>
                    <w:rPr>
                      <w:rFonts w:hint="default"/>
                      <w:color w:val="000000"/>
                      <w:sz w:val="21"/>
                      <w:szCs w:val="21"/>
                      <w:lang w:eastAsia="zh-CN"/>
                    </w:rPr>
                    <w:t>，</w:t>
                  </w:r>
                  <w:r>
                    <w:rPr>
                      <w:rFonts w:hint="eastAsia"/>
                      <w:color w:val="000000"/>
                      <w:sz w:val="21"/>
                      <w:szCs w:val="21"/>
                      <w:lang w:val="en-US" w:eastAsia="zh-CN"/>
                    </w:rPr>
                    <w:t>符合国家产业政策要求</w:t>
                  </w:r>
                  <w:r>
                    <w:rPr>
                      <w:rFonts w:hint="eastAsia"/>
                      <w:color w:val="000000"/>
                      <w:sz w:val="21"/>
                      <w:szCs w:val="21"/>
                      <w:lang w:eastAsia="zh-CN"/>
                    </w:rPr>
                    <w:t>；</w:t>
                  </w:r>
                </w:p>
                <w:p w14:paraId="03EE5FF1">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both"/>
                    <w:textAlignment w:val="auto"/>
                    <w:outlineLvl w:val="9"/>
                    <w:rPr>
                      <w:rFonts w:hint="eastAsia"/>
                      <w:sz w:val="21"/>
                      <w:szCs w:val="21"/>
                      <w:lang w:eastAsia="zh-CN"/>
                    </w:rPr>
                  </w:pPr>
                  <w:r>
                    <w:rPr>
                      <w:rFonts w:hint="eastAsia" w:eastAsia="宋体" w:cs="Times New Roman"/>
                      <w:b w:val="0"/>
                      <w:bCs w:val="0"/>
                      <w:color w:val="auto"/>
                      <w:kern w:val="2"/>
                      <w:sz w:val="21"/>
                      <w:szCs w:val="21"/>
                      <w:lang w:val="en-US" w:eastAsia="zh-CN" w:bidi="ar-SA"/>
                    </w:rPr>
                    <w:t>2、</w:t>
                  </w:r>
                  <w:r>
                    <w:rPr>
                      <w:rFonts w:hint="eastAsia" w:ascii="Times New Roman" w:hAnsi="Times New Roman" w:eastAsia="宋体" w:cs="Times New Roman"/>
                      <w:b w:val="0"/>
                      <w:bCs w:val="0"/>
                      <w:color w:val="auto"/>
                      <w:kern w:val="2"/>
                      <w:sz w:val="21"/>
                      <w:szCs w:val="21"/>
                      <w:lang w:val="en-US" w:eastAsia="zh-CN" w:bidi="ar-SA"/>
                    </w:rPr>
                    <w:t>本项目不属于“两高一低”项目，不属于产能置换项目；</w:t>
                  </w:r>
                </w:p>
                <w:p w14:paraId="2B616538">
                  <w:pPr>
                    <w:keepNext w:val="0"/>
                    <w:keepLines w:val="0"/>
                    <w:pageBreakBefore w:val="0"/>
                    <w:widowControl w:val="0"/>
                    <w:suppressLineNumbers w:val="0"/>
                    <w:kinsoku/>
                    <w:wordWrap/>
                    <w:topLinePunct w:val="0"/>
                    <w:autoSpaceDE/>
                    <w:autoSpaceDN/>
                    <w:bidi w:val="0"/>
                    <w:spacing w:before="0" w:beforeAutospacing="0" w:after="0" w:afterAutospacing="0"/>
                    <w:ind w:left="0" w:right="0"/>
                    <w:jc w:val="both"/>
                    <w:outlineLvl w:val="9"/>
                    <w:rPr>
                      <w:rFonts w:hint="default" w:ascii="Times New Roman"/>
                      <w:color w:val="000000" w:themeColor="text1"/>
                      <w:sz w:val="21"/>
                      <w:szCs w:val="21"/>
                      <w14:textFill>
                        <w14:solidFill>
                          <w14:schemeClr w14:val="tx1"/>
                        </w14:solidFill>
                      </w14:textFill>
                    </w:rPr>
                  </w:pPr>
                  <w:r>
                    <w:rPr>
                      <w:rFonts w:hint="eastAsia"/>
                      <w:sz w:val="21"/>
                      <w:szCs w:val="21"/>
                      <w:lang w:val="en-US" w:eastAsia="zh-CN"/>
                    </w:rPr>
                    <w:t>3、</w:t>
                  </w:r>
                  <w:r>
                    <w:rPr>
                      <w:rFonts w:hint="eastAsia"/>
                      <w:sz w:val="21"/>
                      <w:szCs w:val="21"/>
                      <w:lang w:eastAsia="zh-CN"/>
                    </w:rPr>
                    <w:t>本项目位于</w:t>
                  </w:r>
                  <w:r>
                    <w:rPr>
                      <w:rFonts w:hint="eastAsia"/>
                      <w:sz w:val="21"/>
                      <w:szCs w:val="21"/>
                      <w:lang w:val="en-US" w:eastAsia="zh-CN"/>
                    </w:rPr>
                    <w:t>河南省新乡市新乡县七里营镇南位庄村工业路698号，</w:t>
                  </w:r>
                  <w:r>
                    <w:rPr>
                      <w:rFonts w:hint="eastAsia"/>
                      <w:sz w:val="21"/>
                      <w:szCs w:val="21"/>
                      <w:lang w:eastAsia="zh-CN"/>
                    </w:rPr>
                    <w:t>不属于建设用地土壤污染风险管控和修复名录的地块。</w:t>
                  </w:r>
                </w:p>
              </w:tc>
              <w:tc>
                <w:tcPr>
                  <w:tcW w:w="348" w:type="pct"/>
                  <w:tcBorders>
                    <w:tl2br w:val="nil"/>
                    <w:tr2bl w:val="nil"/>
                  </w:tcBorders>
                  <w:noWrap w:val="0"/>
                  <w:vAlign w:val="center"/>
                </w:tcPr>
                <w:p w14:paraId="43BF4D93">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相符</w:t>
                  </w:r>
                </w:p>
              </w:tc>
            </w:tr>
            <w:tr w14:paraId="208B65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92" w:hRule="atLeast"/>
              </w:trPr>
              <w:tc>
                <w:tcPr>
                  <w:tcW w:w="588" w:type="pct"/>
                  <w:vMerge w:val="continue"/>
                  <w:tcBorders>
                    <w:tl2br w:val="nil"/>
                    <w:tr2bl w:val="nil"/>
                  </w:tcBorders>
                  <w:noWrap w:val="0"/>
                  <w:vAlign w:val="center"/>
                </w:tcPr>
                <w:p w14:paraId="67A41AF9">
                  <w:pPr>
                    <w:pStyle w:val="50"/>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000000" w:themeColor="text1"/>
                      <w:sz w:val="21"/>
                      <w:szCs w:val="21"/>
                      <w:lang w:val="en-US" w:eastAsia="zh-CN"/>
                      <w14:textFill>
                        <w14:solidFill>
                          <w14:schemeClr w14:val="tx1"/>
                        </w14:solidFill>
                      </w14:textFill>
                    </w:rPr>
                  </w:pPr>
                </w:p>
              </w:tc>
              <w:tc>
                <w:tcPr>
                  <w:tcW w:w="461" w:type="pct"/>
                  <w:tcBorders>
                    <w:tl2br w:val="nil"/>
                    <w:tr2bl w:val="nil"/>
                  </w:tcBorders>
                  <w:noWrap w:val="0"/>
                  <w:vAlign w:val="center"/>
                </w:tcPr>
                <w:p w14:paraId="2931FEBF">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污染物排放管控</w:t>
                  </w:r>
                </w:p>
              </w:tc>
              <w:tc>
                <w:tcPr>
                  <w:tcW w:w="2631" w:type="pct"/>
                  <w:tcBorders>
                    <w:tl2br w:val="nil"/>
                    <w:tr2bl w:val="nil"/>
                  </w:tcBorders>
                  <w:noWrap w:val="0"/>
                  <w:vAlign w:val="center"/>
                </w:tcPr>
                <w:p w14:paraId="6EE11B4B">
                  <w:pPr>
                    <w:keepNext w:val="0"/>
                    <w:keepLines w:val="0"/>
                    <w:suppressLineNumbers w:val="0"/>
                    <w:adjustRightInd w:val="0"/>
                    <w:snapToGrid w:val="0"/>
                    <w:spacing w:before="0" w:beforeAutospacing="0" w:after="0" w:afterAutospacing="0" w:line="240" w:lineRule="auto"/>
                    <w:ind w:left="0" w:right="0"/>
                    <w:jc w:val="both"/>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w:t>
                  </w:r>
                  <w:r>
                    <w:rPr>
                      <w:rFonts w:hint="default" w:ascii="Times New Roman" w:hAnsi="Times New Roman" w:cs="Times New Roman"/>
                      <w:color w:val="000000"/>
                      <w:sz w:val="21"/>
                      <w:szCs w:val="21"/>
                      <w:lang w:val="en-US" w:eastAsia="zh-CN"/>
                    </w:rPr>
                    <w:t>、</w:t>
                  </w:r>
                  <w:r>
                    <w:rPr>
                      <w:rFonts w:hint="default" w:ascii="Times New Roman" w:hAnsi="Times New Roman" w:eastAsia="宋体" w:cs="Times New Roman"/>
                      <w:color w:val="000000"/>
                      <w:sz w:val="21"/>
                      <w:szCs w:val="21"/>
                      <w:lang w:val="en-US" w:eastAsia="zh-CN"/>
                    </w:rPr>
                    <w:t>重点行业建设项目应满足区域、流域控制单元环境质量改善目标管理要求。</w:t>
                  </w:r>
                </w:p>
                <w:p w14:paraId="36D5AE08">
                  <w:pPr>
                    <w:keepNext w:val="0"/>
                    <w:keepLines w:val="0"/>
                    <w:suppressLineNumbers w:val="0"/>
                    <w:adjustRightInd w:val="0"/>
                    <w:snapToGrid w:val="0"/>
                    <w:spacing w:before="0" w:beforeAutospacing="0" w:after="0" w:afterAutospacing="0" w:line="240" w:lineRule="auto"/>
                    <w:ind w:left="0" w:right="0"/>
                    <w:jc w:val="both"/>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w:t>
                  </w:r>
                  <w:r>
                    <w:rPr>
                      <w:rFonts w:hint="default" w:ascii="Times New Roman" w:hAnsi="Times New Roman" w:cs="Times New Roman"/>
                      <w:color w:val="000000"/>
                      <w:sz w:val="21"/>
                      <w:szCs w:val="21"/>
                      <w:lang w:val="en-US" w:eastAsia="zh-CN"/>
                    </w:rPr>
                    <w:t>、</w:t>
                  </w:r>
                  <w:r>
                    <w:rPr>
                      <w:rFonts w:hint="default" w:ascii="Times New Roman" w:hAnsi="Times New Roman" w:eastAsia="宋体" w:cs="Times New Roman"/>
                      <w:color w:val="000000"/>
                      <w:sz w:val="21"/>
                      <w:szCs w:val="21"/>
                      <w:lang w:val="en-US" w:eastAsia="zh-CN"/>
                    </w:rPr>
                    <w:t>强化项目环评及“三同时”管理。新建、扩建“两高”项目应采用先进的工艺技术和装备，单位产品污染物排放强度应达到清洁生产先进水平，其中，国家、省绩效分级重点行业新建、扩建项目达到A级水平，改建项目达到B级以上水平。</w:t>
                  </w:r>
                </w:p>
                <w:p w14:paraId="33E9CDCB">
                  <w:pPr>
                    <w:keepNext w:val="0"/>
                    <w:keepLines w:val="0"/>
                    <w:suppressLineNumbers w:val="0"/>
                    <w:adjustRightInd w:val="0"/>
                    <w:snapToGrid w:val="0"/>
                    <w:spacing w:before="0" w:beforeAutospacing="0" w:after="0" w:afterAutospacing="0" w:line="240" w:lineRule="auto"/>
                    <w:ind w:left="0" w:right="0"/>
                    <w:jc w:val="both"/>
                    <w:textAlignment w:val="baseline"/>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w:t>
                  </w:r>
                  <w:r>
                    <w:rPr>
                      <w:rFonts w:hint="default" w:ascii="Times New Roman" w:hAnsi="Times New Roman" w:cs="Times New Roman"/>
                      <w:color w:val="000000"/>
                      <w:sz w:val="21"/>
                      <w:szCs w:val="21"/>
                      <w:lang w:val="en-US" w:eastAsia="zh-CN"/>
                    </w:rPr>
                    <w:t>、</w:t>
                  </w:r>
                  <w:r>
                    <w:rPr>
                      <w:rFonts w:hint="default" w:ascii="Times New Roman" w:hAnsi="Times New Roman" w:eastAsia="宋体" w:cs="Times New Roman"/>
                      <w:color w:val="000000"/>
                      <w:sz w:val="21"/>
                      <w:szCs w:val="21"/>
                      <w:lang w:val="en-US" w:eastAsia="zh-CN"/>
                    </w:rPr>
                    <w:t>深入推进低挥发性有机物含量原辅材料源头替代，全面推广使用低挥发性有机物含量的涂料、油墨、胶粘剂、清洗剂等</w:t>
                  </w:r>
                  <w:r>
                    <w:rPr>
                      <w:rFonts w:hint="default" w:ascii="Times New Roman" w:hAnsi="Times New Roman" w:eastAsia="宋体" w:cs="Times New Roman"/>
                      <w:color w:val="000000"/>
                      <w:sz w:val="21"/>
                      <w:szCs w:val="21"/>
                      <w:highlight w:val="none"/>
                      <w:lang w:val="en-US" w:eastAsia="zh-CN"/>
                    </w:rPr>
                    <w:t>新兴原辅材料</w:t>
                  </w:r>
                  <w:r>
                    <w:rPr>
                      <w:rFonts w:hint="default" w:ascii="Times New Roman" w:hAnsi="Times New Roman" w:eastAsia="宋体" w:cs="Times New Roman"/>
                      <w:color w:val="000000"/>
                      <w:sz w:val="21"/>
                      <w:szCs w:val="21"/>
                      <w:lang w:val="en-US" w:eastAsia="zh-CN"/>
                    </w:rPr>
                    <w:t>。</w:t>
                  </w:r>
                </w:p>
                <w:p w14:paraId="053C91CB">
                  <w:pPr>
                    <w:keepNext w:val="0"/>
                    <w:keepLines w:val="0"/>
                    <w:widowControl/>
                    <w:suppressLineNumbers w:val="0"/>
                    <w:spacing w:before="0" w:beforeAutospacing="0" w:after="0" w:afterAutospacing="0"/>
                    <w:ind w:left="0" w:right="0"/>
                    <w:jc w:val="both"/>
                    <w:rPr>
                      <w:rFonts w:hint="default" w:ascii="Times New Roman" w:hAnsi="Times New Roman"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sz w:val="21"/>
                      <w:szCs w:val="21"/>
                      <w:lang w:val="en-US" w:eastAsia="zh-CN"/>
                    </w:rPr>
                    <w:t>7</w:t>
                  </w:r>
                  <w:r>
                    <w:rPr>
                      <w:rFonts w:hint="default" w:ascii="Times New Roman" w:hAnsi="Times New Roman" w:cs="Times New Roman"/>
                      <w:color w:val="000000"/>
                      <w:sz w:val="21"/>
                      <w:szCs w:val="21"/>
                      <w:lang w:val="en-US" w:eastAsia="zh-CN"/>
                    </w:rPr>
                    <w:t>、</w:t>
                  </w:r>
                  <w:r>
                    <w:rPr>
                      <w:rFonts w:hint="default" w:ascii="Times New Roman" w:hAnsi="Times New Roman" w:eastAsia="宋体" w:cs="Times New Roman"/>
                      <w:color w:val="000000"/>
                      <w:sz w:val="21"/>
                      <w:szCs w:val="21"/>
                      <w:lang w:val="en-US" w:eastAsia="zh-CN"/>
                    </w:rPr>
                    <w:t>鼓励企业采用先进治理技术，打造行业噪声污染治理示范典型。排放噪声的工业企业应切实采取减振降噪措施，加强厂区内固定设备、运输工具、货物装卸等噪声源管理，同时避免突发噪声扰民。</w:t>
                  </w:r>
                </w:p>
              </w:tc>
              <w:tc>
                <w:tcPr>
                  <w:tcW w:w="970" w:type="pct"/>
                  <w:tcBorders>
                    <w:tl2br w:val="nil"/>
                    <w:tr2bl w:val="nil"/>
                  </w:tcBorders>
                  <w:noWrap w:val="0"/>
                  <w:vAlign w:val="center"/>
                </w:tcPr>
                <w:p w14:paraId="003B02C2">
                  <w:pPr>
                    <w:pStyle w:val="50"/>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1、本项目为</w:t>
                  </w:r>
                  <w:r>
                    <w:rPr>
                      <w:rFonts w:hint="eastAsia" w:ascii="Times New Roman" w:cs="Times New Roman"/>
                      <w:color w:val="000000" w:themeColor="text1"/>
                      <w:sz w:val="21"/>
                      <w:szCs w:val="21"/>
                      <w:lang w:val="en-US" w:eastAsia="zh-CN"/>
                      <w14:textFill>
                        <w14:solidFill>
                          <w14:schemeClr w14:val="tx1"/>
                        </w14:solidFill>
                      </w14:textFill>
                    </w:rPr>
                    <w:t>加工纸制造</w:t>
                  </w:r>
                  <w:r>
                    <w:rPr>
                      <w:rFonts w:hint="default" w:ascii="Times New Roman" w:hAnsi="Times New Roman" w:cs="Times New Roman"/>
                      <w:color w:val="000000" w:themeColor="text1"/>
                      <w:sz w:val="21"/>
                      <w:szCs w:val="21"/>
                      <w:lang w:val="en-US" w:eastAsia="zh-CN"/>
                      <w14:textFill>
                        <w14:solidFill>
                          <w14:schemeClr w14:val="tx1"/>
                        </w14:solidFill>
                      </w14:textFill>
                    </w:rPr>
                    <w:t>，废气进行区域倍量削减替代</w:t>
                  </w:r>
                  <w:r>
                    <w:rPr>
                      <w:rFonts w:hint="eastAsia" w:ascii="Times New Roman" w:hAnsi="Times New Roman"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满足区域、流域控制单元环境质量改善目标管理要求。</w:t>
                  </w:r>
                </w:p>
                <w:p w14:paraId="1416AE5D">
                  <w:pPr>
                    <w:pStyle w:val="50"/>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2、本项目不属于“两高”项目，本项目为</w:t>
                  </w:r>
                  <w:r>
                    <w:rPr>
                      <w:rFonts w:hint="eastAsia" w:ascii="Times New Roman" w:hAnsi="Times New Roman" w:cs="Times New Roman"/>
                      <w:color w:val="000000" w:themeColor="text1"/>
                      <w:sz w:val="21"/>
                      <w:szCs w:val="21"/>
                      <w:lang w:val="en-US" w:eastAsia="zh-CN"/>
                      <w14:textFill>
                        <w14:solidFill>
                          <w14:schemeClr w14:val="tx1"/>
                        </w14:solidFill>
                      </w14:textFill>
                    </w:rPr>
                    <w:t>新</w:t>
                  </w:r>
                  <w:r>
                    <w:rPr>
                      <w:rFonts w:hint="default" w:ascii="Times New Roman" w:hAnsi="Times New Roman" w:cs="Times New Roman"/>
                      <w:color w:val="000000" w:themeColor="text1"/>
                      <w:sz w:val="21"/>
                      <w:szCs w:val="21"/>
                      <w:lang w:val="en-US" w:eastAsia="zh-CN"/>
                      <w14:textFill>
                        <w14:solidFill>
                          <w14:schemeClr w14:val="tx1"/>
                        </w14:solidFill>
                      </w14:textFill>
                    </w:rPr>
                    <w:t>建项目，</w:t>
                  </w:r>
                  <w:r>
                    <w:rPr>
                      <w:rFonts w:hint="eastAsia"/>
                      <w:sz w:val="21"/>
                      <w:szCs w:val="21"/>
                    </w:rPr>
                    <w:t>按照</w:t>
                  </w:r>
                  <w:r>
                    <w:rPr>
                      <w:rFonts w:hint="default"/>
                      <w:color w:val="000000" w:themeColor="text1"/>
                      <w:sz w:val="21"/>
                      <w:szCs w:val="21"/>
                      <w14:textFill>
                        <w14:solidFill>
                          <w14:schemeClr w14:val="tx1"/>
                        </w14:solidFill>
                      </w14:textFill>
                    </w:rPr>
                    <w:t>河南省</w:t>
                  </w:r>
                  <w:r>
                    <w:rPr>
                      <w:rFonts w:hint="eastAsia"/>
                      <w:color w:val="000000" w:themeColor="text1"/>
                      <w:sz w:val="21"/>
                      <w:szCs w:val="21"/>
                      <w14:textFill>
                        <w14:solidFill>
                          <w14:schemeClr w14:val="tx1"/>
                        </w14:solidFill>
                      </w14:textFill>
                    </w:rPr>
                    <w:t>重污染天气通用行业应急减排</w:t>
                  </w:r>
                  <w:r>
                    <w:rPr>
                      <w:rFonts w:hint="default"/>
                      <w:color w:val="000000" w:themeColor="text1"/>
                      <w:sz w:val="21"/>
                      <w:szCs w:val="21"/>
                      <w14:textFill>
                        <w14:solidFill>
                          <w14:schemeClr w14:val="tx1"/>
                        </w14:solidFill>
                      </w14:textFill>
                    </w:rPr>
                    <w:t>措施</w:t>
                  </w:r>
                  <w:r>
                    <w:rPr>
                      <w:rFonts w:hint="eastAsia"/>
                      <w:color w:val="000000" w:themeColor="text1"/>
                      <w:sz w:val="21"/>
                      <w:szCs w:val="21"/>
                      <w14:textFill>
                        <w14:solidFill>
                          <w14:schemeClr w14:val="tx1"/>
                        </w14:solidFill>
                      </w14:textFill>
                    </w:rPr>
                    <w:t>制定</w:t>
                  </w:r>
                  <w:r>
                    <w:rPr>
                      <w:rFonts w:hint="default" w:ascii="Times New Roman" w:hAnsi="Times New Roman" w:cs="Times New Roman"/>
                      <w:color w:val="000000" w:themeColor="text1"/>
                      <w:sz w:val="21"/>
                      <w:szCs w:val="21"/>
                      <w14:textFill>
                        <w14:solidFill>
                          <w14:schemeClr w14:val="tx1"/>
                        </w14:solidFill>
                      </w14:textFill>
                    </w:rPr>
                    <w:t>技术指南通用涉VOCs企业绩效引领性指标要求建设。同时涉及印刷工序，按照《重污染天气重点行业应急减排措施制定技术指南（2020年修订版）》中包装印刷业A级水平进</w:t>
                  </w:r>
                  <w:r>
                    <w:rPr>
                      <w:rFonts w:hint="eastAsia"/>
                      <w:color w:val="000000" w:themeColor="text1"/>
                      <w:sz w:val="21"/>
                      <w:szCs w:val="21"/>
                      <w14:textFill>
                        <w14:solidFill>
                          <w14:schemeClr w14:val="tx1"/>
                        </w14:solidFill>
                      </w14:textFill>
                    </w:rPr>
                    <w:t>行建设</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p w14:paraId="2A2EB032">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4、本项目使用的食品级油墨为水性油墨，根据该油墨挥发性有机物含量的检测报告（报告编号：DGC250410005BD），水性油墨中VOCs含量未检出，符合《油墨中可挥发性有机化合物（VOCs）含量的限值》（GB38507-2020）中水性油墨（柔印油墨吸收性承印物）VOC含量限量值≤5%的限值要求；</w:t>
                  </w:r>
                </w:p>
                <w:p w14:paraId="62DAA39F">
                  <w:pPr>
                    <w:pStyle w:val="50"/>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7、企业加强噪声源管理，采取减振降噪措施，可有效治理噪声污染，避免突发扰民。</w:t>
                  </w:r>
                </w:p>
              </w:tc>
              <w:tc>
                <w:tcPr>
                  <w:tcW w:w="348" w:type="pct"/>
                  <w:tcBorders>
                    <w:tl2br w:val="nil"/>
                    <w:tr2bl w:val="nil"/>
                  </w:tcBorders>
                  <w:noWrap w:val="0"/>
                  <w:vAlign w:val="center"/>
                </w:tcPr>
                <w:p w14:paraId="07EA2E0F">
                  <w:pPr>
                    <w:pStyle w:val="50"/>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相符</w:t>
                  </w:r>
                </w:p>
              </w:tc>
            </w:tr>
            <w:tr w14:paraId="647DE0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vMerge w:val="continue"/>
                  <w:tcBorders>
                    <w:tl2br w:val="nil"/>
                    <w:tr2bl w:val="nil"/>
                  </w:tcBorders>
                  <w:noWrap w:val="0"/>
                  <w:vAlign w:val="center"/>
                </w:tcPr>
                <w:p w14:paraId="47A4731B">
                  <w:pPr>
                    <w:pStyle w:val="50"/>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000000" w:themeColor="text1"/>
                      <w:sz w:val="21"/>
                      <w:szCs w:val="21"/>
                      <w:lang w:val="en-US" w:eastAsia="zh-CN"/>
                      <w14:textFill>
                        <w14:solidFill>
                          <w14:schemeClr w14:val="tx1"/>
                        </w14:solidFill>
                      </w14:textFill>
                    </w:rPr>
                  </w:pPr>
                </w:p>
              </w:tc>
              <w:tc>
                <w:tcPr>
                  <w:tcW w:w="461" w:type="pct"/>
                  <w:tcBorders>
                    <w:tl2br w:val="nil"/>
                    <w:tr2bl w:val="nil"/>
                  </w:tcBorders>
                  <w:noWrap w:val="0"/>
                  <w:vAlign w:val="center"/>
                </w:tcPr>
                <w:p w14:paraId="43681C9E">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eastAsia" w:ascii="Times New Roman"/>
                      <w:color w:val="000000" w:themeColor="text1"/>
                      <w:sz w:val="21"/>
                      <w:szCs w:val="21"/>
                      <w:lang w:val="en-US" w:eastAsia="zh-CN"/>
                      <w14:textFill>
                        <w14:solidFill>
                          <w14:schemeClr w14:val="tx1"/>
                        </w14:solidFill>
                      </w14:textFill>
                    </w:rPr>
                  </w:pPr>
                  <w:r>
                    <w:rPr>
                      <w:rFonts w:hint="eastAsia" w:eastAsia="宋体"/>
                      <w:color w:val="000000"/>
                      <w:sz w:val="21"/>
                      <w:szCs w:val="21"/>
                      <w:lang w:val="en-US" w:eastAsia="zh-CN"/>
                    </w:rPr>
                    <w:t>资源利用效率</w:t>
                  </w:r>
                </w:p>
              </w:tc>
              <w:tc>
                <w:tcPr>
                  <w:tcW w:w="2631" w:type="pct"/>
                  <w:tcBorders>
                    <w:tl2br w:val="nil"/>
                    <w:tr2bl w:val="nil"/>
                  </w:tcBorders>
                  <w:noWrap w:val="0"/>
                  <w:vAlign w:val="center"/>
                </w:tcPr>
                <w:p w14:paraId="51A66A78">
                  <w:pPr>
                    <w:keepNext w:val="0"/>
                    <w:keepLines w:val="0"/>
                    <w:suppressLineNumbers w:val="0"/>
                    <w:adjustRightInd w:val="0"/>
                    <w:snapToGrid w:val="0"/>
                    <w:spacing w:before="0" w:beforeAutospacing="0" w:after="0" w:afterAutospacing="0" w:line="240" w:lineRule="auto"/>
                    <w:ind w:left="0" w:leftChars="0" w:right="0" w:rightChars="0"/>
                    <w:jc w:val="both"/>
                    <w:textAlignment w:val="baseline"/>
                    <w:rPr>
                      <w:rFonts w:hint="eastAsia" w:eastAsia="宋体"/>
                      <w:color w:val="000000"/>
                      <w:sz w:val="21"/>
                      <w:szCs w:val="21"/>
                      <w:lang w:val="en-US" w:eastAsia="zh-CN"/>
                    </w:rPr>
                  </w:pPr>
                  <w:r>
                    <w:rPr>
                      <w:rFonts w:hint="eastAsia" w:eastAsia="宋体"/>
                      <w:color w:val="000000"/>
                      <w:sz w:val="21"/>
                      <w:szCs w:val="21"/>
                      <w:lang w:val="en-US" w:eastAsia="zh-CN"/>
                    </w:rPr>
                    <w:t>2</w:t>
                  </w:r>
                  <w:r>
                    <w:rPr>
                      <w:rFonts w:hint="eastAsia"/>
                      <w:color w:val="000000"/>
                      <w:sz w:val="21"/>
                      <w:szCs w:val="21"/>
                      <w:lang w:val="en-US" w:eastAsia="zh-CN"/>
                    </w:rPr>
                    <w:t>、</w:t>
                  </w:r>
                  <w:r>
                    <w:rPr>
                      <w:rFonts w:hint="eastAsia" w:eastAsia="宋体"/>
                      <w:color w:val="000000"/>
                      <w:sz w:val="21"/>
                      <w:szCs w:val="21"/>
                      <w:lang w:val="en-US" w:eastAsia="zh-CN"/>
                    </w:rPr>
                    <w:t>新建、扩建“两高”项目单位产品物耗、能耗、水耗等达到清洁生产先进水平。</w:t>
                  </w:r>
                </w:p>
              </w:tc>
              <w:tc>
                <w:tcPr>
                  <w:tcW w:w="970" w:type="pct"/>
                  <w:tcBorders>
                    <w:tl2br w:val="nil"/>
                    <w:tr2bl w:val="nil"/>
                  </w:tcBorders>
                  <w:noWrap w:val="0"/>
                  <w:vAlign w:val="center"/>
                </w:tcPr>
                <w:p w14:paraId="00E8F7D1">
                  <w:pPr>
                    <w:pStyle w:val="50"/>
                    <w:keepNext w:val="0"/>
                    <w:keepLines w:val="0"/>
                    <w:suppressLineNumbers w:val="0"/>
                    <w:spacing w:before="0" w:beforeLines="0" w:beforeAutospacing="0" w:after="0" w:afterLines="0" w:afterAutospacing="0" w:line="240" w:lineRule="auto"/>
                    <w:ind w:left="0" w:right="0" w:firstLine="0" w:firstLineChars="0"/>
                    <w:jc w:val="both"/>
                    <w:rPr>
                      <w:rFonts w:hint="eastAsia"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本项目</w:t>
                  </w:r>
                  <w:r>
                    <w:rPr>
                      <w:rFonts w:hint="eastAsia" w:hAnsi="宋体"/>
                      <w:color w:val="000000"/>
                      <w:sz w:val="21"/>
                      <w:szCs w:val="21"/>
                      <w:lang w:eastAsia="zh-CN"/>
                    </w:rPr>
                    <w:t>不属于“两高”项目。</w:t>
                  </w:r>
                </w:p>
              </w:tc>
              <w:tc>
                <w:tcPr>
                  <w:tcW w:w="348" w:type="pct"/>
                  <w:tcBorders>
                    <w:tl2br w:val="nil"/>
                    <w:tr2bl w:val="nil"/>
                  </w:tcBorders>
                  <w:noWrap w:val="0"/>
                  <w:vAlign w:val="center"/>
                </w:tcPr>
                <w:p w14:paraId="3F920B6F">
                  <w:pPr>
                    <w:pStyle w:val="50"/>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相符</w:t>
                  </w:r>
                </w:p>
              </w:tc>
            </w:tr>
            <w:tr w14:paraId="02D178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5"/>
                  <w:tcBorders>
                    <w:tl2br w:val="nil"/>
                    <w:tr2bl w:val="nil"/>
                  </w:tcBorders>
                  <w:noWrap w:val="0"/>
                  <w:vAlign w:val="center"/>
                </w:tcPr>
                <w:p w14:paraId="726E4590">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default" w:ascii="Times New Roman"/>
                      <w:b/>
                      <w:bCs/>
                      <w:color w:val="000000" w:themeColor="text1"/>
                      <w:sz w:val="21"/>
                      <w:szCs w:val="21"/>
                      <w14:textFill>
                        <w14:solidFill>
                          <w14:schemeClr w14:val="tx1"/>
                        </w14:solidFill>
                      </w14:textFill>
                    </w:rPr>
                    <w:t>二、重点区域生态环境管控要求</w:t>
                  </w:r>
                </w:p>
              </w:tc>
            </w:tr>
            <w:tr w14:paraId="65E393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1" w:hRule="atLeast"/>
              </w:trPr>
              <w:tc>
                <w:tcPr>
                  <w:tcW w:w="588" w:type="pct"/>
                  <w:vMerge w:val="restart"/>
                  <w:noWrap w:val="0"/>
                  <w:vAlign w:val="center"/>
                </w:tcPr>
                <w:p w14:paraId="182E5906">
                  <w:pPr>
                    <w:pStyle w:val="50"/>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京津冀及周边地区（郑州、开封、洛阳、平顶山、安阳、鹤壁、新乡、焦作、濮阳、许昌、漯河、三门峡、商丘、周口市以及济源示范区）</w:t>
                  </w:r>
                </w:p>
              </w:tc>
              <w:tc>
                <w:tcPr>
                  <w:tcW w:w="461" w:type="pct"/>
                  <w:noWrap w:val="0"/>
                  <w:vAlign w:val="center"/>
                </w:tcPr>
                <w:p w14:paraId="0C0B4EC5">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空间布局约束</w:t>
                  </w:r>
                </w:p>
              </w:tc>
              <w:tc>
                <w:tcPr>
                  <w:tcW w:w="2631" w:type="pct"/>
                  <w:noWrap w:val="0"/>
                  <w:vAlign w:val="center"/>
                </w:tcPr>
                <w:p w14:paraId="66854896">
                  <w:pPr>
                    <w:pStyle w:val="50"/>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color w:val="000000" w:themeColor="text1"/>
                      <w:sz w:val="21"/>
                      <w:szCs w:val="21"/>
                      <w:lang w:val="en-US" w:eastAsia="zh-CN"/>
                      <w14:textFill>
                        <w14:solidFill>
                          <w14:schemeClr w14:val="tx1"/>
                        </w14:solidFill>
                      </w14:textFill>
                    </w:rPr>
                  </w:pPr>
                  <w:r>
                    <w:rPr>
                      <w:rFonts w:hint="default" w:ascii="Times New Roman"/>
                      <w:color w:val="000000" w:themeColor="text1"/>
                      <w:sz w:val="21"/>
                      <w:szCs w:val="21"/>
                      <w:lang w:val="en-US" w:eastAsia="zh-CN"/>
                      <w14:textFill>
                        <w14:solidFill>
                          <w14:schemeClr w14:val="tx1"/>
                        </w14:solidFill>
                      </w14:textFill>
                    </w:rPr>
                    <w:t>1、坚决遏制“两高”项目盲目发展，落实《中共河南省委 河南省人民政府关于深入打好污染防治攻坚战的实施意见》中关于空间布局约束的相关要求。</w:t>
                  </w:r>
                </w:p>
                <w:p w14:paraId="6AA61F4F">
                  <w:pPr>
                    <w:pStyle w:val="50"/>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lang w:val="en-US" w:eastAsia="zh-CN"/>
                      <w14:textFill>
                        <w14:solidFill>
                          <w14:schemeClr w14:val="tx1"/>
                        </w14:solidFill>
                      </w14:textFill>
                    </w:rPr>
                    <w:t>4、优化危险化学品生产布局，禁止在化工园区外新建、扩建危险化学品生产项目。新建危险化学品生产项目必须进入通过认定的一般或较低安全风险的化工园区（与其他行业生产装置配套建设的项目除外）。</w:t>
                  </w:r>
                </w:p>
              </w:tc>
              <w:tc>
                <w:tcPr>
                  <w:tcW w:w="970" w:type="pct"/>
                  <w:noWrap w:val="0"/>
                  <w:vAlign w:val="center"/>
                </w:tcPr>
                <w:p w14:paraId="3D74E484">
                  <w:pPr>
                    <w:pStyle w:val="50"/>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color w:val="000000" w:themeColor="text1"/>
                      <w:sz w:val="21"/>
                      <w:szCs w:val="21"/>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1、</w:t>
                  </w:r>
                  <w:r>
                    <w:rPr>
                      <w:rFonts w:hint="default" w:ascii="Times New Roman"/>
                      <w:color w:val="000000" w:themeColor="text1"/>
                      <w:sz w:val="21"/>
                      <w:szCs w:val="21"/>
                      <w14:textFill>
                        <w14:solidFill>
                          <w14:schemeClr w14:val="tx1"/>
                        </w14:solidFill>
                      </w14:textFill>
                    </w:rPr>
                    <w:t>本项目</w:t>
                  </w:r>
                  <w:r>
                    <w:rPr>
                      <w:rFonts w:hint="eastAsia" w:ascii="Times New Roman"/>
                      <w:color w:val="000000" w:themeColor="text1"/>
                      <w:sz w:val="21"/>
                      <w:szCs w:val="21"/>
                      <w:lang w:val="en-US" w:eastAsia="zh-CN"/>
                      <w14:textFill>
                        <w14:solidFill>
                          <w14:schemeClr w14:val="tx1"/>
                        </w14:solidFill>
                      </w14:textFill>
                    </w:rPr>
                    <w:t>为加工纸制造，</w:t>
                  </w:r>
                  <w:r>
                    <w:rPr>
                      <w:rFonts w:hint="default" w:ascii="Times New Roman"/>
                      <w:color w:val="000000" w:themeColor="text1"/>
                      <w:sz w:val="21"/>
                      <w:szCs w:val="21"/>
                      <w14:textFill>
                        <w14:solidFill>
                          <w14:schemeClr w14:val="tx1"/>
                        </w14:solidFill>
                      </w14:textFill>
                    </w:rPr>
                    <w:t>不属于“两高”项目。</w:t>
                  </w:r>
                </w:p>
                <w:p w14:paraId="0F51B0FC">
                  <w:pPr>
                    <w:keepNext w:val="0"/>
                    <w:keepLines w:val="0"/>
                    <w:suppressLineNumbers w:val="0"/>
                    <w:spacing w:before="0" w:beforeAutospacing="0" w:after="0" w:afterAutospacing="0"/>
                    <w:ind w:left="0" w:right="0"/>
                    <w:rPr>
                      <w:rFonts w:hint="default" w:eastAsia="宋体"/>
                      <w:lang w:val="en-US" w:eastAsia="zh-CN"/>
                    </w:rPr>
                  </w:pPr>
                  <w:r>
                    <w:rPr>
                      <w:rFonts w:hint="eastAsia"/>
                      <w:color w:val="000000" w:themeColor="text1"/>
                      <w:sz w:val="21"/>
                      <w:szCs w:val="21"/>
                      <w:lang w:val="en-US" w:eastAsia="zh-CN"/>
                      <w14:textFill>
                        <w14:solidFill>
                          <w14:schemeClr w14:val="tx1"/>
                        </w14:solidFill>
                      </w14:textFill>
                    </w:rPr>
                    <w:t>2、本项目不属于危险化学品生产项目。</w:t>
                  </w:r>
                </w:p>
              </w:tc>
              <w:tc>
                <w:tcPr>
                  <w:tcW w:w="348" w:type="pct"/>
                  <w:noWrap w:val="0"/>
                  <w:vAlign w:val="center"/>
                </w:tcPr>
                <w:p w14:paraId="29FBBE83">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相符</w:t>
                  </w:r>
                </w:p>
              </w:tc>
            </w:tr>
            <w:tr w14:paraId="692FA6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vMerge w:val="continue"/>
                  <w:noWrap w:val="0"/>
                  <w:vAlign w:val="center"/>
                </w:tcPr>
                <w:p w14:paraId="50D86F18">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p>
              </w:tc>
              <w:tc>
                <w:tcPr>
                  <w:tcW w:w="461" w:type="pct"/>
                  <w:noWrap w:val="0"/>
                  <w:vAlign w:val="center"/>
                </w:tcPr>
                <w:p w14:paraId="0FB181E0">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污染物排放管控</w:t>
                  </w:r>
                </w:p>
              </w:tc>
              <w:tc>
                <w:tcPr>
                  <w:tcW w:w="2631" w:type="pct"/>
                  <w:noWrap w:val="0"/>
                  <w:vAlign w:val="center"/>
                </w:tcPr>
                <w:p w14:paraId="720A02E2">
                  <w:pPr>
                    <w:pStyle w:val="50"/>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color w:val="000000" w:themeColor="text1"/>
                      <w:sz w:val="21"/>
                      <w:szCs w:val="21"/>
                      <w:lang w:val="en-US" w:eastAsia="zh-CN"/>
                      <w14:textFill>
                        <w14:solidFill>
                          <w14:schemeClr w14:val="tx1"/>
                        </w14:solidFill>
                      </w14:textFill>
                    </w:rPr>
                  </w:pPr>
                  <w:r>
                    <w:rPr>
                      <w:rFonts w:hint="default" w:ascii="Times New Roman"/>
                      <w:color w:val="000000" w:themeColor="text1"/>
                      <w:sz w:val="21"/>
                      <w:szCs w:val="21"/>
                      <w:lang w:val="en-US" w:eastAsia="zh-CN"/>
                      <w14:textFill>
                        <w14:solidFill>
                          <w14:schemeClr w14:val="tx1"/>
                        </w14:solidFill>
                      </w14:textFill>
                    </w:rPr>
                    <w:t>1、落实超低排放要求、无组织排放特别控制要求。</w:t>
                  </w:r>
                </w:p>
                <w:p w14:paraId="0973738F">
                  <w:pPr>
                    <w:pStyle w:val="50"/>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lang w:val="en-US" w:eastAsia="zh-CN"/>
                      <w14:textFill>
                        <w14:solidFill>
                          <w14:schemeClr w14:val="tx1"/>
                        </w14:solidFill>
                      </w14:textFill>
                    </w:rPr>
                    <w:t>2、聚焦夏秋季臭氧污染，推进挥发性有机物和氮氧化物协同减排。以石化、化工、涂装、医药、包装印刷、油品储运销等行业领域为重点，推进挥发性有机物综合治理，实施原辅材料和产品源头替代工程。</w:t>
                  </w:r>
                </w:p>
              </w:tc>
              <w:tc>
                <w:tcPr>
                  <w:tcW w:w="970" w:type="pct"/>
                  <w:noWrap w:val="0"/>
                  <w:vAlign w:val="center"/>
                </w:tcPr>
                <w:p w14:paraId="6D9D4F02">
                  <w:pPr>
                    <w:pStyle w:val="50"/>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eastAsia="宋体"/>
                      <w:color w:val="000000" w:themeColor="text1"/>
                      <w:sz w:val="21"/>
                      <w:szCs w:val="21"/>
                      <w:lang w:val="en-US" w:eastAsia="zh-CN"/>
                      <w14:textFill>
                        <w14:solidFill>
                          <w14:schemeClr w14:val="tx1"/>
                        </w14:solidFill>
                      </w14:textFill>
                    </w:rPr>
                  </w:pPr>
                  <w:r>
                    <w:rPr>
                      <w:rFonts w:hint="default" w:ascii="Times New Roman"/>
                      <w:color w:val="000000" w:themeColor="text1"/>
                      <w:sz w:val="21"/>
                      <w:szCs w:val="21"/>
                      <w14:textFill>
                        <w14:solidFill>
                          <w14:schemeClr w14:val="tx1"/>
                        </w14:solidFill>
                      </w14:textFill>
                    </w:rPr>
                    <w:t>本项目符合超低排放要求、无组织排放特别控制要求</w:t>
                  </w:r>
                  <w:r>
                    <w:rPr>
                      <w:rFonts w:hint="eastAsia" w:ascii="Times New Roman"/>
                      <w:color w:val="000000" w:themeColor="text1"/>
                      <w:sz w:val="21"/>
                      <w:szCs w:val="21"/>
                      <w:lang w:eastAsia="zh-CN"/>
                      <w14:textFill>
                        <w14:solidFill>
                          <w14:schemeClr w14:val="tx1"/>
                        </w14:solidFill>
                      </w14:textFill>
                    </w:rPr>
                    <w:t>；</w:t>
                  </w:r>
                  <w:r>
                    <w:rPr>
                      <w:rFonts w:hint="eastAsia" w:ascii="Times New Roman"/>
                      <w:color w:val="000000" w:themeColor="text1"/>
                      <w:sz w:val="21"/>
                      <w:szCs w:val="21"/>
                      <w:lang w:val="en-US" w:eastAsia="zh-CN"/>
                      <w14:textFill>
                        <w14:solidFill>
                          <w14:schemeClr w14:val="tx1"/>
                        </w14:solidFill>
                      </w14:textFill>
                    </w:rPr>
                    <w:t>本项目淋膜、印刷工序有机废气经活性炭吸附脱附+催化燃烧装置治理。</w:t>
                  </w:r>
                </w:p>
              </w:tc>
              <w:tc>
                <w:tcPr>
                  <w:tcW w:w="348" w:type="pct"/>
                  <w:noWrap w:val="0"/>
                  <w:vAlign w:val="center"/>
                </w:tcPr>
                <w:p w14:paraId="64926EF4">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相符</w:t>
                  </w:r>
                </w:p>
              </w:tc>
            </w:tr>
            <w:tr w14:paraId="73CA61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8" w:type="pct"/>
                  <w:vMerge w:val="continue"/>
                  <w:noWrap w:val="0"/>
                  <w:vAlign w:val="center"/>
                </w:tcPr>
                <w:p w14:paraId="645B00B8">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p>
              </w:tc>
              <w:tc>
                <w:tcPr>
                  <w:tcW w:w="461" w:type="pct"/>
                  <w:noWrap w:val="0"/>
                  <w:vAlign w:val="center"/>
                </w:tcPr>
                <w:p w14:paraId="2839D2EB">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default" w:ascii="Times New Roman"/>
                      <w:color w:val="000000" w:themeColor="text1"/>
                      <w:sz w:val="21"/>
                      <w:szCs w:val="21"/>
                      <w14:textFill>
                        <w14:solidFill>
                          <w14:schemeClr w14:val="tx1"/>
                        </w14:solidFill>
                      </w14:textFill>
                    </w:rPr>
                  </w:pPr>
                  <w:r>
                    <w:rPr>
                      <w:rFonts w:hint="default"/>
                      <w:color w:val="000000"/>
                      <w:sz w:val="21"/>
                      <w:szCs w:val="21"/>
                      <w:highlight w:val="none"/>
                      <w:lang w:val="en-US" w:eastAsia="zh-CN"/>
                    </w:rPr>
                    <w:t>环境风险防控</w:t>
                  </w:r>
                </w:p>
              </w:tc>
              <w:tc>
                <w:tcPr>
                  <w:tcW w:w="2631" w:type="pct"/>
                  <w:noWrap w:val="0"/>
                  <w:vAlign w:val="center"/>
                </w:tcPr>
                <w:p w14:paraId="230414A7">
                  <w:pPr>
                    <w:keepNext w:val="0"/>
                    <w:keepLines w:val="0"/>
                    <w:suppressLineNumbers w:val="0"/>
                    <w:adjustRightInd w:val="0"/>
                    <w:snapToGrid w:val="0"/>
                    <w:spacing w:before="0" w:beforeAutospacing="0" w:after="0" w:afterAutospacing="0" w:line="240" w:lineRule="auto"/>
                    <w:ind w:left="0" w:leftChars="0" w:right="0" w:rightChars="0"/>
                    <w:jc w:val="left"/>
                    <w:textAlignment w:val="baseline"/>
                    <w:rPr>
                      <w:rFonts w:hint="default" w:ascii="Times New Roman"/>
                      <w:color w:val="000000" w:themeColor="text1"/>
                      <w:sz w:val="21"/>
                      <w:szCs w:val="21"/>
                      <w:lang w:val="en-US" w:eastAsia="zh-CN"/>
                      <w14:textFill>
                        <w14:solidFill>
                          <w14:schemeClr w14:val="tx1"/>
                        </w14:solidFill>
                      </w14:textFill>
                    </w:rPr>
                  </w:pPr>
                  <w:r>
                    <w:rPr>
                      <w:rFonts w:hint="default"/>
                      <w:color w:val="000000"/>
                      <w:sz w:val="21"/>
                      <w:szCs w:val="21"/>
                      <w:highlight w:val="none"/>
                      <w:lang w:val="en-US" w:eastAsia="zh-CN"/>
                    </w:rPr>
                    <w:t>1</w:t>
                  </w:r>
                  <w:r>
                    <w:rPr>
                      <w:rFonts w:hint="eastAsia"/>
                      <w:color w:val="000000"/>
                      <w:sz w:val="21"/>
                      <w:szCs w:val="21"/>
                      <w:highlight w:val="none"/>
                      <w:lang w:val="en-US" w:eastAsia="zh-CN"/>
                    </w:rPr>
                    <w:t>、</w:t>
                  </w:r>
                  <w:r>
                    <w:rPr>
                      <w:rFonts w:hint="default"/>
                      <w:color w:val="000000"/>
                      <w:sz w:val="21"/>
                      <w:szCs w:val="21"/>
                      <w:highlight w:val="none"/>
                      <w:lang w:val="en-US" w:eastAsia="zh-CN"/>
                    </w:rPr>
                    <w:t>对无法实现低VOC</w:t>
                  </w:r>
                  <w:r>
                    <w:rPr>
                      <w:rFonts w:hint="eastAsia"/>
                      <w:color w:val="000000"/>
                      <w:sz w:val="21"/>
                      <w:szCs w:val="21"/>
                      <w:highlight w:val="none"/>
                      <w:vertAlign w:val="subscript"/>
                      <w:lang w:val="en-US" w:eastAsia="zh-CN"/>
                    </w:rPr>
                    <w:t>S</w:t>
                  </w:r>
                  <w:r>
                    <w:rPr>
                      <w:rFonts w:hint="default"/>
                      <w:color w:val="000000"/>
                      <w:sz w:val="21"/>
                      <w:szCs w:val="21"/>
                      <w:highlight w:val="none"/>
                      <w:lang w:val="en-US" w:eastAsia="zh-CN"/>
                    </w:rPr>
                    <w:t>原辅材料替代的工序，在保证安全情况下，应在密闭设备、密闭空间作业或安装二次密闭设施。</w:t>
                  </w:r>
                </w:p>
              </w:tc>
              <w:tc>
                <w:tcPr>
                  <w:tcW w:w="970" w:type="pct"/>
                  <w:noWrap w:val="0"/>
                  <w:vAlign w:val="center"/>
                </w:tcPr>
                <w:p w14:paraId="037F14C2">
                  <w:pPr>
                    <w:pStyle w:val="50"/>
                    <w:keepNext w:val="0"/>
                    <w:keepLines w:val="0"/>
                    <w:suppressLineNumbers w:val="0"/>
                    <w:spacing w:before="0" w:beforeLines="0" w:beforeAutospacing="0" w:after="0" w:afterLines="0" w:afterAutospacing="0" w:line="240" w:lineRule="auto"/>
                    <w:ind w:left="0" w:right="0" w:firstLine="0" w:firstLineChars="0"/>
                    <w:jc w:val="both"/>
                    <w:rPr>
                      <w:rFonts w:hint="eastAsia" w:ascii="Times New Roman" w:eastAsia="宋体"/>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本项目</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PE颗粒加热装置密闭，淋膜处上方设置集气罩，废气经集气罩收集；印刷机</w:t>
                  </w:r>
                  <w:r>
                    <w:rPr>
                      <w:rFonts w:hint="eastAsia" w:ascii="Times New Roman" w:cs="Times New Roman"/>
                      <w:color w:val="000000" w:themeColor="text1"/>
                      <w:sz w:val="21"/>
                      <w:szCs w:val="21"/>
                      <w:highlight w:val="none"/>
                      <w:lang w:val="en-US" w:eastAsia="zh-CN"/>
                      <w14:textFill>
                        <w14:solidFill>
                          <w14:schemeClr w14:val="tx1"/>
                        </w14:solidFill>
                      </w14:textFill>
                    </w:rPr>
                    <w:t>二次密闭，印刷废气</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经负压收集，活性炭吸附脱附+催化燃烧装置治理。</w:t>
                  </w:r>
                </w:p>
              </w:tc>
              <w:tc>
                <w:tcPr>
                  <w:tcW w:w="348" w:type="pct"/>
                  <w:noWrap w:val="0"/>
                  <w:vAlign w:val="center"/>
                </w:tcPr>
                <w:p w14:paraId="7B7DE22F">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color w:val="000000" w:themeColor="text1"/>
                      <w:sz w:val="21"/>
                      <w:szCs w:val="21"/>
                      <w14:textFill>
                        <w14:solidFill>
                          <w14:schemeClr w14:val="tx1"/>
                        </w14:solidFill>
                      </w14:textFill>
                    </w:rPr>
                  </w:pPr>
                  <w:r>
                    <w:rPr>
                      <w:rFonts w:hint="default" w:ascii="Times New Roman"/>
                      <w:color w:val="000000" w:themeColor="text1"/>
                      <w:sz w:val="21"/>
                      <w:szCs w:val="21"/>
                      <w14:textFill>
                        <w14:solidFill>
                          <w14:schemeClr w14:val="tx1"/>
                        </w14:solidFill>
                      </w14:textFill>
                    </w:rPr>
                    <w:t>相符</w:t>
                  </w:r>
                </w:p>
              </w:tc>
            </w:tr>
            <w:tr w14:paraId="5D0429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5"/>
                  <w:noWrap w:val="0"/>
                  <w:vAlign w:val="center"/>
                </w:tcPr>
                <w:p w14:paraId="40454353">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三、重点流域生态环境管控要求</w:t>
                  </w:r>
                </w:p>
              </w:tc>
            </w:tr>
            <w:tr w14:paraId="6C9AC3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88" w:type="pct"/>
                  <w:vMerge w:val="restart"/>
                  <w:noWrap w:val="0"/>
                  <w:vAlign w:val="center"/>
                </w:tcPr>
                <w:p w14:paraId="4D35D923">
                  <w:pPr>
                    <w:pStyle w:val="50"/>
                    <w:keepNext w:val="0"/>
                    <w:keepLines w:val="0"/>
                    <w:suppressLineNumbers w:val="0"/>
                    <w:spacing w:before="0" w:beforeLines="0" w:beforeAutospacing="0" w:after="0" w:afterLines="0" w:afterAutospacing="0" w:line="240" w:lineRule="auto"/>
                    <w:ind w:left="0" w:right="0" w:firstLine="0" w:firstLineChars="0"/>
                    <w:rPr>
                      <w:rFonts w:hint="default"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省辖海河流域</w:t>
                  </w:r>
                </w:p>
              </w:tc>
              <w:tc>
                <w:tcPr>
                  <w:tcW w:w="461" w:type="pct"/>
                  <w:noWrap w:val="0"/>
                  <w:vAlign w:val="center"/>
                </w:tcPr>
                <w:p w14:paraId="7423CCA2">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default"/>
                      <w:color w:val="000000"/>
                      <w:sz w:val="21"/>
                      <w:szCs w:val="21"/>
                      <w:highlight w:val="none"/>
                      <w:lang w:val="en-US" w:eastAsia="zh-CN"/>
                    </w:rPr>
                  </w:pPr>
                  <w:r>
                    <w:rPr>
                      <w:rFonts w:hint="eastAsia"/>
                      <w:color w:val="000000"/>
                      <w:sz w:val="21"/>
                      <w:szCs w:val="21"/>
                      <w:highlight w:val="none"/>
                      <w:lang w:val="en-US" w:eastAsia="zh-CN"/>
                    </w:rPr>
                    <w:t>空间布局约束</w:t>
                  </w:r>
                </w:p>
              </w:tc>
              <w:tc>
                <w:tcPr>
                  <w:tcW w:w="2631" w:type="pct"/>
                  <w:noWrap w:val="0"/>
                  <w:vAlign w:val="center"/>
                </w:tcPr>
                <w:p w14:paraId="6FF7397F">
                  <w:pPr>
                    <w:keepNext w:val="0"/>
                    <w:keepLines w:val="0"/>
                    <w:widowControl/>
                    <w:suppressLineNumbers w:val="0"/>
                    <w:spacing w:before="0" w:beforeAutospacing="0" w:after="0" w:afterAutospacing="0"/>
                    <w:ind w:left="0" w:right="0"/>
                    <w:jc w:val="both"/>
                    <w:rPr>
                      <w:rFonts w:hint="default"/>
                      <w:color w:val="000000"/>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 xml:space="preserve">1. 严格限制造纸、印染等高耗水、重污染产业发展。 </w:t>
                  </w:r>
                </w:p>
              </w:tc>
              <w:tc>
                <w:tcPr>
                  <w:tcW w:w="970" w:type="pct"/>
                  <w:noWrap w:val="0"/>
                  <w:vAlign w:val="center"/>
                </w:tcPr>
                <w:p w14:paraId="4D8C8D91">
                  <w:pPr>
                    <w:pStyle w:val="50"/>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color w:val="000000" w:themeColor="text1"/>
                      <w:sz w:val="21"/>
                      <w:szCs w:val="21"/>
                      <w:highlight w:val="none"/>
                      <w:lang w:val="en-US" w:eastAsia="zh-CN"/>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本项目为加工纸制造，生产过程中冷却水循环使用，使用量较小，不属于高耗水、重污染产业。</w:t>
                  </w:r>
                </w:p>
              </w:tc>
              <w:tc>
                <w:tcPr>
                  <w:tcW w:w="348" w:type="pct"/>
                  <w:noWrap w:val="0"/>
                  <w:vAlign w:val="center"/>
                </w:tcPr>
                <w:p w14:paraId="5672DDA4">
                  <w:pPr>
                    <w:pStyle w:val="50"/>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相符</w:t>
                  </w:r>
                </w:p>
              </w:tc>
            </w:tr>
            <w:tr w14:paraId="0699FF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588" w:type="pct"/>
                  <w:vMerge w:val="continue"/>
                  <w:tcBorders>
                    <w:bottom w:val="single" w:color="auto" w:sz="8" w:space="0"/>
                  </w:tcBorders>
                  <w:noWrap w:val="0"/>
                  <w:vAlign w:val="center"/>
                </w:tcPr>
                <w:p w14:paraId="6FE3DC33">
                  <w:pPr>
                    <w:pStyle w:val="50"/>
                    <w:keepNext w:val="0"/>
                    <w:keepLines w:val="0"/>
                    <w:suppressLineNumbers w:val="0"/>
                    <w:spacing w:before="0" w:beforeLines="0" w:beforeAutospacing="0" w:after="0" w:afterLines="0" w:afterAutospacing="0" w:line="240" w:lineRule="auto"/>
                    <w:ind w:left="0" w:right="0" w:firstLine="0" w:firstLineChars="0"/>
                    <w:rPr>
                      <w:rFonts w:hint="eastAsia" w:ascii="Times New Roman"/>
                      <w:color w:val="000000" w:themeColor="text1"/>
                      <w:sz w:val="21"/>
                      <w:szCs w:val="21"/>
                      <w:lang w:val="en-US" w:eastAsia="zh-CN"/>
                      <w14:textFill>
                        <w14:solidFill>
                          <w14:schemeClr w14:val="tx1"/>
                        </w14:solidFill>
                      </w14:textFill>
                    </w:rPr>
                  </w:pPr>
                </w:p>
              </w:tc>
              <w:tc>
                <w:tcPr>
                  <w:tcW w:w="461" w:type="pct"/>
                  <w:tcBorders>
                    <w:bottom w:val="single" w:color="auto" w:sz="8" w:space="0"/>
                  </w:tcBorders>
                  <w:noWrap w:val="0"/>
                  <w:vAlign w:val="center"/>
                </w:tcPr>
                <w:p w14:paraId="2E54D070">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eastAsia"/>
                      <w:color w:val="000000"/>
                      <w:sz w:val="21"/>
                      <w:szCs w:val="21"/>
                      <w:highlight w:val="none"/>
                      <w:lang w:val="en-US" w:eastAsia="zh-CN"/>
                    </w:rPr>
                  </w:pPr>
                  <w:r>
                    <w:rPr>
                      <w:rFonts w:hint="eastAsia"/>
                      <w:color w:val="000000"/>
                      <w:sz w:val="21"/>
                      <w:szCs w:val="21"/>
                      <w:highlight w:val="none"/>
                      <w:lang w:val="en-US" w:eastAsia="zh-CN"/>
                    </w:rPr>
                    <w:t>环境风险防控</w:t>
                  </w:r>
                </w:p>
              </w:tc>
              <w:tc>
                <w:tcPr>
                  <w:tcW w:w="2631" w:type="pct"/>
                  <w:tcBorders>
                    <w:bottom w:val="single" w:color="auto" w:sz="8" w:space="0"/>
                  </w:tcBorders>
                  <w:noWrap w:val="0"/>
                  <w:vAlign w:val="center"/>
                </w:tcPr>
                <w:p w14:paraId="4CAC7307">
                  <w:pPr>
                    <w:keepNext w:val="0"/>
                    <w:keepLines w:val="0"/>
                    <w:widowControl/>
                    <w:suppressLineNumbers w:val="0"/>
                    <w:spacing w:before="0" w:beforeAutospacing="0" w:after="0" w:afterAutospacing="0"/>
                    <w:ind w:left="0" w:right="0"/>
                    <w:jc w:val="left"/>
                    <w:rPr>
                      <w:rFonts w:hint="default"/>
                      <w:color w:val="000000"/>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加强水环境风险源日常管理，以化工园区污水处理厂和化工、制药、造纸等主要排污企业为重点，加强日常监测监控。</w:t>
                  </w:r>
                </w:p>
              </w:tc>
              <w:tc>
                <w:tcPr>
                  <w:tcW w:w="970" w:type="pct"/>
                  <w:tcBorders>
                    <w:bottom w:val="single" w:color="auto" w:sz="8" w:space="0"/>
                  </w:tcBorders>
                  <w:noWrap w:val="0"/>
                  <w:vAlign w:val="center"/>
                </w:tcPr>
                <w:p w14:paraId="505D0528">
                  <w:pPr>
                    <w:pStyle w:val="50"/>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color w:val="000000" w:themeColor="text1"/>
                      <w:sz w:val="21"/>
                      <w:szCs w:val="21"/>
                      <w:highlight w:val="none"/>
                      <w:lang w:val="en-US" w:eastAsia="zh-CN"/>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本项目为加工纸制造，不属于水重点排污企业。</w:t>
                  </w:r>
                </w:p>
              </w:tc>
              <w:tc>
                <w:tcPr>
                  <w:tcW w:w="348" w:type="pct"/>
                  <w:tcBorders>
                    <w:bottom w:val="single" w:color="auto" w:sz="8" w:space="0"/>
                  </w:tcBorders>
                  <w:noWrap w:val="0"/>
                  <w:vAlign w:val="center"/>
                </w:tcPr>
                <w:p w14:paraId="2A2AF025">
                  <w:pPr>
                    <w:pStyle w:val="50"/>
                    <w:keepNext w:val="0"/>
                    <w:keepLines w:val="0"/>
                    <w:suppressLineNumbers w:val="0"/>
                    <w:spacing w:before="0" w:beforeLines="0" w:beforeAutospacing="0" w:after="0" w:afterLines="0" w:afterAutospacing="0" w:line="240" w:lineRule="auto"/>
                    <w:ind w:left="0" w:right="0" w:firstLine="0" w:firstLineChars="0"/>
                    <w:rPr>
                      <w:rFonts w:hint="eastAsia" w:ascii="Times New Roman" w:eastAsia="宋体"/>
                      <w:color w:val="000000" w:themeColor="text1"/>
                      <w:sz w:val="21"/>
                      <w:szCs w:val="21"/>
                      <w:lang w:val="en-US" w:eastAsia="zh-CN"/>
                      <w14:textFill>
                        <w14:solidFill>
                          <w14:schemeClr w14:val="tx1"/>
                        </w14:solidFill>
                      </w14:textFill>
                    </w:rPr>
                  </w:pPr>
                  <w:r>
                    <w:rPr>
                      <w:rFonts w:hint="eastAsia" w:ascii="Times New Roman"/>
                      <w:color w:val="000000" w:themeColor="text1"/>
                      <w:sz w:val="21"/>
                      <w:szCs w:val="21"/>
                      <w:lang w:val="en-US" w:eastAsia="zh-CN"/>
                      <w14:textFill>
                        <w14:solidFill>
                          <w14:schemeClr w14:val="tx1"/>
                        </w14:solidFill>
                      </w14:textFill>
                    </w:rPr>
                    <w:t>相符</w:t>
                  </w:r>
                </w:p>
              </w:tc>
            </w:tr>
          </w:tbl>
          <w:p w14:paraId="604BCB5D">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bCs/>
                <w:color w:val="000000"/>
                <w:sz w:val="24"/>
              </w:rPr>
            </w:pPr>
            <w:r>
              <w:rPr>
                <w:rFonts w:hint="eastAsia" w:ascii="宋体" w:hAnsi="宋体"/>
                <w:bCs/>
                <w:color w:val="000000"/>
                <w:sz w:val="24"/>
              </w:rPr>
              <w:t>由上表可知，本项目符合</w:t>
            </w:r>
            <w:r>
              <w:rPr>
                <w:rFonts w:hint="eastAsia"/>
                <w:bCs/>
                <w:color w:val="000000"/>
                <w:sz w:val="24"/>
                <w:lang w:eastAsia="zh-CN"/>
              </w:rPr>
              <w:t>《</w:t>
            </w:r>
            <w:r>
              <w:rPr>
                <w:rFonts w:hint="default"/>
                <w:bCs/>
                <w:color w:val="000000"/>
                <w:sz w:val="24"/>
              </w:rPr>
              <w:t>河南省生态环境分区管控总体要求</w:t>
            </w:r>
            <w:r>
              <w:rPr>
                <w:rFonts w:hint="eastAsia"/>
                <w:bCs/>
                <w:color w:val="000000"/>
                <w:sz w:val="24"/>
                <w:lang w:eastAsia="zh-CN"/>
              </w:rPr>
              <w:t>》（</w:t>
            </w:r>
            <w:r>
              <w:rPr>
                <w:rFonts w:hint="eastAsia"/>
                <w:bCs/>
                <w:color w:val="000000"/>
                <w:sz w:val="24"/>
                <w:lang w:val="en-US" w:eastAsia="zh-CN"/>
              </w:rPr>
              <w:t>2023年版</w:t>
            </w:r>
            <w:r>
              <w:rPr>
                <w:rFonts w:hint="eastAsia"/>
                <w:bCs/>
                <w:color w:val="000000"/>
                <w:sz w:val="24"/>
                <w:lang w:eastAsia="zh-CN"/>
              </w:rPr>
              <w:t>）</w:t>
            </w:r>
            <w:r>
              <w:rPr>
                <w:rFonts w:hint="eastAsia" w:ascii="宋体" w:hAnsi="宋体"/>
                <w:bCs/>
                <w:color w:val="000000"/>
                <w:sz w:val="24"/>
              </w:rPr>
              <w:t>中相关内容的要求。</w:t>
            </w:r>
          </w:p>
          <w:p w14:paraId="5B517A7C">
            <w:pPr>
              <w:keepNext w:val="0"/>
              <w:keepLines w:val="0"/>
              <w:suppressLineNumbers w:val="0"/>
              <w:spacing w:before="0" w:beforeAutospacing="0" w:after="0" w:afterAutospacing="0" w:line="440" w:lineRule="exact"/>
              <w:ind w:left="0" w:right="0" w:firstLine="480" w:firstLineChars="200"/>
              <w:jc w:val="both"/>
              <w:textAlignment w:val="baseline"/>
              <w:rPr>
                <w:rFonts w:hint="eastAsia" w:ascii="宋体" w:hAnsi="宋体"/>
                <w:b/>
                <w:bCs w:val="0"/>
                <w:color w:val="000000"/>
                <w:sz w:val="24"/>
              </w:rPr>
            </w:pPr>
            <w:r>
              <w:rPr>
                <w:rFonts w:hint="eastAsia" w:ascii="宋体" w:hAnsi="宋体"/>
                <w:bCs/>
                <w:color w:val="000000"/>
                <w:sz w:val="24"/>
              </w:rPr>
              <w:t>本项目与《新乡市“三线一单”生态环境准入清单》（</w:t>
            </w:r>
            <w:r>
              <w:rPr>
                <w:rFonts w:hint="default" w:ascii="Times New Roman" w:hAnsi="Times New Roman" w:cs="Times New Roman"/>
                <w:bCs/>
                <w:color w:val="000000"/>
                <w:sz w:val="24"/>
                <w:lang w:val="en-US" w:eastAsia="zh-CN"/>
              </w:rPr>
              <w:t>2023</w:t>
            </w:r>
            <w:r>
              <w:rPr>
                <w:rFonts w:hint="eastAsia" w:ascii="宋体" w:hAnsi="宋体"/>
                <w:bCs/>
                <w:color w:val="000000"/>
                <w:sz w:val="24"/>
                <w:lang w:val="en-US" w:eastAsia="zh-CN"/>
              </w:rPr>
              <w:t>年版</w:t>
            </w:r>
            <w:r>
              <w:rPr>
                <w:rFonts w:hint="eastAsia" w:ascii="宋体" w:hAnsi="宋体"/>
                <w:bCs/>
                <w:color w:val="000000"/>
                <w:sz w:val="24"/>
              </w:rPr>
              <w:t>）中</w:t>
            </w:r>
            <w:r>
              <w:rPr>
                <w:rFonts w:hint="eastAsia" w:ascii="宋体" w:hAnsi="宋体"/>
                <w:bCs/>
                <w:color w:val="000000"/>
                <w:sz w:val="24"/>
                <w:lang w:val="en-US" w:eastAsia="zh-CN"/>
              </w:rPr>
              <w:t>相关内容</w:t>
            </w:r>
            <w:r>
              <w:rPr>
                <w:rFonts w:hint="eastAsia" w:ascii="宋体" w:hAnsi="宋体"/>
                <w:bCs/>
                <w:color w:val="000000"/>
                <w:sz w:val="24"/>
              </w:rPr>
              <w:t>相符性分析见下表。</w:t>
            </w:r>
          </w:p>
          <w:p w14:paraId="6EC61133">
            <w:pPr>
              <w:keepNext w:val="0"/>
              <w:keepLines w:val="0"/>
              <w:suppressLineNumbers w:val="0"/>
              <w:spacing w:before="0" w:beforeAutospacing="0" w:after="0" w:afterAutospacing="0" w:line="440" w:lineRule="exact"/>
              <w:ind w:left="0" w:right="0"/>
              <w:jc w:val="center"/>
              <w:textAlignment w:val="baseline"/>
              <w:rPr>
                <w:rFonts w:hint="eastAsia" w:ascii="宋体" w:hAnsi="宋体"/>
                <w:bCs/>
                <w:color w:val="auto"/>
                <w:sz w:val="24"/>
              </w:rPr>
            </w:pPr>
            <w:r>
              <w:rPr>
                <w:rFonts w:hint="eastAsia" w:ascii="宋体" w:hAnsi="宋体"/>
                <w:b/>
                <w:bCs w:val="0"/>
                <w:color w:val="auto"/>
                <w:sz w:val="24"/>
              </w:rPr>
              <w:t>表</w:t>
            </w:r>
            <w:r>
              <w:rPr>
                <w:rFonts w:hint="eastAsia" w:cs="Times New Roman"/>
                <w:b/>
                <w:bCs w:val="0"/>
                <w:color w:val="auto"/>
                <w:sz w:val="24"/>
                <w:lang w:val="en-US" w:eastAsia="zh-CN"/>
              </w:rPr>
              <w:t>2</w:t>
            </w:r>
            <w:r>
              <w:rPr>
                <w:rFonts w:hint="eastAsia" w:ascii="宋体" w:hAnsi="宋体"/>
                <w:b/>
                <w:bCs w:val="0"/>
                <w:color w:val="auto"/>
                <w:sz w:val="24"/>
              </w:rPr>
              <w:t xml:space="preserve">  本项目与</w:t>
            </w:r>
            <w:r>
              <w:rPr>
                <w:rFonts w:hint="eastAsia" w:ascii="宋体" w:hAnsi="宋体"/>
                <w:b/>
                <w:bCs w:val="0"/>
                <w:color w:val="auto"/>
                <w:sz w:val="24"/>
                <w:lang w:eastAsia="zh-CN"/>
              </w:rPr>
              <w:t>新乡市三线一单生态环境</w:t>
            </w:r>
            <w:r>
              <w:rPr>
                <w:rFonts w:hint="eastAsia" w:ascii="宋体" w:hAnsi="宋体"/>
                <w:b/>
                <w:bCs w:val="0"/>
                <w:color w:val="auto"/>
                <w:sz w:val="24"/>
              </w:rPr>
              <w:t>准入要求符合性分析</w:t>
            </w:r>
          </w:p>
          <w:tbl>
            <w:tblPr>
              <w:tblStyle w:val="23"/>
              <w:tblW w:w="8939"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8"/>
              <w:gridCol w:w="173"/>
              <w:gridCol w:w="692"/>
              <w:gridCol w:w="565"/>
              <w:gridCol w:w="3668"/>
              <w:gridCol w:w="111"/>
              <w:gridCol w:w="1806"/>
              <w:gridCol w:w="111"/>
              <w:gridCol w:w="906"/>
              <w:gridCol w:w="119"/>
            </w:tblGrid>
            <w:tr w14:paraId="21A81A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9" w:type="dxa"/>
                <w:trHeight w:val="397" w:hRule="atLeast"/>
              </w:trPr>
              <w:tc>
                <w:tcPr>
                  <w:tcW w:w="961" w:type="dxa"/>
                  <w:gridSpan w:val="2"/>
                  <w:tcBorders>
                    <w:top w:val="single" w:color="auto" w:sz="8" w:space="0"/>
                    <w:bottom w:val="single" w:color="auto" w:sz="8" w:space="0"/>
                  </w:tcBorders>
                  <w:noWrap w:val="0"/>
                  <w:vAlign w:val="center"/>
                </w:tcPr>
                <w:p w14:paraId="2EC62D78">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bCs/>
                      <w:sz w:val="21"/>
                      <w:szCs w:val="21"/>
                      <w:vertAlign w:val="baseline"/>
                    </w:rPr>
                  </w:pPr>
                  <w:r>
                    <w:rPr>
                      <w:rFonts w:hint="default" w:ascii="Times New Roman" w:hAnsi="Times New Roman" w:eastAsia="宋体" w:cs="Times New Roman"/>
                      <w:b/>
                      <w:bCs/>
                      <w:sz w:val="21"/>
                      <w:szCs w:val="21"/>
                      <w:vertAlign w:val="baseline"/>
                      <w:lang w:eastAsia="zh-CN"/>
                    </w:rPr>
                    <w:t>纬度</w:t>
                  </w:r>
                </w:p>
              </w:tc>
              <w:tc>
                <w:tcPr>
                  <w:tcW w:w="4925" w:type="dxa"/>
                  <w:gridSpan w:val="3"/>
                  <w:tcBorders>
                    <w:top w:val="single" w:color="auto" w:sz="8" w:space="0"/>
                    <w:bottom w:val="single" w:color="auto" w:sz="8" w:space="0"/>
                  </w:tcBorders>
                  <w:noWrap w:val="0"/>
                  <w:vAlign w:val="center"/>
                </w:tcPr>
                <w:p w14:paraId="3287107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管控要求</w:t>
                  </w:r>
                </w:p>
              </w:tc>
              <w:tc>
                <w:tcPr>
                  <w:tcW w:w="1917" w:type="dxa"/>
                  <w:gridSpan w:val="2"/>
                  <w:tcBorders>
                    <w:top w:val="single" w:color="auto" w:sz="8" w:space="0"/>
                    <w:bottom w:val="single" w:color="auto" w:sz="8" w:space="0"/>
                  </w:tcBorders>
                  <w:noWrap w:val="0"/>
                  <w:vAlign w:val="center"/>
                </w:tcPr>
                <w:p w14:paraId="7C39946A">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本项目情况</w:t>
                  </w:r>
                </w:p>
              </w:tc>
              <w:tc>
                <w:tcPr>
                  <w:tcW w:w="1017" w:type="dxa"/>
                  <w:gridSpan w:val="2"/>
                  <w:tcBorders>
                    <w:top w:val="single" w:color="auto" w:sz="8" w:space="0"/>
                    <w:bottom w:val="single" w:color="auto" w:sz="8" w:space="0"/>
                  </w:tcBorders>
                  <w:noWrap w:val="0"/>
                  <w:vAlign w:val="center"/>
                </w:tcPr>
                <w:p w14:paraId="6899AE3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bCs/>
                      <w:sz w:val="21"/>
                      <w:szCs w:val="21"/>
                      <w:vertAlign w:val="baseline"/>
                      <w:lang w:eastAsia="zh-CN"/>
                    </w:rPr>
                  </w:pPr>
                  <w:r>
                    <w:rPr>
                      <w:rFonts w:hint="default" w:ascii="Times New Roman" w:hAnsi="Times New Roman" w:eastAsia="宋体" w:cs="Times New Roman"/>
                      <w:b/>
                      <w:bCs/>
                      <w:sz w:val="21"/>
                      <w:szCs w:val="21"/>
                      <w:vertAlign w:val="baseline"/>
                      <w:lang w:eastAsia="zh-CN"/>
                    </w:rPr>
                    <w:t>相符性</w:t>
                  </w:r>
                </w:p>
              </w:tc>
            </w:tr>
            <w:tr w14:paraId="3BFB3C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9" w:type="dxa"/>
                <w:trHeight w:val="397" w:hRule="atLeast"/>
              </w:trPr>
              <w:tc>
                <w:tcPr>
                  <w:tcW w:w="8820" w:type="dxa"/>
                  <w:gridSpan w:val="9"/>
                  <w:tcBorders>
                    <w:top w:val="single" w:color="auto" w:sz="8" w:space="0"/>
                  </w:tcBorders>
                  <w:noWrap w:val="0"/>
                  <w:vAlign w:val="center"/>
                </w:tcPr>
                <w:p w14:paraId="5A82DC76">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（一）全市生态环境总体准入要求</w:t>
                  </w:r>
                </w:p>
              </w:tc>
            </w:tr>
            <w:tr w14:paraId="69944F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9" w:type="dxa"/>
                <w:trHeight w:val="397" w:hRule="atLeast"/>
              </w:trPr>
              <w:tc>
                <w:tcPr>
                  <w:tcW w:w="961" w:type="dxa"/>
                  <w:gridSpan w:val="2"/>
                  <w:noWrap w:val="0"/>
                  <w:vAlign w:val="center"/>
                </w:tcPr>
                <w:p w14:paraId="6EF761B1">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空间布局约束</w:t>
                  </w:r>
                </w:p>
              </w:tc>
              <w:tc>
                <w:tcPr>
                  <w:tcW w:w="4925" w:type="dxa"/>
                  <w:gridSpan w:val="3"/>
                  <w:noWrap w:val="0"/>
                  <w:vAlign w:val="center"/>
                </w:tcPr>
                <w:p w14:paraId="29C18EED">
                  <w:pPr>
                    <w:keepNext w:val="0"/>
                    <w:keepLines w:val="0"/>
                    <w:pageBreakBefore w:val="0"/>
                    <w:widowControl/>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8.禁止建设生产和使用高挥发性有机物含量的溶剂型涂料、油墨、胶粘剂等项目。按照“可替尽替、应代尽代”的原则，开展汽车制造、工业涂装、家具制造、包装印刷、钢结构制造、工程机械等行业溶剂型涂料、油墨、胶粘剂、清洗剂使用低 VOCs 含量原辅材料替代。</w:t>
                  </w:r>
                </w:p>
              </w:tc>
              <w:tc>
                <w:tcPr>
                  <w:tcW w:w="1917" w:type="dxa"/>
                  <w:gridSpan w:val="2"/>
                  <w:noWrap w:val="0"/>
                  <w:vAlign w:val="center"/>
                </w:tcPr>
                <w:p w14:paraId="435C114B">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ascii="Times New Roman" w:hAnsi="Times New Roman" w:eastAsia="宋体" w:cs="Times New Roman"/>
                      <w:sz w:val="21"/>
                      <w:szCs w:val="21"/>
                      <w:vertAlign w:val="baseline"/>
                      <w:lang w:eastAsia="zh-CN"/>
                    </w:rPr>
                  </w:pPr>
                  <w:r>
                    <w:rPr>
                      <w:rFonts w:hint="eastAsia" w:cs="Times New Roman"/>
                      <w:sz w:val="21"/>
                      <w:szCs w:val="21"/>
                      <w:vertAlign w:val="baseline"/>
                      <w:lang w:val="en-US" w:eastAsia="zh-CN"/>
                    </w:rPr>
                    <w:t>本项目使用的食品级油墨为水性油墨，根据该油墨挥发性有机物含量的检测报告（报告编号：DGC250410005BD），水性油墨中VOCs含量未检出，符合《油墨中可挥发性有机化合物（VOCs）含量的限值》（GB38507-2020）中水性油墨（柔印油墨吸收性承印物）VOC含量限量值≤5%的限值要求。</w:t>
                  </w:r>
                </w:p>
              </w:tc>
              <w:tc>
                <w:tcPr>
                  <w:tcW w:w="1017" w:type="dxa"/>
                  <w:gridSpan w:val="2"/>
                  <w:noWrap w:val="0"/>
                  <w:vAlign w:val="center"/>
                </w:tcPr>
                <w:p w14:paraId="02D4DA28">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sz w:val="21"/>
                      <w:szCs w:val="21"/>
                      <w:vertAlign w:val="baseline"/>
                    </w:rPr>
                  </w:pPr>
                  <w:r>
                    <w:rPr>
                      <w:rFonts w:hint="default" w:ascii="Times New Roman" w:hAnsi="Times New Roman" w:eastAsia="宋体" w:cs="Times New Roman"/>
                      <w:b w:val="0"/>
                      <w:bCs w:val="0"/>
                      <w:sz w:val="21"/>
                      <w:szCs w:val="21"/>
                      <w:vertAlign w:val="baseline"/>
                    </w:rPr>
                    <w:t>符合</w:t>
                  </w:r>
                </w:p>
              </w:tc>
            </w:tr>
            <w:tr w14:paraId="67939D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9" w:type="dxa"/>
                <w:trHeight w:val="397" w:hRule="atLeast"/>
              </w:trPr>
              <w:tc>
                <w:tcPr>
                  <w:tcW w:w="961" w:type="dxa"/>
                  <w:gridSpan w:val="2"/>
                  <w:vMerge w:val="restart"/>
                  <w:noWrap w:val="0"/>
                  <w:vAlign w:val="center"/>
                </w:tcPr>
                <w:p w14:paraId="2958C378">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eastAsia" w:eastAsia="宋体" w:cs="Times New Roman"/>
                      <w:b w:val="0"/>
                      <w:bCs w:val="0"/>
                      <w:sz w:val="21"/>
                      <w:szCs w:val="21"/>
                      <w:vertAlign w:val="baseline"/>
                      <w:lang w:eastAsia="zh-CN"/>
                    </w:rPr>
                    <w:t>污染物排放管控</w:t>
                  </w:r>
                </w:p>
              </w:tc>
              <w:tc>
                <w:tcPr>
                  <w:tcW w:w="4925" w:type="dxa"/>
                  <w:gridSpan w:val="3"/>
                  <w:noWrap w:val="0"/>
                  <w:vAlign w:val="center"/>
                </w:tcPr>
                <w:p w14:paraId="7270711A">
                  <w:pPr>
                    <w:keepNext w:val="0"/>
                    <w:keepLines w:val="0"/>
                    <w:pageBreakBefore w:val="0"/>
                    <w:widowControl/>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default" w:ascii="Times New Roman" w:hAnsi="Times New Roman" w:eastAsia="宋体"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 xml:space="preserve">1.新、改、扩建项目主要污染物排放要求满足当地总量减排要求。 </w:t>
                  </w:r>
                </w:p>
              </w:tc>
              <w:tc>
                <w:tcPr>
                  <w:tcW w:w="1917" w:type="dxa"/>
                  <w:gridSpan w:val="2"/>
                  <w:noWrap w:val="0"/>
                  <w:vAlign w:val="center"/>
                </w:tcPr>
                <w:p w14:paraId="426B6C3D">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both"/>
                    <w:textAlignment w:val="auto"/>
                    <w:outlineLvl w:val="9"/>
                    <w:rPr>
                      <w:rFonts w:hint="eastAsia" w:ascii="Times New Roman" w:hAnsi="Times New Roman" w:eastAsia="宋体" w:cs="Times New Roman"/>
                      <w:sz w:val="21"/>
                      <w:szCs w:val="21"/>
                      <w:vertAlign w:val="baseline"/>
                      <w:lang w:eastAsia="zh-CN"/>
                    </w:rPr>
                  </w:pPr>
                  <w:r>
                    <w:rPr>
                      <w:rFonts w:hint="eastAsia" w:eastAsia="宋体" w:cs="Times New Roman"/>
                      <w:b w:val="0"/>
                      <w:bCs w:val="0"/>
                      <w:sz w:val="21"/>
                      <w:szCs w:val="21"/>
                      <w:vertAlign w:val="baseline"/>
                      <w:lang w:eastAsia="zh-CN"/>
                    </w:rPr>
                    <w:t>本项目为</w:t>
                  </w:r>
                  <w:r>
                    <w:rPr>
                      <w:rFonts w:hint="eastAsia" w:cs="Times New Roman"/>
                      <w:b w:val="0"/>
                      <w:bCs w:val="0"/>
                      <w:sz w:val="21"/>
                      <w:szCs w:val="21"/>
                      <w:vertAlign w:val="baseline"/>
                      <w:lang w:val="en-US" w:eastAsia="zh-CN"/>
                    </w:rPr>
                    <w:t>新</w:t>
                  </w:r>
                  <w:r>
                    <w:rPr>
                      <w:rFonts w:hint="eastAsia" w:cs="Times New Roman"/>
                      <w:b w:val="0"/>
                      <w:bCs w:val="0"/>
                      <w:sz w:val="21"/>
                      <w:szCs w:val="21"/>
                      <w:vertAlign w:val="baseline"/>
                      <w:lang w:eastAsia="zh-CN"/>
                    </w:rPr>
                    <w:t>建</w:t>
                  </w:r>
                  <w:r>
                    <w:rPr>
                      <w:rFonts w:hint="eastAsia" w:eastAsia="宋体" w:cs="Times New Roman"/>
                      <w:b w:val="0"/>
                      <w:bCs w:val="0"/>
                      <w:sz w:val="21"/>
                      <w:szCs w:val="21"/>
                      <w:vertAlign w:val="baseline"/>
                      <w:lang w:eastAsia="zh-CN"/>
                    </w:rPr>
                    <w:t>项目，污染物排放满足新乡县总量减排要求</w:t>
                  </w:r>
                  <w:r>
                    <w:rPr>
                      <w:rFonts w:hint="eastAsia" w:cs="Times New Roman"/>
                      <w:b w:val="0"/>
                      <w:bCs w:val="0"/>
                      <w:sz w:val="21"/>
                      <w:szCs w:val="21"/>
                      <w:vertAlign w:val="baseline"/>
                      <w:lang w:eastAsia="zh-CN"/>
                    </w:rPr>
                    <w:t>。</w:t>
                  </w:r>
                </w:p>
              </w:tc>
              <w:tc>
                <w:tcPr>
                  <w:tcW w:w="1017" w:type="dxa"/>
                  <w:gridSpan w:val="2"/>
                  <w:noWrap w:val="0"/>
                  <w:vAlign w:val="center"/>
                </w:tcPr>
                <w:p w14:paraId="4EAA48DF">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rPr>
                  </w:pPr>
                  <w:r>
                    <w:rPr>
                      <w:rFonts w:hint="default" w:ascii="Times New Roman" w:hAnsi="Times New Roman" w:eastAsia="宋体" w:cs="Times New Roman"/>
                      <w:b w:val="0"/>
                      <w:bCs w:val="0"/>
                      <w:sz w:val="21"/>
                      <w:szCs w:val="21"/>
                      <w:vertAlign w:val="baseline"/>
                    </w:rPr>
                    <w:t>符合</w:t>
                  </w:r>
                </w:p>
              </w:tc>
            </w:tr>
            <w:tr w14:paraId="23F9EE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9" w:type="dxa"/>
                <w:trHeight w:val="237" w:hRule="atLeast"/>
              </w:trPr>
              <w:tc>
                <w:tcPr>
                  <w:tcW w:w="961" w:type="dxa"/>
                  <w:gridSpan w:val="2"/>
                  <w:vMerge w:val="continue"/>
                  <w:noWrap w:val="0"/>
                  <w:vAlign w:val="center"/>
                </w:tcPr>
                <w:p w14:paraId="53720819">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p>
              </w:tc>
              <w:tc>
                <w:tcPr>
                  <w:tcW w:w="4925" w:type="dxa"/>
                  <w:gridSpan w:val="3"/>
                  <w:noWrap w:val="0"/>
                  <w:vAlign w:val="center"/>
                </w:tcPr>
                <w:p w14:paraId="5E7B62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firstLine="0"/>
                    <w:jc w:val="both"/>
                    <w:textAlignment w:val="auto"/>
                    <w:outlineLvl w:val="9"/>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8.国家、省绩效分级重点行业以及涉及锅炉炉窑的其他行业，新建、扩建项目污染物排放限值、污染治理措施、无组织排放控制水平、运输方式等达到 A 级绩效水平，改建项目污染物排放限值、污染治理措施、无组织排放控制水平、运输方式等达到 B 级以上绩效水平。 </w:t>
                  </w:r>
                </w:p>
              </w:tc>
              <w:tc>
                <w:tcPr>
                  <w:tcW w:w="1917" w:type="dxa"/>
                  <w:gridSpan w:val="2"/>
                  <w:noWrap w:val="0"/>
                  <w:vAlign w:val="center"/>
                </w:tcPr>
                <w:p w14:paraId="43DEAB9E">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both"/>
                    <w:textAlignment w:val="auto"/>
                    <w:outlineLvl w:val="9"/>
                    <w:rPr>
                      <w:rFonts w:hint="default" w:ascii="Times New Roman" w:hAnsi="Times New Roman" w:eastAsia="宋体" w:cs="Times New Roman"/>
                      <w:sz w:val="21"/>
                      <w:szCs w:val="21"/>
                      <w:vertAlign w:val="baseline"/>
                      <w:lang w:val="en-US" w:eastAsia="zh-CN"/>
                    </w:rPr>
                  </w:pPr>
                  <w:r>
                    <w:rPr>
                      <w:rFonts w:hint="eastAsia" w:eastAsia="宋体" w:cs="Times New Roman"/>
                      <w:sz w:val="21"/>
                      <w:szCs w:val="21"/>
                      <w:vertAlign w:val="baseline"/>
                      <w:lang w:eastAsia="zh-CN"/>
                    </w:rPr>
                    <w:t>本项目为</w:t>
                  </w:r>
                  <w:r>
                    <w:rPr>
                      <w:rFonts w:hint="eastAsia" w:cs="Times New Roman"/>
                      <w:sz w:val="21"/>
                      <w:szCs w:val="21"/>
                      <w:vertAlign w:val="baseline"/>
                      <w:lang w:val="en-US" w:eastAsia="zh-CN"/>
                    </w:rPr>
                    <w:t>新</w:t>
                  </w:r>
                  <w:r>
                    <w:rPr>
                      <w:rFonts w:hint="eastAsia" w:cs="Times New Roman"/>
                      <w:sz w:val="21"/>
                      <w:szCs w:val="21"/>
                      <w:vertAlign w:val="baseline"/>
                      <w:lang w:eastAsia="zh-CN"/>
                    </w:rPr>
                    <w:t>建</w:t>
                  </w:r>
                  <w:r>
                    <w:rPr>
                      <w:rFonts w:hint="eastAsia" w:eastAsia="宋体" w:cs="Times New Roman"/>
                      <w:sz w:val="21"/>
                      <w:szCs w:val="21"/>
                      <w:vertAlign w:val="baseline"/>
                      <w:lang w:eastAsia="zh-CN"/>
                    </w:rPr>
                    <w:t>项目，</w:t>
                  </w:r>
                  <w:r>
                    <w:rPr>
                      <w:rFonts w:hint="eastAsia"/>
                      <w:sz w:val="21"/>
                      <w:szCs w:val="21"/>
                    </w:rPr>
                    <w:t>按照</w:t>
                  </w:r>
                  <w:r>
                    <w:rPr>
                      <w:rFonts w:hint="default"/>
                      <w:color w:val="000000" w:themeColor="text1"/>
                      <w:sz w:val="21"/>
                      <w:szCs w:val="21"/>
                      <w14:textFill>
                        <w14:solidFill>
                          <w14:schemeClr w14:val="tx1"/>
                        </w14:solidFill>
                      </w14:textFill>
                    </w:rPr>
                    <w:t>河南省</w:t>
                  </w:r>
                  <w:r>
                    <w:rPr>
                      <w:rFonts w:hint="eastAsia"/>
                      <w:color w:val="000000" w:themeColor="text1"/>
                      <w:sz w:val="21"/>
                      <w:szCs w:val="21"/>
                      <w14:textFill>
                        <w14:solidFill>
                          <w14:schemeClr w14:val="tx1"/>
                        </w14:solidFill>
                      </w14:textFill>
                    </w:rPr>
                    <w:t>重污染天气通用行业应急减排</w:t>
                  </w:r>
                  <w:r>
                    <w:rPr>
                      <w:rFonts w:hint="default"/>
                      <w:color w:val="000000" w:themeColor="text1"/>
                      <w:sz w:val="21"/>
                      <w:szCs w:val="21"/>
                      <w14:textFill>
                        <w14:solidFill>
                          <w14:schemeClr w14:val="tx1"/>
                        </w14:solidFill>
                      </w14:textFill>
                    </w:rPr>
                    <w:t>措施</w:t>
                  </w:r>
                  <w:r>
                    <w:rPr>
                      <w:rFonts w:hint="eastAsia"/>
                      <w:color w:val="000000" w:themeColor="text1"/>
                      <w:sz w:val="21"/>
                      <w:szCs w:val="21"/>
                      <w14:textFill>
                        <w14:solidFill>
                          <w14:schemeClr w14:val="tx1"/>
                        </w14:solidFill>
                      </w14:textFill>
                    </w:rPr>
                    <w:t>制定技术指南通用涉VOCs企业绩效引领性指标</w:t>
                  </w:r>
                  <w:r>
                    <w:rPr>
                      <w:rFonts w:hint="default"/>
                      <w:color w:val="000000" w:themeColor="text1"/>
                      <w:sz w:val="21"/>
                      <w:szCs w:val="21"/>
                      <w14:textFill>
                        <w14:solidFill>
                          <w14:schemeClr w14:val="tx1"/>
                        </w14:solidFill>
                      </w14:textFill>
                    </w:rPr>
                    <w:t>要求建设</w:t>
                  </w:r>
                  <w:r>
                    <w:rPr>
                      <w:rFonts w:hint="eastAsia"/>
                      <w:color w:val="000000" w:themeColor="text1"/>
                      <w:sz w:val="21"/>
                      <w:szCs w:val="21"/>
                      <w14:textFill>
                        <w14:solidFill>
                          <w14:schemeClr w14:val="tx1"/>
                        </w14:solidFill>
                      </w14:textFill>
                    </w:rPr>
                    <w:t>。同时涉及印刷工序，按照《重污染天气重点行业应急减排措施制定技术指南（2020年修订版）》中包装印刷业A级水平进行建设</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017" w:type="dxa"/>
                  <w:gridSpan w:val="2"/>
                  <w:noWrap w:val="0"/>
                  <w:vAlign w:val="center"/>
                </w:tcPr>
                <w:p w14:paraId="3919C3A3">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ascii="Times New Roman" w:hAnsi="Times New Roman" w:eastAsia="宋体" w:cs="Times New Roman"/>
                      <w:b w:val="0"/>
                      <w:bCs w:val="0"/>
                      <w:sz w:val="21"/>
                      <w:szCs w:val="21"/>
                      <w:vertAlign w:val="baseline"/>
                      <w:lang w:eastAsia="zh-CN"/>
                    </w:rPr>
                  </w:pPr>
                  <w:r>
                    <w:rPr>
                      <w:rFonts w:hint="eastAsia" w:eastAsia="宋体" w:cs="Times New Roman"/>
                      <w:b w:val="0"/>
                      <w:bCs w:val="0"/>
                      <w:sz w:val="21"/>
                      <w:szCs w:val="21"/>
                      <w:vertAlign w:val="baseline"/>
                      <w:lang w:eastAsia="zh-CN"/>
                    </w:rPr>
                    <w:t>符合</w:t>
                  </w:r>
                </w:p>
              </w:tc>
            </w:tr>
            <w:tr w14:paraId="447197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9" w:type="dxa"/>
                <w:trHeight w:val="1059" w:hRule="atLeast"/>
              </w:trPr>
              <w:tc>
                <w:tcPr>
                  <w:tcW w:w="961" w:type="dxa"/>
                  <w:gridSpan w:val="2"/>
                  <w:noWrap w:val="0"/>
                  <w:vAlign w:val="center"/>
                </w:tcPr>
                <w:p w14:paraId="1B2E166D">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资源开发效率要求</w:t>
                  </w:r>
                </w:p>
              </w:tc>
              <w:tc>
                <w:tcPr>
                  <w:tcW w:w="4925" w:type="dxa"/>
                  <w:gridSpan w:val="3"/>
                  <w:noWrap w:val="0"/>
                  <w:vAlign w:val="center"/>
                </w:tcPr>
                <w:p w14:paraId="597A5C77">
                  <w:pPr>
                    <w:keepNext w:val="0"/>
                    <w:keepLines w:val="0"/>
                    <w:pageBreakBefore w:val="0"/>
                    <w:widowControl/>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3.开展高耗水工业行业节水技术改造，大力推广工业水循环利用，推进节水型企业、节水型工业园区建设。</w:t>
                  </w:r>
                </w:p>
              </w:tc>
              <w:tc>
                <w:tcPr>
                  <w:tcW w:w="1917" w:type="dxa"/>
                  <w:gridSpan w:val="2"/>
                  <w:noWrap w:val="0"/>
                  <w:vAlign w:val="center"/>
                </w:tcPr>
                <w:p w14:paraId="4D4694ED">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both"/>
                    <w:textAlignment w:val="auto"/>
                    <w:outlineLvl w:val="9"/>
                    <w:rPr>
                      <w:rFonts w:hint="eastAsia" w:ascii="Times New Roman" w:hAnsi="Times New Roman" w:eastAsia="宋体" w:cs="Times New Roman"/>
                      <w:sz w:val="21"/>
                      <w:szCs w:val="21"/>
                      <w:vertAlign w:val="baseline"/>
                      <w:lang w:eastAsia="zh-CN"/>
                    </w:rPr>
                  </w:pPr>
                  <w:r>
                    <w:rPr>
                      <w:rFonts w:hint="eastAsia" w:eastAsia="宋体" w:cs="Times New Roman"/>
                      <w:b w:val="0"/>
                      <w:bCs w:val="0"/>
                      <w:sz w:val="21"/>
                      <w:szCs w:val="21"/>
                      <w:vertAlign w:val="baseline"/>
                      <w:lang w:eastAsia="zh-CN"/>
                    </w:rPr>
                    <w:t>本项目生产过程中</w:t>
                  </w:r>
                  <w:r>
                    <w:rPr>
                      <w:rFonts w:hint="eastAsia" w:cs="Times New Roman"/>
                      <w:b w:val="0"/>
                      <w:bCs w:val="0"/>
                      <w:sz w:val="21"/>
                      <w:szCs w:val="21"/>
                      <w:vertAlign w:val="baseline"/>
                      <w:lang w:val="en-US" w:eastAsia="zh-CN"/>
                    </w:rPr>
                    <w:t>不使用水</w:t>
                  </w:r>
                  <w:r>
                    <w:rPr>
                      <w:rFonts w:hint="eastAsia" w:eastAsia="宋体" w:cs="Times New Roman"/>
                      <w:b w:val="0"/>
                      <w:bCs w:val="0"/>
                      <w:sz w:val="21"/>
                      <w:szCs w:val="21"/>
                      <w:vertAlign w:val="baseline"/>
                      <w:lang w:eastAsia="zh-CN"/>
                    </w:rPr>
                    <w:t>，不属于高耗水行业</w:t>
                  </w:r>
                  <w:r>
                    <w:rPr>
                      <w:rFonts w:hint="eastAsia" w:cs="Times New Roman"/>
                      <w:b w:val="0"/>
                      <w:bCs w:val="0"/>
                      <w:sz w:val="21"/>
                      <w:szCs w:val="21"/>
                      <w:vertAlign w:val="baseline"/>
                      <w:lang w:eastAsia="zh-CN"/>
                    </w:rPr>
                    <w:t>。</w:t>
                  </w:r>
                </w:p>
              </w:tc>
              <w:tc>
                <w:tcPr>
                  <w:tcW w:w="1017" w:type="dxa"/>
                  <w:gridSpan w:val="2"/>
                  <w:noWrap w:val="0"/>
                  <w:vAlign w:val="center"/>
                </w:tcPr>
                <w:p w14:paraId="07AC7F6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ascii="Times New Roman" w:hAnsi="Times New Roman" w:eastAsia="宋体" w:cs="Times New Roman"/>
                      <w:b w:val="0"/>
                      <w:bCs w:val="0"/>
                      <w:sz w:val="21"/>
                      <w:szCs w:val="21"/>
                      <w:vertAlign w:val="baseline"/>
                      <w:lang w:eastAsia="zh-CN"/>
                    </w:rPr>
                  </w:pPr>
                  <w:r>
                    <w:rPr>
                      <w:rFonts w:hint="eastAsia" w:eastAsia="宋体" w:cs="Times New Roman"/>
                      <w:b w:val="0"/>
                      <w:bCs w:val="0"/>
                      <w:sz w:val="21"/>
                      <w:szCs w:val="21"/>
                      <w:vertAlign w:val="baseline"/>
                      <w:lang w:eastAsia="zh-CN"/>
                    </w:rPr>
                    <w:t>符合</w:t>
                  </w:r>
                </w:p>
              </w:tc>
            </w:tr>
            <w:tr w14:paraId="084202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19" w:type="dxa"/>
                <w:trHeight w:val="397" w:hRule="atLeast"/>
              </w:trPr>
              <w:tc>
                <w:tcPr>
                  <w:tcW w:w="8820" w:type="dxa"/>
                  <w:gridSpan w:val="9"/>
                  <w:noWrap w:val="0"/>
                  <w:vAlign w:val="center"/>
                </w:tcPr>
                <w:p w14:paraId="2CAEC16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（二）各县区分区管控单元生态环境准入清单</w:t>
                  </w:r>
                </w:p>
              </w:tc>
            </w:tr>
            <w:tr w14:paraId="5C020D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8" w:type="dxa"/>
                  <w:noWrap w:val="0"/>
                  <w:vAlign w:val="center"/>
                </w:tcPr>
                <w:p w14:paraId="1C10C801">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环境管控单元名称</w:t>
                  </w:r>
                </w:p>
              </w:tc>
              <w:tc>
                <w:tcPr>
                  <w:tcW w:w="865" w:type="dxa"/>
                  <w:gridSpan w:val="2"/>
                  <w:noWrap w:val="0"/>
                  <w:vAlign w:val="center"/>
                </w:tcPr>
                <w:p w14:paraId="0EA001AF">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管控单元分类</w:t>
                  </w:r>
                </w:p>
              </w:tc>
              <w:tc>
                <w:tcPr>
                  <w:tcW w:w="4344" w:type="dxa"/>
                  <w:gridSpan w:val="3"/>
                  <w:noWrap w:val="0"/>
                  <w:vAlign w:val="center"/>
                </w:tcPr>
                <w:p w14:paraId="037312C5">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管控要求</w:t>
                  </w:r>
                </w:p>
              </w:tc>
              <w:tc>
                <w:tcPr>
                  <w:tcW w:w="1917" w:type="dxa"/>
                  <w:gridSpan w:val="2"/>
                  <w:noWrap w:val="0"/>
                  <w:vAlign w:val="center"/>
                </w:tcPr>
                <w:p w14:paraId="3B6EAEF6">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本项目情况</w:t>
                  </w:r>
                </w:p>
              </w:tc>
              <w:tc>
                <w:tcPr>
                  <w:tcW w:w="1025" w:type="dxa"/>
                  <w:gridSpan w:val="2"/>
                  <w:noWrap w:val="0"/>
                  <w:vAlign w:val="center"/>
                </w:tcPr>
                <w:p w14:paraId="1E60306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r>
                    <w:rPr>
                      <w:rFonts w:hint="default" w:ascii="Times New Roman" w:hAnsi="Times New Roman" w:eastAsia="宋体" w:cs="Times New Roman"/>
                      <w:b w:val="0"/>
                      <w:bCs w:val="0"/>
                      <w:sz w:val="21"/>
                      <w:szCs w:val="21"/>
                      <w:vertAlign w:val="baseline"/>
                      <w:lang w:eastAsia="zh-CN"/>
                    </w:rPr>
                    <w:t>相符性</w:t>
                  </w:r>
                </w:p>
              </w:tc>
            </w:tr>
            <w:tr w14:paraId="084021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8" w:type="dxa"/>
                  <w:vMerge w:val="restart"/>
                  <w:noWrap w:val="0"/>
                  <w:vAlign w:val="center"/>
                </w:tcPr>
                <w:p w14:paraId="7C75711E">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cs="Times New Roman"/>
                      <w:b w:val="0"/>
                      <w:bCs w:val="0"/>
                      <w:sz w:val="21"/>
                      <w:szCs w:val="21"/>
                      <w:vertAlign w:val="baseline"/>
                      <w:lang w:val="en-US" w:eastAsia="zh-CN"/>
                    </w:rPr>
                    <w:t>新乡县大气布局敏感区（</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ZH410721</w:t>
                  </w:r>
                  <w:r>
                    <w:rPr>
                      <w:rFonts w:hint="eastAsia" w:cs="Times New Roman"/>
                      <w:color w:val="000000" w:themeColor="text1"/>
                      <w:sz w:val="21"/>
                      <w:szCs w:val="21"/>
                      <w:highlight w:val="none"/>
                      <w:lang w:val="en-US" w:eastAsia="zh-CN"/>
                      <w14:textFill>
                        <w14:solidFill>
                          <w14:schemeClr w14:val="tx1"/>
                        </w14:solidFill>
                      </w14:textFill>
                    </w:rPr>
                    <w:t>20005</w:t>
                  </w:r>
                  <w:r>
                    <w:rPr>
                      <w:rFonts w:hint="eastAsia" w:cs="Times New Roman"/>
                      <w:b w:val="0"/>
                      <w:bCs w:val="0"/>
                      <w:sz w:val="21"/>
                      <w:szCs w:val="21"/>
                      <w:vertAlign w:val="baseline"/>
                      <w:lang w:val="en-US" w:eastAsia="zh-CN"/>
                    </w:rPr>
                    <w:t>）</w:t>
                  </w:r>
                </w:p>
              </w:tc>
              <w:tc>
                <w:tcPr>
                  <w:tcW w:w="865" w:type="dxa"/>
                  <w:gridSpan w:val="2"/>
                  <w:vMerge w:val="restart"/>
                  <w:noWrap w:val="0"/>
                  <w:vAlign w:val="center"/>
                </w:tcPr>
                <w:p w14:paraId="21AA8E8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cs="Times New Roman"/>
                      <w:b w:val="0"/>
                      <w:bCs w:val="0"/>
                      <w:sz w:val="21"/>
                      <w:szCs w:val="21"/>
                      <w:highlight w:val="none"/>
                      <w:vertAlign w:val="baseline"/>
                      <w:lang w:val="en-US" w:eastAsia="zh-CN"/>
                    </w:rPr>
                  </w:pPr>
                  <w:r>
                    <w:rPr>
                      <w:rFonts w:hint="eastAsia" w:cs="Times New Roman"/>
                      <w:b w:val="0"/>
                      <w:bCs w:val="0"/>
                      <w:sz w:val="21"/>
                      <w:szCs w:val="21"/>
                      <w:highlight w:val="none"/>
                      <w:vertAlign w:val="baseline"/>
                      <w:lang w:val="en-US" w:eastAsia="zh-CN"/>
                    </w:rPr>
                    <w:t>重点管控单元5（新乡县七里营镇）</w:t>
                  </w:r>
                </w:p>
              </w:tc>
              <w:tc>
                <w:tcPr>
                  <w:tcW w:w="565" w:type="dxa"/>
                  <w:noWrap w:val="0"/>
                  <w:vAlign w:val="center"/>
                </w:tcPr>
                <w:p w14:paraId="7BA2D5A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highlight w:val="none"/>
                      <w:vertAlign w:val="baseline"/>
                      <w:lang w:eastAsia="zh-CN"/>
                    </w:rPr>
                  </w:pPr>
                  <w:r>
                    <w:rPr>
                      <w:rFonts w:hint="eastAsia" w:cs="Times New Roman"/>
                      <w:b w:val="0"/>
                      <w:bCs w:val="0"/>
                      <w:sz w:val="21"/>
                      <w:szCs w:val="21"/>
                      <w:highlight w:val="none"/>
                      <w:vertAlign w:val="baseline"/>
                      <w:lang w:eastAsia="zh-CN"/>
                    </w:rPr>
                    <w:t>空间布局约束</w:t>
                  </w:r>
                </w:p>
              </w:tc>
              <w:tc>
                <w:tcPr>
                  <w:tcW w:w="3779" w:type="dxa"/>
                  <w:gridSpan w:val="2"/>
                  <w:noWrap w:val="0"/>
                  <w:vAlign w:val="center"/>
                </w:tcPr>
                <w:p w14:paraId="4338A026">
                  <w:pPr>
                    <w:keepNext w:val="0"/>
                    <w:keepLines w:val="0"/>
                    <w:widowControl/>
                    <w:suppressLineNumbers w:val="0"/>
                    <w:spacing w:before="0" w:beforeAutospacing="0" w:after="0" w:afterAutospacing="0"/>
                    <w:ind w:left="0" w:right="0"/>
                    <w:jc w:val="both"/>
                    <w:rPr>
                      <w:rFonts w:hint="eastAsia" w:cs="Times New Roman"/>
                      <w:color w:val="000000"/>
                      <w:kern w:val="0"/>
                      <w:sz w:val="21"/>
                      <w:szCs w:val="21"/>
                      <w:lang w:val="en-US" w:eastAsia="zh-CN" w:bidi="ar"/>
                    </w:rPr>
                  </w:pPr>
                  <w:r>
                    <w:rPr>
                      <w:rFonts w:hint="eastAsia" w:cs="Times New Roman"/>
                      <w:color w:val="000000"/>
                      <w:kern w:val="0"/>
                      <w:sz w:val="21"/>
                      <w:szCs w:val="21"/>
                      <w:lang w:val="en-US" w:eastAsia="zh-CN" w:bidi="ar"/>
                    </w:rPr>
                    <w:t xml:space="preserve">1、严格控制新建、扩建高排放、高污染项目，包括钢铁、水泥、有色、平板玻璃、建筑陶瓷等行业及其他排放重金属、持久性有机污染物的工业项目等。 </w:t>
                  </w:r>
                </w:p>
                <w:p w14:paraId="6A86FF1F">
                  <w:pPr>
                    <w:keepNext w:val="0"/>
                    <w:keepLines w:val="0"/>
                    <w:widowControl/>
                    <w:suppressLineNumbers w:val="0"/>
                    <w:spacing w:before="0" w:beforeAutospacing="0" w:after="0" w:afterAutospacing="0"/>
                    <w:ind w:left="0" w:right="0"/>
                    <w:jc w:val="both"/>
                    <w:rPr>
                      <w:rFonts w:hint="eastAsia" w:ascii="宋体" w:hAnsi="宋体" w:eastAsia="宋体" w:cs="宋体"/>
                      <w:color w:val="000000"/>
                      <w:kern w:val="0"/>
                      <w:sz w:val="21"/>
                      <w:szCs w:val="21"/>
                      <w:lang w:val="en-US" w:eastAsia="zh-CN" w:bidi="ar"/>
                    </w:rPr>
                  </w:pPr>
                  <w:r>
                    <w:rPr>
                      <w:rFonts w:hint="eastAsia" w:cs="Times New Roman"/>
                      <w:color w:val="000000"/>
                      <w:kern w:val="0"/>
                      <w:sz w:val="21"/>
                      <w:szCs w:val="21"/>
                      <w:lang w:val="en-US" w:eastAsia="zh-CN" w:bidi="ar"/>
                    </w:rPr>
                    <w:t>2、严格控制新、改、扩建“两高”项目。</w:t>
                  </w:r>
                </w:p>
              </w:tc>
              <w:tc>
                <w:tcPr>
                  <w:tcW w:w="1917" w:type="dxa"/>
                  <w:gridSpan w:val="2"/>
                  <w:noWrap w:val="0"/>
                  <w:vAlign w:val="center"/>
                </w:tcPr>
                <w:p w14:paraId="4428D7E5">
                  <w:pPr>
                    <w:keepNext w:val="0"/>
                    <w:keepLines w:val="0"/>
                    <w:pageBreakBefore w:val="0"/>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eastAsia" w:cs="Times New Roman"/>
                      <w:color w:val="000000"/>
                      <w:kern w:val="0"/>
                      <w:sz w:val="21"/>
                      <w:szCs w:val="21"/>
                      <w:lang w:val="en-US" w:eastAsia="zh-CN" w:bidi="ar"/>
                    </w:rPr>
                  </w:pPr>
                  <w:r>
                    <w:rPr>
                      <w:rFonts w:hint="eastAsia" w:cs="Times New Roman"/>
                      <w:sz w:val="21"/>
                      <w:szCs w:val="21"/>
                      <w:lang w:val="en-US" w:eastAsia="zh-CN"/>
                    </w:rPr>
                    <w:t>1、本项目不属于高排放、高污染项目，不属于钢铁、水泥</w:t>
                  </w:r>
                  <w:r>
                    <w:rPr>
                      <w:rFonts w:hint="eastAsia" w:cs="Times New Roman"/>
                      <w:color w:val="000000"/>
                      <w:kern w:val="0"/>
                      <w:sz w:val="21"/>
                      <w:szCs w:val="21"/>
                      <w:lang w:val="en-US" w:eastAsia="zh-CN" w:bidi="ar"/>
                    </w:rPr>
                    <w:t>、有色、平板玻璃、建筑陶瓷等行业及其他排放重金属、持久性有机污染物的工业项目。</w:t>
                  </w:r>
                </w:p>
                <w:p w14:paraId="1136C4B6">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jc w:val="both"/>
                    <w:textAlignment w:val="auto"/>
                    <w:rPr>
                      <w:rFonts w:hint="default"/>
                      <w:lang w:val="en-US" w:eastAsia="zh-CN"/>
                    </w:rPr>
                  </w:pPr>
                  <w:r>
                    <w:rPr>
                      <w:rFonts w:hint="eastAsia" w:cs="Times New Roman"/>
                      <w:color w:val="000000"/>
                      <w:kern w:val="0"/>
                      <w:sz w:val="21"/>
                      <w:szCs w:val="21"/>
                      <w:lang w:val="en-US" w:eastAsia="zh-CN" w:bidi="ar"/>
                    </w:rPr>
                    <w:t>2、本项目不属于“两高”项目。</w:t>
                  </w:r>
                </w:p>
              </w:tc>
              <w:tc>
                <w:tcPr>
                  <w:tcW w:w="1025" w:type="dxa"/>
                  <w:gridSpan w:val="2"/>
                  <w:noWrap w:val="0"/>
                  <w:vAlign w:val="center"/>
                </w:tcPr>
                <w:p w14:paraId="4083BB2A">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color w:val="000000"/>
                      <w:sz w:val="21"/>
                      <w:szCs w:val="21"/>
                    </w:rPr>
                    <w:t>符合</w:t>
                  </w:r>
                </w:p>
              </w:tc>
            </w:tr>
            <w:tr w14:paraId="5E58C1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788" w:type="dxa"/>
                  <w:vMerge w:val="continue"/>
                  <w:noWrap w:val="0"/>
                  <w:vAlign w:val="center"/>
                </w:tcPr>
                <w:p w14:paraId="02485514">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vertAlign w:val="baseline"/>
                      <w:lang w:val="en-US" w:eastAsia="zh-CN"/>
                    </w:rPr>
                  </w:pPr>
                </w:p>
              </w:tc>
              <w:tc>
                <w:tcPr>
                  <w:tcW w:w="865" w:type="dxa"/>
                  <w:gridSpan w:val="2"/>
                  <w:vMerge w:val="continue"/>
                  <w:noWrap w:val="0"/>
                  <w:vAlign w:val="center"/>
                </w:tcPr>
                <w:p w14:paraId="38208AE5">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highlight w:val="none"/>
                      <w:vertAlign w:val="baseline"/>
                      <w:lang w:val="en-US" w:eastAsia="zh-CN"/>
                    </w:rPr>
                  </w:pPr>
                </w:p>
              </w:tc>
              <w:tc>
                <w:tcPr>
                  <w:tcW w:w="565" w:type="dxa"/>
                  <w:noWrap w:val="0"/>
                  <w:vAlign w:val="center"/>
                </w:tcPr>
                <w:p w14:paraId="68E87590">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cs="Times New Roman"/>
                      <w:b w:val="0"/>
                      <w:bCs w:val="0"/>
                      <w:sz w:val="21"/>
                      <w:szCs w:val="21"/>
                      <w:highlight w:val="none"/>
                      <w:vertAlign w:val="baseline"/>
                      <w:lang w:val="en-US" w:eastAsia="zh-CN"/>
                    </w:rPr>
                  </w:pPr>
                  <w:r>
                    <w:rPr>
                      <w:rFonts w:hint="eastAsia" w:cs="Times New Roman"/>
                      <w:b w:val="0"/>
                      <w:bCs w:val="0"/>
                      <w:sz w:val="21"/>
                      <w:szCs w:val="21"/>
                      <w:highlight w:val="none"/>
                      <w:vertAlign w:val="baseline"/>
                      <w:lang w:val="en-US" w:eastAsia="zh-CN"/>
                    </w:rPr>
                    <w:t>污染物排放管控</w:t>
                  </w:r>
                </w:p>
              </w:tc>
              <w:tc>
                <w:tcPr>
                  <w:tcW w:w="3779" w:type="dxa"/>
                  <w:gridSpan w:val="2"/>
                  <w:noWrap w:val="0"/>
                  <w:vAlign w:val="center"/>
                </w:tcPr>
                <w:p w14:paraId="3A3D1409">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 xml:space="preserve">1、二氧化硫、氮氧化物、颗粒物、VOCs 全面执行大气污染物特别排放限值。  </w:t>
                  </w:r>
                </w:p>
              </w:tc>
              <w:tc>
                <w:tcPr>
                  <w:tcW w:w="1917" w:type="dxa"/>
                  <w:gridSpan w:val="2"/>
                  <w:noWrap w:val="0"/>
                  <w:vAlign w:val="center"/>
                </w:tcPr>
                <w:p w14:paraId="3E2BD950">
                  <w:pPr>
                    <w:keepNext w:val="0"/>
                    <w:keepLines w:val="0"/>
                    <w:pageBreakBefore w:val="0"/>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default"/>
                      <w:lang w:val="en-US" w:eastAsia="zh-CN"/>
                    </w:rPr>
                  </w:pPr>
                  <w:r>
                    <w:rPr>
                      <w:rFonts w:hint="eastAsia" w:cs="Times New Roman"/>
                      <w:sz w:val="21"/>
                      <w:szCs w:val="21"/>
                      <w:lang w:val="en-US" w:eastAsia="zh-CN"/>
                    </w:rPr>
                    <w:t>1、本项目VOCs全面执行</w:t>
                  </w:r>
                  <w:r>
                    <w:rPr>
                      <w:rFonts w:hint="default" w:ascii="Times New Roman" w:hAnsi="Times New Roman" w:eastAsia="宋体" w:cs="Times New Roman"/>
                      <w:color w:val="000000"/>
                      <w:kern w:val="0"/>
                      <w:sz w:val="21"/>
                      <w:szCs w:val="21"/>
                      <w:lang w:val="en-US" w:eastAsia="zh-CN" w:bidi="ar"/>
                    </w:rPr>
                    <w:t>大气污染物特别排放限值</w:t>
                  </w:r>
                  <w:r>
                    <w:rPr>
                      <w:rFonts w:hint="eastAsia" w:ascii="Times New Roman" w:hAnsi="Times New Roman" w:eastAsia="宋体" w:cs="Times New Roman"/>
                      <w:color w:val="000000"/>
                      <w:kern w:val="0"/>
                      <w:sz w:val="21"/>
                      <w:szCs w:val="21"/>
                      <w:lang w:val="en-US" w:eastAsia="zh-CN" w:bidi="ar"/>
                    </w:rPr>
                    <w:t>。</w:t>
                  </w:r>
                </w:p>
              </w:tc>
              <w:tc>
                <w:tcPr>
                  <w:tcW w:w="1025" w:type="dxa"/>
                  <w:gridSpan w:val="2"/>
                  <w:noWrap w:val="0"/>
                  <w:vAlign w:val="center"/>
                </w:tcPr>
                <w:p w14:paraId="32D9D34A">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olor w:val="000000"/>
                      <w:sz w:val="21"/>
                      <w:szCs w:val="21"/>
                    </w:rPr>
                  </w:pPr>
                  <w:r>
                    <w:rPr>
                      <w:rFonts w:hint="eastAsia"/>
                      <w:color w:val="000000"/>
                      <w:sz w:val="21"/>
                      <w:szCs w:val="21"/>
                    </w:rPr>
                    <w:t>符合</w:t>
                  </w:r>
                </w:p>
              </w:tc>
            </w:tr>
            <w:tr w14:paraId="26A1DB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788" w:type="dxa"/>
                  <w:vMerge w:val="continue"/>
                  <w:noWrap w:val="0"/>
                  <w:vAlign w:val="center"/>
                </w:tcPr>
                <w:p w14:paraId="2F092B53">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vertAlign w:val="baseline"/>
                      <w:lang w:val="en-US" w:eastAsia="zh-CN"/>
                    </w:rPr>
                  </w:pPr>
                </w:p>
              </w:tc>
              <w:tc>
                <w:tcPr>
                  <w:tcW w:w="865" w:type="dxa"/>
                  <w:gridSpan w:val="2"/>
                  <w:vMerge w:val="continue"/>
                  <w:noWrap w:val="0"/>
                  <w:vAlign w:val="center"/>
                </w:tcPr>
                <w:p w14:paraId="04A95C5E">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highlight w:val="none"/>
                      <w:vertAlign w:val="baseline"/>
                      <w:lang w:val="en-US" w:eastAsia="zh-CN"/>
                    </w:rPr>
                  </w:pPr>
                </w:p>
              </w:tc>
              <w:tc>
                <w:tcPr>
                  <w:tcW w:w="565" w:type="dxa"/>
                  <w:noWrap w:val="0"/>
                  <w:vAlign w:val="center"/>
                </w:tcPr>
                <w:p w14:paraId="44E0440A">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cs="Times New Roman"/>
                      <w:b w:val="0"/>
                      <w:bCs w:val="0"/>
                      <w:sz w:val="21"/>
                      <w:szCs w:val="21"/>
                      <w:highlight w:val="none"/>
                      <w:vertAlign w:val="baseline"/>
                      <w:lang w:val="en-US" w:eastAsia="zh-CN"/>
                    </w:rPr>
                  </w:pPr>
                  <w:r>
                    <w:rPr>
                      <w:rFonts w:hint="eastAsia" w:cs="Times New Roman"/>
                      <w:b w:val="0"/>
                      <w:bCs w:val="0"/>
                      <w:sz w:val="21"/>
                      <w:szCs w:val="21"/>
                      <w:highlight w:val="none"/>
                      <w:vertAlign w:val="baseline"/>
                      <w:lang w:val="en-US" w:eastAsia="zh-CN"/>
                    </w:rPr>
                    <w:t>环境风险防控</w:t>
                  </w:r>
                </w:p>
              </w:tc>
              <w:tc>
                <w:tcPr>
                  <w:tcW w:w="3779" w:type="dxa"/>
                  <w:gridSpan w:val="2"/>
                  <w:noWrap w:val="0"/>
                  <w:vAlign w:val="center"/>
                </w:tcPr>
                <w:p w14:paraId="3A0B9ECC">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高关注地块划分污染风险等级，纳入优先管控名录。</w:t>
                  </w:r>
                </w:p>
              </w:tc>
              <w:tc>
                <w:tcPr>
                  <w:tcW w:w="1917" w:type="dxa"/>
                  <w:gridSpan w:val="2"/>
                  <w:noWrap w:val="0"/>
                  <w:vAlign w:val="center"/>
                </w:tcPr>
                <w:p w14:paraId="66F08F43">
                  <w:pPr>
                    <w:keepNext w:val="0"/>
                    <w:keepLines w:val="0"/>
                    <w:pageBreakBefore w:val="0"/>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default" w:cs="Times New Roman"/>
                      <w:sz w:val="21"/>
                      <w:szCs w:val="21"/>
                      <w:lang w:val="en-US" w:eastAsia="zh-CN"/>
                    </w:rPr>
                  </w:pPr>
                  <w:r>
                    <w:rPr>
                      <w:rFonts w:hint="eastAsia" w:cs="Times New Roman"/>
                      <w:sz w:val="21"/>
                      <w:szCs w:val="21"/>
                      <w:lang w:val="en-US" w:eastAsia="zh-CN"/>
                    </w:rPr>
                    <w:t>本项目所在地不属于高关注地块。</w:t>
                  </w:r>
                </w:p>
              </w:tc>
              <w:tc>
                <w:tcPr>
                  <w:tcW w:w="1025" w:type="dxa"/>
                  <w:gridSpan w:val="2"/>
                  <w:noWrap w:val="0"/>
                  <w:vAlign w:val="center"/>
                </w:tcPr>
                <w:p w14:paraId="21954714">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olor w:val="000000"/>
                      <w:sz w:val="21"/>
                      <w:szCs w:val="21"/>
                    </w:rPr>
                  </w:pPr>
                  <w:r>
                    <w:rPr>
                      <w:rFonts w:hint="eastAsia"/>
                      <w:color w:val="000000"/>
                      <w:sz w:val="21"/>
                      <w:szCs w:val="21"/>
                    </w:rPr>
                    <w:t>符合</w:t>
                  </w:r>
                </w:p>
              </w:tc>
            </w:tr>
            <w:tr w14:paraId="540535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88" w:type="dxa"/>
                  <w:vMerge w:val="continue"/>
                  <w:tcBorders>
                    <w:bottom w:val="single" w:color="auto" w:sz="8" w:space="0"/>
                  </w:tcBorders>
                  <w:noWrap w:val="0"/>
                  <w:vAlign w:val="center"/>
                </w:tcPr>
                <w:p w14:paraId="57B22547">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eastAsia="zh-CN"/>
                    </w:rPr>
                  </w:pPr>
                </w:p>
              </w:tc>
              <w:tc>
                <w:tcPr>
                  <w:tcW w:w="865" w:type="dxa"/>
                  <w:gridSpan w:val="2"/>
                  <w:vMerge w:val="continue"/>
                  <w:tcBorders>
                    <w:bottom w:val="single" w:color="auto" w:sz="8" w:space="0"/>
                  </w:tcBorders>
                  <w:noWrap w:val="0"/>
                  <w:vAlign w:val="center"/>
                </w:tcPr>
                <w:p w14:paraId="65705AA6">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eastAsia" w:cs="Times New Roman"/>
                      <w:b w:val="0"/>
                      <w:bCs w:val="0"/>
                      <w:sz w:val="21"/>
                      <w:szCs w:val="21"/>
                      <w:vertAlign w:val="baseline"/>
                      <w:lang w:eastAsia="zh-CN"/>
                    </w:rPr>
                  </w:pPr>
                </w:p>
              </w:tc>
              <w:tc>
                <w:tcPr>
                  <w:tcW w:w="565" w:type="dxa"/>
                  <w:tcBorders>
                    <w:bottom w:val="single" w:color="auto" w:sz="8" w:space="0"/>
                  </w:tcBorders>
                  <w:noWrap w:val="0"/>
                  <w:vAlign w:val="center"/>
                </w:tcPr>
                <w:p w14:paraId="0F6D0073">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cs="Times New Roman"/>
                      <w:b w:val="0"/>
                      <w:bCs w:val="0"/>
                      <w:sz w:val="21"/>
                      <w:szCs w:val="21"/>
                      <w:vertAlign w:val="baseline"/>
                      <w:lang w:val="en-US" w:eastAsia="zh-CN"/>
                    </w:rPr>
                    <w:t>资源利用效率要求</w:t>
                  </w:r>
                </w:p>
              </w:tc>
              <w:tc>
                <w:tcPr>
                  <w:tcW w:w="3779" w:type="dxa"/>
                  <w:gridSpan w:val="2"/>
                  <w:tcBorders>
                    <w:bottom w:val="single" w:color="auto" w:sz="8" w:space="0"/>
                  </w:tcBorders>
                  <w:noWrap w:val="0"/>
                  <w:vAlign w:val="center"/>
                </w:tcPr>
                <w:p w14:paraId="56A14FF8">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进一步优化能源结构，加快集中供热、供气及配套管网建设。不得新改扩建分散燃煤设施。</w:t>
                  </w:r>
                </w:p>
              </w:tc>
              <w:tc>
                <w:tcPr>
                  <w:tcW w:w="1917" w:type="dxa"/>
                  <w:gridSpan w:val="2"/>
                  <w:tcBorders>
                    <w:bottom w:val="single" w:color="auto" w:sz="8" w:space="0"/>
                  </w:tcBorders>
                  <w:noWrap w:val="0"/>
                  <w:vAlign w:val="center"/>
                </w:tcPr>
                <w:p w14:paraId="5241DA85">
                  <w:pPr>
                    <w:keepNext w:val="0"/>
                    <w:keepLines w:val="0"/>
                    <w:pageBreakBefore w:val="0"/>
                    <w:suppressLineNumbers w:val="0"/>
                    <w:kinsoku/>
                    <w:wordWrap/>
                    <w:topLinePunct w:val="0"/>
                    <w:autoSpaceDE/>
                    <w:autoSpaceDN/>
                    <w:bidi w:val="0"/>
                    <w:adjustRightInd/>
                    <w:spacing w:before="0" w:beforeAutospacing="0" w:after="0" w:afterAutospacing="0"/>
                    <w:ind w:left="0" w:right="0" w:firstLine="0"/>
                    <w:jc w:val="both"/>
                    <w:textAlignment w:val="auto"/>
                    <w:outlineLvl w:val="9"/>
                    <w:rPr>
                      <w:rFonts w:hint="default" w:ascii="Times New Roman" w:hAnsi="Times New Roman" w:cs="Times New Roman"/>
                      <w:color w:val="000000"/>
                      <w:kern w:val="0"/>
                      <w:sz w:val="21"/>
                      <w:szCs w:val="21"/>
                      <w:lang w:val="en-US" w:eastAsia="zh-CN" w:bidi="ar"/>
                    </w:rPr>
                  </w:pPr>
                  <w:r>
                    <w:rPr>
                      <w:rFonts w:hint="eastAsia" w:cs="Times New Roman"/>
                      <w:color w:val="000000"/>
                      <w:kern w:val="0"/>
                      <w:sz w:val="21"/>
                      <w:szCs w:val="21"/>
                      <w:lang w:val="en-US" w:eastAsia="zh-CN" w:bidi="ar"/>
                    </w:rPr>
                    <w:t>本项目不涉及供热、供气。</w:t>
                  </w:r>
                </w:p>
              </w:tc>
              <w:tc>
                <w:tcPr>
                  <w:tcW w:w="1025" w:type="dxa"/>
                  <w:gridSpan w:val="2"/>
                  <w:tcBorders>
                    <w:bottom w:val="single" w:color="auto" w:sz="8" w:space="0"/>
                  </w:tcBorders>
                  <w:noWrap w:val="0"/>
                  <w:vAlign w:val="center"/>
                </w:tcPr>
                <w:p w14:paraId="7B18BA3B">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240" w:lineRule="auto"/>
                    <w:ind w:left="0" w:right="0" w:firstLine="0"/>
                    <w:jc w:val="center"/>
                    <w:textAlignment w:val="auto"/>
                    <w:outlineLvl w:val="9"/>
                    <w:rPr>
                      <w:rFonts w:hint="default" w:ascii="Times New Roman" w:hAnsi="Times New Roman" w:eastAsia="宋体" w:cs="Times New Roman"/>
                      <w:b w:val="0"/>
                      <w:bCs w:val="0"/>
                      <w:sz w:val="21"/>
                      <w:szCs w:val="21"/>
                      <w:vertAlign w:val="baseline"/>
                      <w:lang w:val="en-US" w:eastAsia="zh-CN"/>
                    </w:rPr>
                  </w:pPr>
                  <w:r>
                    <w:rPr>
                      <w:rFonts w:hint="eastAsia"/>
                      <w:color w:val="000000"/>
                      <w:sz w:val="21"/>
                      <w:szCs w:val="21"/>
                    </w:rPr>
                    <w:t>符合</w:t>
                  </w:r>
                </w:p>
              </w:tc>
            </w:tr>
          </w:tbl>
          <w:p w14:paraId="71D384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baseline"/>
              <w:rPr>
                <w:rFonts w:hint="default" w:ascii="Times New Roman" w:hAnsi="Times New Roman" w:cs="Times New Roman"/>
                <w:b/>
                <w:sz w:val="24"/>
              </w:rPr>
            </w:pPr>
            <w:r>
              <w:rPr>
                <w:rFonts w:hint="eastAsia" w:ascii="宋体" w:hAnsi="宋体"/>
                <w:bCs/>
                <w:color w:val="000000"/>
                <w:sz w:val="24"/>
                <w:lang w:val="en-US" w:eastAsia="zh-CN"/>
              </w:rPr>
              <w:t>由上表可知，本项目符合</w:t>
            </w:r>
            <w:r>
              <w:rPr>
                <w:rFonts w:hint="eastAsia" w:ascii="Times New Roman" w:hAnsi="Times New Roman" w:cs="Times New Roman"/>
                <w:b w:val="0"/>
                <w:bCs/>
                <w:sz w:val="24"/>
                <w:lang w:val="en-US" w:eastAsia="zh-CN"/>
              </w:rPr>
              <w:t>《新乡市“三线一单”生态环境准入清单》（</w:t>
            </w:r>
            <w:r>
              <w:rPr>
                <w:rFonts w:hint="eastAsia" w:cs="Times New Roman"/>
                <w:b w:val="0"/>
                <w:bCs/>
                <w:sz w:val="24"/>
                <w:lang w:val="en-US" w:eastAsia="zh-CN"/>
              </w:rPr>
              <w:t>2023年版</w:t>
            </w:r>
            <w:r>
              <w:rPr>
                <w:rFonts w:hint="eastAsia" w:ascii="Times New Roman" w:hAnsi="Times New Roman" w:cs="Times New Roman"/>
                <w:b w:val="0"/>
                <w:bCs/>
                <w:sz w:val="24"/>
                <w:lang w:val="en-US" w:eastAsia="zh-CN"/>
              </w:rPr>
              <w:t>）</w:t>
            </w:r>
            <w:r>
              <w:rPr>
                <w:rFonts w:hint="eastAsia" w:ascii="宋体" w:hAnsi="宋体"/>
                <w:bCs/>
                <w:color w:val="000000"/>
                <w:sz w:val="24"/>
                <w:lang w:val="en-US" w:eastAsia="zh-CN"/>
              </w:rPr>
              <w:t>中的相关内容的要求。</w:t>
            </w:r>
          </w:p>
          <w:p w14:paraId="0F7D8208">
            <w:pPr>
              <w:keepNext w:val="0"/>
              <w:keepLines w:val="0"/>
              <w:suppressLineNumbers w:val="0"/>
              <w:spacing w:before="0" w:beforeAutospacing="0" w:after="0" w:afterAutospacing="0" w:line="440" w:lineRule="exact"/>
              <w:ind w:left="0" w:right="0" w:firstLine="482" w:firstLineChars="200"/>
              <w:jc w:val="both"/>
              <w:textAlignment w:val="baseline"/>
              <w:rPr>
                <w:rFonts w:hint="eastAsia" w:ascii="宋体" w:hAnsi="宋体"/>
                <w:b/>
                <w:sz w:val="24"/>
              </w:rPr>
            </w:pPr>
            <w:r>
              <w:rPr>
                <w:rFonts w:hint="default" w:ascii="Times New Roman" w:hAnsi="Times New Roman" w:cs="Times New Roman"/>
                <w:b/>
                <w:sz w:val="24"/>
              </w:rPr>
              <w:t>2</w:t>
            </w:r>
            <w:r>
              <w:rPr>
                <w:rFonts w:hint="eastAsia" w:ascii="宋体" w:hAnsi="宋体"/>
                <w:b/>
                <w:sz w:val="24"/>
              </w:rPr>
              <w:t>、本项目与分类管理名录对照分析</w:t>
            </w:r>
          </w:p>
          <w:p w14:paraId="4C3C02F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ascii="Times New Roman" w:hAnsi="Times New Roman" w:cs="Times New Roman"/>
                <w:color w:val="000000"/>
                <w:sz w:val="24"/>
              </w:rPr>
            </w:pPr>
            <w:r>
              <w:rPr>
                <w:rFonts w:hint="default" w:ascii="Times New Roman" w:hAnsi="Times New Roman" w:cs="Times New Roman"/>
                <w:color w:val="000000"/>
                <w:sz w:val="24"/>
              </w:rPr>
              <w:t>经查阅《建设项目环境影响评价分类管理名录》（2021年版），本项目属于</w:t>
            </w:r>
            <w:r>
              <w:rPr>
                <w:rFonts w:hint="eastAsia" w:cs="Times New Roman"/>
                <w:color w:val="000000"/>
                <w:sz w:val="24"/>
                <w:lang w:val="en-US" w:eastAsia="zh-CN"/>
              </w:rPr>
              <w:t>十九</w:t>
            </w:r>
            <w:r>
              <w:rPr>
                <w:rFonts w:hint="default" w:ascii="Times New Roman" w:hAnsi="Times New Roman" w:cs="Times New Roman"/>
                <w:color w:val="000000"/>
                <w:sz w:val="24"/>
              </w:rPr>
              <w:t>、</w:t>
            </w:r>
            <w:r>
              <w:rPr>
                <w:rFonts w:hint="eastAsia" w:cs="Times New Roman"/>
                <w:color w:val="000000"/>
                <w:sz w:val="24"/>
                <w:lang w:val="en-US" w:eastAsia="zh-CN"/>
              </w:rPr>
              <w:t>造纸和纸制品业</w:t>
            </w:r>
            <w:r>
              <w:rPr>
                <w:rFonts w:hint="default" w:ascii="Times New Roman" w:hAnsi="Times New Roman" w:cs="Times New Roman"/>
                <w:color w:val="000000"/>
                <w:sz w:val="24"/>
              </w:rPr>
              <w:t>的第</w:t>
            </w:r>
            <w:r>
              <w:rPr>
                <w:rFonts w:hint="eastAsia" w:cs="Times New Roman"/>
                <w:color w:val="000000"/>
                <w:sz w:val="24"/>
                <w:lang w:val="en-US" w:eastAsia="zh-CN"/>
              </w:rPr>
              <w:t>37</w:t>
            </w:r>
            <w:r>
              <w:rPr>
                <w:rFonts w:hint="default" w:ascii="Times New Roman" w:hAnsi="Times New Roman" w:cs="Times New Roman"/>
                <w:color w:val="000000"/>
                <w:sz w:val="24"/>
              </w:rPr>
              <w:t>类：</w:t>
            </w:r>
            <w:r>
              <w:rPr>
                <w:rFonts w:hint="eastAsia" w:cs="Times New Roman"/>
                <w:color w:val="000000"/>
                <w:sz w:val="24"/>
                <w:lang w:val="en-US" w:eastAsia="zh-CN"/>
              </w:rPr>
              <w:t>造纸222*（含废纸造纸）</w:t>
            </w:r>
            <w:r>
              <w:rPr>
                <w:rFonts w:hint="default" w:ascii="Times New Roman" w:hAnsi="Times New Roman" w:cs="Times New Roman"/>
                <w:color w:val="000000"/>
                <w:sz w:val="24"/>
              </w:rPr>
              <w:t>。名录规定：</w:t>
            </w:r>
            <w:r>
              <w:rPr>
                <w:rFonts w:hint="eastAsia" w:cs="Times New Roman"/>
                <w:color w:val="000000"/>
                <w:sz w:val="24"/>
                <w:lang w:val="en-US" w:eastAsia="zh-CN"/>
              </w:rPr>
              <w:t>全部（手工纸、加工纸制造除外）应编制报告书；有涂布、浸渍、印刷、粘胶工艺的</w:t>
            </w:r>
            <w:r>
              <w:rPr>
                <w:rFonts w:hint="default" w:ascii="Times New Roman" w:hAnsi="Times New Roman" w:cs="Times New Roman"/>
                <w:color w:val="000000"/>
                <w:sz w:val="24"/>
              </w:rPr>
              <w:t>应编制环境影响报告表。本项目</w:t>
            </w:r>
            <w:r>
              <w:rPr>
                <w:rFonts w:hint="eastAsia" w:cs="Times New Roman"/>
                <w:color w:val="000000"/>
                <w:sz w:val="24"/>
                <w:lang w:val="en-US" w:eastAsia="zh-CN"/>
              </w:rPr>
              <w:t>涉及淋膜、印刷工序</w:t>
            </w:r>
            <w:r>
              <w:rPr>
                <w:rFonts w:hint="default" w:ascii="Times New Roman" w:hAnsi="Times New Roman" w:cs="Times New Roman"/>
                <w:color w:val="000000"/>
                <w:sz w:val="24"/>
              </w:rPr>
              <w:t>，应编制环境影响报告表。</w:t>
            </w:r>
          </w:p>
          <w:p w14:paraId="2E22097F">
            <w:pPr>
              <w:keepNext w:val="0"/>
              <w:keepLines w:val="0"/>
              <w:suppressLineNumbers w:val="0"/>
              <w:spacing w:before="0" w:beforeAutospacing="0" w:after="0" w:afterAutospacing="0" w:line="440" w:lineRule="exact"/>
              <w:ind w:left="0" w:right="0" w:firstLine="482" w:firstLineChars="200"/>
              <w:jc w:val="both"/>
              <w:rPr>
                <w:rFonts w:hint="default" w:ascii="宋体" w:hAnsi="宋体"/>
                <w:b/>
                <w:bCs/>
                <w:color w:val="000000"/>
                <w:sz w:val="24"/>
              </w:rPr>
            </w:pPr>
            <w:r>
              <w:rPr>
                <w:rFonts w:hint="default" w:ascii="Times New Roman" w:hAnsi="Times New Roman" w:cs="Times New Roman"/>
                <w:b/>
                <w:bCs/>
                <w:color w:val="000000"/>
                <w:sz w:val="24"/>
              </w:rPr>
              <w:t>3</w:t>
            </w:r>
            <w:r>
              <w:rPr>
                <w:rFonts w:hint="eastAsia" w:ascii="宋体" w:hAnsi="宋体"/>
                <w:b/>
                <w:bCs/>
                <w:color w:val="000000"/>
                <w:sz w:val="24"/>
              </w:rPr>
              <w:t>、项目建设与产业政策及备案相符性分析</w:t>
            </w:r>
          </w:p>
          <w:p w14:paraId="50B5EB3A">
            <w:pPr>
              <w:keepNext w:val="0"/>
              <w:keepLines w:val="0"/>
              <w:suppressLineNumbers w:val="0"/>
              <w:spacing w:before="0" w:beforeAutospacing="0" w:after="0" w:afterAutospacing="0" w:line="440" w:lineRule="exact"/>
              <w:ind w:left="0" w:right="0" w:firstLine="480" w:firstLineChars="200"/>
              <w:jc w:val="both"/>
              <w:rPr>
                <w:rFonts w:hint="default" w:ascii="宋体" w:hAnsi="宋体"/>
                <w:b/>
                <w:bCs/>
                <w:color w:val="000000"/>
                <w:sz w:val="24"/>
                <w:highlight w:val="none"/>
              </w:rPr>
            </w:pPr>
            <w:r>
              <w:rPr>
                <w:rFonts w:hint="default" w:ascii="宋体" w:hAnsi="宋体"/>
                <w:sz w:val="24"/>
                <w:highlight w:val="none"/>
              </w:rPr>
              <w:t>本项目已在</w:t>
            </w:r>
            <w:r>
              <w:rPr>
                <w:rFonts w:hint="eastAsia" w:ascii="宋体" w:hAnsi="宋体"/>
                <w:sz w:val="24"/>
                <w:highlight w:val="none"/>
                <w:lang w:val="en-US" w:eastAsia="zh-CN"/>
              </w:rPr>
              <w:t>新乡县发展和改革委员会</w:t>
            </w:r>
            <w:r>
              <w:rPr>
                <w:rFonts w:hint="default" w:ascii="宋体" w:hAnsi="宋体"/>
                <w:sz w:val="24"/>
                <w:highlight w:val="none"/>
              </w:rPr>
              <w:t>备案，项目代码</w:t>
            </w:r>
            <w:r>
              <w:rPr>
                <w:rFonts w:hint="eastAsia" w:cs="Times New Roman"/>
                <w:color w:val="auto"/>
                <w:sz w:val="24"/>
                <w:szCs w:val="24"/>
                <w:highlight w:val="none"/>
                <w:lang w:val="en-US" w:eastAsia="zh-CN"/>
              </w:rPr>
              <w:t>2507-410721-04-01-207376</w:t>
            </w:r>
            <w:r>
              <w:rPr>
                <w:rFonts w:hint="default" w:ascii="宋体" w:hAnsi="宋体"/>
                <w:sz w:val="24"/>
                <w:highlight w:val="none"/>
              </w:rPr>
              <w:t>。经查阅《产业结构调整指导目录》（</w:t>
            </w:r>
            <w:r>
              <w:rPr>
                <w:rFonts w:hint="default" w:ascii="Times New Roman" w:hAnsi="Times New Roman" w:cs="Times New Roman"/>
                <w:sz w:val="24"/>
                <w:highlight w:val="none"/>
              </w:rPr>
              <w:t>2024</w:t>
            </w:r>
            <w:r>
              <w:rPr>
                <w:rFonts w:hint="default" w:ascii="宋体" w:hAnsi="宋体"/>
                <w:sz w:val="24"/>
                <w:highlight w:val="none"/>
              </w:rPr>
              <w:t>年本），该项目属于“</w:t>
            </w:r>
            <w:r>
              <w:rPr>
                <w:rFonts w:hint="eastAsia" w:ascii="宋体" w:hAnsi="宋体"/>
                <w:sz w:val="24"/>
                <w:highlight w:val="none"/>
                <w:lang w:val="en-US" w:eastAsia="zh-CN"/>
              </w:rPr>
              <w:t>允许类</w:t>
            </w:r>
            <w:r>
              <w:rPr>
                <w:rFonts w:hint="default" w:ascii="宋体" w:hAnsi="宋体"/>
                <w:sz w:val="24"/>
                <w:highlight w:val="none"/>
              </w:rPr>
              <w:t>”，符合国家产业政策要求。</w:t>
            </w:r>
            <w:r>
              <w:rPr>
                <w:rFonts w:hint="default" w:ascii="宋体" w:hAnsi="宋体"/>
                <w:color w:val="000000"/>
                <w:sz w:val="24"/>
                <w:highlight w:val="none"/>
              </w:rPr>
              <w:t>本项目情况与产业政策一致性分析见表</w:t>
            </w:r>
            <w:r>
              <w:rPr>
                <w:rFonts w:hint="eastAsia" w:cs="Times New Roman"/>
                <w:color w:val="000000"/>
                <w:sz w:val="24"/>
                <w:highlight w:val="none"/>
                <w:lang w:val="en-US" w:eastAsia="zh-CN"/>
              </w:rPr>
              <w:t>3</w:t>
            </w:r>
            <w:r>
              <w:rPr>
                <w:rFonts w:hint="default" w:ascii="宋体" w:hAnsi="宋体"/>
                <w:color w:val="000000"/>
                <w:sz w:val="24"/>
                <w:highlight w:val="none"/>
              </w:rPr>
              <w:t>。</w:t>
            </w:r>
          </w:p>
          <w:p w14:paraId="5AC5D337">
            <w:pPr>
              <w:keepNext w:val="0"/>
              <w:keepLines w:val="0"/>
              <w:suppressLineNumbers w:val="0"/>
              <w:spacing w:before="0" w:beforeAutospacing="0" w:after="0" w:afterAutospacing="0" w:line="440" w:lineRule="exact"/>
              <w:ind w:left="0" w:right="0"/>
              <w:jc w:val="center"/>
              <w:textAlignment w:val="baseline"/>
              <w:rPr>
                <w:rFonts w:hint="default" w:eastAsia="黑体"/>
                <w:color w:val="000000"/>
                <w:sz w:val="24"/>
              </w:rPr>
            </w:pPr>
            <w:r>
              <w:rPr>
                <w:rFonts w:hint="default" w:ascii="宋体" w:hAnsi="宋体"/>
                <w:b/>
                <w:bCs/>
                <w:color w:val="000000"/>
                <w:sz w:val="24"/>
              </w:rPr>
              <w:t>表</w:t>
            </w:r>
            <w:r>
              <w:rPr>
                <w:rFonts w:hint="eastAsia" w:cs="Times New Roman"/>
                <w:b/>
                <w:bCs/>
                <w:color w:val="000000"/>
                <w:sz w:val="24"/>
                <w:lang w:val="en-US" w:eastAsia="zh-CN"/>
              </w:rPr>
              <w:t>3</w:t>
            </w:r>
            <w:r>
              <w:rPr>
                <w:rFonts w:hint="eastAsia" w:ascii="宋体" w:hAnsi="宋体"/>
                <w:b/>
                <w:bCs/>
                <w:color w:val="000000"/>
                <w:sz w:val="24"/>
                <w:lang w:val="en-US" w:eastAsia="zh-CN"/>
              </w:rPr>
              <w:t xml:space="preserve">  </w:t>
            </w:r>
            <w:r>
              <w:rPr>
                <w:rFonts w:hint="default" w:ascii="宋体" w:hAnsi="宋体"/>
                <w:b/>
                <w:bCs/>
                <w:color w:val="000000"/>
                <w:sz w:val="24"/>
              </w:rPr>
              <w:t>项目与产业政策一致性分析</w:t>
            </w:r>
          </w:p>
          <w:tbl>
            <w:tblPr>
              <w:tblStyle w:val="22"/>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31"/>
              <w:gridCol w:w="2790"/>
              <w:gridCol w:w="2093"/>
              <w:gridCol w:w="1120"/>
            </w:tblGrid>
            <w:tr w14:paraId="47F55E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32" w:type="dxa"/>
                  <w:tcBorders>
                    <w:top w:val="single" w:color="auto" w:sz="8" w:space="0"/>
                    <w:bottom w:val="single" w:color="auto" w:sz="8" w:space="0"/>
                  </w:tcBorders>
                  <w:noWrap w:val="0"/>
                  <w:vAlign w:val="center"/>
                </w:tcPr>
                <w:p w14:paraId="7146EF04">
                  <w:pPr>
                    <w:keepNext w:val="0"/>
                    <w:keepLines w:val="0"/>
                    <w:suppressLineNumbers w:val="0"/>
                    <w:adjustRightInd w:val="0"/>
                    <w:snapToGrid w:val="0"/>
                    <w:spacing w:before="0" w:beforeAutospacing="0" w:after="0" w:afterAutospacing="0"/>
                    <w:ind w:left="0" w:right="0"/>
                    <w:jc w:val="center"/>
                    <w:rPr>
                      <w:rFonts w:hint="default" w:ascii="宋体" w:hAnsi="宋体"/>
                      <w:b/>
                      <w:color w:val="000000"/>
                      <w:sz w:val="21"/>
                      <w:szCs w:val="21"/>
                    </w:rPr>
                  </w:pPr>
                  <w:r>
                    <w:rPr>
                      <w:rFonts w:hint="default" w:ascii="宋体" w:hAnsi="宋体"/>
                      <w:b/>
                      <w:color w:val="000000"/>
                      <w:sz w:val="21"/>
                      <w:szCs w:val="21"/>
                    </w:rPr>
                    <w:t>类 别</w:t>
                  </w:r>
                </w:p>
              </w:tc>
              <w:tc>
                <w:tcPr>
                  <w:tcW w:w="2791" w:type="dxa"/>
                  <w:tcBorders>
                    <w:top w:val="single" w:color="auto" w:sz="8" w:space="0"/>
                    <w:bottom w:val="single" w:color="auto" w:sz="8" w:space="0"/>
                  </w:tcBorders>
                  <w:noWrap w:val="0"/>
                  <w:vAlign w:val="center"/>
                </w:tcPr>
                <w:p w14:paraId="001DB1D8">
                  <w:pPr>
                    <w:keepNext w:val="0"/>
                    <w:keepLines w:val="0"/>
                    <w:suppressLineNumbers w:val="0"/>
                    <w:adjustRightInd w:val="0"/>
                    <w:snapToGrid w:val="0"/>
                    <w:spacing w:before="0" w:beforeAutospacing="0" w:after="0" w:afterAutospacing="0"/>
                    <w:ind w:left="0" w:right="0"/>
                    <w:jc w:val="center"/>
                    <w:rPr>
                      <w:rFonts w:hint="default" w:ascii="宋体" w:hAnsi="宋体"/>
                      <w:b/>
                      <w:color w:val="000000"/>
                      <w:sz w:val="21"/>
                      <w:szCs w:val="21"/>
                    </w:rPr>
                  </w:pPr>
                  <w:r>
                    <w:rPr>
                      <w:rFonts w:hint="default" w:ascii="宋体" w:hAnsi="宋体"/>
                      <w:b/>
                      <w:color w:val="000000"/>
                      <w:sz w:val="21"/>
                      <w:szCs w:val="21"/>
                    </w:rPr>
                    <w:t>内 容</w:t>
                  </w:r>
                </w:p>
              </w:tc>
              <w:tc>
                <w:tcPr>
                  <w:tcW w:w="2093" w:type="dxa"/>
                  <w:tcBorders>
                    <w:top w:val="single" w:color="auto" w:sz="8" w:space="0"/>
                    <w:bottom w:val="single" w:color="auto" w:sz="8" w:space="0"/>
                  </w:tcBorders>
                  <w:noWrap w:val="0"/>
                  <w:vAlign w:val="center"/>
                </w:tcPr>
                <w:p w14:paraId="28A9A41F">
                  <w:pPr>
                    <w:keepNext w:val="0"/>
                    <w:keepLines w:val="0"/>
                    <w:suppressLineNumbers w:val="0"/>
                    <w:adjustRightInd w:val="0"/>
                    <w:snapToGrid w:val="0"/>
                    <w:spacing w:before="0" w:beforeAutospacing="0" w:after="0" w:afterAutospacing="0"/>
                    <w:ind w:left="0" w:right="0"/>
                    <w:jc w:val="center"/>
                    <w:rPr>
                      <w:rFonts w:hint="default" w:ascii="宋体" w:hAnsi="宋体"/>
                      <w:b/>
                      <w:color w:val="000000"/>
                      <w:sz w:val="21"/>
                      <w:szCs w:val="21"/>
                    </w:rPr>
                  </w:pPr>
                  <w:r>
                    <w:rPr>
                      <w:rFonts w:hint="default" w:ascii="宋体" w:hAnsi="宋体"/>
                      <w:b/>
                      <w:color w:val="000000"/>
                      <w:sz w:val="21"/>
                      <w:szCs w:val="21"/>
                    </w:rPr>
                    <w:t>本项目情况</w:t>
                  </w:r>
                </w:p>
              </w:tc>
              <w:tc>
                <w:tcPr>
                  <w:tcW w:w="1120" w:type="dxa"/>
                  <w:tcBorders>
                    <w:top w:val="single" w:color="auto" w:sz="8" w:space="0"/>
                    <w:bottom w:val="single" w:color="auto" w:sz="8" w:space="0"/>
                  </w:tcBorders>
                  <w:noWrap w:val="0"/>
                  <w:vAlign w:val="center"/>
                </w:tcPr>
                <w:p w14:paraId="2BBEDDE0">
                  <w:pPr>
                    <w:keepNext w:val="0"/>
                    <w:keepLines w:val="0"/>
                    <w:suppressLineNumbers w:val="0"/>
                    <w:adjustRightInd w:val="0"/>
                    <w:snapToGrid w:val="0"/>
                    <w:spacing w:before="0" w:beforeAutospacing="0" w:after="0" w:afterAutospacing="0"/>
                    <w:ind w:left="0" w:right="0"/>
                    <w:jc w:val="center"/>
                    <w:rPr>
                      <w:rFonts w:hint="default" w:ascii="宋体" w:hAnsi="宋体"/>
                      <w:b/>
                      <w:color w:val="000000"/>
                      <w:sz w:val="21"/>
                      <w:szCs w:val="21"/>
                    </w:rPr>
                  </w:pPr>
                  <w:r>
                    <w:rPr>
                      <w:rFonts w:hint="default" w:ascii="宋体" w:hAnsi="宋体"/>
                      <w:b/>
                      <w:color w:val="000000"/>
                      <w:sz w:val="21"/>
                      <w:szCs w:val="21"/>
                    </w:rPr>
                    <w:t>相符性</w:t>
                  </w:r>
                </w:p>
              </w:tc>
            </w:tr>
            <w:tr w14:paraId="040230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32" w:type="dxa"/>
                  <w:tcBorders>
                    <w:top w:val="single" w:color="auto" w:sz="8" w:space="0"/>
                    <w:tl2br w:val="nil"/>
                    <w:tr2bl w:val="nil"/>
                  </w:tcBorders>
                  <w:noWrap w:val="0"/>
                  <w:vAlign w:val="center"/>
                </w:tcPr>
                <w:p w14:paraId="4AB00D1A">
                  <w:pPr>
                    <w:keepNext w:val="0"/>
                    <w:keepLines w:val="0"/>
                    <w:suppressLineNumbers w:val="0"/>
                    <w:adjustRightInd w:val="0"/>
                    <w:snapToGrid w:val="0"/>
                    <w:spacing w:before="0" w:beforeAutospacing="0" w:after="0" w:afterAutospacing="0"/>
                    <w:ind w:left="0" w:right="0"/>
                    <w:jc w:val="center"/>
                    <w:rPr>
                      <w:rFonts w:hint="default" w:ascii="宋体" w:hAnsi="宋体"/>
                      <w:color w:val="auto"/>
                      <w:sz w:val="21"/>
                      <w:szCs w:val="21"/>
                    </w:rPr>
                  </w:pPr>
                  <w:r>
                    <w:rPr>
                      <w:rFonts w:hint="eastAsia" w:ascii="宋体" w:hAnsi="宋体"/>
                      <w:color w:val="auto"/>
                      <w:sz w:val="21"/>
                      <w:szCs w:val="21"/>
                    </w:rPr>
                    <w:t>鼓励类</w:t>
                  </w:r>
                </w:p>
              </w:tc>
              <w:tc>
                <w:tcPr>
                  <w:tcW w:w="2791" w:type="dxa"/>
                  <w:tcBorders>
                    <w:top w:val="single" w:color="auto" w:sz="8" w:space="0"/>
                    <w:tl2br w:val="nil"/>
                    <w:tr2bl w:val="nil"/>
                  </w:tcBorders>
                  <w:noWrap w:val="0"/>
                  <w:vAlign w:val="center"/>
                </w:tcPr>
                <w:p w14:paraId="4BA4DDEF">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lang w:val="en-US" w:eastAsia="zh-CN"/>
                    </w:rPr>
                  </w:pPr>
                  <w:r>
                    <w:rPr>
                      <w:rFonts w:hint="eastAsia" w:ascii="宋体" w:hAnsi="宋体"/>
                      <w:color w:val="auto"/>
                      <w:sz w:val="21"/>
                      <w:szCs w:val="21"/>
                    </w:rPr>
                    <w:t>查无相关对应条款</w:t>
                  </w:r>
                </w:p>
              </w:tc>
              <w:tc>
                <w:tcPr>
                  <w:tcW w:w="2093" w:type="dxa"/>
                  <w:vMerge w:val="restart"/>
                  <w:tcBorders>
                    <w:top w:val="single" w:color="auto" w:sz="8" w:space="0"/>
                    <w:tl2br w:val="nil"/>
                    <w:tr2bl w:val="nil"/>
                  </w:tcBorders>
                  <w:noWrap w:val="0"/>
                  <w:vAlign w:val="center"/>
                </w:tcPr>
                <w:p w14:paraId="6218FC10">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default"/>
                      <w:sz w:val="21"/>
                      <w:szCs w:val="21"/>
                    </w:rPr>
                    <w:t>本项目使用食品级原纸、</w:t>
                  </w:r>
                  <w:r>
                    <w:rPr>
                      <w:rFonts w:hint="eastAsia"/>
                      <w:sz w:val="21"/>
                      <w:szCs w:val="21"/>
                      <w:lang w:val="en-US" w:eastAsia="zh-CN"/>
                    </w:rPr>
                    <w:t>中石化食品级</w:t>
                  </w:r>
                  <w:r>
                    <w:rPr>
                      <w:rFonts w:hint="eastAsia"/>
                      <w:sz w:val="21"/>
                      <w:szCs w:val="21"/>
                    </w:rPr>
                    <w:t>PE颗粒、</w:t>
                  </w:r>
                  <w:r>
                    <w:rPr>
                      <w:rFonts w:hint="eastAsia"/>
                      <w:sz w:val="21"/>
                      <w:szCs w:val="21"/>
                      <w:lang w:val="en-US" w:eastAsia="zh-CN"/>
                    </w:rPr>
                    <w:t>食品级油墨（</w:t>
                  </w:r>
                  <w:r>
                    <w:rPr>
                      <w:rFonts w:hint="eastAsia"/>
                      <w:sz w:val="21"/>
                      <w:szCs w:val="21"/>
                    </w:rPr>
                    <w:t>水性油墨</w:t>
                  </w:r>
                  <w:r>
                    <w:rPr>
                      <w:rFonts w:hint="eastAsia"/>
                      <w:sz w:val="21"/>
                      <w:szCs w:val="21"/>
                      <w:lang w:val="en-US" w:eastAsia="zh-CN"/>
                    </w:rPr>
                    <w:t>）</w:t>
                  </w:r>
                  <w:r>
                    <w:rPr>
                      <w:rFonts w:hint="eastAsia"/>
                      <w:sz w:val="21"/>
                      <w:szCs w:val="21"/>
                    </w:rPr>
                    <w:t>，经淋膜</w:t>
                  </w:r>
                  <w:r>
                    <w:rPr>
                      <w:rFonts w:hint="default"/>
                      <w:sz w:val="21"/>
                      <w:szCs w:val="21"/>
                    </w:rPr>
                    <w:t>、印刷、分切、模切工序生产食品级淋膜纸。</w:t>
                  </w:r>
                </w:p>
              </w:tc>
              <w:tc>
                <w:tcPr>
                  <w:tcW w:w="1120" w:type="dxa"/>
                  <w:tcBorders>
                    <w:top w:val="single" w:color="auto" w:sz="8" w:space="0"/>
                    <w:tl2br w:val="nil"/>
                    <w:tr2bl w:val="nil"/>
                  </w:tcBorders>
                  <w:noWrap w:val="0"/>
                  <w:vAlign w:val="center"/>
                </w:tcPr>
                <w:p w14:paraId="0B7C5F5B">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lang w:val="en-US" w:eastAsia="zh-CN"/>
                    </w:rPr>
                  </w:pPr>
                  <w:r>
                    <w:rPr>
                      <w:rFonts w:hint="eastAsia" w:ascii="宋体" w:hAnsi="宋体" w:eastAsia="宋体" w:cs="宋体"/>
                      <w:color w:val="auto"/>
                      <w:sz w:val="21"/>
                      <w:szCs w:val="21"/>
                      <w:lang w:val="en-US" w:eastAsia="zh-CN"/>
                    </w:rPr>
                    <w:t>/</w:t>
                  </w:r>
                </w:p>
              </w:tc>
            </w:tr>
            <w:tr w14:paraId="633A08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32" w:type="dxa"/>
                  <w:tcBorders>
                    <w:tl2br w:val="nil"/>
                    <w:tr2bl w:val="nil"/>
                  </w:tcBorders>
                  <w:noWrap w:val="0"/>
                  <w:vAlign w:val="center"/>
                </w:tcPr>
                <w:p w14:paraId="52C92518">
                  <w:pPr>
                    <w:keepNext w:val="0"/>
                    <w:keepLines w:val="0"/>
                    <w:suppressLineNumbers w:val="0"/>
                    <w:adjustRightInd w:val="0"/>
                    <w:snapToGrid w:val="0"/>
                    <w:spacing w:before="0" w:beforeAutospacing="0" w:after="0" w:afterAutospacing="0"/>
                    <w:ind w:left="0" w:right="0"/>
                    <w:jc w:val="center"/>
                    <w:rPr>
                      <w:rFonts w:hint="default" w:ascii="宋体" w:hAnsi="宋体"/>
                      <w:color w:val="000000"/>
                      <w:sz w:val="21"/>
                      <w:szCs w:val="21"/>
                    </w:rPr>
                  </w:pPr>
                  <w:r>
                    <w:rPr>
                      <w:rFonts w:hint="eastAsia" w:ascii="宋体" w:hAnsi="宋体"/>
                      <w:color w:val="000000"/>
                      <w:sz w:val="21"/>
                      <w:szCs w:val="21"/>
                    </w:rPr>
                    <w:t>限制类</w:t>
                  </w:r>
                </w:p>
              </w:tc>
              <w:tc>
                <w:tcPr>
                  <w:tcW w:w="2791" w:type="dxa"/>
                  <w:tcBorders>
                    <w:tl2br w:val="nil"/>
                    <w:tr2bl w:val="nil"/>
                  </w:tcBorders>
                  <w:noWrap w:val="0"/>
                  <w:vAlign w:val="center"/>
                </w:tcPr>
                <w:p w14:paraId="34B39801">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rPr>
                    <w:t>查无相关对应条款</w:t>
                  </w:r>
                </w:p>
              </w:tc>
              <w:tc>
                <w:tcPr>
                  <w:tcW w:w="2093" w:type="dxa"/>
                  <w:vMerge w:val="continue"/>
                  <w:tcBorders>
                    <w:tl2br w:val="nil"/>
                    <w:tr2bl w:val="nil"/>
                  </w:tcBorders>
                  <w:noWrap w:val="0"/>
                  <w:vAlign w:val="center"/>
                </w:tcPr>
                <w:p w14:paraId="4467CDF0">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p>
              </w:tc>
              <w:tc>
                <w:tcPr>
                  <w:tcW w:w="1120" w:type="dxa"/>
                  <w:tcBorders>
                    <w:tl2br w:val="nil"/>
                    <w:tr2bl w:val="nil"/>
                  </w:tcBorders>
                  <w:noWrap w:val="0"/>
                  <w:vAlign w:val="center"/>
                </w:tcPr>
                <w:p w14:paraId="3E329960">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rPr>
                    <w:t>/</w:t>
                  </w:r>
                </w:p>
              </w:tc>
            </w:tr>
            <w:tr w14:paraId="0D02AB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32" w:type="dxa"/>
                  <w:tcBorders>
                    <w:tl2br w:val="nil"/>
                    <w:tr2bl w:val="nil"/>
                  </w:tcBorders>
                  <w:noWrap w:val="0"/>
                  <w:vAlign w:val="center"/>
                </w:tcPr>
                <w:p w14:paraId="63441759">
                  <w:pPr>
                    <w:keepNext w:val="0"/>
                    <w:keepLines w:val="0"/>
                    <w:suppressLineNumbers w:val="0"/>
                    <w:adjustRightInd w:val="0"/>
                    <w:snapToGrid w:val="0"/>
                    <w:spacing w:before="0" w:beforeAutospacing="0" w:after="0" w:afterAutospacing="0"/>
                    <w:ind w:left="0" w:right="0"/>
                    <w:jc w:val="center"/>
                    <w:rPr>
                      <w:rFonts w:hint="default" w:ascii="宋体" w:hAnsi="宋体"/>
                      <w:color w:val="000000"/>
                      <w:sz w:val="21"/>
                      <w:szCs w:val="21"/>
                    </w:rPr>
                  </w:pPr>
                  <w:r>
                    <w:rPr>
                      <w:rFonts w:hint="eastAsia" w:ascii="宋体" w:hAnsi="宋体"/>
                      <w:color w:val="000000"/>
                      <w:sz w:val="21"/>
                      <w:szCs w:val="21"/>
                    </w:rPr>
                    <w:t>淘汰类（落后生产工艺装备）</w:t>
                  </w:r>
                </w:p>
              </w:tc>
              <w:tc>
                <w:tcPr>
                  <w:tcW w:w="2791" w:type="dxa"/>
                  <w:tcBorders>
                    <w:tl2br w:val="nil"/>
                    <w:tr2bl w:val="nil"/>
                  </w:tcBorders>
                  <w:noWrap w:val="0"/>
                  <w:vAlign w:val="center"/>
                </w:tcPr>
                <w:p w14:paraId="24054CD5">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rPr>
                    <w:t>查无相关对应条款</w:t>
                  </w:r>
                </w:p>
              </w:tc>
              <w:tc>
                <w:tcPr>
                  <w:tcW w:w="2093" w:type="dxa"/>
                  <w:vMerge w:val="continue"/>
                  <w:tcBorders>
                    <w:tl2br w:val="nil"/>
                    <w:tr2bl w:val="nil"/>
                  </w:tcBorders>
                  <w:noWrap w:val="0"/>
                  <w:vAlign w:val="center"/>
                </w:tcPr>
                <w:p w14:paraId="614684AE">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p>
              </w:tc>
              <w:tc>
                <w:tcPr>
                  <w:tcW w:w="1120" w:type="dxa"/>
                  <w:tcBorders>
                    <w:tl2br w:val="nil"/>
                    <w:tr2bl w:val="nil"/>
                  </w:tcBorders>
                  <w:noWrap w:val="0"/>
                  <w:vAlign w:val="center"/>
                </w:tcPr>
                <w:p w14:paraId="28E37E2C">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rPr>
                    <w:t>/</w:t>
                  </w:r>
                </w:p>
              </w:tc>
            </w:tr>
            <w:tr w14:paraId="0CF46E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32" w:type="dxa"/>
                  <w:tcBorders>
                    <w:bottom w:val="single" w:color="auto" w:sz="8" w:space="0"/>
                  </w:tcBorders>
                  <w:noWrap w:val="0"/>
                  <w:vAlign w:val="center"/>
                </w:tcPr>
                <w:p w14:paraId="48888615">
                  <w:pPr>
                    <w:keepNext w:val="0"/>
                    <w:keepLines w:val="0"/>
                    <w:suppressLineNumbers w:val="0"/>
                    <w:adjustRightInd w:val="0"/>
                    <w:snapToGrid w:val="0"/>
                    <w:spacing w:before="0" w:beforeAutospacing="0" w:after="0" w:afterAutospacing="0"/>
                    <w:ind w:left="0" w:right="0"/>
                    <w:jc w:val="center"/>
                    <w:rPr>
                      <w:rFonts w:hint="default" w:ascii="宋体" w:hAnsi="宋体"/>
                      <w:color w:val="000000"/>
                      <w:sz w:val="21"/>
                      <w:szCs w:val="21"/>
                    </w:rPr>
                  </w:pPr>
                  <w:r>
                    <w:rPr>
                      <w:rFonts w:hint="eastAsia" w:ascii="宋体" w:hAnsi="宋体"/>
                      <w:color w:val="000000"/>
                      <w:sz w:val="21"/>
                      <w:szCs w:val="21"/>
                    </w:rPr>
                    <w:t>淘汰类（落后产品）</w:t>
                  </w:r>
                </w:p>
              </w:tc>
              <w:tc>
                <w:tcPr>
                  <w:tcW w:w="2791" w:type="dxa"/>
                  <w:tcBorders>
                    <w:bottom w:val="single" w:color="auto" w:sz="8" w:space="0"/>
                  </w:tcBorders>
                  <w:noWrap w:val="0"/>
                  <w:vAlign w:val="center"/>
                </w:tcPr>
                <w:p w14:paraId="0151DC3C">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rPr>
                    <w:t>查无相关对应条款</w:t>
                  </w:r>
                </w:p>
              </w:tc>
              <w:tc>
                <w:tcPr>
                  <w:tcW w:w="2093" w:type="dxa"/>
                  <w:vMerge w:val="continue"/>
                  <w:tcBorders>
                    <w:bottom w:val="single" w:color="auto" w:sz="8" w:space="0"/>
                  </w:tcBorders>
                  <w:noWrap w:val="0"/>
                  <w:vAlign w:val="center"/>
                </w:tcPr>
                <w:p w14:paraId="3068CBA2">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p>
              </w:tc>
              <w:tc>
                <w:tcPr>
                  <w:tcW w:w="1120" w:type="dxa"/>
                  <w:tcBorders>
                    <w:bottom w:val="single" w:color="auto" w:sz="8" w:space="0"/>
                  </w:tcBorders>
                  <w:noWrap w:val="0"/>
                  <w:vAlign w:val="center"/>
                </w:tcPr>
                <w:p w14:paraId="2078AD78">
                  <w:pPr>
                    <w:keepNext w:val="0"/>
                    <w:keepLines w:val="0"/>
                    <w:suppressLineNumbers w:val="0"/>
                    <w:adjustRightInd w:val="0"/>
                    <w:snapToGrid w:val="0"/>
                    <w:spacing w:before="0" w:beforeAutospacing="0" w:after="0" w:afterAutospacing="0"/>
                    <w:ind w:left="0" w:right="0"/>
                    <w:jc w:val="center"/>
                    <w:rPr>
                      <w:rFonts w:hint="default" w:hAnsi="宋体"/>
                      <w:color w:val="000000"/>
                      <w:sz w:val="21"/>
                      <w:szCs w:val="21"/>
                    </w:rPr>
                  </w:pPr>
                  <w:r>
                    <w:rPr>
                      <w:rFonts w:hint="eastAsia" w:ascii="宋体" w:hAnsi="宋体"/>
                      <w:color w:val="000000"/>
                      <w:sz w:val="21"/>
                      <w:szCs w:val="21"/>
                    </w:rPr>
                    <w:t>/</w:t>
                  </w:r>
                </w:p>
              </w:tc>
            </w:tr>
          </w:tbl>
          <w:p w14:paraId="5AA0333A">
            <w:pPr>
              <w:keepNext w:val="0"/>
              <w:keepLines w:val="0"/>
              <w:suppressLineNumbers w:val="0"/>
              <w:spacing w:before="0" w:beforeAutospacing="0" w:after="0" w:afterAutospacing="0" w:line="440" w:lineRule="exact"/>
              <w:ind w:left="0" w:right="0" w:firstLine="480" w:firstLineChars="200"/>
              <w:jc w:val="both"/>
              <w:rPr>
                <w:rFonts w:hint="default" w:ascii="宋体" w:hAnsi="宋体"/>
                <w:b/>
                <w:bCs/>
                <w:color w:val="auto"/>
                <w:sz w:val="24"/>
                <w:highlight w:val="none"/>
              </w:rPr>
            </w:pPr>
            <w:r>
              <w:rPr>
                <w:rFonts w:hint="default" w:hAnsi="宋体"/>
                <w:color w:val="000000"/>
                <w:sz w:val="24"/>
                <w:highlight w:val="none"/>
              </w:rPr>
              <w:t>本项目与备案一致性分析见表</w:t>
            </w:r>
            <w:r>
              <w:rPr>
                <w:rFonts w:hint="eastAsia" w:cs="Times New Roman"/>
                <w:color w:val="000000"/>
                <w:sz w:val="24"/>
                <w:highlight w:val="none"/>
                <w:lang w:val="en-US" w:eastAsia="zh-CN"/>
              </w:rPr>
              <w:t>4</w:t>
            </w:r>
            <w:r>
              <w:rPr>
                <w:rFonts w:hint="default" w:hAnsi="宋体"/>
                <w:color w:val="000000"/>
                <w:sz w:val="24"/>
                <w:highlight w:val="none"/>
              </w:rPr>
              <w:t>。</w:t>
            </w:r>
          </w:p>
          <w:p w14:paraId="54A8B193">
            <w:pPr>
              <w:keepNext w:val="0"/>
              <w:keepLines w:val="0"/>
              <w:suppressLineNumbers w:val="0"/>
              <w:spacing w:before="0" w:beforeAutospacing="0" w:after="0" w:afterAutospacing="0" w:line="440" w:lineRule="exact"/>
              <w:ind w:left="0" w:right="0"/>
              <w:jc w:val="center"/>
              <w:textAlignment w:val="baseline"/>
              <w:rPr>
                <w:rFonts w:hint="default" w:eastAsia="黑体"/>
                <w:color w:val="auto"/>
                <w:sz w:val="24"/>
                <w:highlight w:val="none"/>
              </w:rPr>
            </w:pPr>
            <w:r>
              <w:rPr>
                <w:rFonts w:hint="default" w:ascii="宋体" w:hAnsi="宋体"/>
                <w:b/>
                <w:bCs/>
                <w:color w:val="auto"/>
                <w:sz w:val="24"/>
                <w:highlight w:val="none"/>
              </w:rPr>
              <w:t>表</w:t>
            </w:r>
            <w:r>
              <w:rPr>
                <w:rFonts w:hint="eastAsia" w:cs="Times New Roman"/>
                <w:b/>
                <w:bCs/>
                <w:color w:val="auto"/>
                <w:sz w:val="24"/>
                <w:highlight w:val="none"/>
                <w:lang w:val="en-US" w:eastAsia="zh-CN"/>
              </w:rPr>
              <w:t>4</w:t>
            </w:r>
            <w:r>
              <w:rPr>
                <w:rFonts w:hint="default" w:ascii="宋体" w:hAnsi="宋体"/>
                <w:b/>
                <w:bCs/>
                <w:color w:val="auto"/>
                <w:sz w:val="24"/>
                <w:highlight w:val="none"/>
              </w:rPr>
              <w:t xml:space="preserve"> </w:t>
            </w:r>
            <w:r>
              <w:rPr>
                <w:rFonts w:hint="eastAsia" w:ascii="宋体" w:hAnsi="宋体"/>
                <w:b/>
                <w:bCs/>
                <w:color w:val="auto"/>
                <w:sz w:val="24"/>
                <w:highlight w:val="none"/>
                <w:lang w:val="en-US" w:eastAsia="zh-CN"/>
              </w:rPr>
              <w:t xml:space="preserve"> </w:t>
            </w:r>
            <w:r>
              <w:rPr>
                <w:rFonts w:hint="default" w:ascii="宋体" w:hAnsi="宋体"/>
                <w:b/>
                <w:bCs/>
                <w:color w:val="auto"/>
                <w:sz w:val="24"/>
                <w:highlight w:val="none"/>
              </w:rPr>
              <w:t>本项目与备案一致性分析一览表</w:t>
            </w:r>
          </w:p>
          <w:tbl>
            <w:tblPr>
              <w:tblStyle w:val="22"/>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Layout w:type="fixed"/>
              <w:tblCellMar>
                <w:top w:w="0" w:type="dxa"/>
                <w:left w:w="108" w:type="dxa"/>
                <w:bottom w:w="0" w:type="dxa"/>
                <w:right w:w="108" w:type="dxa"/>
              </w:tblCellMar>
            </w:tblPr>
            <w:tblGrid>
              <w:gridCol w:w="1092"/>
              <w:gridCol w:w="3443"/>
              <w:gridCol w:w="3433"/>
              <w:gridCol w:w="866"/>
            </w:tblGrid>
            <w:tr w14:paraId="2B8F5AA5">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1091" w:type="dxa"/>
                  <w:tcBorders>
                    <w:top w:val="single" w:color="auto" w:sz="8" w:space="0"/>
                    <w:bottom w:val="single" w:color="auto" w:sz="8" w:space="0"/>
                  </w:tcBorders>
                  <w:noWrap w:val="0"/>
                  <w:vAlign w:val="center"/>
                </w:tcPr>
                <w:p w14:paraId="067BCFD6">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名称</w:t>
                  </w:r>
                </w:p>
              </w:tc>
              <w:tc>
                <w:tcPr>
                  <w:tcW w:w="3440" w:type="dxa"/>
                  <w:tcBorders>
                    <w:top w:val="single" w:color="auto" w:sz="8" w:space="0"/>
                    <w:bottom w:val="single" w:color="auto" w:sz="8" w:space="0"/>
                  </w:tcBorders>
                  <w:noWrap w:val="0"/>
                  <w:vAlign w:val="center"/>
                </w:tcPr>
                <w:p w14:paraId="719EC830">
                  <w:pPr>
                    <w:keepNext w:val="0"/>
                    <w:keepLines w:val="0"/>
                    <w:suppressLineNumbers w:val="0"/>
                    <w:adjustRightInd w:val="0"/>
                    <w:snapToGrid w:val="0"/>
                    <w:spacing w:before="0" w:beforeAutospacing="0" w:after="0" w:afterAutospacing="0"/>
                    <w:ind w:left="0" w:right="0"/>
                    <w:jc w:val="center"/>
                    <w:rPr>
                      <w:rFonts w:hint="eastAsia" w:eastAsia="宋体"/>
                      <w:b/>
                      <w:color w:val="auto"/>
                      <w:sz w:val="21"/>
                      <w:szCs w:val="21"/>
                      <w:highlight w:val="none"/>
                      <w:lang w:val="en-US" w:eastAsia="zh-CN"/>
                    </w:rPr>
                  </w:pPr>
                  <w:r>
                    <w:rPr>
                      <w:rFonts w:hint="default" w:hAnsi="宋体"/>
                      <w:b/>
                      <w:color w:val="auto"/>
                      <w:sz w:val="21"/>
                      <w:szCs w:val="21"/>
                      <w:highlight w:val="none"/>
                    </w:rPr>
                    <w:t>项目备案</w:t>
                  </w:r>
                  <w:r>
                    <w:rPr>
                      <w:rFonts w:hint="eastAsia" w:hAnsi="宋体"/>
                      <w:b/>
                      <w:color w:val="auto"/>
                      <w:sz w:val="21"/>
                      <w:szCs w:val="21"/>
                      <w:highlight w:val="none"/>
                      <w:lang w:val="en-US" w:eastAsia="zh-CN"/>
                    </w:rPr>
                    <w:t>情况</w:t>
                  </w:r>
                </w:p>
              </w:tc>
              <w:tc>
                <w:tcPr>
                  <w:tcW w:w="3430" w:type="dxa"/>
                  <w:tcBorders>
                    <w:top w:val="single" w:color="auto" w:sz="8" w:space="0"/>
                    <w:bottom w:val="single" w:color="auto" w:sz="8" w:space="0"/>
                  </w:tcBorders>
                  <w:noWrap w:val="0"/>
                  <w:vAlign w:val="center"/>
                </w:tcPr>
                <w:p w14:paraId="1BE2B791">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eastAsia" w:hAnsi="宋体"/>
                      <w:b/>
                      <w:color w:val="auto"/>
                      <w:sz w:val="21"/>
                      <w:szCs w:val="21"/>
                      <w:highlight w:val="none"/>
                      <w:lang w:eastAsia="zh-CN"/>
                    </w:rPr>
                    <w:t>本</w:t>
                  </w:r>
                  <w:r>
                    <w:rPr>
                      <w:rFonts w:hint="default" w:hAnsi="宋体"/>
                      <w:b/>
                      <w:color w:val="auto"/>
                      <w:sz w:val="21"/>
                      <w:szCs w:val="21"/>
                      <w:highlight w:val="none"/>
                    </w:rPr>
                    <w:t>项目</w:t>
                  </w:r>
                  <w:r>
                    <w:rPr>
                      <w:rFonts w:hint="eastAsia" w:hAnsi="宋体"/>
                      <w:b/>
                      <w:color w:val="auto"/>
                      <w:sz w:val="21"/>
                      <w:szCs w:val="21"/>
                      <w:highlight w:val="none"/>
                      <w:lang w:val="en-US" w:eastAsia="zh-CN"/>
                    </w:rPr>
                    <w:t>环评</w:t>
                  </w:r>
                  <w:r>
                    <w:rPr>
                      <w:rFonts w:hint="default" w:hAnsi="宋体"/>
                      <w:b/>
                      <w:color w:val="auto"/>
                      <w:sz w:val="21"/>
                      <w:szCs w:val="21"/>
                      <w:highlight w:val="none"/>
                    </w:rPr>
                    <w:t>情况</w:t>
                  </w:r>
                </w:p>
              </w:tc>
              <w:tc>
                <w:tcPr>
                  <w:tcW w:w="865" w:type="dxa"/>
                  <w:tcBorders>
                    <w:top w:val="single" w:color="auto" w:sz="8" w:space="0"/>
                    <w:bottom w:val="single" w:color="auto" w:sz="8" w:space="0"/>
                  </w:tcBorders>
                  <w:noWrap w:val="0"/>
                  <w:vAlign w:val="center"/>
                </w:tcPr>
                <w:p w14:paraId="779215FF">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相符性</w:t>
                  </w:r>
                </w:p>
              </w:tc>
            </w:tr>
            <w:tr w14:paraId="3B23D39A">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1091" w:type="dxa"/>
                  <w:tcBorders>
                    <w:top w:val="single" w:color="auto" w:sz="8" w:space="0"/>
                    <w:tl2br w:val="nil"/>
                    <w:tr2bl w:val="nil"/>
                  </w:tcBorders>
                  <w:noWrap w:val="0"/>
                  <w:vAlign w:val="center"/>
                </w:tcPr>
                <w:p w14:paraId="62BAF1EF">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公司名称</w:t>
                  </w:r>
                </w:p>
              </w:tc>
              <w:tc>
                <w:tcPr>
                  <w:tcW w:w="3440" w:type="dxa"/>
                  <w:tcBorders>
                    <w:top w:val="single" w:color="auto" w:sz="8" w:space="0"/>
                    <w:tl2br w:val="nil"/>
                    <w:tr2bl w:val="nil"/>
                  </w:tcBorders>
                  <w:noWrap w:val="0"/>
                  <w:vAlign w:val="center"/>
                </w:tcPr>
                <w:p w14:paraId="14517AEF">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bidi="ar"/>
                    </w:rPr>
                  </w:pPr>
                  <w:r>
                    <w:rPr>
                      <w:rFonts w:hint="eastAsia" w:ascii="宋体" w:hAnsi="宋体" w:cs="宋体"/>
                      <w:color w:val="auto"/>
                      <w:sz w:val="21"/>
                      <w:szCs w:val="21"/>
                      <w:highlight w:val="none"/>
                      <w:lang w:eastAsia="zh-CN"/>
                    </w:rPr>
                    <w:t>河南</w:t>
                  </w:r>
                  <w:r>
                    <w:rPr>
                      <w:rFonts w:hint="eastAsia" w:ascii="宋体" w:hAnsi="宋体" w:cs="宋体"/>
                      <w:color w:val="auto"/>
                      <w:sz w:val="21"/>
                      <w:szCs w:val="21"/>
                      <w:highlight w:val="none"/>
                      <w:lang w:val="en-US" w:eastAsia="zh-CN"/>
                    </w:rPr>
                    <w:t>丰盛源纸业</w:t>
                  </w:r>
                  <w:r>
                    <w:rPr>
                      <w:rFonts w:hint="eastAsia" w:ascii="宋体" w:hAnsi="宋体" w:cs="宋体"/>
                      <w:color w:val="auto"/>
                      <w:sz w:val="21"/>
                      <w:szCs w:val="21"/>
                      <w:highlight w:val="none"/>
                      <w:lang w:eastAsia="zh-CN"/>
                    </w:rPr>
                    <w:t>有限公司</w:t>
                  </w:r>
                </w:p>
              </w:tc>
              <w:tc>
                <w:tcPr>
                  <w:tcW w:w="3430" w:type="dxa"/>
                  <w:tcBorders>
                    <w:top w:val="single" w:color="auto" w:sz="8" w:space="0"/>
                    <w:tl2br w:val="nil"/>
                    <w:tr2bl w:val="nil"/>
                  </w:tcBorders>
                  <w:noWrap w:val="0"/>
                  <w:vAlign w:val="center"/>
                </w:tcPr>
                <w:p w14:paraId="71E05B8A">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
                    </w:rPr>
                  </w:pPr>
                  <w:r>
                    <w:rPr>
                      <w:rFonts w:hint="eastAsia" w:ascii="宋体" w:hAnsi="宋体" w:cs="宋体"/>
                      <w:color w:val="auto"/>
                      <w:sz w:val="21"/>
                      <w:szCs w:val="21"/>
                      <w:highlight w:val="none"/>
                      <w:lang w:eastAsia="zh-CN"/>
                    </w:rPr>
                    <w:t>河南</w:t>
                  </w:r>
                  <w:r>
                    <w:rPr>
                      <w:rFonts w:hint="eastAsia" w:ascii="宋体" w:hAnsi="宋体" w:cs="宋体"/>
                      <w:color w:val="auto"/>
                      <w:sz w:val="21"/>
                      <w:szCs w:val="21"/>
                      <w:highlight w:val="none"/>
                      <w:lang w:val="en-US" w:eastAsia="zh-CN"/>
                    </w:rPr>
                    <w:t>丰盛源纸业</w:t>
                  </w:r>
                  <w:r>
                    <w:rPr>
                      <w:rFonts w:hint="eastAsia" w:ascii="宋体" w:hAnsi="宋体" w:cs="宋体"/>
                      <w:color w:val="auto"/>
                      <w:sz w:val="21"/>
                      <w:szCs w:val="21"/>
                      <w:highlight w:val="none"/>
                      <w:lang w:eastAsia="zh-CN"/>
                    </w:rPr>
                    <w:t>有限公司</w:t>
                  </w:r>
                </w:p>
              </w:tc>
              <w:tc>
                <w:tcPr>
                  <w:tcW w:w="865" w:type="dxa"/>
                  <w:tcBorders>
                    <w:top w:val="single" w:color="auto" w:sz="8" w:space="0"/>
                    <w:tl2br w:val="nil"/>
                    <w:tr2bl w:val="nil"/>
                  </w:tcBorders>
                  <w:noWrap w:val="0"/>
                  <w:vAlign w:val="center"/>
                </w:tcPr>
                <w:p w14:paraId="60ADE772">
                  <w:pPr>
                    <w:keepNext w:val="0"/>
                    <w:keepLines w:val="0"/>
                    <w:suppressLineNumbers w:val="0"/>
                    <w:adjustRightInd w:val="0"/>
                    <w:snapToGrid w:val="0"/>
                    <w:spacing w:before="0" w:beforeAutospacing="0" w:after="0" w:afterAutospacing="0"/>
                    <w:ind w:left="0" w:right="0"/>
                    <w:jc w:val="center"/>
                    <w:rPr>
                      <w:rFonts w:hint="eastAsia" w:hAnsi="宋体" w:eastAsia="宋体"/>
                      <w:color w:val="auto"/>
                      <w:sz w:val="21"/>
                      <w:szCs w:val="21"/>
                      <w:highlight w:val="none"/>
                      <w:lang w:val="en-US" w:eastAsia="zh-CN"/>
                    </w:rPr>
                  </w:pPr>
                  <w:r>
                    <w:rPr>
                      <w:rFonts w:hint="eastAsia" w:hAnsi="宋体"/>
                      <w:color w:val="auto"/>
                      <w:sz w:val="21"/>
                      <w:szCs w:val="21"/>
                      <w:highlight w:val="none"/>
                      <w:lang w:val="en-US" w:eastAsia="zh-CN"/>
                    </w:rPr>
                    <w:t>相符</w:t>
                  </w:r>
                </w:p>
              </w:tc>
            </w:tr>
            <w:tr w14:paraId="34DDCA13">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1091" w:type="dxa"/>
                  <w:tcBorders>
                    <w:tl2br w:val="nil"/>
                    <w:tr2bl w:val="nil"/>
                  </w:tcBorders>
                  <w:noWrap w:val="0"/>
                  <w:vAlign w:val="center"/>
                </w:tcPr>
                <w:p w14:paraId="6F4F69F4">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项目名称</w:t>
                  </w:r>
                </w:p>
              </w:tc>
              <w:tc>
                <w:tcPr>
                  <w:tcW w:w="3440" w:type="dxa"/>
                  <w:tcBorders>
                    <w:tl2br w:val="nil"/>
                    <w:tr2bl w:val="nil"/>
                  </w:tcBorders>
                  <w:noWrap w:val="0"/>
                  <w:vAlign w:val="center"/>
                </w:tcPr>
                <w:p w14:paraId="2852BFAC">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sz w:val="21"/>
                      <w:szCs w:val="21"/>
                      <w:highlight w:val="none"/>
                      <w:lang w:eastAsia="zh-CN"/>
                    </w:rPr>
                    <w:t>河南</w:t>
                  </w:r>
                  <w:r>
                    <w:rPr>
                      <w:rFonts w:hint="default" w:ascii="Times New Roman" w:hAnsi="Times New Roman" w:cs="Times New Roman"/>
                      <w:color w:val="auto"/>
                      <w:sz w:val="21"/>
                      <w:szCs w:val="21"/>
                      <w:highlight w:val="none"/>
                      <w:lang w:val="en-US" w:eastAsia="zh-CN"/>
                    </w:rPr>
                    <w:t>丰盛源纸业有限公司</w:t>
                  </w:r>
                  <w:r>
                    <w:rPr>
                      <w:rFonts w:hint="default" w:ascii="Times New Roman" w:hAnsi="Times New Roman" w:cs="Times New Roman"/>
                      <w:color w:val="auto"/>
                      <w:sz w:val="21"/>
                      <w:szCs w:val="21"/>
                      <w:highlight w:val="none"/>
                      <w:lang w:eastAsia="zh-CN"/>
                    </w:rPr>
                    <w:t>年产</w:t>
                  </w:r>
                  <w:r>
                    <w:rPr>
                      <w:rFonts w:hint="default" w:ascii="Times New Roman" w:hAnsi="Times New Roman" w:cs="Times New Roman"/>
                      <w:color w:val="auto"/>
                      <w:sz w:val="21"/>
                      <w:szCs w:val="21"/>
                      <w:highlight w:val="none"/>
                      <w:lang w:val="en-US" w:eastAsia="zh-CN"/>
                    </w:rPr>
                    <w:t>23000吨食品级淋膜纸项目</w:t>
                  </w:r>
                </w:p>
              </w:tc>
              <w:tc>
                <w:tcPr>
                  <w:tcW w:w="3430" w:type="dxa"/>
                  <w:tcBorders>
                    <w:tl2br w:val="nil"/>
                    <w:tr2bl w:val="nil"/>
                  </w:tcBorders>
                  <w:noWrap w:val="0"/>
                  <w:vAlign w:val="center"/>
                </w:tcPr>
                <w:p w14:paraId="2261D9AA">
                  <w:pPr>
                    <w:keepNext w:val="0"/>
                    <w:keepLines w:val="0"/>
                    <w:widowControl/>
                    <w:suppressLineNumbers w:val="0"/>
                    <w:spacing w:before="0" w:beforeAutospacing="0" w:after="0" w:afterAutospacing="0"/>
                    <w:ind w:left="0" w:leftChars="0" w:right="0" w:rightChars="0"/>
                    <w:jc w:val="center"/>
                    <w:rPr>
                      <w:rFonts w:hint="default" w:ascii="Times New Roman" w:hAnsi="Times New Roman" w:cs="Times New Roman"/>
                      <w:color w:val="auto"/>
                      <w:kern w:val="0"/>
                      <w:sz w:val="21"/>
                      <w:szCs w:val="21"/>
                      <w:lang w:val="en-US" w:eastAsia="zh-CN" w:bidi="ar"/>
                    </w:rPr>
                  </w:pPr>
                  <w:r>
                    <w:rPr>
                      <w:rFonts w:hint="default" w:ascii="Times New Roman" w:hAnsi="Times New Roman" w:cs="Times New Roman"/>
                      <w:color w:val="auto"/>
                      <w:sz w:val="21"/>
                      <w:szCs w:val="21"/>
                      <w:highlight w:val="none"/>
                      <w:lang w:eastAsia="zh-CN"/>
                    </w:rPr>
                    <w:t>河南</w:t>
                  </w:r>
                  <w:r>
                    <w:rPr>
                      <w:rFonts w:hint="default" w:ascii="Times New Roman" w:hAnsi="Times New Roman" w:cs="Times New Roman"/>
                      <w:color w:val="auto"/>
                      <w:sz w:val="21"/>
                      <w:szCs w:val="21"/>
                      <w:highlight w:val="none"/>
                      <w:lang w:val="en-US" w:eastAsia="zh-CN"/>
                    </w:rPr>
                    <w:t>丰盛源纸业有限公司</w:t>
                  </w:r>
                  <w:r>
                    <w:rPr>
                      <w:rFonts w:hint="default" w:ascii="Times New Roman" w:hAnsi="Times New Roman" w:cs="Times New Roman"/>
                      <w:color w:val="auto"/>
                      <w:sz w:val="21"/>
                      <w:szCs w:val="21"/>
                      <w:highlight w:val="none"/>
                      <w:lang w:eastAsia="zh-CN"/>
                    </w:rPr>
                    <w:t>年产</w:t>
                  </w:r>
                  <w:r>
                    <w:rPr>
                      <w:rFonts w:hint="default" w:ascii="Times New Roman" w:hAnsi="Times New Roman" w:cs="Times New Roman"/>
                      <w:color w:val="auto"/>
                      <w:sz w:val="21"/>
                      <w:szCs w:val="21"/>
                      <w:highlight w:val="none"/>
                      <w:lang w:val="en-US" w:eastAsia="zh-CN"/>
                    </w:rPr>
                    <w:t>23000吨食品级淋膜纸项目</w:t>
                  </w:r>
                </w:p>
              </w:tc>
              <w:tc>
                <w:tcPr>
                  <w:tcW w:w="865" w:type="dxa"/>
                  <w:tcBorders>
                    <w:tl2br w:val="nil"/>
                    <w:tr2bl w:val="nil"/>
                  </w:tcBorders>
                  <w:noWrap w:val="0"/>
                  <w:vAlign w:val="center"/>
                </w:tcPr>
                <w:p w14:paraId="362AFF32">
                  <w:pPr>
                    <w:keepNext w:val="0"/>
                    <w:keepLines w:val="0"/>
                    <w:suppressLineNumbers w:val="0"/>
                    <w:adjustRightInd w:val="0"/>
                    <w:snapToGrid w:val="0"/>
                    <w:spacing w:before="0" w:beforeAutospacing="0" w:after="0" w:afterAutospacing="0"/>
                    <w:ind w:left="0" w:right="0"/>
                    <w:jc w:val="center"/>
                    <w:rPr>
                      <w:rFonts w:hint="default" w:hAnsi="宋体"/>
                      <w:color w:val="auto"/>
                      <w:sz w:val="21"/>
                      <w:szCs w:val="21"/>
                      <w:highlight w:val="none"/>
                      <w:lang w:val="en-US" w:eastAsia="zh-CN"/>
                    </w:rPr>
                  </w:pPr>
                  <w:r>
                    <w:rPr>
                      <w:rFonts w:hint="eastAsia" w:hAnsi="宋体"/>
                      <w:color w:val="auto"/>
                      <w:sz w:val="21"/>
                      <w:szCs w:val="21"/>
                      <w:highlight w:val="none"/>
                      <w:lang w:val="en-US" w:eastAsia="zh-CN"/>
                    </w:rPr>
                    <w:t>相符</w:t>
                  </w:r>
                </w:p>
              </w:tc>
            </w:tr>
            <w:tr w14:paraId="697BB175">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1091" w:type="dxa"/>
                  <w:tcBorders>
                    <w:tl2br w:val="nil"/>
                    <w:tr2bl w:val="nil"/>
                  </w:tcBorders>
                  <w:noWrap w:val="0"/>
                  <w:vAlign w:val="center"/>
                </w:tcPr>
                <w:p w14:paraId="6403D261">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建设内容</w:t>
                  </w:r>
                </w:p>
              </w:tc>
              <w:tc>
                <w:tcPr>
                  <w:tcW w:w="3440" w:type="dxa"/>
                  <w:tcBorders>
                    <w:tl2br w:val="nil"/>
                    <w:tr2bl w:val="nil"/>
                  </w:tcBorders>
                  <w:noWrap w:val="0"/>
                  <w:vAlign w:val="center"/>
                </w:tcPr>
                <w:p w14:paraId="27DCEF9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企业租赁现有场地建设年产23000吨食品级淋膜纸项目，占地面积约8000平方米，建筑面积2200平方米，厂房采用钢结构。主要原辅材料为食品级原纸、食品级大豆油墨、食品级PE，原辅材料均为外购。主要生产设备为全自动无轴淋膜机（WSFM-1400C）、柔性版印刷机（EKOFA1000-6）、高速模切机、高速分切机等。主要生产工艺为：原纸—淋膜—印刷—分切—成品。</w:t>
                  </w:r>
                </w:p>
              </w:tc>
              <w:tc>
                <w:tcPr>
                  <w:tcW w:w="3430" w:type="dxa"/>
                  <w:tcBorders>
                    <w:tl2br w:val="nil"/>
                    <w:tr2bl w:val="nil"/>
                  </w:tcBorders>
                  <w:noWrap w:val="0"/>
                  <w:vAlign w:val="center"/>
                </w:tcPr>
                <w:p w14:paraId="28473C9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企业租赁现有场地建设年产23000吨食品级淋膜纸项目，占地面积约8000平方米，建筑面积2200平方米，厂房采用钢结构。主要原辅材料为食品级原纸、食品级油墨、食品级PE，原辅材料均为外购。主要生产设备为全自动无轴淋膜机（WSFM-1400C）、柔性版印刷机（EKOFA1000-6）、高速模切机、高速分切机等。主要生产工艺为：原纸—淋膜—印刷—分切—成品。</w:t>
                  </w:r>
                </w:p>
              </w:tc>
              <w:tc>
                <w:tcPr>
                  <w:tcW w:w="865" w:type="dxa"/>
                  <w:tcBorders>
                    <w:tl2br w:val="nil"/>
                    <w:tr2bl w:val="nil"/>
                  </w:tcBorders>
                  <w:noWrap w:val="0"/>
                  <w:vAlign w:val="center"/>
                </w:tcPr>
                <w:p w14:paraId="28CC6E93">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highlight w:val="none"/>
                      <w:lang w:val="en-US" w:eastAsia="zh-CN"/>
                    </w:rPr>
                  </w:pPr>
                  <w:r>
                    <w:rPr>
                      <w:rFonts w:hint="eastAsia" w:hAnsi="宋体"/>
                      <w:color w:val="auto"/>
                      <w:sz w:val="21"/>
                      <w:szCs w:val="21"/>
                      <w:highlight w:val="none"/>
                      <w:lang w:val="en-US" w:eastAsia="zh-CN"/>
                    </w:rPr>
                    <w:t>相符</w:t>
                  </w:r>
                </w:p>
              </w:tc>
            </w:tr>
            <w:tr w14:paraId="62DE63A6">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1091" w:type="dxa"/>
                  <w:tcBorders>
                    <w:tl2br w:val="nil"/>
                    <w:tr2bl w:val="nil"/>
                  </w:tcBorders>
                  <w:noWrap w:val="0"/>
                  <w:vAlign w:val="center"/>
                </w:tcPr>
                <w:p w14:paraId="59C7AE0D">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项目性质</w:t>
                  </w:r>
                </w:p>
              </w:tc>
              <w:tc>
                <w:tcPr>
                  <w:tcW w:w="3440" w:type="dxa"/>
                  <w:tcBorders>
                    <w:tl2br w:val="nil"/>
                    <w:tr2bl w:val="nil"/>
                  </w:tcBorders>
                  <w:noWrap w:val="0"/>
                  <w:vAlign w:val="center"/>
                </w:tcPr>
                <w:p w14:paraId="7F36EA7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00"/>
                      <w:kern w:val="0"/>
                      <w:sz w:val="21"/>
                      <w:szCs w:val="21"/>
                      <w:lang w:val="en-US" w:eastAsia="zh-CN" w:bidi="ar"/>
                    </w:rPr>
                  </w:pPr>
                  <w:r>
                    <w:rPr>
                      <w:rFonts w:hint="eastAsia" w:cs="Times New Roman"/>
                      <w:color w:val="000000"/>
                      <w:kern w:val="0"/>
                      <w:sz w:val="21"/>
                      <w:szCs w:val="21"/>
                      <w:lang w:val="en-US" w:eastAsia="zh-CN" w:bidi="ar"/>
                    </w:rPr>
                    <w:t>新建</w:t>
                  </w:r>
                </w:p>
              </w:tc>
              <w:tc>
                <w:tcPr>
                  <w:tcW w:w="3430" w:type="dxa"/>
                  <w:tcBorders>
                    <w:tl2br w:val="nil"/>
                    <w:tr2bl w:val="nil"/>
                  </w:tcBorders>
                  <w:noWrap w:val="0"/>
                  <w:vAlign w:val="center"/>
                </w:tcPr>
                <w:p w14:paraId="47638BD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000000"/>
                      <w:kern w:val="0"/>
                      <w:sz w:val="21"/>
                      <w:szCs w:val="21"/>
                      <w:highlight w:val="none"/>
                      <w:lang w:val="en-US" w:eastAsia="zh-CN" w:bidi="ar"/>
                    </w:rPr>
                  </w:pPr>
                  <w:r>
                    <w:rPr>
                      <w:rFonts w:hint="eastAsia" w:cs="Times New Roman"/>
                      <w:color w:val="000000"/>
                      <w:kern w:val="0"/>
                      <w:sz w:val="21"/>
                      <w:szCs w:val="21"/>
                      <w:lang w:val="en-US" w:eastAsia="zh-CN" w:bidi="ar"/>
                    </w:rPr>
                    <w:t>新建</w:t>
                  </w:r>
                </w:p>
              </w:tc>
              <w:tc>
                <w:tcPr>
                  <w:tcW w:w="865" w:type="dxa"/>
                  <w:tcBorders>
                    <w:tl2br w:val="nil"/>
                    <w:tr2bl w:val="nil"/>
                  </w:tcBorders>
                  <w:noWrap w:val="0"/>
                  <w:vAlign w:val="center"/>
                </w:tcPr>
                <w:p w14:paraId="70B1C998">
                  <w:pPr>
                    <w:keepNext w:val="0"/>
                    <w:keepLines w:val="0"/>
                    <w:suppressLineNumbers w:val="0"/>
                    <w:adjustRightInd w:val="0"/>
                    <w:snapToGrid w:val="0"/>
                    <w:spacing w:before="0" w:beforeAutospacing="0" w:after="0" w:afterAutospacing="0"/>
                    <w:ind w:left="0" w:right="0"/>
                    <w:jc w:val="center"/>
                    <w:rPr>
                      <w:rFonts w:hint="default" w:hAnsi="宋体"/>
                      <w:color w:val="auto"/>
                      <w:sz w:val="21"/>
                      <w:szCs w:val="21"/>
                      <w:highlight w:val="none"/>
                      <w:lang w:val="en-US" w:eastAsia="zh-CN"/>
                    </w:rPr>
                  </w:pPr>
                  <w:r>
                    <w:rPr>
                      <w:rFonts w:hint="eastAsia" w:hAnsi="宋体"/>
                      <w:color w:val="auto"/>
                      <w:sz w:val="21"/>
                      <w:szCs w:val="21"/>
                      <w:highlight w:val="none"/>
                      <w:lang w:val="en-US" w:eastAsia="zh-CN"/>
                    </w:rPr>
                    <w:t>相符</w:t>
                  </w:r>
                </w:p>
              </w:tc>
            </w:tr>
            <w:tr w14:paraId="55EAC089">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1091" w:type="dxa"/>
                  <w:tcBorders>
                    <w:tl2br w:val="nil"/>
                    <w:tr2bl w:val="nil"/>
                  </w:tcBorders>
                  <w:noWrap w:val="0"/>
                  <w:vAlign w:val="center"/>
                </w:tcPr>
                <w:p w14:paraId="36EE6C46">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lang w:val="en-US" w:eastAsia="zh-CN"/>
                    </w:rPr>
                    <w:t>项目</w:t>
                  </w:r>
                  <w:r>
                    <w:rPr>
                      <w:rFonts w:hint="default"/>
                      <w:color w:val="auto"/>
                      <w:sz w:val="21"/>
                      <w:szCs w:val="21"/>
                      <w:highlight w:val="none"/>
                    </w:rPr>
                    <w:t>投资</w:t>
                  </w:r>
                </w:p>
              </w:tc>
              <w:tc>
                <w:tcPr>
                  <w:tcW w:w="3440" w:type="dxa"/>
                  <w:tcBorders>
                    <w:tl2br w:val="nil"/>
                    <w:tr2bl w:val="nil"/>
                  </w:tcBorders>
                  <w:noWrap w:val="0"/>
                  <w:vAlign w:val="center"/>
                </w:tcPr>
                <w:p w14:paraId="68591DC7">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lang w:val="en-US" w:eastAsia="zh-CN"/>
                    </w:rPr>
                    <w:t>500</w:t>
                  </w:r>
                  <w:r>
                    <w:rPr>
                      <w:rFonts w:hint="default" w:hAnsi="宋体"/>
                      <w:color w:val="auto"/>
                      <w:sz w:val="21"/>
                      <w:szCs w:val="21"/>
                      <w:highlight w:val="none"/>
                    </w:rPr>
                    <w:t>万元</w:t>
                  </w:r>
                </w:p>
              </w:tc>
              <w:tc>
                <w:tcPr>
                  <w:tcW w:w="3430" w:type="dxa"/>
                  <w:tcBorders>
                    <w:tl2br w:val="nil"/>
                    <w:tr2bl w:val="nil"/>
                  </w:tcBorders>
                  <w:noWrap w:val="0"/>
                  <w:vAlign w:val="center"/>
                </w:tcPr>
                <w:p w14:paraId="1597866B">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lang w:val="en-US" w:eastAsia="zh-CN"/>
                    </w:rPr>
                    <w:t>500</w:t>
                  </w:r>
                  <w:r>
                    <w:rPr>
                      <w:rFonts w:hint="default" w:hAnsi="宋体"/>
                      <w:color w:val="auto"/>
                      <w:sz w:val="21"/>
                      <w:szCs w:val="21"/>
                      <w:highlight w:val="none"/>
                    </w:rPr>
                    <w:t>万元</w:t>
                  </w:r>
                </w:p>
              </w:tc>
              <w:tc>
                <w:tcPr>
                  <w:tcW w:w="865" w:type="dxa"/>
                  <w:tcBorders>
                    <w:tl2br w:val="nil"/>
                    <w:tr2bl w:val="nil"/>
                  </w:tcBorders>
                  <w:noWrap w:val="0"/>
                  <w:vAlign w:val="center"/>
                </w:tcPr>
                <w:p w14:paraId="1CA4AB2C">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hAnsi="宋体"/>
                      <w:color w:val="auto"/>
                      <w:sz w:val="21"/>
                      <w:szCs w:val="21"/>
                      <w:highlight w:val="none"/>
                      <w:lang w:val="en-US" w:eastAsia="zh-CN"/>
                    </w:rPr>
                    <w:t>相符</w:t>
                  </w:r>
                </w:p>
              </w:tc>
            </w:tr>
            <w:tr w14:paraId="4E10B279">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1091" w:type="dxa"/>
                  <w:tcBorders>
                    <w:tl2br w:val="nil"/>
                    <w:tr2bl w:val="nil"/>
                  </w:tcBorders>
                  <w:noWrap w:val="0"/>
                  <w:vAlign w:val="center"/>
                </w:tcPr>
                <w:p w14:paraId="3361F5A7">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color w:val="auto"/>
                      <w:sz w:val="21"/>
                      <w:szCs w:val="21"/>
                      <w:highlight w:val="none"/>
                      <w:lang w:val="en-US" w:eastAsia="zh-CN"/>
                    </w:rPr>
                    <w:t>项目</w:t>
                  </w:r>
                  <w:r>
                    <w:rPr>
                      <w:rFonts w:hint="default"/>
                      <w:color w:val="auto"/>
                      <w:sz w:val="21"/>
                      <w:szCs w:val="21"/>
                      <w:highlight w:val="none"/>
                    </w:rPr>
                    <w:t>规模</w:t>
                  </w:r>
                </w:p>
              </w:tc>
              <w:tc>
                <w:tcPr>
                  <w:tcW w:w="3440" w:type="dxa"/>
                  <w:tcBorders>
                    <w:tl2br w:val="nil"/>
                    <w:tr2bl w:val="nil"/>
                  </w:tcBorders>
                  <w:noWrap w:val="0"/>
                  <w:vAlign w:val="center"/>
                </w:tcPr>
                <w:p w14:paraId="33A7A8C3">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宋体" w:hAnsi="宋体" w:cs="宋体"/>
                      <w:color w:val="auto"/>
                      <w:sz w:val="21"/>
                      <w:szCs w:val="21"/>
                      <w:highlight w:val="none"/>
                      <w:lang w:eastAsia="zh-CN"/>
                    </w:rPr>
                    <w:t>年产</w:t>
                  </w:r>
                  <w:r>
                    <w:rPr>
                      <w:rFonts w:hint="eastAsia" w:cs="Times New Roman"/>
                      <w:color w:val="auto"/>
                      <w:sz w:val="21"/>
                      <w:szCs w:val="21"/>
                      <w:highlight w:val="none"/>
                      <w:lang w:val="en-US" w:eastAsia="zh-CN"/>
                    </w:rPr>
                    <w:t>23000</w:t>
                  </w:r>
                  <w:r>
                    <w:rPr>
                      <w:rFonts w:hint="eastAsia" w:ascii="宋体" w:hAnsi="宋体" w:cs="宋体"/>
                      <w:color w:val="auto"/>
                      <w:sz w:val="21"/>
                      <w:szCs w:val="21"/>
                      <w:highlight w:val="none"/>
                      <w:lang w:val="en-US" w:eastAsia="zh-CN"/>
                    </w:rPr>
                    <w:t>吨淋膜纸项目</w:t>
                  </w:r>
                </w:p>
              </w:tc>
              <w:tc>
                <w:tcPr>
                  <w:tcW w:w="3430" w:type="dxa"/>
                  <w:tcBorders>
                    <w:tl2br w:val="nil"/>
                    <w:tr2bl w:val="nil"/>
                  </w:tcBorders>
                  <w:noWrap w:val="0"/>
                  <w:vAlign w:val="center"/>
                </w:tcPr>
                <w:p w14:paraId="2444E9EA">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highlight w:val="none"/>
                      <w:lang w:val="en-US" w:eastAsia="zh-CN"/>
                    </w:rPr>
                  </w:pPr>
                  <w:r>
                    <w:rPr>
                      <w:rFonts w:hint="eastAsia" w:ascii="宋体" w:hAnsi="宋体" w:cs="宋体"/>
                      <w:color w:val="auto"/>
                      <w:sz w:val="21"/>
                      <w:szCs w:val="21"/>
                      <w:highlight w:val="none"/>
                      <w:lang w:eastAsia="zh-CN"/>
                    </w:rPr>
                    <w:t>年产</w:t>
                  </w:r>
                  <w:r>
                    <w:rPr>
                      <w:rFonts w:hint="eastAsia" w:cs="Times New Roman"/>
                      <w:color w:val="auto"/>
                      <w:sz w:val="21"/>
                      <w:szCs w:val="21"/>
                      <w:highlight w:val="none"/>
                      <w:lang w:val="en-US" w:eastAsia="zh-CN"/>
                    </w:rPr>
                    <w:t>23000</w:t>
                  </w:r>
                  <w:r>
                    <w:rPr>
                      <w:rFonts w:hint="eastAsia" w:ascii="宋体" w:hAnsi="宋体" w:cs="宋体"/>
                      <w:color w:val="auto"/>
                      <w:sz w:val="21"/>
                      <w:szCs w:val="21"/>
                      <w:highlight w:val="none"/>
                      <w:lang w:val="en-US" w:eastAsia="zh-CN"/>
                    </w:rPr>
                    <w:t>吨淋膜纸项目</w:t>
                  </w:r>
                </w:p>
              </w:tc>
              <w:tc>
                <w:tcPr>
                  <w:tcW w:w="865" w:type="dxa"/>
                  <w:tcBorders>
                    <w:tl2br w:val="nil"/>
                    <w:tr2bl w:val="nil"/>
                  </w:tcBorders>
                  <w:noWrap w:val="0"/>
                  <w:vAlign w:val="center"/>
                </w:tcPr>
                <w:p w14:paraId="7B024EF3">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hAnsi="宋体"/>
                      <w:color w:val="auto"/>
                      <w:sz w:val="21"/>
                      <w:szCs w:val="21"/>
                      <w:highlight w:val="none"/>
                      <w:lang w:val="en-US" w:eastAsia="zh-CN"/>
                    </w:rPr>
                    <w:t>相符</w:t>
                  </w:r>
                </w:p>
              </w:tc>
            </w:tr>
            <w:tr w14:paraId="3B18DF82">
              <w:tblPrEx>
                <w:tblBorders>
                  <w:top w:val="single" w:color="auto" w:sz="4" w:space="0"/>
                  <w:left w:val="none" w:color="auto" w:sz="0" w:space="0"/>
                  <w:bottom w:val="single" w:color="auto" w:sz="4" w:space="0"/>
                  <w:right w:val="none" w:color="auto" w:sz="0" w:space="0"/>
                  <w:insideH w:val="single" w:color="auto" w:sz="4" w:space="0"/>
                  <w:insideV w:val="single" w:color="000000" w:sz="4" w:space="0"/>
                </w:tblBorders>
                <w:tblCellMar>
                  <w:top w:w="0" w:type="dxa"/>
                  <w:left w:w="108" w:type="dxa"/>
                  <w:bottom w:w="0" w:type="dxa"/>
                  <w:right w:w="108" w:type="dxa"/>
                </w:tblCellMar>
              </w:tblPrEx>
              <w:trPr>
                <w:trHeight w:val="397" w:hRule="atLeast"/>
                <w:jc w:val="center"/>
              </w:trPr>
              <w:tc>
                <w:tcPr>
                  <w:tcW w:w="1091" w:type="dxa"/>
                  <w:tcBorders>
                    <w:bottom w:val="single" w:color="auto" w:sz="8" w:space="0"/>
                  </w:tcBorders>
                  <w:noWrap w:val="0"/>
                  <w:vAlign w:val="center"/>
                </w:tcPr>
                <w:p w14:paraId="43AFA749">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default" w:hAnsi="宋体"/>
                      <w:color w:val="auto"/>
                      <w:sz w:val="21"/>
                      <w:szCs w:val="21"/>
                      <w:highlight w:val="none"/>
                    </w:rPr>
                    <w:t>建设地点</w:t>
                  </w:r>
                </w:p>
              </w:tc>
              <w:tc>
                <w:tcPr>
                  <w:tcW w:w="3440" w:type="dxa"/>
                  <w:tcBorders>
                    <w:bottom w:val="single" w:color="auto" w:sz="8" w:space="0"/>
                  </w:tcBorders>
                  <w:noWrap w:val="0"/>
                  <w:vAlign w:val="center"/>
                </w:tcPr>
                <w:p w14:paraId="09D9075F">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lang w:val="en-US" w:eastAsia="zh-CN"/>
                    </w:rPr>
                    <w:t>河南省新乡市新乡县七里营镇南位庄村工业路698号</w:t>
                  </w:r>
                </w:p>
              </w:tc>
              <w:tc>
                <w:tcPr>
                  <w:tcW w:w="3430" w:type="dxa"/>
                  <w:tcBorders>
                    <w:bottom w:val="single" w:color="auto" w:sz="8" w:space="0"/>
                  </w:tcBorders>
                  <w:noWrap w:val="0"/>
                  <w:vAlign w:val="center"/>
                </w:tcPr>
                <w:p w14:paraId="782F80A2">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rPr>
                  </w:pPr>
                  <w:r>
                    <w:rPr>
                      <w:rFonts w:hint="eastAsia" w:cs="Times New Roman"/>
                      <w:color w:val="auto"/>
                      <w:sz w:val="21"/>
                      <w:szCs w:val="21"/>
                      <w:lang w:val="en-US" w:eastAsia="zh-CN"/>
                    </w:rPr>
                    <w:t>河南省新乡市新乡县七里营镇南位庄村工业路698号</w:t>
                  </w:r>
                </w:p>
              </w:tc>
              <w:tc>
                <w:tcPr>
                  <w:tcW w:w="865" w:type="dxa"/>
                  <w:tcBorders>
                    <w:bottom w:val="single" w:color="auto" w:sz="8" w:space="0"/>
                  </w:tcBorders>
                  <w:noWrap w:val="0"/>
                  <w:vAlign w:val="center"/>
                </w:tcPr>
                <w:p w14:paraId="71086928">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rPr>
                  </w:pPr>
                  <w:r>
                    <w:rPr>
                      <w:rFonts w:hint="eastAsia" w:hAnsi="宋体"/>
                      <w:color w:val="auto"/>
                      <w:sz w:val="21"/>
                      <w:szCs w:val="21"/>
                      <w:highlight w:val="none"/>
                      <w:lang w:val="en-US" w:eastAsia="zh-CN"/>
                    </w:rPr>
                    <w:t>相符</w:t>
                  </w:r>
                </w:p>
              </w:tc>
            </w:tr>
          </w:tbl>
          <w:p w14:paraId="25611D64">
            <w:pPr>
              <w:keepNext w:val="0"/>
              <w:keepLines w:val="0"/>
              <w:suppressLineNumbers w:val="0"/>
              <w:spacing w:before="0" w:beforeAutospacing="0" w:after="0" w:afterAutospacing="0" w:line="440" w:lineRule="exact"/>
              <w:ind w:left="0" w:right="0" w:firstLine="480" w:firstLineChars="200"/>
              <w:jc w:val="both"/>
              <w:rPr>
                <w:rFonts w:hint="default" w:ascii="Times New Roman" w:hAnsi="Times New Roman" w:eastAsia="宋体" w:cs="Times New Roman"/>
                <w:b w:val="0"/>
                <w:bCs/>
                <w:color w:val="auto"/>
                <w:sz w:val="24"/>
                <w:szCs w:val="24"/>
              </w:rPr>
            </w:pPr>
            <w:r>
              <w:rPr>
                <w:rFonts w:hint="eastAsia"/>
                <w:b w:val="0"/>
                <w:bCs/>
                <w:color w:val="auto"/>
                <w:sz w:val="24"/>
              </w:rPr>
              <w:t>依据备案信息，本项目</w:t>
            </w:r>
            <w:r>
              <w:rPr>
                <w:rFonts w:hint="eastAsia"/>
                <w:b w:val="0"/>
                <w:bCs/>
                <w:color w:val="auto"/>
                <w:sz w:val="24"/>
                <w:lang w:eastAsia="zh-CN"/>
              </w:rPr>
              <w:t>实际</w:t>
            </w:r>
            <w:r>
              <w:rPr>
                <w:rFonts w:hint="eastAsia"/>
                <w:b w:val="0"/>
                <w:bCs/>
                <w:color w:val="auto"/>
                <w:sz w:val="24"/>
              </w:rPr>
              <w:t>与备案</w:t>
            </w:r>
            <w:r>
              <w:rPr>
                <w:rFonts w:hint="eastAsia"/>
                <w:b w:val="0"/>
                <w:bCs/>
                <w:color w:val="auto"/>
                <w:sz w:val="24"/>
                <w:lang w:val="en-US" w:eastAsia="zh-CN"/>
              </w:rPr>
              <w:t>信息一致</w:t>
            </w:r>
            <w:r>
              <w:rPr>
                <w:rFonts w:hint="default" w:ascii="Times New Roman" w:hAnsi="Times New Roman" w:eastAsia="宋体" w:cs="Times New Roman"/>
                <w:sz w:val="24"/>
                <w:szCs w:val="24"/>
                <w:highlight w:val="none"/>
                <w:lang w:val="en-US" w:eastAsia="zh-CN"/>
              </w:rPr>
              <w:t>。</w:t>
            </w:r>
          </w:p>
          <w:p w14:paraId="2E665967">
            <w:pPr>
              <w:keepNext w:val="0"/>
              <w:keepLines w:val="0"/>
              <w:suppressLineNumbers w:val="0"/>
              <w:autoSpaceDE w:val="0"/>
              <w:autoSpaceDN w:val="0"/>
              <w:adjustRightInd w:val="0"/>
              <w:snapToGrid w:val="0"/>
              <w:spacing w:before="0" w:beforeAutospacing="0" w:after="0" w:afterAutospacing="0" w:line="440" w:lineRule="exact"/>
              <w:ind w:left="0" w:right="0" w:firstLine="482" w:firstLineChars="200"/>
              <w:jc w:val="both"/>
              <w:rPr>
                <w:rFonts w:hint="default" w:eastAsia="宋体"/>
                <w:b/>
                <w:bCs/>
                <w:color w:val="000000" w:themeColor="text1"/>
                <w:kern w:val="0"/>
                <w:sz w:val="24"/>
                <w:highlight w:val="none"/>
                <w:lang w:val="en-US" w:eastAsia="zh-CN"/>
                <w14:textFill>
                  <w14:solidFill>
                    <w14:schemeClr w14:val="tx1"/>
                  </w14:solidFill>
                </w14:textFill>
              </w:rPr>
            </w:pPr>
            <w:r>
              <w:rPr>
                <w:rFonts w:hint="eastAsia"/>
                <w:b/>
                <w:bCs/>
                <w:kern w:val="0"/>
                <w:sz w:val="24"/>
                <w:highlight w:val="none"/>
                <w:lang w:val="en-US" w:eastAsia="zh-CN"/>
              </w:rPr>
              <w:t>4</w:t>
            </w:r>
            <w:r>
              <w:rPr>
                <w:rFonts w:hint="default"/>
                <w:b/>
                <w:bCs/>
                <w:kern w:val="0"/>
                <w:sz w:val="24"/>
                <w:highlight w:val="none"/>
              </w:rPr>
              <w:t>、</w:t>
            </w:r>
            <w:r>
              <w:rPr>
                <w:rFonts w:hint="eastAsia"/>
                <w:b/>
                <w:bCs/>
                <w:kern w:val="0"/>
                <w:sz w:val="24"/>
                <w:highlight w:val="none"/>
                <w:lang w:val="en-US" w:eastAsia="zh-CN"/>
              </w:rPr>
              <w:t>本项目与</w:t>
            </w:r>
            <w:r>
              <w:rPr>
                <w:rFonts w:hint="default"/>
                <w:b/>
                <w:bCs/>
                <w:kern w:val="0"/>
                <w:sz w:val="24"/>
                <w:highlight w:val="none"/>
              </w:rPr>
              <w:t>新乡县</w:t>
            </w:r>
            <w:r>
              <w:rPr>
                <w:rFonts w:hint="eastAsia"/>
                <w:b/>
                <w:bCs/>
                <w:kern w:val="0"/>
                <w:sz w:val="24"/>
                <w:highlight w:val="none"/>
                <w:lang w:val="en-US" w:eastAsia="zh-CN"/>
              </w:rPr>
              <w:t>空气质量监</w:t>
            </w:r>
            <w:r>
              <w:rPr>
                <w:rFonts w:hint="eastAsia"/>
                <w:b/>
                <w:bCs/>
                <w:color w:val="000000" w:themeColor="text1"/>
                <w:kern w:val="0"/>
                <w:sz w:val="24"/>
                <w:highlight w:val="none"/>
                <w:lang w:val="en-US" w:eastAsia="zh-CN"/>
                <w14:textFill>
                  <w14:solidFill>
                    <w14:schemeClr w14:val="tx1"/>
                  </w14:solidFill>
                </w14:textFill>
              </w:rPr>
              <w:t>测站位置关系</w:t>
            </w:r>
          </w:p>
          <w:p w14:paraId="270E5FCA">
            <w:pPr>
              <w:keepNext w:val="0"/>
              <w:keepLines w:val="0"/>
              <w:suppressLineNumbers w:val="0"/>
              <w:spacing w:before="0" w:beforeAutospacing="0" w:after="0" w:afterAutospacing="0" w:line="440" w:lineRule="exact"/>
              <w:ind w:left="0" w:right="0" w:firstLine="480" w:firstLineChars="200"/>
              <w:jc w:val="both"/>
              <w:rPr>
                <w:rFonts w:hint="eastAsia" w:ascii="宋体" w:hAnsi="宋体" w:eastAsia="宋体" w:cs="宋体"/>
                <w:kern w:val="0"/>
                <w:sz w:val="24"/>
                <w:szCs w:val="24"/>
                <w:highlight w:val="yellow"/>
                <w:lang w:val="en-US" w:eastAsia="zh-CN"/>
              </w:rPr>
            </w:pPr>
            <w:r>
              <w:rPr>
                <w:rFonts w:hint="default" w:ascii="Times New Roman" w:hAnsi="Times New Roman" w:cs="Times New Roman"/>
                <w:kern w:val="0"/>
                <w:sz w:val="24"/>
                <w:highlight w:val="none"/>
                <w:lang w:val="en-US" w:eastAsia="zh-CN"/>
              </w:rPr>
              <w:t>本项目位于</w:t>
            </w:r>
            <w:r>
              <w:rPr>
                <w:rFonts w:hint="eastAsia" w:cs="Times New Roman"/>
                <w:color w:val="auto"/>
                <w:sz w:val="24"/>
                <w:szCs w:val="24"/>
                <w:highlight w:val="none"/>
                <w:lang w:val="en-US" w:eastAsia="zh-CN"/>
              </w:rPr>
              <w:t>河南省新乡市新乡县七里营镇南位庄村工业路698号</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，项目最近的空气监测站为</w:t>
            </w:r>
            <w:r>
              <w:rPr>
                <w:rFonts w:hint="eastAsia" w:cs="Times New Roman"/>
                <w:color w:val="000000" w:themeColor="text1"/>
                <w:sz w:val="24"/>
                <w:szCs w:val="24"/>
                <w:highlight w:val="none"/>
                <w:lang w:val="en-US" w:eastAsia="zh-CN"/>
                <w14:textFill>
                  <w14:solidFill>
                    <w14:schemeClr w14:val="tx1"/>
                  </w14:solidFill>
                </w14:textFill>
              </w:rPr>
              <w:t>新乡县商务中心</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空气监测站。</w:t>
            </w:r>
            <w:r>
              <w:rPr>
                <w:rFonts w:hint="eastAsia" w:cs="Times New Roman"/>
                <w:i w:val="0"/>
                <w:iCs w:val="0"/>
                <w:caps w:val="0"/>
                <w:color w:val="2D2D2D"/>
                <w:spacing w:val="0"/>
                <w:sz w:val="24"/>
                <w:szCs w:val="24"/>
                <w:highlight w:val="none"/>
                <w:shd w:val="clear"/>
                <w:lang w:val="en-US" w:eastAsia="zh-CN"/>
              </w:rPr>
              <w:t>本项目淋距离商务中心空气监测站约5km</w:t>
            </w:r>
            <w:r>
              <w:rPr>
                <w:rFonts w:hint="eastAsia" w:ascii="宋体" w:hAnsi="宋体" w:eastAsia="宋体" w:cs="宋体"/>
                <w:i w:val="0"/>
                <w:iCs w:val="0"/>
                <w:caps w:val="0"/>
                <w:color w:val="2D2D2D"/>
                <w:spacing w:val="0"/>
                <w:sz w:val="24"/>
                <w:szCs w:val="24"/>
                <w:highlight w:val="none"/>
                <w:shd w:val="clear" w:fill="FFFFFF"/>
                <w:lang w:eastAsia="zh-CN"/>
              </w:rPr>
              <w:t>。</w:t>
            </w:r>
          </w:p>
          <w:p w14:paraId="53FB675D">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rPr>
                <w:rFonts w:hint="eastAsia"/>
                <w:b/>
                <w:bCs/>
                <w:kern w:val="0"/>
                <w:sz w:val="24"/>
              </w:rPr>
            </w:pPr>
            <w:r>
              <w:rPr>
                <w:rFonts w:hint="eastAsia"/>
                <w:b/>
                <w:bCs/>
                <w:kern w:val="0"/>
                <w:sz w:val="24"/>
                <w:lang w:val="en-US" w:eastAsia="zh-CN"/>
              </w:rPr>
              <w:t>5</w:t>
            </w:r>
            <w:r>
              <w:rPr>
                <w:rFonts w:hint="eastAsia"/>
                <w:b/>
                <w:bCs/>
                <w:kern w:val="0"/>
                <w:sz w:val="24"/>
              </w:rPr>
              <w:t>、本项目与《新乡市202</w:t>
            </w:r>
            <w:r>
              <w:rPr>
                <w:rFonts w:hint="eastAsia"/>
                <w:b/>
                <w:bCs/>
                <w:kern w:val="0"/>
                <w:sz w:val="24"/>
                <w:lang w:val="en-US" w:eastAsia="zh-CN"/>
              </w:rPr>
              <w:t>5</w:t>
            </w:r>
            <w:r>
              <w:rPr>
                <w:rFonts w:hint="eastAsia"/>
                <w:b/>
                <w:bCs/>
                <w:kern w:val="0"/>
                <w:sz w:val="24"/>
              </w:rPr>
              <w:t>年蓝天保卫战实施方案》</w:t>
            </w:r>
            <w:r>
              <w:rPr>
                <w:rFonts w:hint="eastAsia"/>
                <w:b/>
                <w:bCs/>
                <w:kern w:val="0"/>
                <w:sz w:val="24"/>
                <w:lang w:eastAsia="zh-CN"/>
              </w:rPr>
              <w:t>、</w:t>
            </w:r>
            <w:r>
              <w:rPr>
                <w:rFonts w:hint="eastAsia"/>
                <w:b/>
                <w:bCs/>
                <w:kern w:val="0"/>
                <w:sz w:val="24"/>
              </w:rPr>
              <w:t>《新乡市202</w:t>
            </w:r>
            <w:r>
              <w:rPr>
                <w:rFonts w:hint="eastAsia"/>
                <w:b/>
                <w:bCs/>
                <w:kern w:val="0"/>
                <w:sz w:val="24"/>
                <w:lang w:val="en-US" w:eastAsia="zh-CN"/>
              </w:rPr>
              <w:t>5</w:t>
            </w:r>
            <w:r>
              <w:rPr>
                <w:rFonts w:hint="eastAsia"/>
                <w:b/>
                <w:bCs/>
                <w:kern w:val="0"/>
                <w:sz w:val="24"/>
              </w:rPr>
              <w:t>年净土保卫战实施方案》</w:t>
            </w:r>
            <w:r>
              <w:rPr>
                <w:rFonts w:hint="eastAsia"/>
                <w:b/>
                <w:bCs/>
                <w:kern w:val="0"/>
                <w:sz w:val="24"/>
                <w:lang w:eastAsia="zh-CN"/>
              </w:rPr>
              <w:t>、</w:t>
            </w:r>
            <w:r>
              <w:rPr>
                <w:rFonts w:hint="eastAsia"/>
                <w:b/>
                <w:bCs/>
                <w:kern w:val="0"/>
                <w:sz w:val="24"/>
                <w:lang w:val="en-US" w:eastAsia="zh-CN"/>
              </w:rPr>
              <w:t>《新乡市2025年碧水保卫战实施方案》、《新乡市2025年柴油货车污染治理攻坚战实施方案》</w:t>
            </w:r>
            <w:r>
              <w:rPr>
                <w:rFonts w:hint="default" w:ascii="Times New Roman" w:hAnsi="Times New Roman" w:cs="Times New Roman"/>
                <w:b/>
                <w:bCs/>
                <w:color w:val="000000" w:themeColor="text1"/>
                <w:sz w:val="24"/>
                <w:lang w:eastAsia="zh-CN"/>
                <w14:textFill>
                  <w14:solidFill>
                    <w14:schemeClr w14:val="tx1"/>
                  </w14:solidFill>
                </w14:textFill>
              </w:rPr>
              <w:t>（新环委办〔</w:t>
            </w:r>
            <w:r>
              <w:rPr>
                <w:rFonts w:hint="eastAsia" w:cs="Times New Roman"/>
                <w:b/>
                <w:bCs/>
                <w:color w:val="000000" w:themeColor="text1"/>
                <w:sz w:val="24"/>
                <w:lang w:val="en-US" w:eastAsia="zh-CN"/>
                <w14:textFill>
                  <w14:solidFill>
                    <w14:schemeClr w14:val="tx1"/>
                  </w14:solidFill>
                </w14:textFill>
              </w:rPr>
              <w:t>2025</w:t>
            </w:r>
            <w:r>
              <w:rPr>
                <w:rFonts w:hint="default" w:ascii="Times New Roman" w:hAnsi="Times New Roman" w:cs="Times New Roman"/>
                <w:b/>
                <w:bCs/>
                <w:color w:val="000000" w:themeColor="text1"/>
                <w:sz w:val="24"/>
                <w:lang w:eastAsia="zh-CN"/>
                <w14:textFill>
                  <w14:solidFill>
                    <w14:schemeClr w14:val="tx1"/>
                  </w14:solidFill>
                </w14:textFill>
              </w:rPr>
              <w:t>〕</w:t>
            </w:r>
            <w:r>
              <w:rPr>
                <w:rFonts w:hint="eastAsia" w:cs="Times New Roman"/>
                <w:b/>
                <w:bCs/>
                <w:color w:val="000000" w:themeColor="text1"/>
                <w:sz w:val="24"/>
                <w:lang w:val="en-US" w:eastAsia="zh-CN"/>
                <w14:textFill>
                  <w14:solidFill>
                    <w14:schemeClr w14:val="tx1"/>
                  </w14:solidFill>
                </w14:textFill>
              </w:rPr>
              <w:t>38</w:t>
            </w:r>
            <w:r>
              <w:rPr>
                <w:rFonts w:hint="default" w:ascii="Times New Roman" w:hAnsi="Times New Roman" w:cs="Times New Roman"/>
                <w:b/>
                <w:bCs/>
                <w:color w:val="000000" w:themeColor="text1"/>
                <w:sz w:val="24"/>
                <w:lang w:eastAsia="zh-CN"/>
                <w14:textFill>
                  <w14:solidFill>
                    <w14:schemeClr w14:val="tx1"/>
                  </w14:solidFill>
                </w14:textFill>
              </w:rPr>
              <w:t>号）</w:t>
            </w:r>
            <w:r>
              <w:rPr>
                <w:rFonts w:hint="eastAsia" w:cs="Times New Roman"/>
                <w:b/>
                <w:bCs/>
                <w:color w:val="000000" w:themeColor="text1"/>
                <w:sz w:val="24"/>
                <w:lang w:val="en-US" w:eastAsia="zh-CN"/>
                <w14:textFill>
                  <w14:solidFill>
                    <w14:schemeClr w14:val="tx1"/>
                  </w14:solidFill>
                </w14:textFill>
              </w:rPr>
              <w:t>文件</w:t>
            </w:r>
            <w:r>
              <w:rPr>
                <w:rFonts w:hint="eastAsia"/>
                <w:b/>
                <w:bCs/>
                <w:kern w:val="0"/>
                <w:sz w:val="24"/>
              </w:rPr>
              <w:t>相符性分析</w:t>
            </w:r>
          </w:p>
          <w:p w14:paraId="6AE195B3">
            <w:pPr>
              <w:keepNext w:val="0"/>
              <w:keepLines w:val="0"/>
              <w:suppressLineNumbers w:val="0"/>
              <w:spacing w:before="0" w:beforeAutospacing="0" w:after="0" w:afterAutospacing="0" w:line="440" w:lineRule="exact"/>
              <w:ind w:left="0" w:right="0"/>
              <w:jc w:val="center"/>
              <w:textAlignment w:val="baseline"/>
              <w:rPr>
                <w:rFonts w:hint="default" w:eastAsia="黑体"/>
                <w:color w:val="000000"/>
                <w:sz w:val="24"/>
                <w:highlight w:val="yellow"/>
              </w:rPr>
            </w:pPr>
            <w:r>
              <w:rPr>
                <w:rFonts w:hint="default" w:ascii="Times New Roman" w:hAnsi="Times New Roman" w:cs="Times New Roman"/>
                <w:b/>
                <w:bCs/>
                <w:color w:val="000000"/>
                <w:sz w:val="24"/>
                <w:highlight w:val="none"/>
              </w:rPr>
              <w:t>表</w:t>
            </w:r>
            <w:r>
              <w:rPr>
                <w:rFonts w:hint="default" w:ascii="Times New Roman" w:hAnsi="Times New Roman" w:cs="Times New Roman"/>
                <w:b/>
                <w:bCs/>
                <w:color w:val="000000"/>
                <w:sz w:val="24"/>
                <w:highlight w:val="none"/>
                <w:lang w:val="en-US" w:eastAsia="zh-CN"/>
              </w:rPr>
              <w:t xml:space="preserve">5 </w:t>
            </w:r>
            <w:r>
              <w:rPr>
                <w:rFonts w:hint="eastAsia" w:ascii="宋体" w:hAnsi="宋体"/>
                <w:b/>
                <w:bCs/>
                <w:color w:val="000000"/>
                <w:sz w:val="24"/>
                <w:highlight w:val="none"/>
                <w:lang w:val="en-US" w:eastAsia="zh-CN"/>
              </w:rPr>
              <w:t xml:space="preserve"> </w:t>
            </w:r>
            <w:r>
              <w:rPr>
                <w:rFonts w:hint="eastAsia" w:ascii="宋体" w:hAnsi="宋体"/>
                <w:b/>
                <w:bCs/>
                <w:color w:val="000000"/>
                <w:sz w:val="24"/>
                <w:highlight w:val="none"/>
              </w:rPr>
              <w:t>与新乡市</w:t>
            </w:r>
            <w:r>
              <w:rPr>
                <w:rFonts w:hint="default" w:ascii="Times New Roman" w:hAnsi="Times New Roman" w:cs="Times New Roman"/>
                <w:b/>
                <w:bCs/>
                <w:color w:val="000000"/>
                <w:sz w:val="24"/>
                <w:highlight w:val="none"/>
              </w:rPr>
              <w:t>202</w:t>
            </w:r>
            <w:r>
              <w:rPr>
                <w:rFonts w:hint="eastAsia" w:cs="Times New Roman"/>
                <w:b/>
                <w:bCs/>
                <w:color w:val="000000"/>
                <w:sz w:val="24"/>
                <w:highlight w:val="none"/>
                <w:lang w:val="en-US" w:eastAsia="zh-CN"/>
              </w:rPr>
              <w:t>5</w:t>
            </w:r>
            <w:r>
              <w:rPr>
                <w:rFonts w:hint="default" w:ascii="Times New Roman" w:hAnsi="Times New Roman" w:cs="Times New Roman"/>
                <w:b/>
                <w:bCs/>
                <w:color w:val="000000"/>
                <w:sz w:val="24"/>
                <w:highlight w:val="none"/>
              </w:rPr>
              <w:t>年各项</w:t>
            </w:r>
            <w:r>
              <w:rPr>
                <w:rFonts w:hint="eastAsia" w:ascii="宋体" w:hAnsi="宋体"/>
                <w:b/>
                <w:bCs/>
                <w:color w:val="000000"/>
                <w:sz w:val="24"/>
                <w:highlight w:val="none"/>
              </w:rPr>
              <w:t>保卫战实施方案的相符性分析</w:t>
            </w:r>
          </w:p>
          <w:tbl>
            <w:tblPr>
              <w:tblStyle w:val="2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5"/>
              <w:gridCol w:w="5296"/>
              <w:gridCol w:w="1731"/>
              <w:gridCol w:w="896"/>
            </w:tblGrid>
            <w:tr w14:paraId="07FCC5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tcBorders>
                    <w:top w:val="single" w:color="auto" w:sz="8" w:space="0"/>
                    <w:bottom w:val="single" w:color="auto" w:sz="8" w:space="0"/>
                  </w:tcBorders>
                  <w:noWrap w:val="0"/>
                  <w:vAlign w:val="center"/>
                </w:tcPr>
                <w:p w14:paraId="2B32FF3C">
                  <w:pPr>
                    <w:keepNext w:val="0"/>
                    <w:keepLines w:val="0"/>
                    <w:suppressLineNumbers w:val="0"/>
                    <w:adjustRightInd w:val="0"/>
                    <w:snapToGrid w:val="0"/>
                    <w:spacing w:before="0" w:beforeAutospacing="0" w:after="0" w:afterAutospacing="0"/>
                    <w:ind w:left="0" w:right="0"/>
                    <w:jc w:val="center"/>
                    <w:textAlignment w:val="baseline"/>
                    <w:rPr>
                      <w:rFonts w:hint="eastAsia" w:eastAsia="宋体"/>
                      <w:b/>
                      <w:color w:val="000000"/>
                      <w:sz w:val="21"/>
                      <w:szCs w:val="21"/>
                      <w:highlight w:val="none"/>
                      <w:lang w:eastAsia="zh-CN"/>
                    </w:rPr>
                  </w:pPr>
                  <w:r>
                    <w:rPr>
                      <w:rFonts w:hint="eastAsia"/>
                      <w:b/>
                      <w:color w:val="000000"/>
                      <w:sz w:val="21"/>
                      <w:szCs w:val="21"/>
                      <w:highlight w:val="none"/>
                      <w:lang w:val="en-US" w:eastAsia="zh-CN"/>
                    </w:rPr>
                    <w:t>类别</w:t>
                  </w:r>
                </w:p>
              </w:tc>
              <w:tc>
                <w:tcPr>
                  <w:tcW w:w="5296" w:type="dxa"/>
                  <w:tcBorders>
                    <w:top w:val="single" w:color="auto" w:sz="8" w:space="0"/>
                    <w:bottom w:val="single" w:color="auto" w:sz="8" w:space="0"/>
                  </w:tcBorders>
                  <w:noWrap w:val="0"/>
                  <w:vAlign w:val="center"/>
                </w:tcPr>
                <w:p w14:paraId="40ACEFDE">
                  <w:pPr>
                    <w:keepNext w:val="0"/>
                    <w:keepLines w:val="0"/>
                    <w:suppressLineNumbers w:val="0"/>
                    <w:adjustRightInd w:val="0"/>
                    <w:snapToGrid w:val="0"/>
                    <w:spacing w:before="0" w:beforeAutospacing="0" w:after="0" w:afterAutospacing="0"/>
                    <w:ind w:left="0" w:right="0"/>
                    <w:jc w:val="center"/>
                    <w:textAlignment w:val="baseline"/>
                    <w:rPr>
                      <w:rFonts w:hint="eastAsia" w:eastAsia="宋体"/>
                      <w:b/>
                      <w:color w:val="000000"/>
                      <w:sz w:val="21"/>
                      <w:szCs w:val="21"/>
                      <w:highlight w:val="none"/>
                      <w:lang w:eastAsia="zh-CN"/>
                    </w:rPr>
                  </w:pPr>
                  <w:r>
                    <w:rPr>
                      <w:rFonts w:hint="eastAsia"/>
                      <w:b/>
                      <w:color w:val="000000"/>
                      <w:sz w:val="21"/>
                      <w:szCs w:val="21"/>
                      <w:highlight w:val="none"/>
                      <w:lang w:val="en-US" w:eastAsia="zh-CN"/>
                    </w:rPr>
                    <w:t>文件要求</w:t>
                  </w:r>
                </w:p>
              </w:tc>
              <w:tc>
                <w:tcPr>
                  <w:tcW w:w="1731" w:type="dxa"/>
                  <w:tcBorders>
                    <w:top w:val="single" w:color="auto" w:sz="8" w:space="0"/>
                    <w:bottom w:val="single" w:color="auto" w:sz="8" w:space="0"/>
                  </w:tcBorders>
                  <w:noWrap w:val="0"/>
                  <w:vAlign w:val="center"/>
                </w:tcPr>
                <w:p w14:paraId="55DBD4C5">
                  <w:pPr>
                    <w:keepNext w:val="0"/>
                    <w:keepLines w:val="0"/>
                    <w:suppressLineNumbers w:val="0"/>
                    <w:adjustRightInd w:val="0"/>
                    <w:snapToGrid w:val="0"/>
                    <w:spacing w:before="0" w:beforeAutospacing="0" w:after="0" w:afterAutospacing="0"/>
                    <w:ind w:left="0" w:right="0"/>
                    <w:jc w:val="center"/>
                    <w:textAlignment w:val="baseline"/>
                    <w:rPr>
                      <w:rFonts w:hint="default"/>
                      <w:b/>
                      <w:color w:val="000000"/>
                      <w:sz w:val="21"/>
                      <w:szCs w:val="21"/>
                      <w:highlight w:val="none"/>
                    </w:rPr>
                  </w:pPr>
                  <w:r>
                    <w:rPr>
                      <w:rFonts w:hint="default"/>
                      <w:b/>
                      <w:color w:val="000000"/>
                      <w:sz w:val="21"/>
                      <w:szCs w:val="21"/>
                      <w:highlight w:val="none"/>
                    </w:rPr>
                    <w:t>本项目情况</w:t>
                  </w:r>
                </w:p>
              </w:tc>
              <w:tc>
                <w:tcPr>
                  <w:tcW w:w="896" w:type="dxa"/>
                  <w:tcBorders>
                    <w:top w:val="single" w:color="auto" w:sz="8" w:space="0"/>
                    <w:bottom w:val="single" w:color="auto" w:sz="8" w:space="0"/>
                  </w:tcBorders>
                  <w:noWrap w:val="0"/>
                  <w:vAlign w:val="center"/>
                </w:tcPr>
                <w:p w14:paraId="5E8DB0C6">
                  <w:pPr>
                    <w:keepNext w:val="0"/>
                    <w:keepLines w:val="0"/>
                    <w:suppressLineNumbers w:val="0"/>
                    <w:adjustRightInd w:val="0"/>
                    <w:snapToGrid w:val="0"/>
                    <w:spacing w:before="0" w:beforeAutospacing="0" w:after="0" w:afterAutospacing="0"/>
                    <w:ind w:left="0" w:right="0"/>
                    <w:jc w:val="center"/>
                    <w:textAlignment w:val="baseline"/>
                    <w:rPr>
                      <w:rFonts w:hint="default"/>
                      <w:b/>
                      <w:color w:val="000000"/>
                      <w:sz w:val="21"/>
                      <w:szCs w:val="21"/>
                      <w:highlight w:val="none"/>
                    </w:rPr>
                  </w:pPr>
                  <w:r>
                    <w:rPr>
                      <w:rFonts w:hint="eastAsia"/>
                      <w:b/>
                      <w:color w:val="000000"/>
                      <w:sz w:val="21"/>
                      <w:szCs w:val="21"/>
                      <w:highlight w:val="none"/>
                    </w:rPr>
                    <w:t>相符性</w:t>
                  </w:r>
                </w:p>
              </w:tc>
            </w:tr>
            <w:tr w14:paraId="51B2B2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38" w:type="dxa"/>
                  <w:gridSpan w:val="4"/>
                  <w:tcBorders>
                    <w:top w:val="single" w:color="auto" w:sz="8" w:space="0"/>
                    <w:tl2br w:val="nil"/>
                    <w:tr2bl w:val="nil"/>
                  </w:tcBorders>
                  <w:noWrap w:val="0"/>
                  <w:vAlign w:val="center"/>
                </w:tcPr>
                <w:p w14:paraId="59C2CE0A">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rPr>
                  </w:pPr>
                  <w:r>
                    <w:rPr>
                      <w:rFonts w:hint="eastAsia"/>
                      <w:b/>
                      <w:bCs/>
                      <w:color w:val="auto"/>
                      <w:sz w:val="21"/>
                      <w:szCs w:val="21"/>
                      <w:highlight w:val="none"/>
                      <w:lang w:val="en-US" w:eastAsia="zh-CN"/>
                    </w:rPr>
                    <w:t>《新乡市2025年蓝天保卫战实施方案》</w:t>
                  </w:r>
                </w:p>
              </w:tc>
            </w:tr>
            <w:tr w14:paraId="27382C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tcBorders>
                    <w:tl2br w:val="nil"/>
                    <w:tr2bl w:val="nil"/>
                  </w:tcBorders>
                  <w:noWrap w:val="0"/>
                  <w:vAlign w:val="center"/>
                </w:tcPr>
                <w:p w14:paraId="55FA7598">
                  <w:pPr>
                    <w:keepNext w:val="0"/>
                    <w:keepLines w:val="0"/>
                    <w:suppressLineNumbers w:val="0"/>
                    <w:spacing w:before="0" w:beforeAutospacing="0" w:after="0" w:afterAutospacing="0" w:line="240" w:lineRule="auto"/>
                    <w:ind w:left="0" w:right="0"/>
                    <w:jc w:val="left"/>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1、依法依规淘汰落后产能</w:t>
                  </w:r>
                </w:p>
              </w:tc>
              <w:tc>
                <w:tcPr>
                  <w:tcW w:w="5296" w:type="dxa"/>
                  <w:tcBorders>
                    <w:tl2br w:val="nil"/>
                    <w:tr2bl w:val="nil"/>
                  </w:tcBorders>
                  <w:noWrap w:val="0"/>
                  <w:vAlign w:val="center"/>
                </w:tcPr>
                <w:p w14:paraId="3C3E8ECC">
                  <w:pPr>
                    <w:keepNext w:val="0"/>
                    <w:keepLines w:val="0"/>
                    <w:suppressLineNumbers w:val="0"/>
                    <w:spacing w:before="0" w:beforeAutospacing="0" w:after="0" w:afterAutospacing="0" w:line="240" w:lineRule="auto"/>
                    <w:ind w:left="0" w:right="0"/>
                    <w:jc w:val="left"/>
                    <w:rPr>
                      <w:rFonts w:hint="default" w:ascii="Times New Roman" w:hAnsi="Times New Roman" w:eastAsia="宋体" w:cs="Times New Roman"/>
                      <w:b w:val="0"/>
                      <w:bCs w:val="0"/>
                      <w:color w:val="000000"/>
                      <w:kern w:val="0"/>
                      <w:sz w:val="21"/>
                      <w:szCs w:val="21"/>
                      <w:lang w:val="en-US" w:eastAsia="zh-CN" w:bidi="ar"/>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严格落实《产业结构调整指导目录（2024年本）》《河南省淘汰落后产能综合标准体系（2023年本）》《国家污染防治技术指导目录（2024年，限制类和淘汰类）》要求，加快落后生产工艺装备和过剩产能淘汰退出，列入2025年去产能计划的生产设施9月底前停止排污。按照省环委办要求，全市严禁新改扩建烧结砖瓦项目，加快退出6000万标砖/年以下、城市规划区内的烧结砖及烧结空心砌块生产线，根据2025年4月组织开展烧结砖瓦行业专项整治“回头看”结果，对达不到B级及以上绩效水平的烧结砖瓦企业实施停产整治；持续推动生物质小锅炉关停整合。制定年度落后产能淘汰退出工作方案，2025年5月底前排查建立淘汰退出任务清单；2025年9月底前，淘汰整合现有的</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highlight w:val="none"/>
                      <w14:textFill>
                        <w14:solidFill>
                          <w14:schemeClr w14:val="tx1"/>
                        </w14:solidFill>
                      </w14:textFill>
                    </w:rPr>
                    <w:t>台生物质锅炉（燃烧器）</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1731" w:type="dxa"/>
                  <w:tcBorders>
                    <w:tl2br w:val="nil"/>
                    <w:tr2bl w:val="nil"/>
                  </w:tcBorders>
                  <w:noWrap w:val="0"/>
                  <w:vAlign w:val="center"/>
                </w:tcPr>
                <w:p w14:paraId="250C24FC">
                  <w:pPr>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本项目不属于《产业结构调整指导目录（2024年本）》《河南省淘汰落后产能综合标准体系（2023年本）》明确的淘汰类项目</w:t>
                  </w:r>
                  <w:r>
                    <w:rPr>
                      <w:rFonts w:hint="default" w:ascii="Times New Roman" w:hAnsi="Times New Roman" w:eastAsia="宋体" w:cs="Times New Roman"/>
                      <w:color w:val="000000" w:themeColor="text1"/>
                      <w:kern w:val="0"/>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项目采用污染防治措施不属于</w:t>
                  </w: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《国家污染防治技术指导目录（2024年，限制类和淘汰类）》。</w:t>
                  </w:r>
                </w:p>
              </w:tc>
              <w:tc>
                <w:tcPr>
                  <w:tcW w:w="896" w:type="dxa"/>
                  <w:tcBorders>
                    <w:tl2br w:val="nil"/>
                    <w:tr2bl w:val="nil"/>
                  </w:tcBorders>
                  <w:noWrap w:val="0"/>
                  <w:vAlign w:val="center"/>
                </w:tcPr>
                <w:p w14:paraId="6C36D245">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sz w:val="21"/>
                      <w:szCs w:val="21"/>
                      <w:highlight w:val="none"/>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相符</w:t>
                  </w:r>
                </w:p>
              </w:tc>
            </w:tr>
            <w:tr w14:paraId="0EF50D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tcBorders>
                    <w:tl2br w:val="nil"/>
                    <w:tr2bl w:val="nil"/>
                  </w:tcBorders>
                  <w:noWrap w:val="0"/>
                  <w:vAlign w:val="center"/>
                </w:tcPr>
                <w:p w14:paraId="3CECD98A">
                  <w:pPr>
                    <w:keepNext w:val="0"/>
                    <w:keepLines w:val="0"/>
                    <w:suppressLineNumbers w:val="0"/>
                    <w:adjustRightInd w:val="0"/>
                    <w:snapToGrid w:val="0"/>
                    <w:spacing w:before="0" w:beforeAutospacing="0" w:after="0" w:afterAutospacing="0"/>
                    <w:ind w:left="0" w:leftChars="0" w:right="0" w:rightChars="0"/>
                    <w:jc w:val="both"/>
                    <w:textAlignment w:val="baseline"/>
                    <w:rPr>
                      <w:rFonts w:hint="default"/>
                      <w:bCs/>
                      <w:color w:val="FF0000"/>
                      <w:sz w:val="21"/>
                      <w:szCs w:val="21"/>
                      <w:highlight w:val="none"/>
                      <w:lang w:val="en-US"/>
                    </w:rPr>
                  </w:pPr>
                  <w:r>
                    <w:rPr>
                      <w:rFonts w:hint="eastAsia"/>
                      <w:bCs/>
                      <w:color w:val="auto"/>
                      <w:sz w:val="21"/>
                      <w:szCs w:val="21"/>
                      <w:highlight w:val="none"/>
                      <w:lang w:val="en-US" w:eastAsia="zh-CN"/>
                    </w:rPr>
                    <w:t>2、严管严控“两高”项目</w:t>
                  </w:r>
                </w:p>
              </w:tc>
              <w:tc>
                <w:tcPr>
                  <w:tcW w:w="5296" w:type="dxa"/>
                  <w:tcBorders>
                    <w:tl2br w:val="nil"/>
                    <w:tr2bl w:val="nil"/>
                  </w:tcBorders>
                  <w:noWrap w:val="0"/>
                  <w:vAlign w:val="center"/>
                </w:tcPr>
                <w:p w14:paraId="1CEF96D4">
                  <w:pPr>
                    <w:keepNext w:val="0"/>
                    <w:keepLines w:val="0"/>
                    <w:widowControl/>
                    <w:suppressLineNumbers w:val="0"/>
                    <w:spacing w:before="0" w:beforeAutospacing="0" w:after="0" w:afterAutospacing="0"/>
                    <w:ind w:left="0" w:right="0"/>
                    <w:jc w:val="left"/>
                    <w:rPr>
                      <w:rFonts w:hint="default"/>
                      <w:color w:val="000000"/>
                      <w:sz w:val="21"/>
                      <w:szCs w:val="21"/>
                      <w:highlight w:val="none"/>
                    </w:rPr>
                  </w:pPr>
                  <w:r>
                    <w:rPr>
                      <w:rFonts w:hint="default" w:ascii="Times New Roman" w:hAnsi="Times New Roman" w:eastAsia="宋体" w:cs="Times New Roman"/>
                      <w:b w:val="0"/>
                      <w:bCs w:val="0"/>
                      <w:color w:val="000000"/>
                      <w:kern w:val="0"/>
                      <w:sz w:val="21"/>
                      <w:szCs w:val="21"/>
                      <w:lang w:val="en-US" w:eastAsia="zh-CN" w:bidi="ar"/>
                    </w:rPr>
                    <w:t>严格落实国家和我省“两高”项目相关要求。严格执行有关行业产能置换政策，被置换产能及其配套设施关停后，新建项目方可投产。国家、省绩效分级重点行业以及涉及锅炉炉窑的其他行业，新改扩建项目原则上达到环境绩效A级和国内清洁生产先进水平。</w:t>
                  </w:r>
                </w:p>
              </w:tc>
              <w:tc>
                <w:tcPr>
                  <w:tcW w:w="1731" w:type="dxa"/>
                  <w:tcBorders>
                    <w:tl2br w:val="nil"/>
                    <w:tr2bl w:val="nil"/>
                  </w:tcBorders>
                  <w:noWrap w:val="0"/>
                  <w:vAlign w:val="center"/>
                </w:tcPr>
                <w:p w14:paraId="3A28C179">
                  <w:pPr>
                    <w:keepNext w:val="0"/>
                    <w:keepLines w:val="0"/>
                    <w:suppressLineNumbers w:val="0"/>
                    <w:adjustRightInd w:val="0"/>
                    <w:snapToGrid w:val="0"/>
                    <w:spacing w:before="0" w:beforeAutospacing="0" w:after="0" w:afterAutospacing="0"/>
                    <w:ind w:left="0" w:leftChars="0" w:right="0" w:rightChars="0"/>
                    <w:jc w:val="both"/>
                    <w:rPr>
                      <w:rFonts w:hint="default"/>
                      <w:color w:val="FF0000"/>
                      <w:kern w:val="0"/>
                      <w:sz w:val="21"/>
                      <w:szCs w:val="21"/>
                      <w:highlight w:val="none"/>
                    </w:rPr>
                  </w:pPr>
                  <w:r>
                    <w:rPr>
                      <w:rFonts w:hint="eastAsia"/>
                      <w:color w:val="auto"/>
                      <w:kern w:val="0"/>
                      <w:sz w:val="21"/>
                      <w:szCs w:val="21"/>
                      <w:highlight w:val="none"/>
                      <w:lang w:val="en-US" w:eastAsia="zh-CN"/>
                    </w:rPr>
                    <w:t>本项目不属于“两高”项目，项目属于加工纸制造，</w:t>
                  </w:r>
                  <w:r>
                    <w:rPr>
                      <w:rFonts w:hint="eastAsia"/>
                      <w:sz w:val="21"/>
                      <w:szCs w:val="21"/>
                    </w:rPr>
                    <w:t>按照</w:t>
                  </w:r>
                  <w:r>
                    <w:rPr>
                      <w:rFonts w:hint="default"/>
                      <w:color w:val="000000" w:themeColor="text1"/>
                      <w:sz w:val="21"/>
                      <w:szCs w:val="21"/>
                      <w14:textFill>
                        <w14:solidFill>
                          <w14:schemeClr w14:val="tx1"/>
                        </w14:solidFill>
                      </w14:textFill>
                    </w:rPr>
                    <w:t>河南省</w:t>
                  </w:r>
                  <w:r>
                    <w:rPr>
                      <w:rFonts w:hint="eastAsia"/>
                      <w:color w:val="000000" w:themeColor="text1"/>
                      <w:sz w:val="21"/>
                      <w:szCs w:val="21"/>
                      <w14:textFill>
                        <w14:solidFill>
                          <w14:schemeClr w14:val="tx1"/>
                        </w14:solidFill>
                      </w14:textFill>
                    </w:rPr>
                    <w:t>重污染天气通用行业应急减排</w:t>
                  </w:r>
                  <w:r>
                    <w:rPr>
                      <w:rFonts w:hint="default"/>
                      <w:color w:val="000000" w:themeColor="text1"/>
                      <w:sz w:val="21"/>
                      <w:szCs w:val="21"/>
                      <w14:textFill>
                        <w14:solidFill>
                          <w14:schemeClr w14:val="tx1"/>
                        </w14:solidFill>
                      </w14:textFill>
                    </w:rPr>
                    <w:t>措施</w:t>
                  </w:r>
                  <w:r>
                    <w:rPr>
                      <w:rFonts w:hint="eastAsia"/>
                      <w:color w:val="000000" w:themeColor="text1"/>
                      <w:sz w:val="21"/>
                      <w:szCs w:val="21"/>
                      <w14:textFill>
                        <w14:solidFill>
                          <w14:schemeClr w14:val="tx1"/>
                        </w14:solidFill>
                      </w14:textFill>
                    </w:rPr>
                    <w:t>制定技术指南通用涉VOCs企业绩效引领性指标</w:t>
                  </w:r>
                  <w:r>
                    <w:rPr>
                      <w:rFonts w:hint="default"/>
                      <w:color w:val="000000" w:themeColor="text1"/>
                      <w:sz w:val="21"/>
                      <w:szCs w:val="21"/>
                      <w14:textFill>
                        <w14:solidFill>
                          <w14:schemeClr w14:val="tx1"/>
                        </w14:solidFill>
                      </w14:textFill>
                    </w:rPr>
                    <w:t>要求建设</w:t>
                  </w:r>
                  <w:r>
                    <w:rPr>
                      <w:rFonts w:hint="eastAsia"/>
                      <w:color w:val="000000" w:themeColor="text1"/>
                      <w:sz w:val="21"/>
                      <w:szCs w:val="21"/>
                      <w14:textFill>
                        <w14:solidFill>
                          <w14:schemeClr w14:val="tx1"/>
                        </w14:solidFill>
                      </w14:textFill>
                    </w:rPr>
                    <w:t>。同时涉及印刷工序，按照《重污染天气重点行业应急减排措施制定技术指南（2020年修订版）》中包装印刷业A级水平进行建设；</w:t>
                  </w:r>
                </w:p>
              </w:tc>
              <w:tc>
                <w:tcPr>
                  <w:tcW w:w="896" w:type="dxa"/>
                  <w:tcBorders>
                    <w:tl2br w:val="nil"/>
                    <w:tr2bl w:val="nil"/>
                  </w:tcBorders>
                  <w:noWrap w:val="0"/>
                  <w:vAlign w:val="center"/>
                </w:tcPr>
                <w:p w14:paraId="60BE2A0C">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none"/>
                    </w:rPr>
                  </w:pPr>
                  <w:r>
                    <w:rPr>
                      <w:rFonts w:hint="eastAsia"/>
                      <w:sz w:val="21"/>
                      <w:szCs w:val="21"/>
                      <w:highlight w:val="none"/>
                    </w:rPr>
                    <w:t>相符</w:t>
                  </w:r>
                </w:p>
              </w:tc>
            </w:tr>
            <w:tr w14:paraId="695FB5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tcBorders>
                    <w:tl2br w:val="nil"/>
                    <w:tr2bl w:val="nil"/>
                  </w:tcBorders>
                  <w:noWrap w:val="0"/>
                  <w:vAlign w:val="center"/>
                </w:tcPr>
                <w:p w14:paraId="692012D7">
                  <w:pPr>
                    <w:keepNext w:val="0"/>
                    <w:keepLines w:val="0"/>
                    <w:suppressLineNumbers w:val="0"/>
                    <w:adjustRightInd w:val="0"/>
                    <w:snapToGrid w:val="0"/>
                    <w:spacing w:before="0" w:beforeAutospacing="0" w:after="0" w:afterAutospacing="0"/>
                    <w:ind w:left="0" w:leftChars="0" w:right="0" w:rightChars="0"/>
                    <w:jc w:val="both"/>
                    <w:textAlignment w:val="baseline"/>
                    <w:rPr>
                      <w:rFonts w:hint="default"/>
                      <w:bCs/>
                      <w:color w:val="auto"/>
                      <w:sz w:val="21"/>
                      <w:szCs w:val="21"/>
                      <w:highlight w:val="none"/>
                      <w:lang w:val="en-US" w:eastAsia="zh-CN"/>
                    </w:rPr>
                  </w:pPr>
                  <w:r>
                    <w:rPr>
                      <w:rFonts w:hint="eastAsia"/>
                      <w:bCs/>
                      <w:color w:val="auto"/>
                      <w:sz w:val="21"/>
                      <w:szCs w:val="21"/>
                      <w:highlight w:val="none"/>
                      <w:lang w:val="en-US" w:eastAsia="zh-CN"/>
                    </w:rPr>
                    <w:t>9.实施挥发性有机物综合治理</w:t>
                  </w:r>
                </w:p>
              </w:tc>
              <w:tc>
                <w:tcPr>
                  <w:tcW w:w="5296" w:type="dxa"/>
                  <w:tcBorders>
                    <w:tl2br w:val="nil"/>
                    <w:tr2bl w:val="nil"/>
                  </w:tcBorders>
                  <w:noWrap w:val="0"/>
                  <w:vAlign w:val="center"/>
                </w:tcPr>
                <w:p w14:paraId="35229543">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实施涉 VOCs 重点企业“夏病冬治”，2025 年 5 月 15 日前完成对全市 2000 余家工业涂装、包装印刷、医药化工等行业企业的帮扶指导，加强全流程综合治理，减少 VOCs 排放。重点开展挥发性有机液体储罐、装卸、敞开液面、泄漏检测与修复（LDAR）、废气收集、废气旁路、治理设施、加油站、非正常工况、产品 VOCs 含量等 10 个关键环节的 VOCs 治理突出问题排查整治，在汽车、机械制造、家具、汽修、塑料软包装、印铁制罐、包装印刷领等域深入推广使用低（无）VOCs 含量涂料和油墨。2025 年 5 月 10 日前，开展一轮次活性炭更换和泄漏检测与修复，完成 26 家企业泄漏检测与修复，11 个 VOCs 综合治理任务。</w:t>
                  </w:r>
                </w:p>
              </w:tc>
              <w:tc>
                <w:tcPr>
                  <w:tcW w:w="1731" w:type="dxa"/>
                  <w:tcBorders>
                    <w:tl2br w:val="nil"/>
                    <w:tr2bl w:val="nil"/>
                  </w:tcBorders>
                  <w:noWrap w:val="0"/>
                  <w:vAlign w:val="center"/>
                </w:tcPr>
                <w:p w14:paraId="6AA093CA">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color w:val="auto"/>
                      <w:kern w:val="0"/>
                      <w:sz w:val="21"/>
                      <w:szCs w:val="21"/>
                      <w:highlight w:val="none"/>
                      <w:lang w:val="en-US" w:eastAsia="zh-CN"/>
                    </w:rPr>
                  </w:pPr>
                  <w:r>
                    <w:rPr>
                      <w:rFonts w:hint="eastAsia"/>
                      <w:color w:val="auto"/>
                      <w:kern w:val="0"/>
                      <w:sz w:val="21"/>
                      <w:szCs w:val="21"/>
                      <w:highlight w:val="none"/>
                      <w:lang w:val="en-US" w:eastAsia="zh-CN"/>
                    </w:rPr>
                    <w:t>本项目使用的食品级油墨为水性油墨，根据该油墨挥发性有机物含量的检测报告（报告编号：DGC250410005BD），水性油墨中VOCs含量未检出，符合《油墨中可挥发性有机化合物（VOCs）含量的限值》（GB38507-2020）中水性油墨（柔印油墨吸收性承印物）VOC含量限量值≤5%的限值要求。</w:t>
                  </w:r>
                </w:p>
              </w:tc>
              <w:tc>
                <w:tcPr>
                  <w:tcW w:w="896" w:type="dxa"/>
                  <w:tcBorders>
                    <w:tl2br w:val="nil"/>
                    <w:tr2bl w:val="nil"/>
                  </w:tcBorders>
                  <w:noWrap w:val="0"/>
                  <w:vAlign w:val="center"/>
                </w:tcPr>
                <w:p w14:paraId="1EBCFAA2">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eastAsia="宋体"/>
                      <w:sz w:val="21"/>
                      <w:szCs w:val="21"/>
                      <w:highlight w:val="none"/>
                      <w:lang w:val="en-US" w:eastAsia="zh-CN"/>
                    </w:rPr>
                  </w:pPr>
                  <w:r>
                    <w:rPr>
                      <w:rFonts w:hint="eastAsia"/>
                      <w:sz w:val="21"/>
                      <w:szCs w:val="21"/>
                      <w:highlight w:val="none"/>
                      <w:lang w:val="en-US" w:eastAsia="zh-CN"/>
                    </w:rPr>
                    <w:t>相符</w:t>
                  </w:r>
                </w:p>
              </w:tc>
            </w:tr>
            <w:tr w14:paraId="75D966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38" w:type="dxa"/>
                  <w:gridSpan w:val="4"/>
                  <w:tcBorders>
                    <w:tl2br w:val="nil"/>
                    <w:tr2bl w:val="nil"/>
                  </w:tcBorders>
                  <w:noWrap w:val="0"/>
                  <w:vAlign w:val="center"/>
                </w:tcPr>
                <w:p w14:paraId="76DDEDA5">
                  <w:pPr>
                    <w:keepNext w:val="0"/>
                    <w:keepLines w:val="0"/>
                    <w:suppressLineNumbers w:val="0"/>
                    <w:adjustRightInd w:val="0"/>
                    <w:snapToGrid w:val="0"/>
                    <w:spacing w:before="0" w:beforeAutospacing="0" w:after="0" w:afterAutospacing="0"/>
                    <w:ind w:left="0" w:leftChars="0" w:right="0" w:rightChars="0"/>
                    <w:jc w:val="center"/>
                    <w:textAlignment w:val="baseline"/>
                    <w:rPr>
                      <w:rFonts w:hint="default"/>
                      <w:sz w:val="21"/>
                      <w:szCs w:val="21"/>
                      <w:highlight w:val="yellow"/>
                    </w:rPr>
                  </w:pPr>
                  <w:r>
                    <w:rPr>
                      <w:rFonts w:hint="default" w:ascii="Times New Roman" w:hAnsi="Times New Roman" w:eastAsia="宋体" w:cs="Times New Roman"/>
                      <w:b/>
                      <w:bCs/>
                      <w:color w:val="000000"/>
                      <w:kern w:val="0"/>
                      <w:sz w:val="21"/>
                      <w:szCs w:val="21"/>
                      <w:highlight w:val="none"/>
                      <w:lang w:val="en-US" w:eastAsia="zh-CN" w:bidi="ar"/>
                    </w:rPr>
                    <w:t>《新乡市202</w:t>
                  </w:r>
                  <w:r>
                    <w:rPr>
                      <w:rFonts w:hint="eastAsia" w:cs="Times New Roman"/>
                      <w:b/>
                      <w:bCs/>
                      <w:color w:val="000000"/>
                      <w:kern w:val="0"/>
                      <w:sz w:val="21"/>
                      <w:szCs w:val="21"/>
                      <w:highlight w:val="none"/>
                      <w:lang w:val="en-US" w:eastAsia="zh-CN" w:bidi="ar"/>
                    </w:rPr>
                    <w:t>5</w:t>
                  </w:r>
                  <w:r>
                    <w:rPr>
                      <w:rFonts w:hint="default" w:ascii="Times New Roman" w:hAnsi="Times New Roman" w:eastAsia="宋体" w:cs="Times New Roman"/>
                      <w:b/>
                      <w:bCs/>
                      <w:color w:val="000000"/>
                      <w:kern w:val="0"/>
                      <w:sz w:val="21"/>
                      <w:szCs w:val="21"/>
                      <w:highlight w:val="none"/>
                      <w:lang w:val="en-US" w:eastAsia="zh-CN" w:bidi="ar"/>
                    </w:rPr>
                    <w:t>年净土保卫战实施方案》</w:t>
                  </w:r>
                </w:p>
              </w:tc>
            </w:tr>
            <w:tr w14:paraId="1FE29B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tcBorders>
                    <w:tl2br w:val="nil"/>
                    <w:tr2bl w:val="nil"/>
                  </w:tcBorders>
                  <w:noWrap w:val="0"/>
                  <w:vAlign w:val="center"/>
                </w:tcPr>
                <w:p w14:paraId="37849D1C">
                  <w:pPr>
                    <w:keepNext w:val="0"/>
                    <w:keepLines w:val="0"/>
                    <w:suppressLineNumbers w:val="0"/>
                    <w:spacing w:before="0" w:beforeAutospacing="0" w:after="0" w:afterAutospacing="0" w:line="240" w:lineRule="auto"/>
                    <w:ind w:left="0" w:right="0"/>
                    <w:jc w:val="left"/>
                    <w:rPr>
                      <w:rFonts w:hint="default"/>
                      <w:bCs/>
                      <w:color w:val="FF0000"/>
                      <w:sz w:val="21"/>
                      <w:szCs w:val="21"/>
                      <w:highlight w:val="none"/>
                    </w:rPr>
                  </w:pPr>
                  <w:r>
                    <w:rPr>
                      <w:rFonts w:hint="eastAsia" w:cs="Times New Roman"/>
                      <w:color w:val="000000" w:themeColor="text1"/>
                      <w:sz w:val="21"/>
                      <w:szCs w:val="21"/>
                      <w:vertAlign w:val="baseline"/>
                      <w:lang w:val="en-US" w:eastAsia="zh-CN"/>
                      <w14:textFill>
                        <w14:solidFill>
                          <w14:schemeClr w14:val="tx1"/>
                        </w14:solidFill>
                      </w14:textFill>
                    </w:rPr>
                    <w:t>4、</w:t>
                  </w: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加强重点建设用地联动管理</w:t>
                  </w:r>
                </w:p>
              </w:tc>
              <w:tc>
                <w:tcPr>
                  <w:tcW w:w="5296" w:type="dxa"/>
                  <w:tcBorders>
                    <w:tl2br w:val="nil"/>
                    <w:tr2bl w:val="nil"/>
                  </w:tcBorders>
                  <w:noWrap w:val="0"/>
                  <w:vAlign w:val="center"/>
                </w:tcPr>
                <w:p w14:paraId="5E439C0A">
                  <w:pPr>
                    <w:keepNext w:val="0"/>
                    <w:keepLines w:val="0"/>
                    <w:suppressLineNumbers w:val="0"/>
                    <w:spacing w:before="0" w:beforeAutospacing="0" w:after="0" w:afterAutospacing="0" w:line="240" w:lineRule="auto"/>
                    <w:ind w:left="0" w:right="0"/>
                    <w:jc w:val="left"/>
                    <w:rPr>
                      <w:rFonts w:hint="default"/>
                      <w:color w:val="000000"/>
                      <w:sz w:val="21"/>
                      <w:szCs w:val="21"/>
                      <w:highlight w:val="none"/>
                    </w:rPr>
                  </w:pPr>
                  <w:r>
                    <w:rPr>
                      <w:rFonts w:hint="default" w:ascii="Times New Roman" w:hAnsi="Times New Roman" w:cs="Times New Roman"/>
                      <w:color w:val="000000" w:themeColor="text1"/>
                      <w:sz w:val="21"/>
                      <w:szCs w:val="21"/>
                      <w:vertAlign w:val="baseline"/>
                      <w:lang w:val="en-US" w:eastAsia="zh-CN"/>
                      <w14:textFill>
                        <w14:solidFill>
                          <w14:schemeClr w14:val="tx1"/>
                        </w14:solidFill>
                      </w14:textFill>
                    </w:rPr>
                    <w:t>生态环境、资源规划部门强化对土地用途变更、收储、供应等环节的联动监管。资源规划部门应明确依法应当开展土壤污染状况调查的地块需在土地储备入库前完成调查，并将调查情况作为必备要件纳入土地收储卷宗，相关费用纳入土地收储项目成本。生态环境部门会同资源规划部门组织开展半年、年度重点建设用地安全利用核算。</w:t>
                  </w:r>
                </w:p>
              </w:tc>
              <w:tc>
                <w:tcPr>
                  <w:tcW w:w="1731" w:type="dxa"/>
                  <w:tcBorders>
                    <w:tl2br w:val="nil"/>
                    <w:tr2bl w:val="nil"/>
                  </w:tcBorders>
                  <w:noWrap w:val="0"/>
                  <w:vAlign w:val="center"/>
                </w:tcPr>
                <w:p w14:paraId="6C06E504">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jc w:val="both"/>
                    <w:textAlignment w:val="auto"/>
                    <w:rPr>
                      <w:rFonts w:hint="default" w:eastAsia="宋体"/>
                      <w:color w:val="FF0000"/>
                      <w:kern w:val="0"/>
                      <w:sz w:val="21"/>
                      <w:szCs w:val="21"/>
                      <w:highlight w:val="yellow"/>
                      <w:lang w:val="en-US" w:eastAsia="zh-CN"/>
                    </w:rPr>
                  </w:pP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本项目租赁</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闲置厂房</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，不新增用地。</w:t>
                  </w:r>
                  <w:r>
                    <w:rPr>
                      <w:rFonts w:hint="default" w:ascii="Times New Roman" w:hAnsi="Times New Roman" w:cs="Times New Roman"/>
                      <w:color w:val="auto"/>
                      <w:sz w:val="21"/>
                      <w:szCs w:val="21"/>
                      <w:highlight w:val="none"/>
                      <w:lang w:val="en-US" w:eastAsia="zh-CN"/>
                    </w:rPr>
                    <w:t>根据《新乡县</w:t>
                  </w:r>
                  <w:r>
                    <w:rPr>
                      <w:rFonts w:hint="eastAsia" w:cs="Times New Roman"/>
                      <w:color w:val="auto"/>
                      <w:sz w:val="21"/>
                      <w:szCs w:val="21"/>
                      <w:highlight w:val="none"/>
                      <w:lang w:val="en-US" w:eastAsia="zh-CN"/>
                    </w:rPr>
                    <w:t>“三区三线成果图”</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，项目用地为</w:t>
                  </w:r>
                  <w:r>
                    <w:rPr>
                      <w:rFonts w:hint="eastAsia" w:ascii="Times New Roman" w:hAnsi="Times New Roman" w:cs="Times New Roman"/>
                      <w:color w:val="000000" w:themeColor="text1"/>
                      <w:sz w:val="21"/>
                      <w:szCs w:val="21"/>
                      <w:highlight w:val="none"/>
                      <w:vertAlign w:val="baseline"/>
                      <w:lang w:val="en-US" w:eastAsia="zh-CN"/>
                      <w14:textFill>
                        <w14:solidFill>
                          <w14:schemeClr w14:val="tx1"/>
                        </w14:solidFill>
                      </w14:textFill>
                    </w:rPr>
                    <w:t>建设用地</w:t>
                  </w:r>
                  <w:r>
                    <w:rPr>
                      <w:rFonts w:hint="eastAsia" w:cs="Times New Roman"/>
                      <w:color w:val="000000" w:themeColor="text1"/>
                      <w:sz w:val="21"/>
                      <w:szCs w:val="21"/>
                      <w:highlight w:val="none"/>
                      <w:vertAlign w:val="baseline"/>
                      <w:lang w:val="en-US" w:eastAsia="zh-CN"/>
                      <w14:textFill>
                        <w14:solidFill>
                          <w14:schemeClr w14:val="tx1"/>
                        </w14:solidFill>
                      </w14:textFill>
                    </w:rPr>
                    <w:t>。</w:t>
                  </w:r>
                </w:p>
              </w:tc>
              <w:tc>
                <w:tcPr>
                  <w:tcW w:w="896" w:type="dxa"/>
                  <w:tcBorders>
                    <w:tl2br w:val="nil"/>
                    <w:tr2bl w:val="nil"/>
                  </w:tcBorders>
                  <w:noWrap w:val="0"/>
                  <w:vAlign w:val="center"/>
                </w:tcPr>
                <w:p w14:paraId="538B32CD">
                  <w:pPr>
                    <w:keepNext w:val="0"/>
                    <w:keepLines w:val="0"/>
                    <w:suppressLineNumbers w:val="0"/>
                    <w:adjustRightInd w:val="0"/>
                    <w:snapToGrid w:val="0"/>
                    <w:spacing w:before="0" w:beforeAutospacing="0" w:after="0" w:afterAutospacing="0" w:line="240" w:lineRule="auto"/>
                    <w:ind w:left="0" w:leftChars="0" w:right="0" w:rightChars="0"/>
                    <w:jc w:val="center"/>
                    <w:textAlignment w:val="baseline"/>
                    <w:rPr>
                      <w:rFonts w:hint="default"/>
                      <w:sz w:val="21"/>
                      <w:szCs w:val="21"/>
                      <w:highlight w:val="none"/>
                    </w:rPr>
                  </w:pPr>
                  <w:r>
                    <w:rPr>
                      <w:rFonts w:hint="eastAsia"/>
                      <w:color w:val="000000" w:themeColor="text1"/>
                      <w:sz w:val="21"/>
                      <w:szCs w:val="21"/>
                      <w:highlight w:val="none"/>
                      <w14:textFill>
                        <w14:solidFill>
                          <w14:schemeClr w14:val="tx1"/>
                        </w14:solidFill>
                      </w14:textFill>
                    </w:rPr>
                    <w:t>相符</w:t>
                  </w:r>
                </w:p>
              </w:tc>
            </w:tr>
            <w:tr w14:paraId="4F3760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38" w:type="dxa"/>
                  <w:gridSpan w:val="4"/>
                  <w:tcBorders>
                    <w:tl2br w:val="nil"/>
                    <w:tr2bl w:val="nil"/>
                  </w:tcBorders>
                  <w:noWrap w:val="0"/>
                  <w:vAlign w:val="center"/>
                </w:tcPr>
                <w:p w14:paraId="30505B72">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rPr>
                  </w:pPr>
                  <w:r>
                    <w:rPr>
                      <w:rFonts w:hint="default" w:ascii="Times New Roman" w:hAnsi="Times New Roman" w:eastAsia="宋体" w:cs="Times New Roman"/>
                      <w:b/>
                      <w:bCs/>
                      <w:color w:val="000000"/>
                      <w:kern w:val="0"/>
                      <w:sz w:val="21"/>
                      <w:szCs w:val="21"/>
                      <w:highlight w:val="none"/>
                      <w:lang w:val="en-US" w:eastAsia="zh-CN" w:bidi="ar"/>
                    </w:rPr>
                    <w:t>《新乡市202</w:t>
                  </w:r>
                  <w:r>
                    <w:rPr>
                      <w:rFonts w:hint="eastAsia" w:cs="Times New Roman"/>
                      <w:b/>
                      <w:bCs/>
                      <w:color w:val="000000"/>
                      <w:kern w:val="0"/>
                      <w:sz w:val="21"/>
                      <w:szCs w:val="21"/>
                      <w:highlight w:val="none"/>
                      <w:lang w:val="en-US" w:eastAsia="zh-CN" w:bidi="ar"/>
                    </w:rPr>
                    <w:t>5</w:t>
                  </w:r>
                  <w:r>
                    <w:rPr>
                      <w:rFonts w:hint="default" w:ascii="Times New Roman" w:hAnsi="Times New Roman" w:eastAsia="宋体" w:cs="Times New Roman"/>
                      <w:b/>
                      <w:bCs/>
                      <w:color w:val="000000"/>
                      <w:kern w:val="0"/>
                      <w:sz w:val="21"/>
                      <w:szCs w:val="21"/>
                      <w:highlight w:val="none"/>
                      <w:lang w:val="en-US" w:eastAsia="zh-CN" w:bidi="ar"/>
                    </w:rPr>
                    <w:t>年</w:t>
                  </w:r>
                  <w:r>
                    <w:rPr>
                      <w:rFonts w:hint="eastAsia" w:ascii="Times New Roman" w:hAnsi="Times New Roman" w:eastAsia="宋体" w:cs="Times New Roman"/>
                      <w:b/>
                      <w:bCs/>
                      <w:color w:val="000000"/>
                      <w:kern w:val="0"/>
                      <w:sz w:val="21"/>
                      <w:szCs w:val="21"/>
                      <w:highlight w:val="none"/>
                      <w:lang w:val="en-US" w:eastAsia="zh-CN" w:bidi="ar"/>
                    </w:rPr>
                    <w:t>碧水</w:t>
                  </w:r>
                  <w:r>
                    <w:rPr>
                      <w:rFonts w:hint="default" w:ascii="Times New Roman" w:hAnsi="Times New Roman" w:eastAsia="宋体" w:cs="Times New Roman"/>
                      <w:b/>
                      <w:bCs/>
                      <w:color w:val="000000"/>
                      <w:kern w:val="0"/>
                      <w:sz w:val="21"/>
                      <w:szCs w:val="21"/>
                      <w:highlight w:val="none"/>
                      <w:lang w:val="en-US" w:eastAsia="zh-CN" w:bidi="ar"/>
                    </w:rPr>
                    <w:t>保卫战实施方案》</w:t>
                  </w:r>
                </w:p>
              </w:tc>
            </w:tr>
            <w:tr w14:paraId="36D647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15" w:type="dxa"/>
                  <w:tcBorders>
                    <w:bottom w:val="single" w:color="auto" w:sz="8" w:space="0"/>
                  </w:tcBorders>
                  <w:noWrap w:val="0"/>
                  <w:vAlign w:val="center"/>
                </w:tcPr>
                <w:p w14:paraId="471E9EB2">
                  <w:pPr>
                    <w:keepNext w:val="0"/>
                    <w:keepLines w:val="0"/>
                    <w:suppressLineNumbers w:val="0"/>
                    <w:adjustRightInd w:val="0"/>
                    <w:snapToGrid w:val="0"/>
                    <w:spacing w:before="0" w:beforeAutospacing="0" w:after="0" w:afterAutospacing="0"/>
                    <w:ind w:left="0" w:leftChars="0" w:right="0" w:rightChars="0"/>
                    <w:jc w:val="both"/>
                    <w:textAlignment w:val="baseline"/>
                    <w:rPr>
                      <w:rFonts w:hint="default"/>
                      <w:bCs/>
                      <w:color w:val="auto"/>
                      <w:sz w:val="21"/>
                      <w:szCs w:val="21"/>
                      <w:highlight w:val="none"/>
                      <w:lang w:val="en-US" w:eastAsia="zh-CN"/>
                    </w:rPr>
                  </w:pPr>
                  <w:r>
                    <w:rPr>
                      <w:rFonts w:hint="eastAsia"/>
                      <w:bCs/>
                      <w:color w:val="auto"/>
                      <w:sz w:val="21"/>
                      <w:szCs w:val="21"/>
                      <w:highlight w:val="none"/>
                      <w:lang w:val="en-US" w:eastAsia="zh-CN"/>
                    </w:rPr>
                    <w:t>13、推动企业绿色转型发展</w:t>
                  </w:r>
                </w:p>
              </w:tc>
              <w:tc>
                <w:tcPr>
                  <w:tcW w:w="5296" w:type="dxa"/>
                  <w:tcBorders>
                    <w:bottom w:val="single" w:color="auto" w:sz="8" w:space="0"/>
                  </w:tcBorders>
                  <w:noWrap w:val="0"/>
                  <w:vAlign w:val="center"/>
                </w:tcPr>
                <w:p w14:paraId="02FDAFF8">
                  <w:pPr>
                    <w:keepNext w:val="0"/>
                    <w:keepLines w:val="0"/>
                    <w:widowControl/>
                    <w:suppressLineNumbers w:val="0"/>
                    <w:spacing w:before="0" w:beforeAutospacing="0" w:after="0" w:afterAutospacing="0"/>
                    <w:ind w:left="0" w:leftChars="0" w:right="0" w:rightChars="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坚决遏制“两高一低”项目盲目发展，严把新建项目准入关；严格落实生态环境分区管控，加快推进工业企业绿色转型发展；培育壮大节能、节水、环保和资源综合利用产业，提高能源资源利用效率；对有色金属、化工、</w:t>
                  </w:r>
                </w:p>
                <w:p w14:paraId="2078374F">
                  <w:pPr>
                    <w:keepNext w:val="0"/>
                    <w:keepLines w:val="0"/>
                    <w:widowControl/>
                    <w:suppressLineNumbers w:val="0"/>
                    <w:spacing w:before="0" w:beforeAutospacing="0" w:after="0" w:afterAutospacing="0"/>
                    <w:ind w:left="0" w:leftChars="0" w:right="0" w:rightChars="0"/>
                    <w:jc w:val="both"/>
                    <w:rPr>
                      <w:rFonts w:hint="default"/>
                      <w:color w:val="auto"/>
                      <w:sz w:val="21"/>
                      <w:szCs w:val="21"/>
                      <w:highlight w:val="none"/>
                      <w:lang w:val="en-US" w:eastAsia="zh-CN"/>
                    </w:rPr>
                  </w:pPr>
                  <w:r>
                    <w:rPr>
                      <w:rFonts w:hint="default" w:ascii="Times New Roman" w:hAnsi="Times New Roman" w:eastAsia="宋体" w:cs="Times New Roman"/>
                      <w:color w:val="000000"/>
                      <w:kern w:val="0"/>
                      <w:sz w:val="21"/>
                      <w:szCs w:val="21"/>
                      <w:lang w:val="en-US" w:eastAsia="zh-CN" w:bidi="ar"/>
                    </w:rPr>
                    <w:t>电镀、制革、造纸、印染、农副食品加工等行业，全面推进清洁生产改造或清洁化改造。2025年全面实施27家重点行业企业强制性清洁生产审核。</w:t>
                  </w:r>
                </w:p>
              </w:tc>
              <w:tc>
                <w:tcPr>
                  <w:tcW w:w="1731" w:type="dxa"/>
                  <w:tcBorders>
                    <w:bottom w:val="single" w:color="auto" w:sz="8" w:space="0"/>
                  </w:tcBorders>
                  <w:noWrap w:val="0"/>
                  <w:vAlign w:val="center"/>
                </w:tcPr>
                <w:p w14:paraId="0A3CC2CC">
                  <w:pPr>
                    <w:keepNext w:val="0"/>
                    <w:keepLines w:val="0"/>
                    <w:suppressLineNumbers w:val="0"/>
                    <w:adjustRightInd w:val="0"/>
                    <w:snapToGrid w:val="0"/>
                    <w:spacing w:before="0" w:beforeAutospacing="0" w:after="0" w:afterAutospacing="0"/>
                    <w:ind w:left="0" w:leftChars="0" w:right="0" w:rightChars="0"/>
                    <w:jc w:val="both"/>
                    <w:rPr>
                      <w:rFonts w:hint="default"/>
                      <w:color w:val="auto"/>
                      <w:kern w:val="0"/>
                      <w:sz w:val="21"/>
                      <w:szCs w:val="21"/>
                      <w:highlight w:val="none"/>
                      <w:lang w:val="en-US"/>
                    </w:rPr>
                  </w:pPr>
                  <w:r>
                    <w:rPr>
                      <w:rFonts w:hint="eastAsia"/>
                      <w:sz w:val="21"/>
                      <w:szCs w:val="21"/>
                      <w:highlight w:val="none"/>
                      <w:lang w:val="en-US" w:eastAsia="zh-CN"/>
                    </w:rPr>
                    <w:t>本项目冷却水循环使用，定期补充，不外排，生活污水经化粪池</w:t>
                  </w:r>
                  <w:r>
                    <w:rPr>
                      <w:rFonts w:hint="eastAsia"/>
                      <w:color w:val="000000" w:themeColor="text1"/>
                      <w:sz w:val="21"/>
                      <w:szCs w:val="21"/>
                      <w:highlight w:val="none"/>
                      <w:lang w:val="en-US" w:eastAsia="zh-CN"/>
                      <w14:textFill>
                        <w14:solidFill>
                          <w14:schemeClr w14:val="tx1"/>
                        </w14:solidFill>
                      </w14:textFill>
                    </w:rPr>
                    <w:t>处理后定期清运不外排</w:t>
                  </w:r>
                  <w:r>
                    <w:rPr>
                      <w:rFonts w:hint="eastAsia"/>
                      <w:sz w:val="21"/>
                      <w:szCs w:val="21"/>
                      <w:highlight w:val="none"/>
                      <w:lang w:val="en-US" w:eastAsia="zh-CN"/>
                    </w:rPr>
                    <w:t>。</w:t>
                  </w:r>
                </w:p>
              </w:tc>
              <w:tc>
                <w:tcPr>
                  <w:tcW w:w="896" w:type="dxa"/>
                  <w:tcBorders>
                    <w:bottom w:val="single" w:color="auto" w:sz="8" w:space="0"/>
                  </w:tcBorders>
                  <w:noWrap w:val="0"/>
                  <w:vAlign w:val="center"/>
                </w:tcPr>
                <w:p w14:paraId="3BD8ACD0">
                  <w:pPr>
                    <w:keepNext w:val="0"/>
                    <w:keepLines w:val="0"/>
                    <w:suppressLineNumbers w:val="0"/>
                    <w:adjustRightInd w:val="0"/>
                    <w:snapToGrid w:val="0"/>
                    <w:spacing w:before="0" w:beforeAutospacing="0" w:after="0" w:afterAutospacing="0"/>
                    <w:ind w:left="0" w:leftChars="0" w:right="0" w:rightChars="0"/>
                    <w:jc w:val="center"/>
                    <w:textAlignment w:val="baseline"/>
                    <w:rPr>
                      <w:rFonts w:hint="eastAsia"/>
                      <w:sz w:val="21"/>
                      <w:szCs w:val="21"/>
                      <w:highlight w:val="none"/>
                    </w:rPr>
                  </w:pPr>
                  <w:r>
                    <w:rPr>
                      <w:rFonts w:hint="eastAsia" w:eastAsiaTheme="minorEastAsia"/>
                      <w:sz w:val="21"/>
                      <w:szCs w:val="21"/>
                      <w:lang w:eastAsia="zh-CN"/>
                    </w:rPr>
                    <w:t>相符</w:t>
                  </w:r>
                </w:p>
              </w:tc>
            </w:tr>
          </w:tbl>
          <w:p w14:paraId="65B1E61D">
            <w:pPr>
              <w:keepNext w:val="0"/>
              <w:keepLines w:val="0"/>
              <w:suppressLineNumbers w:val="0"/>
              <w:spacing w:before="0" w:beforeAutospacing="0" w:after="0" w:afterAutospacing="0" w:line="440" w:lineRule="exact"/>
              <w:ind w:left="0" w:right="0" w:firstLine="480" w:firstLineChars="200"/>
              <w:jc w:val="both"/>
              <w:rPr>
                <w:rFonts w:hint="eastAsia" w:hAnsi="宋体"/>
                <w:b/>
                <w:bCs/>
                <w:color w:val="000000"/>
                <w:sz w:val="24"/>
                <w:highlight w:val="none"/>
                <w:lang w:val="en-US" w:eastAsia="zh-CN"/>
              </w:rPr>
            </w:pPr>
            <w:r>
              <w:rPr>
                <w:rFonts w:hint="default" w:hAnsi="宋体"/>
                <w:color w:val="000000"/>
                <w:sz w:val="24"/>
                <w:highlight w:val="none"/>
              </w:rPr>
              <w:t>由上表可知，本项目符合</w:t>
            </w:r>
            <w:r>
              <w:rPr>
                <w:rFonts w:hint="default" w:hAnsi="宋体"/>
                <w:bCs/>
                <w:color w:val="000000"/>
                <w:kern w:val="0"/>
                <w:sz w:val="24"/>
                <w:highlight w:val="none"/>
              </w:rPr>
              <w:t>新乡市202</w:t>
            </w:r>
            <w:r>
              <w:rPr>
                <w:rFonts w:hint="eastAsia" w:hAnsi="宋体"/>
                <w:bCs/>
                <w:color w:val="000000"/>
                <w:kern w:val="0"/>
                <w:sz w:val="24"/>
                <w:highlight w:val="none"/>
                <w:lang w:val="en-US" w:eastAsia="zh-CN"/>
              </w:rPr>
              <w:t>5</w:t>
            </w:r>
            <w:r>
              <w:rPr>
                <w:rFonts w:hint="default" w:hAnsi="宋体"/>
                <w:bCs/>
                <w:color w:val="000000"/>
                <w:kern w:val="0"/>
                <w:sz w:val="24"/>
                <w:highlight w:val="none"/>
              </w:rPr>
              <w:t>年各项保卫战实施方案</w:t>
            </w:r>
            <w:r>
              <w:rPr>
                <w:rFonts w:hint="default" w:hAnsi="宋体"/>
                <w:color w:val="000000"/>
                <w:sz w:val="24"/>
                <w:highlight w:val="none"/>
              </w:rPr>
              <w:t>的相关规定。</w:t>
            </w:r>
          </w:p>
          <w:p w14:paraId="653FB5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eastAsia" w:hAnsi="宋体" w:eastAsia="宋体"/>
                <w:b/>
                <w:bCs/>
                <w:color w:val="000000"/>
                <w:sz w:val="24"/>
                <w:highlight w:val="none"/>
                <w:lang w:val="en-US" w:eastAsia="zh-CN"/>
              </w:rPr>
            </w:pPr>
            <w:r>
              <w:rPr>
                <w:rFonts w:hint="eastAsia" w:hAnsi="宋体"/>
                <w:b/>
                <w:bCs/>
                <w:color w:val="000000"/>
                <w:sz w:val="24"/>
                <w:highlight w:val="none"/>
                <w:lang w:val="en-US" w:eastAsia="zh-CN"/>
              </w:rPr>
              <w:t>6、</w:t>
            </w:r>
            <w:r>
              <w:rPr>
                <w:rFonts w:hint="default" w:ascii="Times New Roman" w:hAnsi="宋体" w:cs="Times New Roman"/>
                <w:b/>
                <w:bCs/>
                <w:color w:val="auto"/>
                <w:sz w:val="24"/>
                <w:highlight w:val="none"/>
              </w:rPr>
              <w:t>本项目与《</w:t>
            </w:r>
            <w:r>
              <w:rPr>
                <w:rFonts w:hint="default"/>
                <w:b/>
                <w:bCs/>
                <w:color w:val="auto"/>
                <w:sz w:val="24"/>
              </w:rPr>
              <w:t>河南省重污染天气</w:t>
            </w:r>
            <w:r>
              <w:rPr>
                <w:rFonts w:hint="eastAsia"/>
                <w:b/>
                <w:bCs/>
                <w:color w:val="auto"/>
                <w:sz w:val="24"/>
                <w:lang w:val="en-US" w:eastAsia="zh-CN"/>
              </w:rPr>
              <w:t>通用</w:t>
            </w:r>
            <w:r>
              <w:rPr>
                <w:rFonts w:hint="default"/>
                <w:b/>
                <w:bCs/>
                <w:color w:val="auto"/>
                <w:sz w:val="24"/>
              </w:rPr>
              <w:t>行业应急减排措施制定技术指南</w:t>
            </w:r>
            <w:r>
              <w:rPr>
                <w:rFonts w:hint="default" w:ascii="Times New Roman" w:hAnsi="宋体" w:cs="Times New Roman"/>
                <w:b/>
                <w:bCs/>
                <w:color w:val="auto"/>
                <w:sz w:val="24"/>
                <w:highlight w:val="none"/>
              </w:rPr>
              <w:t>》</w:t>
            </w:r>
            <w:r>
              <w:rPr>
                <w:rFonts w:hint="eastAsia" w:ascii="Times New Roman" w:hAnsi="宋体" w:cs="Times New Roman"/>
                <w:b/>
                <w:bCs/>
                <w:color w:val="auto"/>
                <w:sz w:val="24"/>
                <w:highlight w:val="none"/>
              </w:rPr>
              <w:t>（20</w:t>
            </w:r>
            <w:r>
              <w:rPr>
                <w:rFonts w:hint="eastAsia" w:hAnsi="宋体" w:cs="Times New Roman"/>
                <w:b/>
                <w:bCs/>
                <w:color w:val="auto"/>
                <w:sz w:val="24"/>
                <w:highlight w:val="none"/>
                <w:lang w:val="en-US" w:eastAsia="zh-CN"/>
              </w:rPr>
              <w:t>24</w:t>
            </w:r>
            <w:r>
              <w:rPr>
                <w:rFonts w:hint="eastAsia" w:ascii="Times New Roman" w:hAnsi="宋体" w:cs="Times New Roman"/>
                <w:b/>
                <w:bCs/>
                <w:color w:val="auto"/>
                <w:sz w:val="24"/>
                <w:highlight w:val="none"/>
              </w:rPr>
              <w:t>年修订版）</w:t>
            </w:r>
            <w:r>
              <w:rPr>
                <w:rFonts w:hint="default" w:ascii="Times New Roman" w:hAnsi="宋体" w:cs="Times New Roman"/>
                <w:b/>
                <w:bCs/>
                <w:color w:val="auto"/>
                <w:sz w:val="24"/>
                <w:highlight w:val="none"/>
              </w:rPr>
              <w:t>对照分析</w:t>
            </w:r>
          </w:p>
          <w:p w14:paraId="173A7D49">
            <w:pPr>
              <w:pStyle w:val="5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auto"/>
                <w:sz w:val="24"/>
              </w:rPr>
            </w:pPr>
            <w:r>
              <w:rPr>
                <w:rFonts w:hint="default"/>
                <w:color w:val="auto"/>
                <w:sz w:val="24"/>
                <w:szCs w:val="24"/>
              </w:rPr>
              <w:t>本项目</w:t>
            </w:r>
            <w:r>
              <w:rPr>
                <w:rFonts w:hint="eastAsia"/>
                <w:color w:val="auto"/>
                <w:sz w:val="24"/>
                <w:szCs w:val="24"/>
                <w:lang w:val="en-US" w:eastAsia="zh-CN"/>
              </w:rPr>
              <w:t>工艺为</w:t>
            </w:r>
            <w:r>
              <w:rPr>
                <w:rFonts w:hint="eastAsia" w:ascii="Times New Roman" w:hAnsi="Times New Roman" w:cs="Times New Roman"/>
                <w:color w:val="auto"/>
                <w:kern w:val="0"/>
                <w:sz w:val="24"/>
                <w:szCs w:val="24"/>
                <w:highlight w:val="none"/>
                <w:lang w:val="en-US" w:eastAsia="zh-CN" w:bidi="ar"/>
              </w:rPr>
              <w:t>原纸</w:t>
            </w:r>
            <w:r>
              <w:rPr>
                <w:rFonts w:hint="default" w:ascii="Times New Roman" w:hAnsi="Times New Roman" w:eastAsia="宋体" w:cs="Times New Roman"/>
                <w:color w:val="auto"/>
                <w:kern w:val="0"/>
                <w:sz w:val="24"/>
                <w:szCs w:val="24"/>
                <w:highlight w:val="none"/>
                <w:lang w:val="en-US" w:eastAsia="zh-CN" w:bidi="ar"/>
              </w:rPr>
              <w:t>-</w:t>
            </w:r>
            <w:r>
              <w:rPr>
                <w:rFonts w:hint="eastAsia" w:ascii="Times New Roman" w:hAnsi="Times New Roman" w:cs="Times New Roman"/>
                <w:color w:val="auto"/>
                <w:kern w:val="0"/>
                <w:sz w:val="24"/>
                <w:szCs w:val="24"/>
                <w:highlight w:val="none"/>
                <w:lang w:val="en-US" w:eastAsia="zh-CN" w:bidi="ar"/>
              </w:rPr>
              <w:t>淋膜-印刷-分切/模切</w:t>
            </w:r>
            <w:r>
              <w:rPr>
                <w:rFonts w:hint="default" w:ascii="Times New Roman" w:hAnsi="Times New Roman" w:eastAsia="宋体" w:cs="Times New Roman"/>
                <w:color w:val="auto"/>
                <w:kern w:val="0"/>
                <w:sz w:val="24"/>
                <w:szCs w:val="24"/>
                <w:highlight w:val="none"/>
                <w:lang w:val="en-US" w:eastAsia="zh-CN" w:bidi="ar"/>
              </w:rPr>
              <w:t>-成品</w:t>
            </w:r>
            <w:r>
              <w:rPr>
                <w:rFonts w:hint="eastAsia" w:hAnsi="宋体"/>
                <w:color w:val="auto"/>
                <w:sz w:val="24"/>
                <w:szCs w:val="24"/>
              </w:rPr>
              <w:t>，</w:t>
            </w:r>
            <w:r>
              <w:rPr>
                <w:rFonts w:hint="eastAsia" w:hAnsi="宋体"/>
                <w:color w:val="auto"/>
                <w:sz w:val="24"/>
                <w:szCs w:val="24"/>
                <w:lang w:eastAsia="zh-CN"/>
              </w:rPr>
              <w:t>产品为</w:t>
            </w:r>
            <w:r>
              <w:rPr>
                <w:rFonts w:hint="eastAsia" w:hAnsi="宋体"/>
                <w:color w:val="auto"/>
                <w:sz w:val="24"/>
                <w:szCs w:val="24"/>
                <w:lang w:val="en-US" w:eastAsia="zh-CN"/>
              </w:rPr>
              <w:t>食品级淋膜纸</w:t>
            </w:r>
            <w:r>
              <w:rPr>
                <w:rFonts w:hint="eastAsia" w:hAnsi="宋体"/>
                <w:color w:val="auto"/>
                <w:sz w:val="24"/>
                <w:szCs w:val="24"/>
                <w:lang w:eastAsia="zh-CN"/>
              </w:rPr>
              <w:t>，</w:t>
            </w:r>
            <w:r>
              <w:rPr>
                <w:rFonts w:hint="eastAsia" w:hAnsi="宋体"/>
                <w:color w:val="auto"/>
                <w:sz w:val="24"/>
                <w:lang w:val="en-US" w:eastAsia="zh-CN"/>
              </w:rPr>
              <w:t>属于其他纸制品制造。本项目不属于国家</w:t>
            </w:r>
            <w:r>
              <w:rPr>
                <w:rFonts w:hint="default" w:ascii="Times New Roman" w:hAnsi="Times New Roman" w:cs="Times New Roman"/>
                <w:color w:val="auto"/>
                <w:sz w:val="24"/>
                <w:lang w:val="en-US" w:eastAsia="zh-CN"/>
              </w:rPr>
              <w:t>级39个、省级12个重点行业</w:t>
            </w:r>
            <w:r>
              <w:rPr>
                <w:rFonts w:hint="eastAsia" w:hAnsi="宋体"/>
                <w:color w:val="auto"/>
                <w:sz w:val="24"/>
                <w:lang w:val="en-US" w:eastAsia="zh-CN"/>
              </w:rPr>
              <w:t>，</w:t>
            </w:r>
            <w:r>
              <w:rPr>
                <w:rFonts w:hint="default"/>
                <w:color w:val="auto"/>
                <w:sz w:val="24"/>
              </w:rPr>
              <w:t>故企业应当按照《河南省重污染天气</w:t>
            </w:r>
            <w:r>
              <w:rPr>
                <w:rFonts w:hint="eastAsia"/>
                <w:color w:val="auto"/>
                <w:sz w:val="24"/>
                <w:lang w:val="en-US" w:eastAsia="zh-CN"/>
              </w:rPr>
              <w:t>通用</w:t>
            </w:r>
            <w:r>
              <w:rPr>
                <w:rFonts w:hint="default"/>
                <w:color w:val="auto"/>
                <w:sz w:val="24"/>
              </w:rPr>
              <w:t>行业应急减排措施制定技术指南》（</w:t>
            </w:r>
            <w:r>
              <w:rPr>
                <w:rFonts w:hint="default" w:ascii="Times New Roman" w:hAnsi="Times New Roman" w:cs="Times New Roman"/>
                <w:color w:val="auto"/>
                <w:sz w:val="24"/>
              </w:rPr>
              <w:t>20</w:t>
            </w:r>
            <w:r>
              <w:rPr>
                <w:rFonts w:hint="eastAsia" w:ascii="Times New Roman" w:hAnsi="Times New Roman" w:cs="Times New Roman"/>
                <w:color w:val="auto"/>
                <w:sz w:val="24"/>
                <w:lang w:val="en-US" w:eastAsia="zh-CN"/>
              </w:rPr>
              <w:t>24</w:t>
            </w:r>
            <w:r>
              <w:rPr>
                <w:rFonts w:hint="default"/>
                <w:color w:val="auto"/>
                <w:sz w:val="24"/>
              </w:rPr>
              <w:t>年修订版）中</w:t>
            </w:r>
            <w:r>
              <w:rPr>
                <w:rFonts w:hint="default" w:ascii="Times New Roman" w:hAnsi="Times New Roman" w:cs="Times New Roman"/>
                <w:color w:val="auto"/>
                <w:sz w:val="24"/>
                <w:lang w:val="en-US" w:eastAsia="zh-CN"/>
              </w:rPr>
              <w:t>涉VOCs企业绩效引领性指标</w:t>
            </w:r>
            <w:r>
              <w:rPr>
                <w:rFonts w:hint="default" w:ascii="Times New Roman" w:hAnsi="Times New Roman" w:cs="Times New Roman"/>
                <w:color w:val="auto"/>
                <w:sz w:val="24"/>
              </w:rPr>
              <w:t>要求建设。本</w:t>
            </w:r>
            <w:r>
              <w:rPr>
                <w:rFonts w:hint="default" w:ascii="Times New Roman" w:hAnsi="Times New Roman" w:cs="Times New Roman"/>
                <w:color w:val="auto"/>
                <w:sz w:val="24"/>
                <w:lang w:val="en-US" w:eastAsia="zh-CN"/>
              </w:rPr>
              <w:t>项</w:t>
            </w:r>
            <w:r>
              <w:rPr>
                <w:rFonts w:hint="default" w:ascii="Times New Roman" w:hAnsi="Times New Roman" w:cs="Times New Roman"/>
                <w:color w:val="auto"/>
                <w:sz w:val="24"/>
              </w:rPr>
              <w:t>目与</w:t>
            </w:r>
            <w:r>
              <w:rPr>
                <w:rFonts w:hint="default" w:ascii="Times New Roman" w:hAnsi="Times New Roman" w:cs="Times New Roman"/>
                <w:color w:val="auto"/>
                <w:sz w:val="24"/>
                <w:lang w:val="en-US" w:eastAsia="zh-CN"/>
              </w:rPr>
              <w:t>通用涉VOCs企业</w:t>
            </w:r>
            <w:r>
              <w:rPr>
                <w:rFonts w:hint="default" w:ascii="Times New Roman" w:hAnsi="Times New Roman" w:cs="Times New Roman"/>
                <w:color w:val="auto"/>
                <w:sz w:val="24"/>
              </w:rPr>
              <w:t>绩效</w:t>
            </w:r>
            <w:r>
              <w:rPr>
                <w:rFonts w:hint="default" w:ascii="Times New Roman" w:hAnsi="Times New Roman" w:cs="Times New Roman"/>
                <w:color w:val="auto"/>
                <w:sz w:val="24"/>
                <w:lang w:val="en-US" w:eastAsia="zh-CN"/>
              </w:rPr>
              <w:t>引领性</w:t>
            </w:r>
            <w:r>
              <w:rPr>
                <w:rFonts w:hint="default" w:ascii="Times New Roman" w:hAnsi="Times New Roman" w:cs="Times New Roman"/>
                <w:color w:val="auto"/>
                <w:sz w:val="24"/>
              </w:rPr>
              <w:t>指标对照分析</w:t>
            </w:r>
            <w:r>
              <w:rPr>
                <w:rFonts w:hint="default"/>
                <w:color w:val="auto"/>
                <w:sz w:val="24"/>
              </w:rPr>
              <w:t>见下表。</w:t>
            </w:r>
          </w:p>
          <w:p w14:paraId="3700A4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20" w:lineRule="exact"/>
              <w:ind w:left="0" w:right="0"/>
              <w:jc w:val="center"/>
              <w:textAlignment w:val="auto"/>
              <w:rPr>
                <w:rFonts w:hint="default" w:hAnsi="宋体" w:eastAsia="宋体"/>
                <w:b/>
                <w:bCs/>
                <w:color w:val="000000"/>
                <w:sz w:val="24"/>
                <w:highlight w:val="none"/>
                <w:lang w:val="en-US" w:eastAsia="zh-CN"/>
              </w:rPr>
            </w:pPr>
            <w:r>
              <w:rPr>
                <w:rFonts w:hint="eastAsia" w:hAnsi="宋体"/>
                <w:b/>
                <w:bCs/>
                <w:color w:val="000000"/>
                <w:sz w:val="24"/>
                <w:highlight w:val="none"/>
                <w:lang w:val="en-US" w:eastAsia="zh-CN"/>
              </w:rPr>
              <w:t xml:space="preserve">表6  </w:t>
            </w:r>
            <w:r>
              <w:rPr>
                <w:rFonts w:hint="eastAsia" w:hAnsi="宋体" w:cs="Times New Roman"/>
                <w:b/>
                <w:bCs/>
                <w:color w:val="000000"/>
                <w:sz w:val="24"/>
                <w:szCs w:val="24"/>
                <w:highlight w:val="none"/>
                <w:lang w:val="en-US" w:eastAsia="zh-CN"/>
              </w:rPr>
              <w:t>本项目与</w:t>
            </w:r>
            <w:r>
              <w:rPr>
                <w:rFonts w:hint="eastAsia" w:hAnsi="宋体"/>
                <w:b/>
                <w:bCs/>
                <w:color w:val="000000"/>
                <w:sz w:val="24"/>
                <w:highlight w:val="none"/>
                <w:lang w:val="en-US" w:eastAsia="zh-CN"/>
              </w:rPr>
              <w:t>通用涉VOCs企业绩效引领性指标对照分</w:t>
            </w:r>
            <w:r>
              <w:rPr>
                <w:rFonts w:hint="eastAsia" w:hAnsi="宋体" w:cs="Times New Roman"/>
                <w:b/>
                <w:bCs/>
                <w:color w:val="000000"/>
                <w:sz w:val="24"/>
                <w:szCs w:val="24"/>
                <w:highlight w:val="none"/>
                <w:lang w:val="en-US" w:eastAsia="zh-CN"/>
              </w:rPr>
              <w:t>析</w:t>
            </w:r>
          </w:p>
          <w:tbl>
            <w:tblPr>
              <w:tblStyle w:val="23"/>
              <w:tblW w:w="8840"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1"/>
              <w:gridCol w:w="586"/>
              <w:gridCol w:w="4320"/>
              <w:gridCol w:w="2664"/>
              <w:gridCol w:w="889"/>
            </w:tblGrid>
            <w:tr w14:paraId="1AF3A0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top w:val="single" w:color="auto" w:sz="8" w:space="0"/>
                    <w:bottom w:val="single" w:color="auto" w:sz="8" w:space="0"/>
                    <w:right w:val="single" w:color="auto" w:sz="4" w:space="0"/>
                  </w:tcBorders>
                  <w:vAlign w:val="center"/>
                </w:tcPr>
                <w:p w14:paraId="67D556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hAnsi="宋体" w:eastAsia="宋体"/>
                      <w:b/>
                      <w:bCs/>
                      <w:color w:val="000000"/>
                      <w:sz w:val="21"/>
                      <w:szCs w:val="21"/>
                      <w:vertAlign w:val="baseline"/>
                      <w:lang w:val="en-US" w:eastAsia="zh-CN"/>
                    </w:rPr>
                  </w:pPr>
                  <w:r>
                    <w:rPr>
                      <w:rFonts w:hint="eastAsia" w:hAnsi="宋体"/>
                      <w:b/>
                      <w:bCs/>
                      <w:color w:val="000000"/>
                      <w:sz w:val="21"/>
                      <w:szCs w:val="21"/>
                      <w:vertAlign w:val="baseline"/>
                      <w:lang w:val="en-US" w:eastAsia="zh-CN"/>
                    </w:rPr>
                    <w:t>引领性指标</w:t>
                  </w:r>
                </w:p>
              </w:tc>
              <w:tc>
                <w:tcPr>
                  <w:tcW w:w="4320" w:type="dxa"/>
                  <w:tcBorders>
                    <w:top w:val="single" w:color="auto" w:sz="8" w:space="0"/>
                    <w:left w:val="single" w:color="auto" w:sz="4" w:space="0"/>
                    <w:bottom w:val="single" w:color="auto" w:sz="8" w:space="0"/>
                    <w:right w:val="single" w:color="auto" w:sz="4" w:space="0"/>
                  </w:tcBorders>
                  <w:vAlign w:val="center"/>
                </w:tcPr>
                <w:p w14:paraId="4DD24B1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hAnsi="宋体" w:eastAsia="宋体"/>
                      <w:b/>
                      <w:bCs/>
                      <w:color w:val="000000"/>
                      <w:sz w:val="21"/>
                      <w:szCs w:val="21"/>
                      <w:vertAlign w:val="baseline"/>
                      <w:lang w:val="en-US" w:eastAsia="zh-CN"/>
                    </w:rPr>
                  </w:pPr>
                  <w:r>
                    <w:rPr>
                      <w:rFonts w:hint="eastAsia" w:hAnsi="宋体"/>
                      <w:b/>
                      <w:bCs/>
                      <w:color w:val="000000"/>
                      <w:sz w:val="21"/>
                      <w:szCs w:val="21"/>
                      <w:highlight w:val="none"/>
                      <w:vertAlign w:val="baseline"/>
                      <w:lang w:val="en-US" w:eastAsia="zh-CN"/>
                    </w:rPr>
                    <w:t>通用涉VOCs企业</w:t>
                  </w:r>
                </w:p>
              </w:tc>
              <w:tc>
                <w:tcPr>
                  <w:tcW w:w="2664" w:type="dxa"/>
                  <w:tcBorders>
                    <w:top w:val="single" w:color="auto" w:sz="8" w:space="0"/>
                    <w:left w:val="single" w:color="auto" w:sz="4" w:space="0"/>
                    <w:bottom w:val="single" w:color="auto" w:sz="8" w:space="0"/>
                    <w:right w:val="single" w:color="auto" w:sz="4" w:space="0"/>
                  </w:tcBorders>
                  <w:vAlign w:val="center"/>
                </w:tcPr>
                <w:p w14:paraId="5585F3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hAnsi="宋体" w:eastAsia="宋体"/>
                      <w:b/>
                      <w:bCs/>
                      <w:color w:val="000000"/>
                      <w:sz w:val="21"/>
                      <w:szCs w:val="21"/>
                      <w:vertAlign w:val="baseline"/>
                      <w:lang w:val="en-US" w:eastAsia="zh-CN"/>
                    </w:rPr>
                  </w:pPr>
                  <w:r>
                    <w:rPr>
                      <w:rFonts w:hint="eastAsia" w:hAnsi="宋体"/>
                      <w:b/>
                      <w:bCs/>
                      <w:color w:val="000000"/>
                      <w:sz w:val="21"/>
                      <w:szCs w:val="21"/>
                      <w:vertAlign w:val="baseline"/>
                      <w:lang w:val="en-US" w:eastAsia="zh-CN"/>
                    </w:rPr>
                    <w:t>本项目情况</w:t>
                  </w:r>
                </w:p>
              </w:tc>
              <w:tc>
                <w:tcPr>
                  <w:tcW w:w="889" w:type="dxa"/>
                  <w:tcBorders>
                    <w:top w:val="single" w:color="auto" w:sz="8" w:space="0"/>
                    <w:left w:val="single" w:color="auto" w:sz="4" w:space="0"/>
                    <w:bottom w:val="single" w:color="auto" w:sz="8" w:space="0"/>
                  </w:tcBorders>
                  <w:vAlign w:val="center"/>
                </w:tcPr>
                <w:p w14:paraId="38BE73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hAnsi="宋体" w:eastAsia="宋体"/>
                      <w:b/>
                      <w:bCs/>
                      <w:color w:val="000000"/>
                      <w:sz w:val="21"/>
                      <w:szCs w:val="21"/>
                      <w:vertAlign w:val="baseline"/>
                      <w:lang w:val="en-US" w:eastAsia="zh-CN"/>
                    </w:rPr>
                  </w:pPr>
                  <w:r>
                    <w:rPr>
                      <w:rFonts w:hint="eastAsia" w:hAnsi="宋体"/>
                      <w:b/>
                      <w:bCs/>
                      <w:color w:val="000000"/>
                      <w:sz w:val="21"/>
                      <w:szCs w:val="21"/>
                      <w:vertAlign w:val="baseline"/>
                      <w:lang w:val="en-US" w:eastAsia="zh-CN"/>
                    </w:rPr>
                    <w:t>相符性</w:t>
                  </w:r>
                </w:p>
              </w:tc>
            </w:tr>
            <w:tr w14:paraId="487BC4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top w:val="single" w:color="auto" w:sz="8" w:space="0"/>
                    <w:tl2br w:val="nil"/>
                    <w:tr2bl w:val="nil"/>
                  </w:tcBorders>
                  <w:vAlign w:val="center"/>
                </w:tcPr>
                <w:p w14:paraId="595EAB34">
                  <w:pPr>
                    <w:keepNext w:val="0"/>
                    <w:keepLines w:val="0"/>
                    <w:widowControl/>
                    <w:suppressLineNumbers w:val="0"/>
                    <w:spacing w:before="0" w:beforeAutospacing="0" w:after="0" w:afterAutospacing="0"/>
                    <w:ind w:left="0" w:leftChars="0" w:right="0" w:rightChars="0"/>
                    <w:jc w:val="center"/>
                    <w:rPr>
                      <w:rFonts w:hint="default" w:hAnsi="宋体" w:eastAsia="宋体"/>
                      <w:color w:val="000000"/>
                      <w:sz w:val="21"/>
                      <w:szCs w:val="21"/>
                      <w:vertAlign w:val="baseline"/>
                      <w:lang w:val="en-US" w:eastAsia="zh-CN"/>
                    </w:rPr>
                  </w:pPr>
                  <w:r>
                    <w:rPr>
                      <w:rFonts w:hint="eastAsia" w:cs="Times New Roman"/>
                      <w:color w:val="000000"/>
                      <w:sz w:val="21"/>
                      <w:szCs w:val="21"/>
                      <w:lang w:val="en-US" w:eastAsia="zh-CN"/>
                    </w:rPr>
                    <w:t>生产工艺和装备</w:t>
                  </w:r>
                </w:p>
              </w:tc>
              <w:tc>
                <w:tcPr>
                  <w:tcW w:w="4320" w:type="dxa"/>
                  <w:tcBorders>
                    <w:top w:val="single" w:color="auto" w:sz="8" w:space="0"/>
                    <w:tl2br w:val="nil"/>
                    <w:tr2bl w:val="nil"/>
                  </w:tcBorders>
                  <w:vAlign w:val="center"/>
                </w:tcPr>
                <w:p w14:paraId="4A637333">
                  <w:pPr>
                    <w:keepNext w:val="0"/>
                    <w:keepLines w:val="0"/>
                    <w:widowControl/>
                    <w:suppressLineNumbers w:val="0"/>
                    <w:spacing w:before="0" w:beforeAutospacing="0" w:after="0" w:afterAutospacing="0"/>
                    <w:ind w:left="0" w:leftChars="0" w:right="0" w:rightChars="0"/>
                    <w:jc w:val="both"/>
                    <w:rPr>
                      <w:rFonts w:hint="default" w:hAnsi="宋体"/>
                      <w:color w:val="000000"/>
                      <w:sz w:val="21"/>
                      <w:szCs w:val="21"/>
                      <w:vertAlign w:val="baseline"/>
                    </w:rPr>
                  </w:pPr>
                  <w:r>
                    <w:rPr>
                      <w:rFonts w:hint="default" w:ascii="Times New Roman" w:hAnsi="Times New Roman" w:cs="Times New Roman" w:eastAsiaTheme="minorEastAsia"/>
                      <w:b w:val="0"/>
                      <w:bCs w:val="0"/>
                      <w:color w:val="000000"/>
                      <w:kern w:val="0"/>
                      <w:sz w:val="21"/>
                      <w:szCs w:val="21"/>
                      <w:lang w:val="en-US" w:eastAsia="zh-CN" w:bidi="ar"/>
                    </w:rPr>
                    <w:t>不属于《产业结构调整指导目录（2024 年版）》淘汰类，不属于省级和市级政府部门明确列入已经限期淘汰类项目。</w:t>
                  </w:r>
                </w:p>
              </w:tc>
              <w:tc>
                <w:tcPr>
                  <w:tcW w:w="2664" w:type="dxa"/>
                  <w:tcBorders>
                    <w:top w:val="single" w:color="auto" w:sz="8" w:space="0"/>
                    <w:tl2br w:val="nil"/>
                    <w:tr2bl w:val="nil"/>
                  </w:tcBorders>
                  <w:vAlign w:val="center"/>
                </w:tcPr>
                <w:p w14:paraId="4A47EA47">
                  <w:pPr>
                    <w:keepNext w:val="0"/>
                    <w:keepLines w:val="0"/>
                    <w:suppressLineNumbers w:val="0"/>
                    <w:spacing w:before="0" w:beforeAutospacing="0" w:after="0" w:afterAutospacing="0"/>
                    <w:ind w:left="0" w:leftChars="0" w:right="0" w:rightChars="0"/>
                    <w:jc w:val="both"/>
                    <w:rPr>
                      <w:rFonts w:hint="default" w:hAnsi="宋体"/>
                      <w:color w:val="000000"/>
                      <w:sz w:val="21"/>
                      <w:szCs w:val="21"/>
                      <w:vertAlign w:val="baseline"/>
                    </w:rPr>
                  </w:pPr>
                  <w:r>
                    <w:rPr>
                      <w:rFonts w:hint="eastAsia" w:ascii="Times New Roman" w:hAnsi="Times New Roman" w:cs="Times New Roman" w:eastAsiaTheme="minorEastAsia"/>
                      <w:b w:val="0"/>
                      <w:bCs w:val="0"/>
                      <w:color w:val="000000"/>
                      <w:kern w:val="0"/>
                      <w:sz w:val="21"/>
                      <w:szCs w:val="21"/>
                      <w:lang w:val="en-US" w:eastAsia="zh-CN" w:bidi="ar"/>
                    </w:rPr>
                    <w:t>本项目</w:t>
                  </w:r>
                  <w:r>
                    <w:rPr>
                      <w:rFonts w:hint="default" w:ascii="Times New Roman" w:hAnsi="Times New Roman" w:cs="Times New Roman" w:eastAsiaTheme="minorEastAsia"/>
                      <w:b w:val="0"/>
                      <w:bCs w:val="0"/>
                      <w:color w:val="000000"/>
                      <w:kern w:val="0"/>
                      <w:sz w:val="21"/>
                      <w:szCs w:val="21"/>
                      <w:lang w:val="en-US" w:eastAsia="zh-CN" w:bidi="ar"/>
                    </w:rPr>
                    <w:t>属于《产业结构调整指导目录（2024 年版）》</w:t>
                  </w:r>
                  <w:r>
                    <w:rPr>
                      <w:rFonts w:hint="eastAsia" w:cs="Times New Roman" w:eastAsiaTheme="minorEastAsia"/>
                      <w:b w:val="0"/>
                      <w:bCs w:val="0"/>
                      <w:color w:val="000000"/>
                      <w:kern w:val="0"/>
                      <w:sz w:val="21"/>
                      <w:szCs w:val="21"/>
                      <w:lang w:val="en-US" w:eastAsia="zh-CN" w:bidi="ar"/>
                    </w:rPr>
                    <w:t>允许</w:t>
                  </w:r>
                  <w:r>
                    <w:rPr>
                      <w:rFonts w:hint="default" w:ascii="Times New Roman" w:hAnsi="Times New Roman" w:cs="Times New Roman" w:eastAsiaTheme="minorEastAsia"/>
                      <w:b w:val="0"/>
                      <w:bCs w:val="0"/>
                      <w:color w:val="000000"/>
                      <w:kern w:val="0"/>
                      <w:sz w:val="21"/>
                      <w:szCs w:val="21"/>
                      <w:lang w:val="en-US" w:eastAsia="zh-CN" w:bidi="ar"/>
                    </w:rPr>
                    <w:t>类</w:t>
                  </w:r>
                  <w:r>
                    <w:rPr>
                      <w:rFonts w:hint="eastAsia" w:ascii="Times New Roman" w:hAnsi="Times New Roman" w:cs="Times New Roman" w:eastAsiaTheme="minorEastAsia"/>
                      <w:b w:val="0"/>
                      <w:bCs w:val="0"/>
                      <w:color w:val="000000"/>
                      <w:kern w:val="0"/>
                      <w:sz w:val="21"/>
                      <w:szCs w:val="21"/>
                      <w:lang w:val="en-US" w:eastAsia="zh-CN" w:bidi="ar"/>
                    </w:rPr>
                    <w:t>，不属于</w:t>
                  </w:r>
                  <w:r>
                    <w:rPr>
                      <w:rFonts w:hint="default" w:ascii="Times New Roman" w:hAnsi="Times New Roman" w:cs="Times New Roman" w:eastAsiaTheme="minorEastAsia"/>
                      <w:b w:val="0"/>
                      <w:bCs w:val="0"/>
                      <w:color w:val="000000"/>
                      <w:kern w:val="0"/>
                      <w:sz w:val="21"/>
                      <w:szCs w:val="21"/>
                      <w:lang w:val="en-US" w:eastAsia="zh-CN" w:bidi="ar"/>
                    </w:rPr>
                    <w:t>省级和市级政府部门明确列入已经限期淘汰类项目</w:t>
                  </w:r>
                  <w:r>
                    <w:rPr>
                      <w:rFonts w:hint="eastAsia" w:cs="Times New Roman" w:eastAsiaTheme="minorEastAsia"/>
                      <w:b w:val="0"/>
                      <w:bCs w:val="0"/>
                      <w:color w:val="000000"/>
                      <w:kern w:val="0"/>
                      <w:sz w:val="21"/>
                      <w:szCs w:val="21"/>
                      <w:lang w:val="en-US" w:eastAsia="zh-CN" w:bidi="ar"/>
                    </w:rPr>
                    <w:t>。</w:t>
                  </w:r>
                </w:p>
              </w:tc>
              <w:tc>
                <w:tcPr>
                  <w:tcW w:w="889" w:type="dxa"/>
                  <w:tcBorders>
                    <w:top w:val="single" w:color="auto" w:sz="8" w:space="0"/>
                    <w:tl2br w:val="nil"/>
                    <w:tr2bl w:val="nil"/>
                  </w:tcBorders>
                  <w:vAlign w:val="center"/>
                </w:tcPr>
                <w:p w14:paraId="5538EF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hAnsi="宋体" w:eastAsia="宋体"/>
                      <w:color w:val="000000"/>
                      <w:sz w:val="21"/>
                      <w:szCs w:val="21"/>
                      <w:vertAlign w:val="baseline"/>
                      <w:lang w:val="en-US" w:eastAsia="zh-CN"/>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0E5A7D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tl2br w:val="nil"/>
                    <w:tr2bl w:val="nil"/>
                  </w:tcBorders>
                  <w:vAlign w:val="center"/>
                </w:tcPr>
                <w:p w14:paraId="5F52FD7F">
                  <w:pPr>
                    <w:keepNext w:val="0"/>
                    <w:keepLines w:val="0"/>
                    <w:widowControl/>
                    <w:suppressLineNumbers w:val="0"/>
                    <w:spacing w:before="0" w:beforeAutospacing="0" w:after="0" w:afterAutospacing="0"/>
                    <w:ind w:left="0" w:leftChars="0" w:right="0" w:rightChars="0"/>
                    <w:jc w:val="center"/>
                    <w:rPr>
                      <w:rFonts w:hint="eastAsia" w:hAnsi="宋体" w:eastAsia="宋体"/>
                      <w:color w:val="000000"/>
                      <w:sz w:val="21"/>
                      <w:szCs w:val="21"/>
                      <w:vertAlign w:val="baseline"/>
                      <w:lang w:val="en-US" w:eastAsia="zh-CN"/>
                    </w:rPr>
                  </w:pPr>
                  <w:r>
                    <w:rPr>
                      <w:rFonts w:hint="eastAsia" w:cs="Times New Roman"/>
                      <w:color w:val="000000"/>
                      <w:sz w:val="21"/>
                      <w:szCs w:val="21"/>
                      <w:lang w:val="en-US" w:eastAsia="zh-CN"/>
                    </w:rPr>
                    <w:t>物料储存</w:t>
                  </w:r>
                </w:p>
              </w:tc>
              <w:tc>
                <w:tcPr>
                  <w:tcW w:w="4320" w:type="dxa"/>
                  <w:tcBorders>
                    <w:tl2br w:val="nil"/>
                    <w:tr2bl w:val="nil"/>
                  </w:tcBorders>
                  <w:vAlign w:val="center"/>
                </w:tcPr>
                <w:p w14:paraId="658AB0DB">
                  <w:pPr>
                    <w:keepNext w:val="0"/>
                    <w:keepLines w:val="0"/>
                    <w:widowControl/>
                    <w:suppressLineNumbers w:val="0"/>
                    <w:spacing w:before="0" w:beforeAutospacing="0" w:after="0" w:afterAutospacing="0"/>
                    <w:ind w:left="0" w:leftChars="0" w:right="0" w:rightChars="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 xml:space="preserve">1.涂料、稀释剂、清洗剂等原辅材料密闭存储； </w:t>
                  </w:r>
                </w:p>
                <w:p w14:paraId="7BCBE48C">
                  <w:pPr>
                    <w:keepNext w:val="0"/>
                    <w:keepLines w:val="0"/>
                    <w:widowControl/>
                    <w:suppressLineNumbers w:val="0"/>
                    <w:spacing w:before="0" w:beforeAutospacing="0" w:after="0" w:afterAutospacing="0"/>
                    <w:ind w:left="0" w:leftChars="0" w:right="0" w:rightChars="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 xml:space="preserve">2.盛装过VOCs物料的包装容器、含VOCs废料（渣、液）、废吸附剂等通过加盖、封装等方式密闭储存； </w:t>
                  </w:r>
                </w:p>
                <w:p w14:paraId="3D95C3F4">
                  <w:pPr>
                    <w:keepNext w:val="0"/>
                    <w:keepLines w:val="0"/>
                    <w:widowControl/>
                    <w:suppressLineNumbers w:val="0"/>
                    <w:spacing w:before="0" w:beforeAutospacing="0" w:after="0" w:afterAutospacing="0"/>
                    <w:ind w:left="0" w:leftChars="0" w:right="0" w:rightChars="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3.生产车间内涉VOCs物料应密闭储存。</w:t>
                  </w:r>
                </w:p>
                <w:p w14:paraId="468C5621">
                  <w:pPr>
                    <w:keepNext w:val="0"/>
                    <w:keepLines w:val="0"/>
                    <w:widowControl/>
                    <w:suppressLineNumbers w:val="0"/>
                    <w:spacing w:before="0" w:beforeAutospacing="0" w:after="0" w:afterAutospacing="0"/>
                    <w:ind w:left="0" w:leftChars="0" w:right="0" w:rightChars="0"/>
                    <w:jc w:val="both"/>
                    <w:rPr>
                      <w:rFonts w:hint="default" w:hAnsi="宋体"/>
                      <w:color w:val="000000"/>
                      <w:sz w:val="21"/>
                      <w:szCs w:val="21"/>
                      <w:vertAlign w:val="baseline"/>
                    </w:rPr>
                  </w:pPr>
                </w:p>
              </w:tc>
              <w:tc>
                <w:tcPr>
                  <w:tcW w:w="2664" w:type="dxa"/>
                  <w:tcBorders>
                    <w:tl2br w:val="nil"/>
                    <w:tr2bl w:val="nil"/>
                  </w:tcBorders>
                  <w:vAlign w:val="center"/>
                </w:tcPr>
                <w:p w14:paraId="2E83A363">
                  <w:pPr>
                    <w:keepNext w:val="0"/>
                    <w:keepLines w:val="0"/>
                    <w:suppressLineNumbers w:val="0"/>
                    <w:spacing w:before="0" w:beforeAutospacing="0" w:after="0" w:afterAutospacing="0"/>
                    <w:ind w:left="0" w:right="0"/>
                    <w:jc w:val="both"/>
                    <w:rPr>
                      <w:rFonts w:hint="default"/>
                      <w:sz w:val="21"/>
                      <w:szCs w:val="21"/>
                      <w:lang w:val="en-US" w:eastAsia="zh-CN"/>
                    </w:rPr>
                  </w:pPr>
                  <w:r>
                    <w:rPr>
                      <w:rFonts w:hint="eastAsia"/>
                      <w:sz w:val="21"/>
                      <w:szCs w:val="21"/>
                      <w:lang w:val="en-US" w:eastAsia="zh-CN"/>
                    </w:rPr>
                    <w:t>1、本项目水性油墨密闭桶装储存于密闭原料库内</w:t>
                  </w:r>
                  <w:r>
                    <w:rPr>
                      <w:rFonts w:hint="default" w:ascii="Times New Roman" w:hAnsi="Times New Roman" w:cs="Times New Roman" w:eastAsiaTheme="minorEastAsia"/>
                      <w:b w:val="0"/>
                      <w:bCs w:val="0"/>
                      <w:color w:val="000000"/>
                      <w:kern w:val="0"/>
                      <w:sz w:val="21"/>
                      <w:szCs w:val="21"/>
                      <w:lang w:val="en-US" w:eastAsia="zh-CN" w:bidi="ar"/>
                    </w:rPr>
                    <w:t>。</w:t>
                  </w:r>
                </w:p>
                <w:p w14:paraId="232CFA3D">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leftChars="0" w:right="0" w:rightChars="0"/>
                    <w:jc w:val="both"/>
                    <w:textAlignment w:val="auto"/>
                    <w:rPr>
                      <w:rFonts w:hint="eastAsia"/>
                      <w:sz w:val="21"/>
                      <w:szCs w:val="21"/>
                      <w:highlight w:val="none"/>
                      <w:lang w:val="en-US" w:eastAsia="zh-CN"/>
                    </w:rPr>
                  </w:pPr>
                  <w:r>
                    <w:rPr>
                      <w:rFonts w:hint="eastAsia"/>
                      <w:sz w:val="21"/>
                      <w:szCs w:val="21"/>
                      <w:highlight w:val="none"/>
                      <w:lang w:val="en-US" w:eastAsia="zh-CN"/>
                    </w:rPr>
                    <w:t>2、本项目废油墨桶加盖密闭，含VOCs废物、废吸附剂等加盖密闭储存。</w:t>
                  </w:r>
                </w:p>
                <w:p w14:paraId="7B968AD3">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ind w:left="0" w:leftChars="0" w:right="0" w:rightChars="0"/>
                    <w:jc w:val="both"/>
                    <w:textAlignment w:val="auto"/>
                    <w:rPr>
                      <w:rFonts w:hint="default"/>
                      <w:sz w:val="21"/>
                      <w:szCs w:val="21"/>
                      <w:highlight w:val="none"/>
                      <w:lang w:val="en-US" w:eastAsia="zh-CN"/>
                    </w:rPr>
                  </w:pPr>
                  <w:r>
                    <w:rPr>
                      <w:rFonts w:hint="eastAsia"/>
                      <w:sz w:val="21"/>
                      <w:szCs w:val="21"/>
                      <w:highlight w:val="none"/>
                      <w:lang w:val="en-US" w:eastAsia="zh-CN"/>
                    </w:rPr>
                    <w:t>3、生产车间内涉VOCs物料密闭储存。</w:t>
                  </w:r>
                </w:p>
              </w:tc>
              <w:tc>
                <w:tcPr>
                  <w:tcW w:w="889" w:type="dxa"/>
                  <w:tcBorders>
                    <w:tl2br w:val="nil"/>
                    <w:tr2bl w:val="nil"/>
                  </w:tcBorders>
                  <w:vAlign w:val="center"/>
                </w:tcPr>
                <w:p w14:paraId="3DB74D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hAnsi="宋体"/>
                      <w:color w:val="000000"/>
                      <w:sz w:val="21"/>
                      <w:szCs w:val="21"/>
                      <w:vertAlign w:val="baseline"/>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7F967C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tl2br w:val="nil"/>
                    <w:tr2bl w:val="nil"/>
                  </w:tcBorders>
                  <w:vAlign w:val="center"/>
                </w:tcPr>
                <w:p w14:paraId="17BD2F4B">
                  <w:pPr>
                    <w:keepNext w:val="0"/>
                    <w:keepLines w:val="0"/>
                    <w:widowControl/>
                    <w:suppressLineNumbers w:val="0"/>
                    <w:spacing w:before="0" w:beforeAutospacing="0" w:after="0" w:afterAutospacing="0"/>
                    <w:ind w:left="0" w:leftChars="0" w:right="0" w:rightChars="0"/>
                    <w:jc w:val="center"/>
                    <w:rPr>
                      <w:rFonts w:hint="eastAsia" w:hAnsi="宋体" w:eastAsia="宋体"/>
                      <w:color w:val="000000"/>
                      <w:sz w:val="21"/>
                      <w:szCs w:val="21"/>
                      <w:vertAlign w:val="baseline"/>
                      <w:lang w:val="en-US" w:eastAsia="zh-CN"/>
                    </w:rPr>
                  </w:pPr>
                  <w:r>
                    <w:rPr>
                      <w:rFonts w:hint="eastAsia" w:cs="Times New Roman"/>
                      <w:color w:val="000000"/>
                      <w:sz w:val="21"/>
                      <w:szCs w:val="21"/>
                      <w:lang w:val="en-US" w:eastAsia="zh-CN"/>
                    </w:rPr>
                    <w:t>物料转移和输送</w:t>
                  </w:r>
                </w:p>
              </w:tc>
              <w:tc>
                <w:tcPr>
                  <w:tcW w:w="4320" w:type="dxa"/>
                  <w:tcBorders>
                    <w:tl2br w:val="nil"/>
                    <w:tr2bl w:val="nil"/>
                  </w:tcBorders>
                  <w:vAlign w:val="center"/>
                </w:tcPr>
                <w:p w14:paraId="6F1446AF">
                  <w:pPr>
                    <w:keepNext w:val="0"/>
                    <w:keepLines w:val="0"/>
                    <w:widowControl/>
                    <w:suppressLineNumbers w:val="0"/>
                    <w:spacing w:before="0" w:beforeAutospacing="0" w:after="0" w:afterAutospacing="0"/>
                    <w:ind w:left="0" w:leftChars="0" w:right="0" w:rightChars="0"/>
                    <w:jc w:val="both"/>
                    <w:rPr>
                      <w:rFonts w:hint="default" w:hAnsi="宋体"/>
                      <w:color w:val="000000"/>
                      <w:sz w:val="21"/>
                      <w:szCs w:val="21"/>
                      <w:vertAlign w:val="baseline"/>
                    </w:rPr>
                  </w:pPr>
                  <w:r>
                    <w:rPr>
                      <w:rFonts w:hint="default" w:ascii="Times New Roman" w:hAnsi="Times New Roman" w:cs="Times New Roman" w:eastAsiaTheme="minorEastAsia"/>
                      <w:b w:val="0"/>
                      <w:bCs w:val="0"/>
                      <w:color w:val="000000"/>
                      <w:kern w:val="0"/>
                      <w:sz w:val="21"/>
                      <w:szCs w:val="21"/>
                      <w:lang w:val="en-US" w:eastAsia="zh-CN" w:bidi="ar"/>
                    </w:rPr>
                    <w:t>涉VOCs物料采用密闭管道或密闭容器等输送。</w:t>
                  </w:r>
                </w:p>
              </w:tc>
              <w:tc>
                <w:tcPr>
                  <w:tcW w:w="2664" w:type="dxa"/>
                  <w:tcBorders>
                    <w:tl2br w:val="nil"/>
                    <w:tr2bl w:val="nil"/>
                  </w:tcBorders>
                  <w:vAlign w:val="center"/>
                </w:tcPr>
                <w:p w14:paraId="5EEB44D7">
                  <w:pPr>
                    <w:keepNext w:val="0"/>
                    <w:keepLines w:val="0"/>
                    <w:suppressLineNumbers w:val="0"/>
                    <w:spacing w:before="0" w:beforeAutospacing="0" w:after="0" w:afterAutospacing="0"/>
                    <w:ind w:left="0" w:leftChars="0" w:right="0" w:rightChars="0"/>
                    <w:jc w:val="both"/>
                    <w:rPr>
                      <w:rFonts w:hint="default" w:ascii="Times New Roman" w:hAnsi="宋体" w:cs="Times New Roman"/>
                      <w:color w:val="auto"/>
                      <w:sz w:val="21"/>
                      <w:szCs w:val="21"/>
                      <w:lang w:val="en-US" w:eastAsia="zh-CN"/>
                    </w:rPr>
                  </w:pPr>
                  <w:r>
                    <w:rPr>
                      <w:rFonts w:hint="eastAsia"/>
                      <w:sz w:val="21"/>
                      <w:szCs w:val="21"/>
                      <w:highlight w:val="none"/>
                      <w:lang w:val="en-US" w:eastAsia="zh-CN"/>
                    </w:rPr>
                    <w:t>本项目水性油墨密闭桶装存放于密闭原料库内，使用时将密闭桶装油墨运至印刷车间，使用时油墨经密闭软管输送至印刷版辊处进行印刷。</w:t>
                  </w:r>
                </w:p>
              </w:tc>
              <w:tc>
                <w:tcPr>
                  <w:tcW w:w="889" w:type="dxa"/>
                  <w:tcBorders>
                    <w:tl2br w:val="nil"/>
                    <w:tr2bl w:val="nil"/>
                  </w:tcBorders>
                  <w:vAlign w:val="center"/>
                </w:tcPr>
                <w:p w14:paraId="0986BE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1969D7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tl2br w:val="nil"/>
                    <w:tr2bl w:val="nil"/>
                  </w:tcBorders>
                  <w:vAlign w:val="center"/>
                </w:tcPr>
                <w:p w14:paraId="3A4771A5">
                  <w:pPr>
                    <w:keepNext w:val="0"/>
                    <w:keepLines w:val="0"/>
                    <w:widowControl/>
                    <w:suppressLineNumbers w:val="0"/>
                    <w:spacing w:before="0" w:beforeAutospacing="0" w:after="0" w:afterAutospacing="0"/>
                    <w:ind w:left="0" w:leftChars="0" w:right="0" w:rightChars="0"/>
                    <w:jc w:val="center"/>
                    <w:rPr>
                      <w:rFonts w:hint="eastAsia" w:hAnsi="宋体" w:eastAsia="宋体"/>
                      <w:color w:val="000000"/>
                      <w:sz w:val="21"/>
                      <w:szCs w:val="21"/>
                      <w:vertAlign w:val="baseline"/>
                      <w:lang w:val="en-US" w:eastAsia="zh-CN"/>
                    </w:rPr>
                  </w:pPr>
                  <w:r>
                    <w:rPr>
                      <w:rFonts w:hint="eastAsia" w:cs="Times New Roman"/>
                      <w:color w:val="000000"/>
                      <w:sz w:val="21"/>
                      <w:szCs w:val="21"/>
                      <w:lang w:val="en-US" w:eastAsia="zh-CN"/>
                    </w:rPr>
                    <w:t>工艺过程</w:t>
                  </w:r>
                </w:p>
              </w:tc>
              <w:tc>
                <w:tcPr>
                  <w:tcW w:w="4320" w:type="dxa"/>
                  <w:tcBorders>
                    <w:tl2br w:val="nil"/>
                    <w:tr2bl w:val="nil"/>
                  </w:tcBorders>
                  <w:vAlign w:val="center"/>
                </w:tcPr>
                <w:p w14:paraId="58F77A1B">
                  <w:pPr>
                    <w:keepNext w:val="0"/>
                    <w:keepLines w:val="0"/>
                    <w:widowControl/>
                    <w:suppressLineNumbers w:val="0"/>
                    <w:spacing w:before="0" w:beforeAutospacing="0" w:after="0" w:afterAutospacing="0"/>
                    <w:ind w:left="0" w:leftChars="0" w:right="0" w:rightChars="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 xml:space="preserve">1.原辅材料调配、使用（施胶、喷涂、干燥等）、回收等过程采用密闭设备或在密闭空间内操作； </w:t>
                  </w:r>
                </w:p>
                <w:p w14:paraId="12689B1B">
                  <w:pPr>
                    <w:keepNext w:val="0"/>
                    <w:keepLines w:val="0"/>
                    <w:widowControl/>
                    <w:suppressLineNumbers w:val="0"/>
                    <w:spacing w:before="0" w:beforeAutospacing="0" w:after="0" w:afterAutospacing="0"/>
                    <w:ind w:left="0" w:leftChars="0" w:right="0" w:rightChars="0"/>
                    <w:jc w:val="both"/>
                    <w:rPr>
                      <w:rFonts w:hint="default" w:hAnsi="宋体"/>
                      <w:color w:val="000000"/>
                      <w:sz w:val="21"/>
                      <w:szCs w:val="21"/>
                      <w:vertAlign w:val="baseline"/>
                    </w:rPr>
                  </w:pPr>
                  <w:r>
                    <w:rPr>
                      <w:rFonts w:hint="default" w:ascii="Times New Roman" w:hAnsi="Times New Roman" w:cs="Times New Roman" w:eastAsiaTheme="minorEastAsia"/>
                      <w:b w:val="0"/>
                      <w:bCs w:val="0"/>
                      <w:color w:val="000000"/>
                      <w:kern w:val="0"/>
                      <w:sz w:val="21"/>
                      <w:szCs w:val="21"/>
                      <w:lang w:val="en-US" w:eastAsia="zh-CN" w:bidi="ar"/>
                    </w:rPr>
                    <w:t>2.涉 VOCs 原料装卸、储存、转移和输送、工艺过程等环节的废气全部收集引至 VOCs 处理系统。</w:t>
                  </w:r>
                </w:p>
              </w:tc>
              <w:tc>
                <w:tcPr>
                  <w:tcW w:w="2664" w:type="dxa"/>
                  <w:tcBorders>
                    <w:tl2br w:val="nil"/>
                    <w:tr2bl w:val="nil"/>
                  </w:tcBorders>
                  <w:vAlign w:val="center"/>
                </w:tcPr>
                <w:p w14:paraId="31F2E2FA">
                  <w:pPr>
                    <w:keepNext w:val="0"/>
                    <w:keepLines w:val="0"/>
                    <w:suppressLineNumbers w:val="0"/>
                    <w:spacing w:before="0" w:beforeAutospacing="0" w:after="0" w:afterAutospacing="0"/>
                    <w:ind w:left="0" w:leftChars="0" w:right="0" w:rightChars="0"/>
                    <w:jc w:val="both"/>
                    <w:rPr>
                      <w:rFonts w:hint="eastAsia"/>
                      <w:sz w:val="21"/>
                      <w:szCs w:val="21"/>
                      <w:lang w:val="en-US" w:eastAsia="zh-CN"/>
                    </w:rPr>
                  </w:pPr>
                  <w:r>
                    <w:rPr>
                      <w:rFonts w:hint="eastAsia"/>
                      <w:sz w:val="21"/>
                      <w:szCs w:val="21"/>
                      <w:lang w:val="en-US" w:eastAsia="zh-CN"/>
                    </w:rPr>
                    <w:t>1、本项目水性油墨直接使用，不需调配；印刷机二次密闭，水性油墨在密闭空间内使用。</w:t>
                  </w:r>
                </w:p>
                <w:p w14:paraId="5BD5D4DB">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firstLineChars="0"/>
                    <w:jc w:val="both"/>
                    <w:textAlignment w:val="auto"/>
                    <w:rPr>
                      <w:rFonts w:hint="default"/>
                      <w:lang w:val="en-US"/>
                    </w:rPr>
                  </w:pPr>
                  <w:r>
                    <w:rPr>
                      <w:rFonts w:hint="eastAsia"/>
                      <w:sz w:val="21"/>
                      <w:szCs w:val="21"/>
                      <w:lang w:val="en-US" w:eastAsia="zh-CN"/>
                    </w:rPr>
                    <w:t>2、本项目水性油墨密闭桶装存放于密闭原料库内，印刷机</w:t>
                  </w:r>
                  <w:r>
                    <w:rPr>
                      <w:rFonts w:hint="eastAsia"/>
                      <w:sz w:val="21"/>
                      <w:szCs w:val="21"/>
                      <w:highlight w:val="none"/>
                      <w:lang w:val="en-US" w:eastAsia="zh-CN"/>
                    </w:rPr>
                    <w:t>采用密闭刮刀，烘箱保持密闭</w:t>
                  </w:r>
                  <w:r>
                    <w:rPr>
                      <w:rFonts w:hint="eastAsia"/>
                      <w:sz w:val="21"/>
                      <w:szCs w:val="21"/>
                      <w:lang w:val="en-US" w:eastAsia="zh-CN"/>
                    </w:rPr>
                    <w:t>，印刷废气经负压收集；淋膜机加热装置密闭，淋膜处上方设置集气罩，淋膜废气经集气罩收集，废气经收集后通至活性炭吸附脱附+催化燃烧装置治理。</w:t>
                  </w:r>
                </w:p>
              </w:tc>
              <w:tc>
                <w:tcPr>
                  <w:tcW w:w="889" w:type="dxa"/>
                  <w:tcBorders>
                    <w:tl2br w:val="nil"/>
                    <w:tr2bl w:val="nil"/>
                  </w:tcBorders>
                  <w:vAlign w:val="center"/>
                </w:tcPr>
                <w:p w14:paraId="3EA5AB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sz w:val="21"/>
                      <w:szCs w:val="21"/>
                      <w:lang w:eastAsia="zh-CN"/>
                    </w:rPr>
                  </w:pPr>
                  <w:r>
                    <w:rPr>
                      <w:rFonts w:hint="eastAsia"/>
                      <w:sz w:val="21"/>
                      <w:szCs w:val="21"/>
                      <w:lang w:val="en-US" w:eastAsia="zh-CN"/>
                    </w:rPr>
                    <w:t>相  符</w:t>
                  </w:r>
                </w:p>
              </w:tc>
            </w:tr>
            <w:tr w14:paraId="66CFE7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tl2br w:val="nil"/>
                    <w:tr2bl w:val="nil"/>
                  </w:tcBorders>
                  <w:vAlign w:val="center"/>
                </w:tcPr>
                <w:p w14:paraId="38DD679A">
                  <w:pPr>
                    <w:keepNext w:val="0"/>
                    <w:keepLines w:val="0"/>
                    <w:widowControl/>
                    <w:suppressLineNumbers w:val="0"/>
                    <w:spacing w:before="0" w:beforeAutospacing="0" w:after="0" w:afterAutospacing="0"/>
                    <w:ind w:left="0" w:leftChars="0" w:right="0" w:rightChars="0"/>
                    <w:jc w:val="center"/>
                    <w:rPr>
                      <w:rFonts w:hint="eastAsia" w:hAnsi="宋体" w:eastAsia="宋体"/>
                      <w:color w:val="000000"/>
                      <w:sz w:val="21"/>
                      <w:szCs w:val="21"/>
                      <w:vertAlign w:val="baseline"/>
                      <w:lang w:val="en-US" w:eastAsia="zh-CN"/>
                    </w:rPr>
                  </w:pPr>
                  <w:r>
                    <w:rPr>
                      <w:rFonts w:hint="eastAsia" w:cs="Times New Roman"/>
                      <w:color w:val="000000"/>
                      <w:sz w:val="21"/>
                      <w:szCs w:val="21"/>
                      <w:lang w:val="en-US" w:eastAsia="zh-CN"/>
                    </w:rPr>
                    <w:t>排放限值</w:t>
                  </w:r>
                </w:p>
              </w:tc>
              <w:tc>
                <w:tcPr>
                  <w:tcW w:w="4320" w:type="dxa"/>
                  <w:tcBorders>
                    <w:tl2br w:val="nil"/>
                    <w:tr2bl w:val="nil"/>
                  </w:tcBorders>
                  <w:vAlign w:val="center"/>
                </w:tcPr>
                <w:p w14:paraId="59E1C5FB">
                  <w:pPr>
                    <w:keepNext w:val="0"/>
                    <w:keepLines w:val="0"/>
                    <w:widowControl/>
                    <w:suppressLineNumbers w:val="0"/>
                    <w:spacing w:before="0" w:beforeAutospacing="0" w:after="0" w:afterAutospacing="0"/>
                    <w:ind w:left="0" w:leftChars="0" w:right="0" w:rightChars="0"/>
                    <w:jc w:val="both"/>
                    <w:rPr>
                      <w:rFonts w:hint="default" w:hAnsi="宋体"/>
                      <w:color w:val="000000"/>
                      <w:sz w:val="21"/>
                      <w:szCs w:val="21"/>
                      <w:vertAlign w:val="baseline"/>
                    </w:rPr>
                  </w:pPr>
                  <w:r>
                    <w:rPr>
                      <w:rFonts w:hint="default" w:ascii="Times New Roman" w:hAnsi="Times New Roman" w:cs="Times New Roman" w:eastAsiaTheme="minorEastAsia"/>
                      <w:b w:val="0"/>
                      <w:bCs w:val="0"/>
                      <w:color w:val="000000"/>
                      <w:kern w:val="0"/>
                      <w:sz w:val="21"/>
                      <w:szCs w:val="21"/>
                      <w:lang w:val="en-US" w:eastAsia="zh-CN" w:bidi="ar"/>
                    </w:rPr>
                    <w:t>NMHC排放限值不高于30mg/m</w:t>
                  </w:r>
                  <w:r>
                    <w:rPr>
                      <w:rFonts w:hint="default" w:ascii="Times New Roman" w:hAnsi="Times New Roman" w:cs="Times New Roman" w:eastAsiaTheme="minorEastAsia"/>
                      <w:b w:val="0"/>
                      <w:bCs w:val="0"/>
                      <w:color w:val="000000"/>
                      <w:kern w:val="0"/>
                      <w:sz w:val="21"/>
                      <w:szCs w:val="21"/>
                      <w:vertAlign w:val="superscript"/>
                      <w:lang w:val="en-US" w:eastAsia="zh-CN" w:bidi="ar"/>
                    </w:rPr>
                    <w:t>3</w:t>
                  </w:r>
                  <w:r>
                    <w:rPr>
                      <w:rFonts w:hint="default" w:ascii="Times New Roman" w:hAnsi="Times New Roman" w:cs="Times New Roman" w:eastAsiaTheme="minorEastAsia"/>
                      <w:b w:val="0"/>
                      <w:bCs w:val="0"/>
                      <w:color w:val="000000"/>
                      <w:kern w:val="0"/>
                      <w:sz w:val="21"/>
                      <w:szCs w:val="21"/>
                      <w:lang w:val="en-US" w:eastAsia="zh-CN" w:bidi="ar"/>
                    </w:rPr>
                    <w:t>；其他污染物排放浓度达到相关污染物排放标准。</w:t>
                  </w:r>
                </w:p>
              </w:tc>
              <w:tc>
                <w:tcPr>
                  <w:tcW w:w="2664" w:type="dxa"/>
                  <w:tcBorders>
                    <w:tl2br w:val="nil"/>
                    <w:tr2bl w:val="nil"/>
                  </w:tcBorders>
                  <w:vAlign w:val="center"/>
                </w:tcPr>
                <w:p w14:paraId="75A623B9">
                  <w:pPr>
                    <w:keepNext w:val="0"/>
                    <w:keepLines w:val="0"/>
                    <w:suppressLineNumbers w:val="0"/>
                    <w:spacing w:before="0" w:beforeAutospacing="0" w:after="0" w:afterAutospacing="0"/>
                    <w:ind w:left="0" w:leftChars="0" w:right="0" w:rightChars="0"/>
                    <w:jc w:val="both"/>
                    <w:rPr>
                      <w:rFonts w:hint="eastAsia" w:hAnsi="宋体" w:eastAsia="宋体"/>
                      <w:color w:val="000000"/>
                      <w:sz w:val="21"/>
                      <w:szCs w:val="21"/>
                      <w:vertAlign w:val="baseline"/>
                      <w:lang w:val="en-US" w:eastAsia="zh-CN"/>
                    </w:rPr>
                  </w:pPr>
                  <w:r>
                    <w:rPr>
                      <w:rFonts w:hint="eastAsia"/>
                      <w:sz w:val="21"/>
                      <w:szCs w:val="21"/>
                      <w:lang w:val="en-US" w:eastAsia="zh-CN"/>
                    </w:rPr>
                    <w:t>本项目非甲烷总烃排放满足</w:t>
                  </w:r>
                  <w:r>
                    <w:rPr>
                      <w:rFonts w:hint="eastAsia" w:cs="Times New Roman" w:eastAsiaTheme="minorEastAsia"/>
                      <w:b w:val="0"/>
                      <w:bCs w:val="0"/>
                      <w:color w:val="000000"/>
                      <w:kern w:val="0"/>
                      <w:sz w:val="21"/>
                      <w:szCs w:val="21"/>
                      <w:lang w:val="en-US" w:eastAsia="zh-CN" w:bidi="ar"/>
                    </w:rPr>
                    <w:t>3</w:t>
                  </w:r>
                  <w:r>
                    <w:rPr>
                      <w:rFonts w:hint="default" w:ascii="Times New Roman" w:hAnsi="Times New Roman" w:cs="Times New Roman" w:eastAsiaTheme="minorEastAsia"/>
                      <w:b w:val="0"/>
                      <w:bCs w:val="0"/>
                      <w:color w:val="000000"/>
                      <w:kern w:val="0"/>
                      <w:sz w:val="21"/>
                      <w:szCs w:val="21"/>
                      <w:lang w:val="en-US" w:eastAsia="zh-CN" w:bidi="ar"/>
                    </w:rPr>
                    <w:t>0mg/m</w:t>
                  </w:r>
                  <w:r>
                    <w:rPr>
                      <w:rFonts w:hint="default" w:ascii="Times New Roman" w:hAnsi="Times New Roman" w:cs="Times New Roman" w:eastAsiaTheme="minorEastAsia"/>
                      <w:b w:val="0"/>
                      <w:bCs w:val="0"/>
                      <w:color w:val="000000"/>
                      <w:kern w:val="0"/>
                      <w:sz w:val="21"/>
                      <w:szCs w:val="21"/>
                      <w:vertAlign w:val="superscript"/>
                      <w:lang w:val="en-US" w:eastAsia="zh-CN" w:bidi="ar"/>
                    </w:rPr>
                    <w:t>3</w:t>
                  </w:r>
                  <w:r>
                    <w:rPr>
                      <w:rFonts w:hint="eastAsia" w:cs="Times New Roman" w:eastAsiaTheme="minorEastAsia"/>
                      <w:b w:val="0"/>
                      <w:bCs w:val="0"/>
                      <w:color w:val="000000"/>
                      <w:kern w:val="0"/>
                      <w:sz w:val="21"/>
                      <w:szCs w:val="21"/>
                      <w:vertAlign w:val="baseline"/>
                      <w:lang w:val="en-US" w:eastAsia="zh-CN" w:bidi="ar"/>
                    </w:rPr>
                    <w:t>限值的要求。</w:t>
                  </w:r>
                </w:p>
              </w:tc>
              <w:tc>
                <w:tcPr>
                  <w:tcW w:w="889" w:type="dxa"/>
                  <w:tcBorders>
                    <w:tl2br w:val="nil"/>
                    <w:tr2bl w:val="nil"/>
                  </w:tcBorders>
                  <w:vAlign w:val="center"/>
                </w:tcPr>
                <w:p w14:paraId="3D8963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5E1ADD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tl2br w:val="nil"/>
                    <w:tr2bl w:val="nil"/>
                  </w:tcBorders>
                  <w:vAlign w:val="center"/>
                </w:tcPr>
                <w:p w14:paraId="76D118A9">
                  <w:pPr>
                    <w:keepNext w:val="0"/>
                    <w:keepLines w:val="0"/>
                    <w:widowControl/>
                    <w:suppressLineNumbers w:val="0"/>
                    <w:spacing w:before="0" w:beforeAutospacing="0" w:after="0" w:afterAutospacing="0"/>
                    <w:ind w:left="0" w:leftChars="0" w:right="0" w:rightChars="0"/>
                    <w:jc w:val="center"/>
                    <w:rPr>
                      <w:rFonts w:hint="default" w:cs="Times New Roman"/>
                      <w:color w:val="000000"/>
                      <w:sz w:val="21"/>
                      <w:szCs w:val="21"/>
                      <w:lang w:val="en-US" w:eastAsia="zh-CN"/>
                    </w:rPr>
                  </w:pPr>
                  <w:r>
                    <w:rPr>
                      <w:rFonts w:hint="eastAsia" w:ascii="宋体" w:hAnsi="宋体" w:eastAsia="宋体" w:cs="宋体"/>
                      <w:b w:val="0"/>
                      <w:bCs w:val="0"/>
                      <w:color w:val="000000"/>
                      <w:kern w:val="0"/>
                      <w:sz w:val="21"/>
                      <w:szCs w:val="21"/>
                      <w:lang w:val="en-US" w:eastAsia="zh-CN" w:bidi="ar"/>
                    </w:rPr>
                    <w:t>监测监控水平</w:t>
                  </w:r>
                </w:p>
              </w:tc>
              <w:tc>
                <w:tcPr>
                  <w:tcW w:w="4320" w:type="dxa"/>
                  <w:tcBorders>
                    <w:tl2br w:val="nil"/>
                    <w:tr2bl w:val="nil"/>
                  </w:tcBorders>
                  <w:vAlign w:val="center"/>
                </w:tcPr>
                <w:p w14:paraId="60A2C6C1">
                  <w:pPr>
                    <w:keepNext w:val="0"/>
                    <w:keepLines w:val="0"/>
                    <w:widowControl/>
                    <w:suppressLineNumbers w:val="0"/>
                    <w:spacing w:before="0" w:beforeAutospacing="0" w:after="0" w:afterAutospacing="0"/>
                    <w:ind w:left="0" w:leftChars="0" w:right="0" w:rightChars="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1.有组织排放口按排污许可、环境影响评价或环境现状评估等要求安装烟气排放自动监控设施（CEMS），并按要求与省厅联网；重点排污单位风量大于10000m</w:t>
                  </w:r>
                  <w:r>
                    <w:rPr>
                      <w:rFonts w:hint="default" w:ascii="Times New Roman" w:hAnsi="Times New Roman" w:cs="Times New Roman" w:eastAsiaTheme="minorEastAsia"/>
                      <w:b w:val="0"/>
                      <w:bCs w:val="0"/>
                      <w:color w:val="000000"/>
                      <w:kern w:val="0"/>
                      <w:sz w:val="21"/>
                      <w:szCs w:val="21"/>
                      <w:vertAlign w:val="superscript"/>
                      <w:lang w:val="en-US" w:eastAsia="zh-CN" w:bidi="ar"/>
                    </w:rPr>
                    <w:t>3</w:t>
                  </w:r>
                  <w:r>
                    <w:rPr>
                      <w:rFonts w:hint="default" w:ascii="Times New Roman" w:hAnsi="Times New Roman" w:cs="Times New Roman" w:eastAsiaTheme="minorEastAsia"/>
                      <w:b w:val="0"/>
                      <w:bCs w:val="0"/>
                      <w:color w:val="000000"/>
                      <w:kern w:val="0"/>
                      <w:sz w:val="21"/>
                      <w:szCs w:val="21"/>
                      <w:lang w:val="en-US" w:eastAsia="zh-CN" w:bidi="ar"/>
                    </w:rPr>
                    <w:t>/h的主要排放口安装NMHC在线监测设施（FID 检测器）并按要求与省厅联网；其他企业NMHC初始排放速率大于2kg/h且排放口风量大于 20000m</w:t>
                  </w:r>
                  <w:r>
                    <w:rPr>
                      <w:rFonts w:hint="default" w:ascii="Times New Roman" w:hAnsi="Times New Roman" w:cs="Times New Roman" w:eastAsiaTheme="minorEastAsia"/>
                      <w:b w:val="0"/>
                      <w:bCs w:val="0"/>
                      <w:color w:val="000000"/>
                      <w:kern w:val="0"/>
                      <w:sz w:val="21"/>
                      <w:szCs w:val="21"/>
                      <w:vertAlign w:val="superscript"/>
                      <w:lang w:val="en-US" w:eastAsia="zh-CN" w:bidi="ar"/>
                    </w:rPr>
                    <w:t>3</w:t>
                  </w:r>
                  <w:r>
                    <w:rPr>
                      <w:rFonts w:hint="default" w:ascii="Times New Roman" w:hAnsi="Times New Roman" w:cs="Times New Roman" w:eastAsiaTheme="minorEastAsia"/>
                      <w:b w:val="0"/>
                      <w:bCs w:val="0"/>
                      <w:color w:val="000000"/>
                      <w:kern w:val="0"/>
                      <w:sz w:val="21"/>
                      <w:szCs w:val="21"/>
                      <w:lang w:val="en-US" w:eastAsia="zh-CN" w:bidi="ar"/>
                    </w:rPr>
                    <w:t xml:space="preserve">/h的废气排放口安装NMHC在线监测设施（FID检测器），并按要求与省厅联网；在线监测数据至少保存最近12个月的1分钟均值、36个月的1小时均值及60个月的日均值和月均值。（投产或安装时间不满一年以上的企业，以现有数据为准）； </w:t>
                  </w:r>
                </w:p>
                <w:p w14:paraId="1436E4C2">
                  <w:pPr>
                    <w:keepNext w:val="0"/>
                    <w:keepLines w:val="0"/>
                    <w:widowControl/>
                    <w:suppressLineNumbers w:val="0"/>
                    <w:spacing w:before="0" w:beforeAutospacing="0" w:after="0" w:afterAutospacing="0"/>
                    <w:ind w:left="0" w:leftChars="0" w:right="0" w:rightChars="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 xml:space="preserve">2.按生态环境部门要求规范设置废气排放口标志牌、二维码标识和采样平台、采样孔；各废气排放口按照排污许可要求开展自行监测； </w:t>
                  </w:r>
                </w:p>
                <w:p w14:paraId="19E384C6">
                  <w:pPr>
                    <w:keepNext w:val="0"/>
                    <w:keepLines w:val="0"/>
                    <w:widowControl/>
                    <w:suppressLineNumbers w:val="0"/>
                    <w:spacing w:before="0" w:beforeAutospacing="0" w:after="0" w:afterAutospacing="0"/>
                    <w:ind w:left="0" w:leftChars="0" w:right="0" w:rightChars="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3.未安装自动在线监控的企业，应在主要生产设备（投料口、卸料口等位置）安装视频监控设施，相关数据保存 6 个月以上。</w:t>
                  </w:r>
                </w:p>
              </w:tc>
              <w:tc>
                <w:tcPr>
                  <w:tcW w:w="2664" w:type="dxa"/>
                  <w:tcBorders>
                    <w:tl2br w:val="nil"/>
                    <w:tr2bl w:val="nil"/>
                  </w:tcBorders>
                  <w:vAlign w:val="center"/>
                </w:tcPr>
                <w:p w14:paraId="082F143E">
                  <w:pPr>
                    <w:keepNext w:val="0"/>
                    <w:keepLines w:val="0"/>
                    <w:suppressLineNumbers w:val="0"/>
                    <w:spacing w:before="0" w:beforeAutospacing="0" w:after="0" w:afterAutospacing="0"/>
                    <w:ind w:left="0" w:right="0"/>
                    <w:jc w:val="both"/>
                    <w:rPr>
                      <w:rFonts w:hint="eastAsia"/>
                      <w:b w:val="0"/>
                      <w:bCs w:val="0"/>
                      <w:sz w:val="21"/>
                      <w:szCs w:val="21"/>
                      <w:highlight w:val="none"/>
                      <w:lang w:val="en-US" w:eastAsia="zh-CN"/>
                    </w:rPr>
                  </w:pPr>
                  <w:r>
                    <w:rPr>
                      <w:rFonts w:hint="eastAsia"/>
                      <w:sz w:val="21"/>
                      <w:szCs w:val="21"/>
                      <w:lang w:val="en-US" w:eastAsia="zh-CN"/>
                    </w:rPr>
                    <w:t>1、</w:t>
                  </w:r>
                  <w:r>
                    <w:rPr>
                      <w:rFonts w:hint="eastAsia" w:ascii="Times New Roman" w:hAnsi="宋体" w:cs="Times New Roman"/>
                      <w:color w:val="000000"/>
                      <w:sz w:val="21"/>
                      <w:szCs w:val="21"/>
                      <w:highlight w:val="none"/>
                      <w:lang w:val="en-US" w:eastAsia="zh-CN"/>
                    </w:rPr>
                    <w:t>本项目不属于重点排污单位，全厂非甲烷总烃产生速率</w:t>
                  </w:r>
                  <w:r>
                    <w:rPr>
                      <w:rFonts w:hint="eastAsia" w:ascii="Times New Roman" w:hAnsi="Times New Roman" w:cs="Times New Roman"/>
                      <w:color w:val="000000"/>
                      <w:sz w:val="21"/>
                      <w:szCs w:val="21"/>
                      <w:lang w:val="en-US" w:eastAsia="zh-CN"/>
                    </w:rPr>
                    <w:t>小于2kg/h，且排放口风量小于20000m</w:t>
                  </w:r>
                  <w:r>
                    <w:rPr>
                      <w:rFonts w:hint="eastAsia" w:ascii="Times New Roman" w:hAnsi="Times New Roman" w:cs="Times New Roman"/>
                      <w:color w:val="000000"/>
                      <w:sz w:val="21"/>
                      <w:szCs w:val="21"/>
                      <w:vertAlign w:val="superscript"/>
                      <w:lang w:val="en-US" w:eastAsia="zh-CN"/>
                    </w:rPr>
                    <w:t>3</w:t>
                  </w:r>
                  <w:r>
                    <w:rPr>
                      <w:rFonts w:hint="eastAsia" w:ascii="Times New Roman" w:hAnsi="Times New Roman" w:cs="Times New Roman"/>
                      <w:color w:val="000000"/>
                      <w:sz w:val="21"/>
                      <w:szCs w:val="21"/>
                      <w:lang w:val="en-US" w:eastAsia="zh-CN"/>
                    </w:rPr>
                    <w:t>/h，故本项目不需要安装NMHC在线监测设施（FID检测器）</w:t>
                  </w:r>
                  <w:r>
                    <w:rPr>
                      <w:rFonts w:hint="eastAsia"/>
                      <w:b w:val="0"/>
                      <w:bCs w:val="0"/>
                      <w:sz w:val="21"/>
                      <w:szCs w:val="21"/>
                      <w:highlight w:val="none"/>
                      <w:lang w:val="en-US" w:eastAsia="zh-CN"/>
                    </w:rPr>
                    <w:t>。</w:t>
                  </w:r>
                </w:p>
                <w:p w14:paraId="4F707F48">
                  <w:pPr>
                    <w:keepNext w:val="0"/>
                    <w:keepLines w:val="0"/>
                    <w:suppressLineNumbers w:val="0"/>
                    <w:spacing w:before="0" w:beforeAutospacing="0" w:after="0" w:afterAutospacing="0"/>
                    <w:ind w:left="0" w:right="0"/>
                    <w:jc w:val="both"/>
                    <w:rPr>
                      <w:rFonts w:hint="eastAsia"/>
                      <w:sz w:val="21"/>
                      <w:szCs w:val="21"/>
                      <w:lang w:val="en-US" w:eastAsia="zh-CN"/>
                    </w:rPr>
                  </w:pPr>
                  <w:r>
                    <w:rPr>
                      <w:rFonts w:hint="eastAsia"/>
                      <w:b w:val="0"/>
                      <w:bCs w:val="0"/>
                      <w:sz w:val="21"/>
                      <w:szCs w:val="21"/>
                      <w:highlight w:val="none"/>
                      <w:lang w:val="en-US" w:eastAsia="zh-CN"/>
                    </w:rPr>
                    <w:t>2、</w:t>
                  </w:r>
                  <w:r>
                    <w:rPr>
                      <w:rFonts w:hint="eastAsia" w:ascii="Times New Roman" w:hAnsi="Times New Roman" w:cs="Times New Roman"/>
                      <w:color w:val="000000"/>
                      <w:sz w:val="21"/>
                      <w:szCs w:val="21"/>
                      <w:lang w:val="en-US" w:eastAsia="zh-CN"/>
                    </w:rPr>
                    <w:t>按生态环境部门要求规范设置废气排放口标志牌、二维码标识和采样平台、采样孔；各废气排放口按照排污许可要求开展自行监测</w:t>
                  </w:r>
                  <w:r>
                    <w:rPr>
                      <w:rFonts w:hint="eastAsia"/>
                      <w:sz w:val="21"/>
                      <w:szCs w:val="21"/>
                      <w:lang w:val="en-US" w:eastAsia="zh-CN"/>
                    </w:rPr>
                    <w:t>。</w:t>
                  </w:r>
                </w:p>
                <w:p w14:paraId="68F80579">
                  <w:pPr>
                    <w:keepNext w:val="0"/>
                    <w:keepLines w:val="0"/>
                    <w:suppressLineNumbers w:val="0"/>
                    <w:spacing w:before="0" w:beforeAutospacing="0" w:after="0" w:afterAutospacing="0"/>
                    <w:ind w:left="0" w:leftChars="0" w:right="0" w:rightChars="0"/>
                    <w:jc w:val="both"/>
                    <w:rPr>
                      <w:rFonts w:hint="eastAsia"/>
                      <w:sz w:val="21"/>
                      <w:szCs w:val="21"/>
                      <w:lang w:val="en-US" w:eastAsia="zh-CN"/>
                    </w:rPr>
                  </w:pPr>
                  <w:r>
                    <w:rPr>
                      <w:rFonts w:hint="eastAsia"/>
                      <w:sz w:val="21"/>
                      <w:szCs w:val="21"/>
                      <w:lang w:val="en-US" w:eastAsia="zh-CN"/>
                    </w:rPr>
                    <w:t>3、本项目将按照要求在主要设备</w:t>
                  </w:r>
                  <w:r>
                    <w:rPr>
                      <w:rFonts w:hint="default" w:ascii="Times New Roman" w:hAnsi="Times New Roman" w:cs="Times New Roman" w:eastAsiaTheme="minorEastAsia"/>
                      <w:b w:val="0"/>
                      <w:bCs w:val="0"/>
                      <w:color w:val="000000"/>
                      <w:kern w:val="0"/>
                      <w:sz w:val="21"/>
                      <w:szCs w:val="21"/>
                      <w:lang w:val="en-US" w:eastAsia="zh-CN" w:bidi="ar"/>
                    </w:rPr>
                    <w:t>生产设备（投料口、卸料口等位置）安装视频监控设施，相关数据保存 6 个月以上</w:t>
                  </w:r>
                  <w:r>
                    <w:rPr>
                      <w:rFonts w:hint="eastAsia"/>
                      <w:sz w:val="21"/>
                      <w:szCs w:val="21"/>
                      <w:lang w:val="en-US" w:eastAsia="zh-CN"/>
                    </w:rPr>
                    <w:t>。</w:t>
                  </w:r>
                </w:p>
              </w:tc>
              <w:tc>
                <w:tcPr>
                  <w:tcW w:w="889" w:type="dxa"/>
                  <w:tcBorders>
                    <w:tl2br w:val="nil"/>
                    <w:tr2bl w:val="nil"/>
                  </w:tcBorders>
                  <w:vAlign w:val="center"/>
                </w:tcPr>
                <w:p w14:paraId="373BFE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eastAsia="宋体"/>
                      <w:sz w:val="21"/>
                      <w:szCs w:val="21"/>
                      <w:lang w:val="en-US" w:eastAsia="zh-CN"/>
                    </w:rPr>
                  </w:pPr>
                  <w:r>
                    <w:rPr>
                      <w:rFonts w:hint="eastAsia"/>
                      <w:sz w:val="21"/>
                      <w:szCs w:val="21"/>
                      <w:lang w:val="en-US" w:eastAsia="zh-CN"/>
                    </w:rPr>
                    <w:t>相  符</w:t>
                  </w:r>
                </w:p>
              </w:tc>
            </w:tr>
            <w:tr w14:paraId="5FCC49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tl2br w:val="nil"/>
                    <w:tr2bl w:val="nil"/>
                  </w:tcBorders>
                  <w:vAlign w:val="center"/>
                </w:tcPr>
                <w:p w14:paraId="7B155799">
                  <w:pPr>
                    <w:keepNext w:val="0"/>
                    <w:keepLines w:val="0"/>
                    <w:widowControl/>
                    <w:suppressLineNumbers w:val="0"/>
                    <w:spacing w:before="0" w:beforeAutospacing="0" w:after="0" w:afterAutospacing="0"/>
                    <w:ind w:left="0" w:leftChars="0" w:right="0" w:rightChars="0"/>
                    <w:jc w:val="center"/>
                    <w:rPr>
                      <w:rFonts w:hint="default" w:ascii="宋体" w:hAnsi="宋体" w:eastAsia="宋体" w:cs="宋体"/>
                      <w:b w:val="0"/>
                      <w:bCs w:val="0"/>
                      <w:color w:val="000000"/>
                      <w:kern w:val="0"/>
                      <w:sz w:val="21"/>
                      <w:szCs w:val="21"/>
                      <w:lang w:val="en-US" w:eastAsia="zh-CN" w:bidi="ar"/>
                    </w:rPr>
                  </w:pPr>
                  <w:r>
                    <w:rPr>
                      <w:rFonts w:hint="eastAsia" w:ascii="宋体" w:hAnsi="宋体" w:cs="宋体"/>
                      <w:b w:val="0"/>
                      <w:bCs w:val="0"/>
                      <w:color w:val="000000"/>
                      <w:kern w:val="0"/>
                      <w:sz w:val="21"/>
                      <w:szCs w:val="21"/>
                      <w:lang w:val="en-US" w:eastAsia="zh-CN" w:bidi="ar"/>
                    </w:rPr>
                    <w:t>厂容厂貌</w:t>
                  </w:r>
                </w:p>
              </w:tc>
              <w:tc>
                <w:tcPr>
                  <w:tcW w:w="4320" w:type="dxa"/>
                  <w:tcBorders>
                    <w:tl2br w:val="nil"/>
                    <w:tr2bl w:val="nil"/>
                  </w:tcBorders>
                  <w:vAlign w:val="center"/>
                </w:tcPr>
                <w:p w14:paraId="3CAD10E9">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1.厂区内道路、原辅材料和燃料堆场等路面应硬化； </w:t>
                  </w:r>
                </w:p>
                <w:p w14:paraId="3E1BE4C4">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2.厂区内道路采取定期清扫、洒水等措施，保持清洁，路面无明显可见积尘； </w:t>
                  </w:r>
                </w:p>
                <w:p w14:paraId="605626A2">
                  <w:pPr>
                    <w:keepNext w:val="0"/>
                    <w:keepLines w:val="0"/>
                    <w:widowControl/>
                    <w:suppressLineNumbers w:val="0"/>
                    <w:spacing w:before="0" w:beforeAutospacing="0" w:after="0" w:afterAutospacing="0"/>
                    <w:ind w:left="0" w:leftChars="0" w:right="0" w:rightChars="0"/>
                    <w:jc w:val="both"/>
                    <w:rPr>
                      <w:rFonts w:hint="eastAsia" w:ascii="宋体" w:hAnsi="宋体" w:eastAsia="宋体" w:cs="宋体"/>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3.其他未利用地优先绿化，或进行硬化，无成片裸露土地。</w:t>
                  </w:r>
                </w:p>
              </w:tc>
              <w:tc>
                <w:tcPr>
                  <w:tcW w:w="2664" w:type="dxa"/>
                  <w:tcBorders>
                    <w:tl2br w:val="nil"/>
                    <w:tr2bl w:val="nil"/>
                  </w:tcBorders>
                  <w:vAlign w:val="center"/>
                </w:tcPr>
                <w:p w14:paraId="73AFF0D6">
                  <w:pPr>
                    <w:keepNext w:val="0"/>
                    <w:keepLines w:val="0"/>
                    <w:suppressLineNumbers w:val="0"/>
                    <w:spacing w:before="0" w:beforeAutospacing="0" w:after="0" w:afterAutospacing="0"/>
                    <w:ind w:left="0" w:right="0"/>
                    <w:jc w:val="both"/>
                    <w:rPr>
                      <w:rFonts w:hint="eastAsia"/>
                      <w:sz w:val="21"/>
                      <w:szCs w:val="21"/>
                      <w:lang w:val="en-US" w:eastAsia="zh-CN"/>
                    </w:rPr>
                  </w:pPr>
                  <w:r>
                    <w:rPr>
                      <w:rFonts w:hint="eastAsia"/>
                      <w:sz w:val="21"/>
                      <w:szCs w:val="21"/>
                      <w:lang w:val="en-US" w:eastAsia="zh-CN"/>
                    </w:rPr>
                    <w:t>1、厂区内道路、原辅材料堆场等路面均硬化；</w:t>
                  </w:r>
                </w:p>
                <w:p w14:paraId="1180FF3E">
                  <w:pPr>
                    <w:keepNext w:val="0"/>
                    <w:keepLines w:val="0"/>
                    <w:suppressLineNumbers w:val="0"/>
                    <w:spacing w:before="0" w:beforeAutospacing="0" w:after="0" w:afterAutospacing="0"/>
                    <w:ind w:left="0" w:right="0"/>
                    <w:jc w:val="both"/>
                    <w:rPr>
                      <w:rFonts w:hint="eastAsia"/>
                      <w:sz w:val="21"/>
                      <w:szCs w:val="21"/>
                      <w:lang w:val="en-US" w:eastAsia="zh-CN"/>
                    </w:rPr>
                  </w:pPr>
                  <w:r>
                    <w:rPr>
                      <w:rFonts w:hint="eastAsia"/>
                      <w:sz w:val="21"/>
                      <w:szCs w:val="21"/>
                      <w:lang w:val="en-US" w:eastAsia="zh-CN"/>
                    </w:rPr>
                    <w:t>2、厂区内道路定期清扫、洒水，路面无可见积尘；</w:t>
                  </w:r>
                </w:p>
                <w:p w14:paraId="2A4CE229">
                  <w:pPr>
                    <w:keepNext w:val="0"/>
                    <w:keepLines w:val="0"/>
                    <w:suppressLineNumbers w:val="0"/>
                    <w:spacing w:before="0" w:beforeAutospacing="0" w:after="0" w:afterAutospacing="0"/>
                    <w:ind w:left="0" w:leftChars="0" w:right="0" w:rightChars="0"/>
                    <w:jc w:val="both"/>
                    <w:rPr>
                      <w:rFonts w:hint="eastAsia"/>
                      <w:sz w:val="21"/>
                      <w:szCs w:val="21"/>
                      <w:lang w:val="en-US" w:eastAsia="zh-CN"/>
                    </w:rPr>
                  </w:pPr>
                  <w:r>
                    <w:rPr>
                      <w:rFonts w:hint="eastAsia"/>
                      <w:sz w:val="21"/>
                      <w:szCs w:val="21"/>
                      <w:lang w:val="en-US" w:eastAsia="zh-CN"/>
                    </w:rPr>
                    <w:t>3、厂区内无成片裸露土地。</w:t>
                  </w:r>
                </w:p>
              </w:tc>
              <w:tc>
                <w:tcPr>
                  <w:tcW w:w="889" w:type="dxa"/>
                  <w:tcBorders>
                    <w:tl2br w:val="nil"/>
                    <w:tr2bl w:val="nil"/>
                  </w:tcBorders>
                  <w:vAlign w:val="center"/>
                </w:tcPr>
                <w:p w14:paraId="67F08E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sz w:val="21"/>
                      <w:szCs w:val="21"/>
                      <w:lang w:val="en-US" w:eastAsia="zh-CN"/>
                    </w:rPr>
                  </w:pPr>
                  <w:r>
                    <w:rPr>
                      <w:rFonts w:hint="eastAsia"/>
                      <w:sz w:val="21"/>
                      <w:szCs w:val="21"/>
                      <w:lang w:val="en-US" w:eastAsia="zh-CN"/>
                    </w:rPr>
                    <w:t>相  符</w:t>
                  </w:r>
                </w:p>
              </w:tc>
            </w:tr>
            <w:tr w14:paraId="5B9D75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dxa"/>
                  <w:vMerge w:val="restart"/>
                  <w:tcBorders>
                    <w:tl2br w:val="nil"/>
                    <w:tr2bl w:val="nil"/>
                  </w:tcBorders>
                  <w:vAlign w:val="center"/>
                </w:tcPr>
                <w:p w14:paraId="73C46CB6">
                  <w:pPr>
                    <w:pStyle w:val="55"/>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hAnsi="宋体" w:eastAsia="宋体"/>
                      <w:color w:val="000000"/>
                      <w:sz w:val="21"/>
                      <w:szCs w:val="21"/>
                      <w:vertAlign w:val="baseline"/>
                      <w:lang w:val="en-US" w:eastAsia="zh-CN"/>
                    </w:rPr>
                  </w:pPr>
                  <w:r>
                    <w:rPr>
                      <w:rFonts w:hint="eastAsia" w:ascii="Times New Roman" w:hAnsi="宋体" w:cs="Times New Roman"/>
                      <w:color w:val="000000"/>
                      <w:sz w:val="21"/>
                      <w:szCs w:val="21"/>
                      <w:lang w:val="en-US" w:eastAsia="zh-CN"/>
                    </w:rPr>
                    <w:t>环境管理水平</w:t>
                  </w:r>
                </w:p>
              </w:tc>
              <w:tc>
                <w:tcPr>
                  <w:tcW w:w="586" w:type="dxa"/>
                  <w:tcBorders>
                    <w:tl2br w:val="nil"/>
                    <w:tr2bl w:val="nil"/>
                  </w:tcBorders>
                  <w:vAlign w:val="center"/>
                </w:tcPr>
                <w:p w14:paraId="5D24FEC7">
                  <w:pPr>
                    <w:pStyle w:val="55"/>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hAnsi="宋体" w:eastAsia="宋体"/>
                      <w:color w:val="000000"/>
                      <w:sz w:val="21"/>
                      <w:szCs w:val="21"/>
                      <w:vertAlign w:val="baseline"/>
                      <w:lang w:val="en-US" w:eastAsia="zh-CN"/>
                    </w:rPr>
                  </w:pPr>
                  <w:r>
                    <w:rPr>
                      <w:rFonts w:hint="eastAsia" w:ascii="Times New Roman" w:hAnsi="宋体" w:cs="Times New Roman"/>
                      <w:color w:val="000000"/>
                      <w:sz w:val="21"/>
                      <w:szCs w:val="21"/>
                      <w:lang w:val="en-US" w:eastAsia="zh-CN"/>
                    </w:rPr>
                    <w:t>环保档案</w:t>
                  </w:r>
                </w:p>
              </w:tc>
              <w:tc>
                <w:tcPr>
                  <w:tcW w:w="4320" w:type="dxa"/>
                  <w:tcBorders>
                    <w:tl2br w:val="nil"/>
                    <w:tr2bl w:val="nil"/>
                  </w:tcBorders>
                  <w:shd w:val="clear" w:color="auto" w:fill="auto"/>
                  <w:vAlign w:val="center"/>
                </w:tcPr>
                <w:p w14:paraId="61C5B7FE">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1.环评批复文件和竣工验收文件/现状评估文件； </w:t>
                  </w:r>
                </w:p>
                <w:p w14:paraId="4B98A6DB">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2.废气治理设施运行管理规程； </w:t>
                  </w:r>
                </w:p>
                <w:p w14:paraId="1C8C0AE4">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3.一年内废气监测报告； </w:t>
                  </w:r>
                </w:p>
                <w:p w14:paraId="0AE632CC">
                  <w:pPr>
                    <w:keepNext w:val="0"/>
                    <w:keepLines w:val="0"/>
                    <w:widowControl/>
                    <w:suppressLineNumbers w:val="0"/>
                    <w:spacing w:before="0" w:beforeAutospacing="0" w:after="0" w:afterAutospacing="0"/>
                    <w:ind w:left="0" w:leftChars="0" w:right="0" w:rightChars="0"/>
                    <w:jc w:val="both"/>
                    <w:rPr>
                      <w:rFonts w:hint="default" w:ascii="Times New Roman" w:hAnsi="Times New Roman" w:cs="Times New Roman" w:eastAsiaTheme="minorEastAsia"/>
                      <w:b w:val="0"/>
                      <w:bCs w:val="0"/>
                      <w:color w:val="000000"/>
                      <w:kern w:val="0"/>
                      <w:sz w:val="21"/>
                      <w:szCs w:val="21"/>
                      <w:lang w:val="en-US" w:eastAsia="zh-CN" w:bidi="ar"/>
                    </w:rPr>
                  </w:pPr>
                  <w:r>
                    <w:rPr>
                      <w:rFonts w:hint="default" w:ascii="Times New Roman" w:hAnsi="Times New Roman" w:cs="Times New Roman" w:eastAsiaTheme="minorEastAsia"/>
                      <w:b w:val="0"/>
                      <w:bCs w:val="0"/>
                      <w:color w:val="000000"/>
                      <w:kern w:val="0"/>
                      <w:sz w:val="21"/>
                      <w:szCs w:val="21"/>
                      <w:lang w:val="en-US" w:eastAsia="zh-CN" w:bidi="ar"/>
                    </w:rPr>
                    <w:t>4.国家版排污许可证，并按要求开展自行监测和信息披露，规范设置废气排放口标志牌、二维码标识和采样平台、采样孔。</w:t>
                  </w:r>
                </w:p>
              </w:tc>
              <w:tc>
                <w:tcPr>
                  <w:tcW w:w="2664" w:type="dxa"/>
                  <w:tcBorders>
                    <w:tl2br w:val="nil"/>
                    <w:tr2bl w:val="nil"/>
                  </w:tcBorders>
                  <w:vAlign w:val="center"/>
                </w:tcPr>
                <w:p w14:paraId="699823D3">
                  <w:pPr>
                    <w:pStyle w:val="55"/>
                    <w:keepNext w:val="0"/>
                    <w:keepLines w:val="0"/>
                    <w:suppressLineNumbers w:val="0"/>
                    <w:adjustRightInd w:val="0"/>
                    <w:snapToGrid w:val="0"/>
                    <w:spacing w:before="0" w:beforeAutospacing="0" w:after="0" w:afterAutospacing="0" w:line="240" w:lineRule="auto"/>
                    <w:ind w:left="0" w:leftChars="0" w:right="0" w:rightChars="0" w:firstLine="0" w:firstLineChars="0"/>
                    <w:jc w:val="both"/>
                    <w:rPr>
                      <w:rFonts w:hint="default" w:hAnsi="宋体"/>
                      <w:color w:val="000000"/>
                      <w:sz w:val="21"/>
                      <w:szCs w:val="21"/>
                      <w:vertAlign w:val="baseline"/>
                    </w:rPr>
                  </w:pPr>
                  <w:r>
                    <w:rPr>
                      <w:rFonts w:hint="eastAsia"/>
                      <w:sz w:val="21"/>
                      <w:szCs w:val="21"/>
                      <w:lang w:val="en-US" w:eastAsia="zh-CN"/>
                    </w:rPr>
                    <w:t>本项目建成后，按照要求建立环保档案。</w:t>
                  </w:r>
                </w:p>
              </w:tc>
              <w:tc>
                <w:tcPr>
                  <w:tcW w:w="889" w:type="dxa"/>
                  <w:tcBorders>
                    <w:tl2br w:val="nil"/>
                    <w:tr2bl w:val="nil"/>
                  </w:tcBorders>
                  <w:vAlign w:val="center"/>
                </w:tcPr>
                <w:p w14:paraId="09F00F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061E40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dxa"/>
                  <w:vMerge w:val="continue"/>
                  <w:tcBorders>
                    <w:tl2br w:val="nil"/>
                    <w:tr2bl w:val="nil"/>
                  </w:tcBorders>
                  <w:vAlign w:val="center"/>
                </w:tcPr>
                <w:p w14:paraId="7DBBF2AB">
                  <w:pPr>
                    <w:pStyle w:val="55"/>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hAnsi="宋体" w:eastAsia="宋体"/>
                      <w:color w:val="000000"/>
                      <w:sz w:val="21"/>
                      <w:szCs w:val="21"/>
                      <w:vertAlign w:val="baseline"/>
                      <w:lang w:val="en-US" w:eastAsia="zh-CN"/>
                    </w:rPr>
                  </w:pPr>
                </w:p>
              </w:tc>
              <w:tc>
                <w:tcPr>
                  <w:tcW w:w="586" w:type="dxa"/>
                  <w:tcBorders>
                    <w:tl2br w:val="nil"/>
                    <w:tr2bl w:val="nil"/>
                  </w:tcBorders>
                  <w:vAlign w:val="center"/>
                </w:tcPr>
                <w:p w14:paraId="43C7F149">
                  <w:pPr>
                    <w:pStyle w:val="55"/>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hAnsi="宋体" w:eastAsia="宋体"/>
                      <w:color w:val="000000"/>
                      <w:sz w:val="21"/>
                      <w:szCs w:val="21"/>
                      <w:vertAlign w:val="baseline"/>
                      <w:lang w:val="en-US" w:eastAsia="zh-CN"/>
                    </w:rPr>
                  </w:pPr>
                  <w:r>
                    <w:rPr>
                      <w:rFonts w:hint="eastAsia" w:ascii="Times New Roman" w:hAnsi="宋体" w:cs="Times New Roman"/>
                      <w:color w:val="000000"/>
                      <w:sz w:val="21"/>
                      <w:szCs w:val="21"/>
                      <w:lang w:val="en-US" w:eastAsia="zh-CN"/>
                    </w:rPr>
                    <w:t>台账记录</w:t>
                  </w:r>
                </w:p>
              </w:tc>
              <w:tc>
                <w:tcPr>
                  <w:tcW w:w="4320" w:type="dxa"/>
                  <w:tcBorders>
                    <w:tl2br w:val="nil"/>
                    <w:tr2bl w:val="nil"/>
                  </w:tcBorders>
                  <w:vAlign w:val="center"/>
                </w:tcPr>
                <w:p w14:paraId="34FB77D6">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1.生产设施运行管理信息（生产时间、运行负荷、产品产量等）； </w:t>
                  </w:r>
                </w:p>
                <w:p w14:paraId="2A5FB8D0">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2.废气污染治理设施运行管理信息（除尘滤料等更换量和时间）； </w:t>
                  </w:r>
                </w:p>
                <w:p w14:paraId="2537BC4D">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3.监测记录信息（主要污染排放口废气排放记录（手工监测和在线监测）等）； </w:t>
                  </w:r>
                </w:p>
                <w:p w14:paraId="1FE45096">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4.主要原辅材料、燃料消耗记录； </w:t>
                  </w:r>
                </w:p>
                <w:p w14:paraId="5A04E180">
                  <w:pPr>
                    <w:keepNext w:val="0"/>
                    <w:keepLines w:val="0"/>
                    <w:widowControl/>
                    <w:suppressLineNumbers w:val="0"/>
                    <w:spacing w:before="0" w:beforeAutospacing="0" w:after="0" w:afterAutospacing="0"/>
                    <w:ind w:left="0" w:leftChars="0" w:right="0" w:rightChars="0"/>
                    <w:jc w:val="both"/>
                    <w:rPr>
                      <w:rFonts w:hint="default" w:hAnsi="宋体"/>
                      <w:color w:val="000000"/>
                      <w:sz w:val="21"/>
                      <w:szCs w:val="21"/>
                      <w:vertAlign w:val="baseline"/>
                    </w:rPr>
                  </w:pPr>
                  <w:r>
                    <w:rPr>
                      <w:rFonts w:hint="default" w:ascii="Times New Roman" w:hAnsi="Times New Roman" w:cs="Times New Roman" w:eastAsiaTheme="minorEastAsia"/>
                      <w:b w:val="0"/>
                      <w:bCs w:val="0"/>
                      <w:color w:val="000000"/>
                      <w:kern w:val="0"/>
                      <w:sz w:val="21"/>
                      <w:szCs w:val="21"/>
                      <w:lang w:val="en-US" w:eastAsia="zh-CN" w:bidi="ar"/>
                    </w:rPr>
                    <w:t xml:space="preserve">5.电消耗记录。 </w:t>
                  </w:r>
                </w:p>
              </w:tc>
              <w:tc>
                <w:tcPr>
                  <w:tcW w:w="2664" w:type="dxa"/>
                  <w:tcBorders>
                    <w:tl2br w:val="nil"/>
                    <w:tr2bl w:val="nil"/>
                  </w:tcBorders>
                  <w:vAlign w:val="center"/>
                </w:tcPr>
                <w:p w14:paraId="0DD5C095">
                  <w:pPr>
                    <w:keepNext w:val="0"/>
                    <w:keepLines w:val="0"/>
                    <w:suppressLineNumbers w:val="0"/>
                    <w:spacing w:before="0" w:beforeAutospacing="0" w:after="0" w:afterAutospacing="0"/>
                    <w:ind w:left="0" w:leftChars="0" w:right="0" w:rightChars="0"/>
                    <w:jc w:val="both"/>
                    <w:rPr>
                      <w:rFonts w:hint="default" w:hAnsi="宋体"/>
                      <w:color w:val="000000"/>
                      <w:sz w:val="21"/>
                      <w:szCs w:val="21"/>
                      <w:vertAlign w:val="baseline"/>
                    </w:rPr>
                  </w:pPr>
                  <w:r>
                    <w:rPr>
                      <w:rFonts w:hint="eastAsia"/>
                      <w:sz w:val="21"/>
                      <w:szCs w:val="21"/>
                      <w:lang w:val="en-US" w:eastAsia="zh-CN"/>
                    </w:rPr>
                    <w:t>本项目建成后，按照要求建立台账记录。</w:t>
                  </w:r>
                </w:p>
              </w:tc>
              <w:tc>
                <w:tcPr>
                  <w:tcW w:w="889" w:type="dxa"/>
                  <w:tcBorders>
                    <w:tl2br w:val="nil"/>
                    <w:tr2bl w:val="nil"/>
                  </w:tcBorders>
                  <w:vAlign w:val="center"/>
                </w:tcPr>
                <w:p w14:paraId="12E01B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431959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81" w:type="dxa"/>
                  <w:vMerge w:val="continue"/>
                  <w:tcBorders>
                    <w:tl2br w:val="nil"/>
                    <w:tr2bl w:val="nil"/>
                  </w:tcBorders>
                  <w:vAlign w:val="center"/>
                </w:tcPr>
                <w:p w14:paraId="5C447AE7">
                  <w:pPr>
                    <w:pStyle w:val="55"/>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hAnsi="宋体" w:eastAsia="宋体"/>
                      <w:color w:val="000000"/>
                      <w:sz w:val="21"/>
                      <w:szCs w:val="21"/>
                      <w:vertAlign w:val="baseline"/>
                      <w:lang w:val="en-US" w:eastAsia="zh-CN"/>
                    </w:rPr>
                  </w:pPr>
                </w:p>
              </w:tc>
              <w:tc>
                <w:tcPr>
                  <w:tcW w:w="586" w:type="dxa"/>
                  <w:tcBorders>
                    <w:tl2br w:val="nil"/>
                    <w:tr2bl w:val="nil"/>
                  </w:tcBorders>
                  <w:vAlign w:val="center"/>
                </w:tcPr>
                <w:p w14:paraId="292AE320">
                  <w:pPr>
                    <w:pStyle w:val="55"/>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eastAsia" w:hAnsi="宋体" w:eastAsia="宋体"/>
                      <w:color w:val="000000"/>
                      <w:sz w:val="21"/>
                      <w:szCs w:val="21"/>
                      <w:vertAlign w:val="baseline"/>
                      <w:lang w:val="en-US" w:eastAsia="zh-CN"/>
                    </w:rPr>
                  </w:pPr>
                  <w:r>
                    <w:rPr>
                      <w:rFonts w:hint="eastAsia" w:ascii="Times New Roman" w:hAnsi="宋体" w:cs="Times New Roman"/>
                      <w:color w:val="000000"/>
                      <w:sz w:val="21"/>
                      <w:szCs w:val="21"/>
                      <w:lang w:val="en-US" w:eastAsia="zh-CN"/>
                    </w:rPr>
                    <w:t>人员配置</w:t>
                  </w:r>
                </w:p>
              </w:tc>
              <w:tc>
                <w:tcPr>
                  <w:tcW w:w="4320" w:type="dxa"/>
                  <w:tcBorders>
                    <w:tl2br w:val="nil"/>
                    <w:tr2bl w:val="nil"/>
                  </w:tcBorders>
                  <w:vAlign w:val="center"/>
                </w:tcPr>
                <w:p w14:paraId="665986E5">
                  <w:pPr>
                    <w:keepNext w:val="0"/>
                    <w:keepLines w:val="0"/>
                    <w:widowControl/>
                    <w:suppressLineNumbers w:val="0"/>
                    <w:spacing w:before="0" w:beforeAutospacing="0" w:after="0" w:afterAutospacing="0"/>
                    <w:ind w:left="0" w:leftChars="0" w:right="0" w:rightChars="0"/>
                    <w:jc w:val="both"/>
                    <w:rPr>
                      <w:rFonts w:hint="default" w:hAnsi="宋体"/>
                      <w:color w:val="000000"/>
                      <w:sz w:val="21"/>
                      <w:szCs w:val="21"/>
                      <w:vertAlign w:val="baseline"/>
                    </w:rPr>
                  </w:pPr>
                  <w:r>
                    <w:rPr>
                      <w:rFonts w:hint="default" w:ascii="Times New Roman" w:hAnsi="Times New Roman" w:cs="Times New Roman" w:eastAsiaTheme="minorEastAsia"/>
                      <w:b w:val="0"/>
                      <w:bCs w:val="0"/>
                      <w:color w:val="000000"/>
                      <w:kern w:val="0"/>
                      <w:sz w:val="21"/>
                      <w:szCs w:val="21"/>
                      <w:lang w:val="en-US" w:eastAsia="zh-CN" w:bidi="ar"/>
                    </w:rPr>
                    <w:t>配备专职环保人员，并具备相应的环境管理能力（学历、培训、从业经验等）</w:t>
                  </w:r>
                </w:p>
              </w:tc>
              <w:tc>
                <w:tcPr>
                  <w:tcW w:w="2664" w:type="dxa"/>
                  <w:tcBorders>
                    <w:tl2br w:val="nil"/>
                    <w:tr2bl w:val="nil"/>
                  </w:tcBorders>
                  <w:vAlign w:val="center"/>
                </w:tcPr>
                <w:p w14:paraId="2BEDC3F6">
                  <w:pPr>
                    <w:keepNext w:val="0"/>
                    <w:keepLines w:val="0"/>
                    <w:suppressLineNumbers w:val="0"/>
                    <w:spacing w:before="0" w:beforeAutospacing="0" w:after="0" w:afterAutospacing="0"/>
                    <w:ind w:left="0" w:leftChars="0" w:right="0" w:rightChars="0"/>
                    <w:jc w:val="both"/>
                    <w:rPr>
                      <w:rFonts w:hint="default" w:hAnsi="宋体"/>
                      <w:color w:val="000000"/>
                      <w:sz w:val="21"/>
                      <w:szCs w:val="21"/>
                      <w:vertAlign w:val="baseline"/>
                    </w:rPr>
                  </w:pPr>
                  <w:r>
                    <w:rPr>
                      <w:rFonts w:hint="eastAsia"/>
                      <w:sz w:val="21"/>
                      <w:szCs w:val="21"/>
                      <w:lang w:val="en-US" w:eastAsia="zh-CN"/>
                    </w:rPr>
                    <w:t>本项目建成后，按照要求配备专职环保人员。</w:t>
                  </w:r>
                </w:p>
              </w:tc>
              <w:tc>
                <w:tcPr>
                  <w:tcW w:w="889" w:type="dxa"/>
                  <w:tcBorders>
                    <w:tl2br w:val="nil"/>
                    <w:tr2bl w:val="nil"/>
                  </w:tcBorders>
                  <w:vAlign w:val="center"/>
                </w:tcPr>
                <w:p w14:paraId="33CD75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sz w:val="21"/>
                      <w:szCs w:val="21"/>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65709F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967" w:type="dxa"/>
                  <w:gridSpan w:val="2"/>
                  <w:tcBorders>
                    <w:tl2br w:val="nil"/>
                    <w:tr2bl w:val="nil"/>
                  </w:tcBorders>
                  <w:vAlign w:val="center"/>
                </w:tcPr>
                <w:p w14:paraId="0A8A32BE">
                  <w:pPr>
                    <w:pStyle w:val="55"/>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hAnsi="宋体"/>
                      <w:color w:val="000000"/>
                      <w:sz w:val="21"/>
                      <w:szCs w:val="21"/>
                      <w:vertAlign w:val="baseline"/>
                      <w:lang w:val="en-US" w:eastAsia="zh-CN"/>
                    </w:rPr>
                  </w:pPr>
                  <w:r>
                    <w:rPr>
                      <w:rFonts w:hint="eastAsia" w:ascii="Times New Roman" w:hAnsi="宋体" w:cs="Times New Roman"/>
                      <w:color w:val="000000"/>
                      <w:sz w:val="21"/>
                      <w:szCs w:val="21"/>
                      <w:lang w:val="en-US" w:eastAsia="zh-CN"/>
                    </w:rPr>
                    <w:t>运输方式</w:t>
                  </w:r>
                </w:p>
              </w:tc>
              <w:tc>
                <w:tcPr>
                  <w:tcW w:w="4320" w:type="dxa"/>
                  <w:tcBorders>
                    <w:tl2br w:val="nil"/>
                    <w:tr2bl w:val="nil"/>
                  </w:tcBorders>
                  <w:vAlign w:val="center"/>
                </w:tcPr>
                <w:p w14:paraId="0B934D70">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1.物料、产品等公路运输全部使用国五及以上排放标准重型载货车辆（重型燃气车辆达到国六排放标准）或新能源车辆； </w:t>
                  </w:r>
                </w:p>
                <w:p w14:paraId="3914BEE6">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2.厂内运输全部使用国五及以上排放标准（重型燃气车辆达到国六排放标准）或使用新能源车辆； </w:t>
                  </w:r>
                </w:p>
                <w:p w14:paraId="3F67FC6D">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default" w:ascii="Times New Roman" w:hAnsi="Times New Roman" w:cs="Times New Roman" w:eastAsiaTheme="minorEastAsia"/>
                      <w:b w:val="0"/>
                      <w:bCs w:val="0"/>
                      <w:color w:val="000000"/>
                      <w:kern w:val="0"/>
                      <w:sz w:val="21"/>
                      <w:szCs w:val="21"/>
                      <w:lang w:val="en-US" w:eastAsia="zh-CN" w:bidi="ar"/>
                    </w:rPr>
                    <w:t xml:space="preserve">3.危险品及危废运输全部使用国五及以上排放标准（重型燃气车辆达到国六排放标准）或新能源车辆； </w:t>
                  </w:r>
                </w:p>
                <w:p w14:paraId="73AAA380">
                  <w:pPr>
                    <w:keepNext w:val="0"/>
                    <w:keepLines w:val="0"/>
                    <w:widowControl/>
                    <w:suppressLineNumbers w:val="0"/>
                    <w:spacing w:before="0" w:beforeAutospacing="0" w:after="0" w:afterAutospacing="0"/>
                    <w:ind w:left="0" w:leftChars="0" w:right="0" w:rightChars="0"/>
                    <w:jc w:val="both"/>
                    <w:rPr>
                      <w:rFonts w:hint="default" w:hAnsi="宋体"/>
                      <w:color w:val="000000"/>
                      <w:sz w:val="21"/>
                      <w:szCs w:val="21"/>
                      <w:vertAlign w:val="baseline"/>
                    </w:rPr>
                  </w:pPr>
                  <w:r>
                    <w:rPr>
                      <w:rFonts w:hint="default" w:ascii="Times New Roman" w:hAnsi="Times New Roman" w:cs="Times New Roman" w:eastAsiaTheme="minorEastAsia"/>
                      <w:b w:val="0"/>
                      <w:bCs w:val="0"/>
                      <w:color w:val="000000"/>
                      <w:kern w:val="0"/>
                      <w:sz w:val="21"/>
                      <w:szCs w:val="21"/>
                      <w:lang w:val="en-US" w:eastAsia="zh-CN" w:bidi="ar"/>
                    </w:rPr>
                    <w:t>4.厂内非道路移动机械全部使用国三及以上排放标准或使用新能源（电动、氢能）机械。</w:t>
                  </w:r>
                </w:p>
              </w:tc>
              <w:tc>
                <w:tcPr>
                  <w:tcW w:w="2664" w:type="dxa"/>
                  <w:tcBorders>
                    <w:tl2br w:val="nil"/>
                    <w:tr2bl w:val="nil"/>
                  </w:tcBorders>
                  <w:vAlign w:val="center"/>
                </w:tcPr>
                <w:p w14:paraId="07D0279A">
                  <w:pPr>
                    <w:keepNext w:val="0"/>
                    <w:keepLines w:val="0"/>
                    <w:widowControl/>
                    <w:suppressLineNumbers w:val="0"/>
                    <w:spacing w:before="0" w:beforeAutospacing="0" w:after="0" w:afterAutospacing="0"/>
                    <w:ind w:left="0" w:right="0"/>
                    <w:jc w:val="both"/>
                    <w:rPr>
                      <w:rFonts w:hint="default" w:ascii="Times New Roman" w:hAnsi="Times New Roman" w:cs="Times New Roman" w:eastAsiaTheme="minorEastAsia"/>
                      <w:b w:val="0"/>
                      <w:bCs w:val="0"/>
                      <w:sz w:val="21"/>
                      <w:szCs w:val="21"/>
                    </w:rPr>
                  </w:pPr>
                  <w:r>
                    <w:rPr>
                      <w:rFonts w:hint="eastAsia"/>
                      <w:sz w:val="21"/>
                      <w:szCs w:val="21"/>
                      <w:lang w:val="en-US" w:eastAsia="zh-CN"/>
                    </w:rPr>
                    <w:t>1、本项目物料</w:t>
                  </w:r>
                  <w:r>
                    <w:rPr>
                      <w:rFonts w:hint="default" w:ascii="Times New Roman" w:hAnsi="Times New Roman" w:cs="Times New Roman" w:eastAsiaTheme="minorEastAsia"/>
                      <w:b w:val="0"/>
                      <w:bCs w:val="0"/>
                      <w:color w:val="000000"/>
                      <w:kern w:val="0"/>
                      <w:sz w:val="21"/>
                      <w:szCs w:val="21"/>
                      <w:lang w:val="en-US" w:eastAsia="zh-CN" w:bidi="ar"/>
                    </w:rPr>
                    <w:t>公路运输全部使用国五及以上排放标准重型载货车辆（重型燃气车辆达到国六排放标准）或新能源车辆；</w:t>
                  </w:r>
                </w:p>
                <w:p w14:paraId="042B22B9">
                  <w:pPr>
                    <w:keepNext w:val="0"/>
                    <w:keepLines w:val="0"/>
                    <w:suppressLineNumbers w:val="0"/>
                    <w:adjustRightInd w:val="0"/>
                    <w:snapToGrid w:val="0"/>
                    <w:spacing w:before="0" w:beforeAutospacing="0" w:after="0" w:afterAutospacing="0"/>
                    <w:ind w:left="0" w:right="0"/>
                    <w:jc w:val="both"/>
                    <w:rPr>
                      <w:rFonts w:hint="eastAsia"/>
                      <w:sz w:val="21"/>
                      <w:szCs w:val="21"/>
                      <w:lang w:val="en-US" w:eastAsia="zh-CN"/>
                    </w:rPr>
                  </w:pPr>
                  <w:r>
                    <w:rPr>
                      <w:rFonts w:hint="eastAsia"/>
                      <w:sz w:val="21"/>
                      <w:szCs w:val="21"/>
                      <w:lang w:val="en-US" w:eastAsia="zh-CN"/>
                    </w:rPr>
                    <w:t>2、本项目厂内运输</w:t>
                  </w:r>
                  <w:r>
                    <w:rPr>
                      <w:rFonts w:hint="eastAsia"/>
                      <w:sz w:val="21"/>
                      <w:szCs w:val="21"/>
                    </w:rPr>
                    <w:t>全部使用国五及以上排放标准（重型燃气车辆达到国六排放标准）或使用新能源车辆；</w:t>
                  </w:r>
                </w:p>
                <w:p w14:paraId="5F3538C7">
                  <w:pPr>
                    <w:keepNext w:val="0"/>
                    <w:keepLines w:val="0"/>
                    <w:suppressLineNumbers w:val="0"/>
                    <w:spacing w:before="0" w:beforeAutospacing="0" w:after="0" w:afterAutospacing="0"/>
                    <w:ind w:left="0" w:right="0"/>
                    <w:jc w:val="both"/>
                    <w:rPr>
                      <w:rFonts w:hint="default" w:ascii="Times New Roman" w:hAnsi="Times New Roman" w:cs="Times New Roman" w:eastAsiaTheme="minorEastAsia"/>
                      <w:b w:val="0"/>
                      <w:bCs w:val="0"/>
                      <w:color w:val="000000"/>
                      <w:kern w:val="0"/>
                      <w:sz w:val="21"/>
                      <w:szCs w:val="21"/>
                      <w:lang w:val="en-US" w:eastAsia="zh-CN" w:bidi="ar"/>
                    </w:rPr>
                  </w:pPr>
                  <w:r>
                    <w:rPr>
                      <w:rFonts w:hint="eastAsia"/>
                      <w:sz w:val="21"/>
                      <w:szCs w:val="21"/>
                      <w:lang w:val="en-US" w:eastAsia="zh-CN"/>
                    </w:rPr>
                    <w:t>3、本项目不涉及危废品及危废品运输</w:t>
                  </w:r>
                  <w:r>
                    <w:rPr>
                      <w:rFonts w:hint="default" w:ascii="Times New Roman" w:hAnsi="Times New Roman" w:cs="Times New Roman" w:eastAsiaTheme="minorEastAsia"/>
                      <w:b w:val="0"/>
                      <w:bCs w:val="0"/>
                      <w:color w:val="000000"/>
                      <w:kern w:val="0"/>
                      <w:sz w:val="21"/>
                      <w:szCs w:val="21"/>
                      <w:lang w:val="en-US" w:eastAsia="zh-CN" w:bidi="ar"/>
                    </w:rPr>
                    <w:t>；</w:t>
                  </w:r>
                </w:p>
                <w:p w14:paraId="78E98253">
                  <w:pPr>
                    <w:keepNext w:val="0"/>
                    <w:keepLines w:val="0"/>
                    <w:suppressLineNumbers w:val="0"/>
                    <w:spacing w:before="0" w:beforeAutospacing="0" w:after="0" w:afterAutospacing="0"/>
                    <w:ind w:left="0" w:leftChars="0" w:right="0" w:rightChars="0"/>
                    <w:jc w:val="both"/>
                    <w:rPr>
                      <w:rFonts w:hint="default" w:hAnsi="宋体"/>
                      <w:color w:val="000000"/>
                      <w:sz w:val="21"/>
                      <w:szCs w:val="21"/>
                      <w:vertAlign w:val="baseline"/>
                    </w:rPr>
                  </w:pPr>
                  <w:r>
                    <w:rPr>
                      <w:rFonts w:hint="eastAsia" w:cs="Times New Roman" w:eastAsiaTheme="minorEastAsia"/>
                      <w:b w:val="0"/>
                      <w:bCs w:val="0"/>
                      <w:color w:val="000000"/>
                      <w:kern w:val="0"/>
                      <w:sz w:val="21"/>
                      <w:szCs w:val="21"/>
                      <w:lang w:val="en-US" w:eastAsia="zh-CN" w:bidi="ar"/>
                    </w:rPr>
                    <w:t>4、本项目使用国三及以</w:t>
                  </w:r>
                  <w:r>
                    <w:rPr>
                      <w:rFonts w:hint="default" w:ascii="Times New Roman" w:hAnsi="Times New Roman" w:cs="Times New Roman" w:eastAsiaTheme="minorEastAsia"/>
                      <w:b w:val="0"/>
                      <w:bCs w:val="0"/>
                      <w:color w:val="000000"/>
                      <w:kern w:val="0"/>
                      <w:sz w:val="21"/>
                      <w:szCs w:val="21"/>
                      <w:lang w:val="en-US" w:eastAsia="zh-CN" w:bidi="ar"/>
                    </w:rPr>
                    <w:t>上排放标准或使用新能源（电动、氢能）</w:t>
                  </w:r>
                  <w:r>
                    <w:rPr>
                      <w:rFonts w:hint="eastAsia" w:cs="Times New Roman" w:eastAsiaTheme="minorEastAsia"/>
                      <w:b w:val="0"/>
                      <w:bCs w:val="0"/>
                      <w:color w:val="000000"/>
                      <w:kern w:val="0"/>
                      <w:sz w:val="21"/>
                      <w:szCs w:val="21"/>
                      <w:lang w:val="en-US" w:eastAsia="zh-CN" w:bidi="ar"/>
                    </w:rPr>
                    <w:t>厂区内非道路移动机械。</w:t>
                  </w:r>
                </w:p>
              </w:tc>
              <w:tc>
                <w:tcPr>
                  <w:tcW w:w="889" w:type="dxa"/>
                  <w:tcBorders>
                    <w:tl2br w:val="nil"/>
                    <w:tr2bl w:val="nil"/>
                  </w:tcBorders>
                  <w:vAlign w:val="center"/>
                </w:tcPr>
                <w:p w14:paraId="2C7A73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hAnsi="宋体"/>
                      <w:color w:val="000000"/>
                      <w:sz w:val="21"/>
                      <w:szCs w:val="21"/>
                      <w:vertAlign w:val="baseline"/>
                    </w:rPr>
                  </w:pPr>
                  <w:r>
                    <w:rPr>
                      <w:rFonts w:hint="eastAsia"/>
                      <w:sz w:val="21"/>
                      <w:szCs w:val="21"/>
                    </w:rPr>
                    <w:t>相</w:t>
                  </w:r>
                  <w:r>
                    <w:rPr>
                      <w:rFonts w:hint="eastAsia"/>
                      <w:sz w:val="21"/>
                      <w:szCs w:val="21"/>
                      <w:lang w:val="en-US" w:eastAsia="zh-CN"/>
                    </w:rPr>
                    <w:t xml:space="preserve">  </w:t>
                  </w:r>
                  <w:r>
                    <w:rPr>
                      <w:rFonts w:hint="eastAsia"/>
                      <w:sz w:val="21"/>
                      <w:szCs w:val="21"/>
                    </w:rPr>
                    <w:t>符</w:t>
                  </w:r>
                </w:p>
              </w:tc>
            </w:tr>
            <w:tr w14:paraId="7CF809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7" w:type="dxa"/>
                  <w:gridSpan w:val="2"/>
                  <w:tcBorders>
                    <w:bottom w:val="single" w:color="auto" w:sz="8" w:space="0"/>
                  </w:tcBorders>
                  <w:vAlign w:val="center"/>
                </w:tcPr>
                <w:p w14:paraId="2CE80D2C">
                  <w:pPr>
                    <w:pStyle w:val="55"/>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hAnsi="宋体"/>
                      <w:color w:val="000000"/>
                      <w:sz w:val="21"/>
                      <w:szCs w:val="21"/>
                      <w:vertAlign w:val="baseline"/>
                      <w:lang w:val="en-US" w:eastAsia="zh-CN"/>
                    </w:rPr>
                  </w:pPr>
                  <w:r>
                    <w:rPr>
                      <w:rFonts w:hint="eastAsia" w:ascii="Times New Roman" w:hAnsi="宋体" w:cs="Times New Roman"/>
                      <w:color w:val="000000"/>
                      <w:sz w:val="21"/>
                      <w:szCs w:val="21"/>
                      <w:lang w:val="en-US" w:eastAsia="zh-CN"/>
                    </w:rPr>
                    <w:t>运输监管</w:t>
                  </w:r>
                </w:p>
              </w:tc>
              <w:tc>
                <w:tcPr>
                  <w:tcW w:w="4320" w:type="dxa"/>
                  <w:tcBorders>
                    <w:bottom w:val="single" w:color="auto" w:sz="8" w:space="0"/>
                  </w:tcBorders>
                  <w:vAlign w:val="center"/>
                </w:tcPr>
                <w:p w14:paraId="42CF18DA">
                  <w:pPr>
                    <w:keepNext w:val="0"/>
                    <w:keepLines w:val="0"/>
                    <w:widowControl/>
                    <w:suppressLineNumbers w:val="0"/>
                    <w:spacing w:before="0" w:beforeAutospacing="0" w:after="0" w:afterAutospacing="0"/>
                    <w:ind w:left="0" w:right="0"/>
                    <w:jc w:val="both"/>
                    <w:rPr>
                      <w:rFonts w:hint="default" w:hAnsi="宋体"/>
                      <w:color w:val="000000"/>
                      <w:sz w:val="21"/>
                      <w:szCs w:val="21"/>
                      <w:vertAlign w:val="baseline"/>
                    </w:rPr>
                  </w:pPr>
                  <w:r>
                    <w:rPr>
                      <w:rFonts w:hint="default" w:ascii="Times New Roman" w:hAnsi="Times New Roman" w:eastAsia="宋体" w:cs="Times New Roman"/>
                      <w:color w:val="000000"/>
                      <w:kern w:val="0"/>
                      <w:sz w:val="21"/>
                      <w:szCs w:val="21"/>
                      <w:lang w:val="en-US" w:eastAsia="zh-CN" w:bidi="ar"/>
                    </w:rPr>
                    <w:t>日均进出货物 150 吨（或载货车辆日进出 10 辆次）及以上（货物包括原料、辅料、燃料、产品和其他与生产相关物料）的企业，参照《重污染天气重点行业移动源应急管理技术指南》建立门禁视频监控系统和电子台账；其他企业安装车辆运输视频监控（数据能保存6个月），并建立车辆运输手工台账。</w:t>
                  </w:r>
                </w:p>
              </w:tc>
              <w:tc>
                <w:tcPr>
                  <w:tcW w:w="2664" w:type="dxa"/>
                  <w:tcBorders>
                    <w:bottom w:val="single" w:color="auto" w:sz="8" w:space="0"/>
                  </w:tcBorders>
                  <w:vAlign w:val="center"/>
                </w:tcPr>
                <w:p w14:paraId="204A62A1">
                  <w:pPr>
                    <w:keepNext w:val="0"/>
                    <w:keepLines w:val="0"/>
                    <w:suppressLineNumbers w:val="0"/>
                    <w:spacing w:before="0" w:beforeAutospacing="0" w:after="0" w:afterAutospacing="0"/>
                    <w:ind w:left="0" w:leftChars="0" w:right="0" w:rightChars="0"/>
                    <w:jc w:val="both"/>
                    <w:rPr>
                      <w:rFonts w:hint="default" w:hAnsi="宋体"/>
                      <w:color w:val="000000"/>
                      <w:sz w:val="21"/>
                      <w:szCs w:val="21"/>
                      <w:vertAlign w:val="baseline"/>
                    </w:rPr>
                  </w:pPr>
                  <w:r>
                    <w:rPr>
                      <w:rFonts w:hint="eastAsia" w:cs="Times New Roman"/>
                      <w:sz w:val="21"/>
                      <w:szCs w:val="21"/>
                      <w:lang w:val="en-US" w:eastAsia="zh-CN"/>
                    </w:rPr>
                    <w:t>本项目日均进出货物小于150吨，应按照规定安装车辆运输视频监控</w:t>
                  </w:r>
                  <w:r>
                    <w:rPr>
                      <w:rFonts w:hint="default" w:ascii="Times New Roman" w:hAnsi="Times New Roman" w:eastAsia="宋体" w:cs="Times New Roman"/>
                      <w:color w:val="000000"/>
                      <w:kern w:val="0"/>
                      <w:sz w:val="21"/>
                      <w:szCs w:val="21"/>
                      <w:lang w:val="en-US" w:eastAsia="zh-CN" w:bidi="ar"/>
                    </w:rPr>
                    <w:t>（数据能保存6个月），并建立车辆运输手工台账</w:t>
                  </w:r>
                  <w:r>
                    <w:rPr>
                      <w:rFonts w:hint="eastAsia" w:cs="Times New Roman"/>
                      <w:sz w:val="21"/>
                      <w:szCs w:val="21"/>
                      <w:lang w:val="en-US" w:eastAsia="zh-CN"/>
                    </w:rPr>
                    <w:t>。</w:t>
                  </w:r>
                </w:p>
              </w:tc>
              <w:tc>
                <w:tcPr>
                  <w:tcW w:w="889" w:type="dxa"/>
                  <w:tcBorders>
                    <w:bottom w:val="single" w:color="auto" w:sz="8" w:space="0"/>
                  </w:tcBorders>
                  <w:vAlign w:val="center"/>
                </w:tcPr>
                <w:p w14:paraId="1A1271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hAnsi="宋体"/>
                      <w:color w:val="000000"/>
                      <w:sz w:val="21"/>
                      <w:szCs w:val="21"/>
                      <w:vertAlign w:val="baseline"/>
                    </w:rPr>
                  </w:pPr>
                  <w:r>
                    <w:rPr>
                      <w:rFonts w:hint="eastAsia"/>
                      <w:sz w:val="21"/>
                      <w:szCs w:val="21"/>
                    </w:rPr>
                    <w:t>相</w:t>
                  </w:r>
                  <w:r>
                    <w:rPr>
                      <w:rFonts w:hint="eastAsia"/>
                      <w:sz w:val="21"/>
                      <w:szCs w:val="21"/>
                      <w:lang w:val="en-US" w:eastAsia="zh-CN"/>
                    </w:rPr>
                    <w:t xml:space="preserve">  </w:t>
                  </w:r>
                  <w:r>
                    <w:rPr>
                      <w:rFonts w:hint="eastAsia"/>
                      <w:sz w:val="21"/>
                      <w:szCs w:val="21"/>
                    </w:rPr>
                    <w:t>符</w:t>
                  </w:r>
                </w:p>
              </w:tc>
            </w:tr>
          </w:tbl>
          <w:p w14:paraId="494243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宋体" w:hAnsi="宋体" w:eastAsia="宋体" w:cs="宋体"/>
                <w:b w:val="0"/>
                <w:bCs w:val="0"/>
                <w:color w:val="auto"/>
                <w:kern w:val="0"/>
                <w:sz w:val="24"/>
                <w:szCs w:val="24"/>
                <w:highlight w:val="none"/>
                <w:u w:val="none"/>
                <w:lang w:val="en-US" w:eastAsia="zh-CN" w:bidi="ar"/>
              </w:rPr>
            </w:pPr>
            <w:r>
              <w:rPr>
                <w:rFonts w:hint="eastAsia" w:ascii="宋体" w:hAnsi="宋体" w:eastAsia="宋体" w:cs="宋体"/>
                <w:b w:val="0"/>
                <w:bCs w:val="0"/>
                <w:color w:val="auto"/>
                <w:kern w:val="2"/>
                <w:sz w:val="24"/>
                <w:szCs w:val="24"/>
                <w:highlight w:val="none"/>
                <w:u w:val="none"/>
                <w:lang w:val="en-US" w:eastAsia="zh-CN" w:bidi="ar"/>
              </w:rPr>
              <w:t>由上表可知，本项目符合《河南省重污染天气通用行业应急减排措施制定技术指南》（</w:t>
            </w:r>
            <w:r>
              <w:rPr>
                <w:rFonts w:hint="eastAsia" w:cs="Times New Roman"/>
                <w:b w:val="0"/>
                <w:bCs w:val="0"/>
                <w:color w:val="auto"/>
                <w:kern w:val="2"/>
                <w:sz w:val="24"/>
                <w:szCs w:val="24"/>
                <w:highlight w:val="none"/>
                <w:u w:val="none"/>
                <w:lang w:val="en-US" w:eastAsia="zh-CN" w:bidi="ar"/>
              </w:rPr>
              <w:t>2024年修订稿</w:t>
            </w:r>
            <w:r>
              <w:rPr>
                <w:rFonts w:hint="eastAsia" w:ascii="宋体" w:hAnsi="宋体" w:eastAsia="宋体" w:cs="宋体"/>
                <w:b w:val="0"/>
                <w:bCs w:val="0"/>
                <w:color w:val="auto"/>
                <w:kern w:val="2"/>
                <w:sz w:val="24"/>
                <w:szCs w:val="24"/>
                <w:highlight w:val="none"/>
                <w:u w:val="none"/>
                <w:lang w:val="en-US" w:eastAsia="zh-CN" w:bidi="ar"/>
              </w:rPr>
              <w:t>）中</w:t>
            </w:r>
            <w:r>
              <w:rPr>
                <w:rFonts w:hint="eastAsia" w:ascii="宋体" w:hAnsi="宋体" w:eastAsia="宋体" w:cs="宋体"/>
                <w:b w:val="0"/>
                <w:bCs w:val="0"/>
                <w:color w:val="auto"/>
                <w:kern w:val="0"/>
                <w:sz w:val="24"/>
                <w:szCs w:val="24"/>
                <w:highlight w:val="none"/>
                <w:u w:val="none"/>
                <w:lang w:val="en-US" w:eastAsia="zh-CN" w:bidi="ar"/>
              </w:rPr>
              <w:t>涉</w:t>
            </w:r>
            <w:r>
              <w:rPr>
                <w:rFonts w:hint="eastAsia" w:cs="Times New Roman"/>
                <w:b w:val="0"/>
                <w:bCs w:val="0"/>
                <w:color w:val="auto"/>
                <w:kern w:val="0"/>
                <w:sz w:val="24"/>
                <w:szCs w:val="24"/>
                <w:highlight w:val="none"/>
                <w:u w:val="none"/>
                <w:lang w:val="en-US" w:eastAsia="zh-CN" w:bidi="ar"/>
              </w:rPr>
              <w:t>VOCs</w:t>
            </w:r>
            <w:r>
              <w:rPr>
                <w:rFonts w:hint="eastAsia" w:ascii="宋体" w:hAnsi="宋体" w:eastAsia="宋体" w:cs="宋体"/>
                <w:b w:val="0"/>
                <w:bCs w:val="0"/>
                <w:color w:val="auto"/>
                <w:kern w:val="0"/>
                <w:sz w:val="24"/>
                <w:szCs w:val="24"/>
                <w:highlight w:val="none"/>
                <w:u w:val="none"/>
                <w:lang w:val="en-US" w:eastAsia="zh-CN" w:bidi="ar"/>
              </w:rPr>
              <w:t>企业的相关要求。</w:t>
            </w:r>
          </w:p>
          <w:p w14:paraId="2F8A87E9">
            <w:pPr>
              <w:keepNext w:val="0"/>
              <w:keepLines w:val="0"/>
              <w:suppressLineNumbers w:val="0"/>
              <w:spacing w:before="0" w:beforeAutospacing="0" w:after="0" w:afterAutospacing="0" w:line="440" w:lineRule="exact"/>
              <w:ind w:left="0" w:right="0" w:firstLine="482" w:firstLineChars="200"/>
              <w:rPr>
                <w:rFonts w:hint="default" w:ascii="Times New Roman" w:hAnsi="宋体" w:cs="Times New Roman"/>
                <w:b/>
                <w:bCs/>
                <w:color w:val="auto"/>
                <w:sz w:val="24"/>
                <w:highlight w:val="none"/>
                <w:lang w:val="en-US" w:eastAsia="zh-CN"/>
              </w:rPr>
            </w:pPr>
            <w:r>
              <w:rPr>
                <w:rFonts w:hint="eastAsia" w:hAnsi="宋体"/>
                <w:b/>
                <w:bCs/>
                <w:color w:val="000000"/>
                <w:sz w:val="24"/>
                <w:highlight w:val="none"/>
                <w:lang w:val="en-US" w:eastAsia="zh-CN"/>
              </w:rPr>
              <w:t>7、</w:t>
            </w:r>
            <w:r>
              <w:rPr>
                <w:rFonts w:hint="default" w:ascii="Times New Roman" w:hAnsi="宋体" w:cs="Times New Roman"/>
                <w:b/>
                <w:bCs/>
                <w:color w:val="auto"/>
                <w:sz w:val="24"/>
                <w:highlight w:val="none"/>
              </w:rPr>
              <w:t>本项目与《</w:t>
            </w:r>
            <w:r>
              <w:rPr>
                <w:rFonts w:hint="default" w:ascii="Times New Roman" w:hAnsi="宋体" w:cs="Times New Roman"/>
                <w:b/>
                <w:bCs/>
                <w:color w:val="auto"/>
                <w:sz w:val="24"/>
                <w:highlight w:val="none"/>
                <w:lang w:val="en-US" w:eastAsia="zh-CN"/>
              </w:rPr>
              <w:t>重污染天气重点行业应急减排措施制定技术指南</w:t>
            </w:r>
            <w:r>
              <w:rPr>
                <w:rFonts w:hint="default" w:ascii="Times New Roman" w:hAnsi="宋体" w:cs="Times New Roman"/>
                <w:b/>
                <w:bCs/>
                <w:color w:val="auto"/>
                <w:sz w:val="24"/>
                <w:highlight w:val="none"/>
              </w:rPr>
              <w:t>》（202</w:t>
            </w:r>
            <w:r>
              <w:rPr>
                <w:rFonts w:hint="default" w:ascii="Times New Roman" w:hAnsi="宋体" w:cs="Times New Roman"/>
                <w:b/>
                <w:bCs/>
                <w:color w:val="auto"/>
                <w:sz w:val="24"/>
                <w:highlight w:val="none"/>
                <w:lang w:val="en-US" w:eastAsia="zh-CN"/>
              </w:rPr>
              <w:t>0</w:t>
            </w:r>
            <w:r>
              <w:rPr>
                <w:rFonts w:hint="default" w:ascii="Times New Roman" w:hAnsi="宋体" w:cs="Times New Roman"/>
                <w:b/>
                <w:bCs/>
                <w:color w:val="auto"/>
                <w:sz w:val="24"/>
                <w:highlight w:val="none"/>
              </w:rPr>
              <w:t>年修订版）对照分析</w:t>
            </w:r>
          </w:p>
          <w:p w14:paraId="60D813F9">
            <w:pPr>
              <w:keepNext w:val="0"/>
              <w:keepLines w:val="0"/>
              <w:suppressLineNumbers w:val="0"/>
              <w:spacing w:before="0" w:beforeAutospacing="0" w:after="0" w:afterAutospacing="0" w:line="440" w:lineRule="exact"/>
              <w:ind w:left="0" w:right="0" w:firstLine="480" w:firstLineChars="200"/>
              <w:rPr>
                <w:rFonts w:hint="default"/>
              </w:rPr>
            </w:pPr>
            <w:r>
              <w:rPr>
                <w:rFonts w:hint="default"/>
              </w:rPr>
              <w:t>本项目</w:t>
            </w:r>
            <w:r>
              <w:rPr>
                <w:rFonts w:hint="default"/>
                <w:lang w:val="en-US" w:eastAsia="zh-CN"/>
              </w:rPr>
              <w:t>生产过程中涉及</w:t>
            </w:r>
            <w:r>
              <w:rPr>
                <w:rFonts w:hint="eastAsia"/>
                <w:lang w:val="en-US" w:eastAsia="zh-CN"/>
              </w:rPr>
              <w:t>印刷</w:t>
            </w:r>
            <w:r>
              <w:rPr>
                <w:rFonts w:hint="default"/>
                <w:lang w:val="en-US" w:eastAsia="zh-CN"/>
              </w:rPr>
              <w:t>工序</w:t>
            </w:r>
            <w:r>
              <w:rPr>
                <w:rFonts w:hint="default"/>
                <w:lang w:eastAsia="zh-CN"/>
              </w:rPr>
              <w:t>。</w:t>
            </w:r>
            <w:r>
              <w:rPr>
                <w:rFonts w:hint="default"/>
                <w:lang w:val="pt-BR"/>
              </w:rPr>
              <w:t>本项目与</w:t>
            </w:r>
            <w:r>
              <w:rPr>
                <w:rFonts w:hint="default"/>
              </w:rPr>
              <w:t>《重污染天气重点行业应急减排措施制定技术指南》（2020年修订版）</w:t>
            </w:r>
            <w:r>
              <w:rPr>
                <w:rFonts w:hint="default"/>
                <w:lang w:val="pt-BR"/>
              </w:rPr>
              <w:t>涉</w:t>
            </w:r>
            <w:r>
              <w:rPr>
                <w:rFonts w:hint="eastAsia"/>
                <w:lang w:val="pt-BR" w:eastAsia="zh-CN"/>
              </w:rPr>
              <w:t>包装印刷</w:t>
            </w:r>
            <w:r>
              <w:rPr>
                <w:rFonts w:hint="default"/>
                <w:lang w:val="pt-BR"/>
              </w:rPr>
              <w:t>企业绩效分级指标对照分析见</w:t>
            </w:r>
            <w:r>
              <w:rPr>
                <w:rFonts w:hint="eastAsia"/>
                <w:lang w:eastAsia="zh-CN"/>
              </w:rPr>
              <w:t>下表</w:t>
            </w:r>
            <w:r>
              <w:rPr>
                <w:rFonts w:hint="default"/>
              </w:rPr>
              <w:t>。</w:t>
            </w:r>
          </w:p>
          <w:p w14:paraId="3E8A1A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20" w:lineRule="exact"/>
              <w:ind w:left="0" w:right="0"/>
              <w:jc w:val="center"/>
              <w:textAlignment w:val="auto"/>
              <w:rPr>
                <w:rFonts w:hint="default" w:hAnsi="宋体" w:eastAsia="宋体"/>
                <w:b/>
                <w:bCs/>
                <w:color w:val="000000"/>
                <w:sz w:val="24"/>
                <w:highlight w:val="none"/>
                <w:lang w:val="en-US" w:eastAsia="zh-CN"/>
              </w:rPr>
            </w:pPr>
            <w:r>
              <w:rPr>
                <w:rFonts w:hint="eastAsia" w:hAnsi="宋体"/>
                <w:b/>
                <w:bCs/>
                <w:color w:val="000000"/>
                <w:sz w:val="24"/>
                <w:highlight w:val="none"/>
                <w:lang w:val="en-US" w:eastAsia="zh-CN"/>
              </w:rPr>
              <w:t xml:space="preserve">表7  </w:t>
            </w:r>
            <w:r>
              <w:rPr>
                <w:rFonts w:hint="eastAsia" w:hAnsi="宋体" w:cs="Times New Roman"/>
                <w:b/>
                <w:bCs/>
                <w:color w:val="000000"/>
                <w:sz w:val="24"/>
                <w:szCs w:val="24"/>
                <w:highlight w:val="none"/>
                <w:lang w:val="en-US" w:eastAsia="zh-CN"/>
              </w:rPr>
              <w:t>本项目与</w:t>
            </w:r>
            <w:r>
              <w:rPr>
                <w:rFonts w:hint="eastAsia" w:hAnsi="宋体"/>
                <w:b/>
                <w:bCs/>
                <w:color w:val="000000"/>
                <w:sz w:val="24"/>
                <w:highlight w:val="none"/>
                <w:lang w:val="en-US" w:eastAsia="zh-CN"/>
              </w:rPr>
              <w:t>包装印刷行业绩效分级指标对照分</w:t>
            </w:r>
            <w:r>
              <w:rPr>
                <w:rFonts w:hint="eastAsia" w:hAnsi="宋体" w:cs="Times New Roman"/>
                <w:b/>
                <w:bCs/>
                <w:color w:val="000000"/>
                <w:sz w:val="24"/>
                <w:szCs w:val="24"/>
                <w:highlight w:val="none"/>
                <w:lang w:val="en-US" w:eastAsia="zh-CN"/>
              </w:rPr>
              <w:t>析</w:t>
            </w:r>
          </w:p>
          <w:tbl>
            <w:tblPr>
              <w:tblStyle w:val="22"/>
              <w:tblW w:w="4992"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3"/>
              <w:gridCol w:w="3817"/>
              <w:gridCol w:w="3397"/>
              <w:gridCol w:w="1127"/>
            </w:tblGrid>
            <w:tr w14:paraId="2ABA73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435" w:type="pct"/>
                  <w:gridSpan w:val="2"/>
                  <w:tcBorders>
                    <w:top w:val="single" w:color="auto" w:sz="8" w:space="0"/>
                    <w:bottom w:val="single" w:color="auto" w:sz="8" w:space="0"/>
                  </w:tcBorders>
                  <w:noWrap w:val="0"/>
                  <w:vAlign w:val="center"/>
                </w:tcPr>
                <w:p w14:paraId="434860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A级要求与本项目相关条文</w:t>
                  </w:r>
                </w:p>
              </w:tc>
              <w:tc>
                <w:tcPr>
                  <w:tcW w:w="1924" w:type="pct"/>
                  <w:tcBorders>
                    <w:top w:val="single" w:color="auto" w:sz="8" w:space="0"/>
                    <w:bottom w:val="single" w:color="auto" w:sz="8" w:space="0"/>
                  </w:tcBorders>
                  <w:noWrap w:val="0"/>
                  <w:vAlign w:val="center"/>
                </w:tcPr>
                <w:p w14:paraId="26DC71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本项目情况</w:t>
                  </w:r>
                </w:p>
              </w:tc>
              <w:tc>
                <w:tcPr>
                  <w:tcW w:w="639" w:type="pct"/>
                  <w:tcBorders>
                    <w:top w:val="single" w:color="auto" w:sz="8" w:space="0"/>
                    <w:bottom w:val="single" w:color="auto" w:sz="8" w:space="0"/>
                  </w:tcBorders>
                  <w:noWrap w:val="0"/>
                  <w:vAlign w:val="center"/>
                </w:tcPr>
                <w:p w14:paraId="723004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000000"/>
                      <w:sz w:val="21"/>
                      <w:szCs w:val="21"/>
                    </w:rPr>
                  </w:pPr>
                  <w:r>
                    <w:rPr>
                      <w:rFonts w:hint="default" w:ascii="Times New Roman" w:hAnsi="Times New Roman" w:eastAsia="宋体" w:cs="Times New Roman"/>
                      <w:b/>
                      <w:bCs/>
                      <w:color w:val="000000"/>
                      <w:sz w:val="21"/>
                      <w:szCs w:val="21"/>
                    </w:rPr>
                    <w:t>对比结果</w:t>
                  </w:r>
                </w:p>
              </w:tc>
            </w:tr>
            <w:tr w14:paraId="02A0D9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4" w:hRule="atLeast"/>
              </w:trPr>
              <w:tc>
                <w:tcPr>
                  <w:tcW w:w="273" w:type="pct"/>
                  <w:tcBorders>
                    <w:top w:val="single" w:color="auto" w:sz="8" w:space="0"/>
                  </w:tcBorders>
                  <w:noWrap w:val="0"/>
                  <w:vAlign w:val="center"/>
                </w:tcPr>
                <w:p w14:paraId="04FF77CE">
                  <w:pPr>
                    <w:keepNext w:val="0"/>
                    <w:keepLines w:val="0"/>
                    <w:suppressLineNumbers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原辅材料</w:t>
                  </w:r>
                </w:p>
              </w:tc>
              <w:tc>
                <w:tcPr>
                  <w:tcW w:w="2162" w:type="pct"/>
                  <w:tcBorders>
                    <w:top w:val="single" w:color="auto" w:sz="8" w:space="0"/>
                  </w:tcBorders>
                  <w:noWrap w:val="0"/>
                  <w:vAlign w:val="center"/>
                </w:tcPr>
                <w:p w14:paraId="195CE9FC">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1、凹版印刷工艺采用吸收性材料印刷时，使用水性油墨（VOCs≤15%）、能量固化油墨（VOCs≤10%）等低VOCs含量油墨比例达</w:t>
                  </w:r>
                  <w:r>
                    <w:rPr>
                      <w:rFonts w:hint="eastAsia" w:cs="Times New Roman"/>
                      <w:color w:val="000000"/>
                      <w:sz w:val="21"/>
                      <w:szCs w:val="21"/>
                      <w:lang w:val="en-US" w:eastAsia="zh-CN"/>
                    </w:rPr>
                    <w:t>6</w:t>
                  </w:r>
                  <w:r>
                    <w:rPr>
                      <w:rFonts w:hint="default" w:ascii="Times New Roman" w:hAnsi="Times New Roman" w:eastAsia="宋体" w:cs="Times New Roman"/>
                      <w:color w:val="000000"/>
                      <w:sz w:val="21"/>
                      <w:szCs w:val="21"/>
                    </w:rPr>
                    <w:t>0%及以上；采用非吸收性材料印刷时，使用水性油墨（VOCs≤30%）、能量固化油墨（VOCs≤10%）等低VOCs含量油墨比例达</w:t>
                  </w:r>
                  <w:r>
                    <w:rPr>
                      <w:rFonts w:hint="eastAsia" w:cs="Times New Roman"/>
                      <w:color w:val="000000"/>
                      <w:sz w:val="21"/>
                      <w:szCs w:val="21"/>
                      <w:lang w:val="en-US" w:eastAsia="zh-CN"/>
                    </w:rPr>
                    <w:t>3</w:t>
                  </w:r>
                  <w:r>
                    <w:rPr>
                      <w:rFonts w:hint="default" w:ascii="Times New Roman" w:hAnsi="Times New Roman" w:eastAsia="宋体" w:cs="Times New Roman"/>
                      <w:color w:val="000000"/>
                      <w:sz w:val="21"/>
                      <w:szCs w:val="21"/>
                    </w:rPr>
                    <w:t>0%及以上；</w:t>
                  </w:r>
                </w:p>
                <w:p w14:paraId="4F0BE95D">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2、柔版印刷工艺采用吸收性材料印刷时，使用水性油墨（VOCs≤5%）的比例达</w:t>
                  </w:r>
                  <w:r>
                    <w:rPr>
                      <w:rFonts w:hint="eastAsia" w:cs="Times New Roman"/>
                      <w:color w:val="000000"/>
                      <w:sz w:val="21"/>
                      <w:szCs w:val="21"/>
                      <w:lang w:val="en-US" w:eastAsia="zh-CN"/>
                    </w:rPr>
                    <w:t>10</w:t>
                  </w:r>
                  <w:r>
                    <w:rPr>
                      <w:rFonts w:hint="default" w:ascii="Times New Roman" w:hAnsi="Times New Roman" w:eastAsia="宋体" w:cs="Times New Roman"/>
                      <w:color w:val="000000"/>
                      <w:sz w:val="21"/>
                      <w:szCs w:val="21"/>
                    </w:rPr>
                    <w:t>0%；采用非吸收性材料印刷时，使用水性油墨（VOCs≤25%）比例达</w:t>
                  </w:r>
                  <w:r>
                    <w:rPr>
                      <w:rFonts w:hint="eastAsia" w:cs="Times New Roman"/>
                      <w:color w:val="000000"/>
                      <w:sz w:val="21"/>
                      <w:szCs w:val="21"/>
                      <w:lang w:val="en-US" w:eastAsia="zh-CN"/>
                    </w:rPr>
                    <w:t>6</w:t>
                  </w:r>
                  <w:r>
                    <w:rPr>
                      <w:rFonts w:hint="default" w:ascii="Times New Roman" w:hAnsi="Times New Roman" w:eastAsia="宋体" w:cs="Times New Roman"/>
                      <w:color w:val="000000"/>
                      <w:sz w:val="21"/>
                      <w:szCs w:val="21"/>
                    </w:rPr>
                    <w:t>0%及以上；</w:t>
                  </w:r>
                </w:p>
                <w:p w14:paraId="14D1BAD1">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bookmarkStart w:id="0" w:name="_Hlk39695108"/>
                  <w:r>
                    <w:rPr>
                      <w:rFonts w:hint="default" w:ascii="Times New Roman" w:hAnsi="Times New Roman" w:eastAsia="宋体" w:cs="Times New Roman"/>
                      <w:color w:val="000000"/>
                      <w:sz w:val="21"/>
                      <w:szCs w:val="21"/>
                    </w:rPr>
                    <w:t>3、</w:t>
                  </w:r>
                  <w:r>
                    <w:rPr>
                      <w:rFonts w:hint="default" w:ascii="Times New Roman" w:hAnsi="Times New Roman" w:eastAsia="宋体" w:cs="Times New Roman"/>
                      <w:color w:val="000000"/>
                      <w:sz w:val="21"/>
                      <w:szCs w:val="21"/>
                      <w:highlight w:val="none"/>
                    </w:rPr>
                    <w:t>平版印刷工艺</w:t>
                  </w:r>
                  <w:bookmarkEnd w:id="0"/>
                  <w:r>
                    <w:rPr>
                      <w:rFonts w:hint="default" w:ascii="Times New Roman" w:hAnsi="Times New Roman" w:eastAsia="宋体" w:cs="Times New Roman"/>
                      <w:color w:val="000000"/>
                      <w:sz w:val="21"/>
                      <w:szCs w:val="21"/>
                    </w:rPr>
                    <w:t>使用符合《油墨中可挥发性有机化合物(VOCs)含量的限值》（GB 38507-2020）中VOCs含量限值要求的油墨产品比例达100%；100%使用无（免）醇润版液（润版液原液中VOCs≤10%），或使用无水印刷技术，或使用零醇润版胶印技术；</w:t>
                  </w:r>
                </w:p>
                <w:p w14:paraId="131413A2">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4、丝网印刷工艺使用水性油墨（VOCs≤30%）、能量固化油墨（VOCs≤5%）的比例达</w:t>
                  </w:r>
                  <w:r>
                    <w:rPr>
                      <w:rFonts w:hint="eastAsia" w:cs="Times New Roman"/>
                      <w:color w:val="000000"/>
                      <w:sz w:val="21"/>
                      <w:szCs w:val="21"/>
                      <w:lang w:val="en-US" w:eastAsia="zh-CN"/>
                    </w:rPr>
                    <w:t>6</w:t>
                  </w:r>
                  <w:r>
                    <w:rPr>
                      <w:rFonts w:hint="default" w:ascii="Times New Roman" w:hAnsi="Times New Roman" w:eastAsia="宋体" w:cs="Times New Roman"/>
                      <w:color w:val="000000"/>
                      <w:sz w:val="21"/>
                      <w:szCs w:val="21"/>
                    </w:rPr>
                    <w:t>0%及以上；</w:t>
                  </w:r>
                </w:p>
                <w:p w14:paraId="639B4417">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5、印铁制罐生产过程</w:t>
                  </w:r>
                  <w:r>
                    <w:rPr>
                      <w:rFonts w:hint="eastAsia" w:cs="Times New Roman"/>
                      <w:color w:val="000000"/>
                      <w:sz w:val="21"/>
                      <w:szCs w:val="21"/>
                      <w:lang w:val="en-US" w:eastAsia="zh-CN"/>
                    </w:rPr>
                    <w:t>10</w:t>
                  </w:r>
                  <w:r>
                    <w:rPr>
                      <w:rFonts w:hint="default" w:ascii="Times New Roman" w:hAnsi="Times New Roman" w:eastAsia="宋体" w:cs="Times New Roman"/>
                      <w:color w:val="000000"/>
                      <w:sz w:val="21"/>
                      <w:szCs w:val="21"/>
                    </w:rPr>
                    <w:t>0%使用水性油墨（VOCs≤25%）、能量固化油墨（VOCs≤2%）；</w:t>
                  </w:r>
                  <w:r>
                    <w:rPr>
                      <w:rFonts w:hint="eastAsia" w:cs="Times New Roman"/>
                      <w:color w:val="000000"/>
                      <w:sz w:val="21"/>
                      <w:szCs w:val="21"/>
                      <w:lang w:val="en-US" w:eastAsia="zh-CN"/>
                    </w:rPr>
                    <w:t>10</w:t>
                  </w:r>
                  <w:r>
                    <w:rPr>
                      <w:rFonts w:hint="default" w:ascii="Times New Roman" w:hAnsi="Times New Roman" w:eastAsia="宋体" w:cs="Times New Roman"/>
                      <w:color w:val="000000"/>
                      <w:sz w:val="21"/>
                      <w:szCs w:val="21"/>
                    </w:rPr>
                    <w:t>0%使用水性涂料、能量固化涂料替代溶剂型涂料；</w:t>
                  </w:r>
                </w:p>
                <w:p w14:paraId="1435B9A4">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6、复合、覆膜：使用符合《胶粘剂挥发性有机化合物限量》（GB 33372-2020）的无溶剂、水基型等非溶剂型胶粘剂比例达</w:t>
                  </w:r>
                  <w:r>
                    <w:rPr>
                      <w:rFonts w:hint="eastAsia" w:cs="Times New Roman"/>
                      <w:color w:val="000000"/>
                      <w:sz w:val="21"/>
                      <w:szCs w:val="21"/>
                      <w:lang w:val="en-US" w:eastAsia="zh-CN"/>
                    </w:rPr>
                    <w:t>75</w:t>
                  </w:r>
                  <w:r>
                    <w:rPr>
                      <w:rFonts w:hint="default" w:ascii="Times New Roman" w:hAnsi="Times New Roman" w:eastAsia="宋体" w:cs="Times New Roman"/>
                      <w:color w:val="000000"/>
                      <w:sz w:val="21"/>
                      <w:szCs w:val="21"/>
                    </w:rPr>
                    <w:t>%及以上；</w:t>
                  </w:r>
                </w:p>
                <w:p w14:paraId="45C89A43">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7、上光：使用水性、UV等非溶剂型光油比例达到</w:t>
                  </w:r>
                  <w:r>
                    <w:rPr>
                      <w:rFonts w:hint="eastAsia" w:cs="Times New Roman"/>
                      <w:color w:val="000000"/>
                      <w:sz w:val="21"/>
                      <w:szCs w:val="21"/>
                      <w:lang w:val="en-US" w:eastAsia="zh-CN"/>
                    </w:rPr>
                    <w:t>100</w:t>
                  </w:r>
                  <w:r>
                    <w:rPr>
                      <w:rFonts w:hint="default" w:ascii="Times New Roman" w:hAnsi="Times New Roman" w:eastAsia="宋体" w:cs="Times New Roman"/>
                      <w:color w:val="000000"/>
                      <w:sz w:val="21"/>
                      <w:szCs w:val="21"/>
                    </w:rPr>
                    <w:t>%</w:t>
                  </w:r>
                  <w:r>
                    <w:rPr>
                      <w:rFonts w:hint="eastAsia" w:cs="Times New Roman"/>
                      <w:color w:val="000000"/>
                      <w:sz w:val="21"/>
                      <w:szCs w:val="21"/>
                      <w:lang w:eastAsia="zh-CN"/>
                    </w:rPr>
                    <w:t>及以上</w:t>
                  </w:r>
                  <w:r>
                    <w:rPr>
                      <w:rFonts w:hint="default" w:ascii="Times New Roman" w:hAnsi="Times New Roman" w:eastAsia="宋体" w:cs="Times New Roman"/>
                      <w:color w:val="000000"/>
                      <w:sz w:val="21"/>
                      <w:szCs w:val="21"/>
                    </w:rPr>
                    <w:t>；</w:t>
                  </w:r>
                </w:p>
                <w:p w14:paraId="001FB3F2">
                  <w:pPr>
                    <w:keepNext w:val="0"/>
                    <w:keepLines w:val="0"/>
                    <w:suppressLineNumbers w:val="0"/>
                    <w:spacing w:before="0" w:beforeAutospacing="0" w:after="0" w:afterAutospacing="0"/>
                    <w:ind w:left="0" w:right="0"/>
                    <w:jc w:val="both"/>
                    <w:rPr>
                      <w:rFonts w:hint="eastAsia"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8、清洗：采用胶印油墨、UV油墨印刷时，使用符合《清洗剂挥发性有机化合物含量限值》（GB 38508-2020）的低VOCs含量清洗剂比例达到</w:t>
                  </w:r>
                  <w:r>
                    <w:rPr>
                      <w:rFonts w:hint="eastAsia" w:cs="Times New Roman"/>
                      <w:color w:val="000000"/>
                      <w:sz w:val="21"/>
                      <w:szCs w:val="21"/>
                      <w:lang w:val="en-US" w:eastAsia="zh-CN"/>
                    </w:rPr>
                    <w:t>100</w:t>
                  </w:r>
                  <w:r>
                    <w:rPr>
                      <w:rFonts w:hint="default" w:ascii="Times New Roman" w:hAnsi="Times New Roman" w:eastAsia="宋体" w:cs="Times New Roman"/>
                      <w:color w:val="000000"/>
                      <w:sz w:val="21"/>
                      <w:szCs w:val="21"/>
                    </w:rPr>
                    <w:t>%</w:t>
                  </w:r>
                  <w:r>
                    <w:rPr>
                      <w:rFonts w:hint="eastAsia" w:cs="Times New Roman"/>
                      <w:color w:val="000000"/>
                      <w:sz w:val="21"/>
                      <w:szCs w:val="21"/>
                      <w:lang w:eastAsia="zh-CN"/>
                    </w:rPr>
                    <w:t>及以上</w:t>
                  </w:r>
                </w:p>
              </w:tc>
              <w:tc>
                <w:tcPr>
                  <w:tcW w:w="1924" w:type="pct"/>
                  <w:tcBorders>
                    <w:top w:val="single" w:color="auto" w:sz="8" w:space="0"/>
                  </w:tcBorders>
                  <w:noWrap w:val="0"/>
                  <w:vAlign w:val="center"/>
                </w:tcPr>
                <w:p w14:paraId="43230F99">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1、本项目</w:t>
                  </w:r>
                  <w:r>
                    <w:rPr>
                      <w:rFonts w:hint="eastAsia" w:cs="Times New Roman"/>
                      <w:color w:val="000000"/>
                      <w:sz w:val="21"/>
                      <w:szCs w:val="21"/>
                      <w:lang w:val="en-US" w:eastAsia="zh-CN"/>
                    </w:rPr>
                    <w:t>不使用凹版印刷工艺</w:t>
                  </w:r>
                  <w:r>
                    <w:rPr>
                      <w:rFonts w:hint="default" w:ascii="Times New Roman" w:hAnsi="Times New Roman" w:eastAsia="宋体" w:cs="Times New Roman"/>
                      <w:color w:val="000000"/>
                      <w:sz w:val="21"/>
                      <w:szCs w:val="21"/>
                    </w:rPr>
                    <w:t>；</w:t>
                  </w:r>
                </w:p>
                <w:p w14:paraId="4894D007">
                  <w:pPr>
                    <w:keepNext w:val="0"/>
                    <w:keepLines w:val="0"/>
                    <w:suppressLineNumbers w:val="0"/>
                    <w:spacing w:before="0" w:beforeAutospacing="0" w:after="0" w:afterAutospacing="0"/>
                    <w:ind w:left="0" w:right="0"/>
                    <w:jc w:val="both"/>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rPr>
                    <w:t>2、</w:t>
                  </w:r>
                  <w:r>
                    <w:rPr>
                      <w:rFonts w:hint="eastAsia" w:cs="Times New Roman"/>
                      <w:sz w:val="21"/>
                      <w:szCs w:val="21"/>
                      <w:lang w:eastAsia="zh-CN"/>
                    </w:rPr>
                    <w:t>本项目</w:t>
                  </w:r>
                  <w:r>
                    <w:rPr>
                      <w:rFonts w:hint="eastAsia" w:cs="Times New Roman"/>
                      <w:sz w:val="21"/>
                      <w:szCs w:val="21"/>
                      <w:lang w:val="en-US" w:eastAsia="zh-CN"/>
                    </w:rPr>
                    <w:t>柔版印刷工艺采用吸收性材料印刷，本项目使用水性油墨（</w:t>
                  </w:r>
                  <w:r>
                    <w:rPr>
                      <w:rFonts w:hint="default" w:ascii="Times New Roman" w:hAnsi="Times New Roman" w:eastAsia="宋体" w:cs="Times New Roman"/>
                      <w:color w:val="000000"/>
                      <w:sz w:val="21"/>
                      <w:szCs w:val="21"/>
                    </w:rPr>
                    <w:t>VOCs≤5%</w:t>
                  </w:r>
                  <w:r>
                    <w:rPr>
                      <w:rFonts w:hint="eastAsia" w:cs="Times New Roman"/>
                      <w:sz w:val="21"/>
                      <w:szCs w:val="21"/>
                      <w:lang w:val="en-US" w:eastAsia="zh-CN"/>
                    </w:rPr>
                    <w:t>）的比例达到100%</w:t>
                  </w:r>
                  <w:r>
                    <w:rPr>
                      <w:rFonts w:hint="eastAsia" w:cs="Times New Roman"/>
                      <w:sz w:val="21"/>
                      <w:szCs w:val="21"/>
                      <w:lang w:eastAsia="zh-CN"/>
                    </w:rPr>
                    <w:t>；</w:t>
                  </w:r>
                </w:p>
                <w:p w14:paraId="7042F538">
                  <w:pPr>
                    <w:keepNext w:val="0"/>
                    <w:keepLines w:val="0"/>
                    <w:suppressLineNumbers w:val="0"/>
                    <w:spacing w:before="0" w:beforeAutospacing="0" w:after="0" w:afterAutospacing="0"/>
                    <w:ind w:left="0" w:right="0"/>
                    <w:jc w:val="both"/>
                    <w:rPr>
                      <w:rFonts w:hint="default" w:cs="Times New Roman"/>
                      <w:sz w:val="21"/>
                      <w:szCs w:val="21"/>
                      <w:lang w:val="en-US" w:eastAsia="zh-CN"/>
                    </w:rPr>
                  </w:pPr>
                  <w:r>
                    <w:rPr>
                      <w:rFonts w:hint="eastAsia" w:cs="Times New Roman"/>
                      <w:sz w:val="21"/>
                      <w:szCs w:val="21"/>
                      <w:lang w:val="en-US" w:eastAsia="zh-CN"/>
                    </w:rPr>
                    <w:t>3、本项目不使用平版印刷工艺；</w:t>
                  </w:r>
                </w:p>
                <w:p w14:paraId="3D4A1078">
                  <w:pPr>
                    <w:keepNext w:val="0"/>
                    <w:keepLines w:val="0"/>
                    <w:suppressLineNumbers w:val="0"/>
                    <w:spacing w:before="0" w:beforeAutospacing="0" w:after="0" w:afterAutospacing="0"/>
                    <w:ind w:left="0" w:right="0"/>
                    <w:jc w:val="both"/>
                    <w:rPr>
                      <w:rFonts w:hint="eastAsia" w:cs="Times New Roman"/>
                      <w:sz w:val="21"/>
                      <w:szCs w:val="21"/>
                      <w:lang w:val="en-US" w:eastAsia="zh-CN"/>
                    </w:rPr>
                  </w:pPr>
                  <w:r>
                    <w:rPr>
                      <w:rFonts w:hint="eastAsia" w:cs="Times New Roman"/>
                      <w:sz w:val="21"/>
                      <w:szCs w:val="21"/>
                      <w:lang w:val="en-US" w:eastAsia="zh-CN"/>
                    </w:rPr>
                    <w:t>4、本项目不使用丝网印刷工艺；</w:t>
                  </w:r>
                </w:p>
                <w:p w14:paraId="52350EF5">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jc w:val="both"/>
                    <w:textAlignment w:val="auto"/>
                    <w:rPr>
                      <w:rFonts w:hint="eastAsia" w:cs="Times New Roman"/>
                      <w:sz w:val="21"/>
                      <w:szCs w:val="21"/>
                      <w:highlight w:val="none"/>
                      <w:lang w:val="en-US" w:eastAsia="zh-CN"/>
                    </w:rPr>
                  </w:pPr>
                  <w:r>
                    <w:rPr>
                      <w:rFonts w:hint="eastAsia" w:cs="Times New Roman"/>
                      <w:sz w:val="21"/>
                      <w:szCs w:val="21"/>
                      <w:lang w:val="en-US" w:eastAsia="zh-CN"/>
                    </w:rPr>
                    <w:t>5、</w:t>
                  </w:r>
                  <w:r>
                    <w:rPr>
                      <w:rFonts w:hint="eastAsia" w:cs="Times New Roman"/>
                      <w:sz w:val="21"/>
                      <w:szCs w:val="21"/>
                      <w:highlight w:val="none"/>
                      <w:lang w:val="en-US" w:eastAsia="zh-CN"/>
                    </w:rPr>
                    <w:t>本项目不属于印铁制罐生产；</w:t>
                  </w:r>
                </w:p>
                <w:p w14:paraId="3A91B289">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jc w:val="both"/>
                    <w:textAlignment w:val="auto"/>
                    <w:rPr>
                      <w:rFonts w:hint="eastAsia" w:cs="Times New Roman"/>
                      <w:sz w:val="21"/>
                      <w:szCs w:val="21"/>
                      <w:highlight w:val="none"/>
                      <w:lang w:val="en-US" w:eastAsia="zh-CN"/>
                    </w:rPr>
                  </w:pPr>
                  <w:r>
                    <w:rPr>
                      <w:rFonts w:hint="eastAsia" w:cs="Times New Roman"/>
                      <w:sz w:val="21"/>
                      <w:szCs w:val="21"/>
                      <w:highlight w:val="none"/>
                      <w:lang w:val="en-US" w:eastAsia="zh-CN"/>
                    </w:rPr>
                    <w:t>6、本项目不涉及复合、覆膜工艺；</w:t>
                  </w:r>
                </w:p>
                <w:p w14:paraId="77D0439F">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jc w:val="both"/>
                    <w:textAlignment w:val="auto"/>
                    <w:rPr>
                      <w:rFonts w:hint="eastAsia" w:cs="Times New Roman"/>
                      <w:sz w:val="21"/>
                      <w:szCs w:val="21"/>
                      <w:highlight w:val="none"/>
                      <w:lang w:val="en-US" w:eastAsia="zh-CN"/>
                    </w:rPr>
                  </w:pPr>
                  <w:r>
                    <w:rPr>
                      <w:rFonts w:hint="eastAsia" w:cs="Times New Roman"/>
                      <w:sz w:val="21"/>
                      <w:szCs w:val="21"/>
                      <w:highlight w:val="none"/>
                      <w:lang w:val="en-US" w:eastAsia="zh-CN"/>
                    </w:rPr>
                    <w:t>7、本项目不涉及上光工艺；</w:t>
                  </w:r>
                </w:p>
                <w:p w14:paraId="74391F5A">
                  <w:pPr>
                    <w:keepNext w:val="0"/>
                    <w:keepLines w:val="0"/>
                    <w:suppressLineNumbers w:val="0"/>
                    <w:spacing w:before="0" w:beforeAutospacing="0" w:after="0" w:afterAutospacing="0"/>
                    <w:ind w:left="0" w:right="0"/>
                    <w:rPr>
                      <w:rFonts w:hint="default"/>
                      <w:lang w:val="en-US" w:eastAsia="zh-CN"/>
                    </w:rPr>
                  </w:pPr>
                  <w:r>
                    <w:rPr>
                      <w:rFonts w:hint="eastAsia" w:cs="Times New Roman"/>
                      <w:sz w:val="21"/>
                      <w:szCs w:val="21"/>
                      <w:highlight w:val="none"/>
                      <w:lang w:val="en-US" w:eastAsia="zh-CN"/>
                    </w:rPr>
                    <w:t>8、本项目不涉及清洗工序。</w:t>
                  </w:r>
                </w:p>
              </w:tc>
              <w:tc>
                <w:tcPr>
                  <w:tcW w:w="639" w:type="pct"/>
                  <w:tcBorders>
                    <w:top w:val="single" w:color="auto" w:sz="8" w:space="0"/>
                  </w:tcBorders>
                  <w:noWrap w:val="0"/>
                  <w:vAlign w:val="center"/>
                </w:tcPr>
                <w:p w14:paraId="120572CC">
                  <w:pPr>
                    <w:keepNext w:val="0"/>
                    <w:keepLines w:val="0"/>
                    <w:suppressLineNumbers w:val="0"/>
                    <w:adjustRightInd w:val="0"/>
                    <w:snapToGrid w:val="0"/>
                    <w:spacing w:before="0" w:beforeAutospacing="0" w:after="0" w:afterAutospacing="0"/>
                    <w:ind w:left="0" w:right="0"/>
                    <w:textAlignment w:val="baseline"/>
                    <w:rPr>
                      <w:rFonts w:hint="default" w:ascii="Times New Roman" w:hAnsi="Times New Roman" w:eastAsia="宋体" w:cs="Times New Roman"/>
                      <w:sz w:val="21"/>
                      <w:szCs w:val="21"/>
                    </w:rPr>
                  </w:pPr>
                </w:p>
                <w:p w14:paraId="4C499DA2">
                  <w:pPr>
                    <w:keepNext w:val="0"/>
                    <w:keepLines w:val="0"/>
                    <w:suppressLineNumbers w:val="0"/>
                    <w:adjustRightInd w:val="0"/>
                    <w:snapToGrid w:val="0"/>
                    <w:spacing w:before="0" w:beforeAutospacing="0" w:after="0" w:afterAutospacing="0"/>
                    <w:ind w:left="0" w:right="0"/>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按要求建设，满足</w:t>
                  </w:r>
                  <w:r>
                    <w:rPr>
                      <w:rFonts w:hint="eastAsia" w:cs="Times New Roman"/>
                      <w:sz w:val="21"/>
                      <w:szCs w:val="21"/>
                      <w:lang w:val="en-US" w:eastAsia="zh-CN"/>
                    </w:rPr>
                    <w:t>A</w:t>
                  </w:r>
                  <w:r>
                    <w:rPr>
                      <w:rFonts w:hint="default" w:ascii="Times New Roman" w:hAnsi="Times New Roman" w:eastAsia="宋体" w:cs="Times New Roman"/>
                      <w:sz w:val="21"/>
                      <w:szCs w:val="21"/>
                    </w:rPr>
                    <w:t>级企业指标</w:t>
                  </w:r>
                </w:p>
              </w:tc>
            </w:tr>
            <w:tr w14:paraId="2777CA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3" w:type="pct"/>
                  <w:noWrap w:val="0"/>
                  <w:vAlign w:val="center"/>
                </w:tcPr>
                <w:p w14:paraId="17ED8FFF">
                  <w:pPr>
                    <w:keepNext w:val="0"/>
                    <w:keepLines w:val="0"/>
                    <w:suppressLineNumbers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无组织排放</w:t>
                  </w:r>
                </w:p>
              </w:tc>
              <w:tc>
                <w:tcPr>
                  <w:tcW w:w="2162" w:type="pct"/>
                  <w:noWrap w:val="0"/>
                  <w:vAlign w:val="center"/>
                </w:tcPr>
                <w:p w14:paraId="173259EE">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1、满足《挥发性有机物无组织排放控制标准》（GB 37822-2019）特别控制要求；</w:t>
                  </w:r>
                </w:p>
                <w:p w14:paraId="00B6A5AA">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2、调配过程：设置专门的调配间进行调墨、调胶等，废气排至VOCs废气收集处理系统；</w:t>
                  </w:r>
                </w:p>
                <w:p w14:paraId="2E2675B2">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3、供墨过程：在密闭设备或密闭负压空间内操作；向墨槽中加油墨或稀释剂时采用漏斗或软管等接驳工具；</w:t>
                  </w:r>
                </w:p>
                <w:p w14:paraId="12D49D3C">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rPr>
                    <w:t>4、印刷过程：</w:t>
                  </w:r>
                  <w:r>
                    <w:rPr>
                      <w:rFonts w:hint="default" w:ascii="Times New Roman" w:hAnsi="Times New Roman" w:eastAsia="宋体" w:cs="Times New Roman"/>
                      <w:sz w:val="21"/>
                      <w:szCs w:val="21"/>
                      <w:highlight w:val="none"/>
                    </w:rPr>
                    <w:t>柔版印刷机采用封闭刮刀；凹版印刷机通过安装盖板、改变墨槽开口形状等减小墨盘、墨桶、搅墨机等开口面积；烘箱密闭，保持负压；印刷机整体排风收集；</w:t>
                  </w:r>
                </w:p>
                <w:p w14:paraId="3F604995">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5、清洗过程：清洗专用清洗间、排风收集；沾染清洗剂的毛巾或抹布储存于密闭容器；</w:t>
                  </w:r>
                </w:p>
                <w:p w14:paraId="1BA9088F">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6、复合过程：烘箱密闭，保持负压；干式复合机整机封闭集气收集；</w:t>
                  </w:r>
                </w:p>
                <w:p w14:paraId="6D9CF8A5">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存储过程：油墨、稀释剂、胶粘剂、清洗剂、上光油等VOCs物料密闭存储，存放于无阳光直射的场所；废油墨、废清洗剂、废活性炭等含VOCs的废物应分类放置于贴有标识的容器内，加盖密封，存放于无阳光直射的场所。</w:t>
                  </w:r>
                </w:p>
              </w:tc>
              <w:tc>
                <w:tcPr>
                  <w:tcW w:w="1924" w:type="pct"/>
                  <w:noWrap w:val="0"/>
                  <w:vAlign w:val="center"/>
                </w:tcPr>
                <w:p w14:paraId="3EA1E9D5">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项目VOCs物料存储、油墨输送、供墨过程及危险废物存储按照《挥发性有机物无组织排放控制标准》（GB37822-2019）及《重污染天气重点行业应急减排措施制定技术指南》（2020年修订版）中包装印刷行业管控要求落实到位；</w:t>
                  </w:r>
                </w:p>
                <w:p w14:paraId="652817FC">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2、调配过程：</w:t>
                  </w:r>
                  <w:r>
                    <w:rPr>
                      <w:rFonts w:hint="eastAsia" w:cs="Times New Roman"/>
                      <w:sz w:val="21"/>
                      <w:szCs w:val="21"/>
                      <w:lang w:eastAsia="zh-CN"/>
                    </w:rPr>
                    <w:t>本项目不涉及油墨调配过程</w:t>
                  </w:r>
                  <w:r>
                    <w:rPr>
                      <w:rFonts w:hint="default" w:ascii="Times New Roman" w:hAnsi="Times New Roman" w:eastAsia="宋体" w:cs="Times New Roman"/>
                      <w:sz w:val="21"/>
                      <w:szCs w:val="21"/>
                    </w:rPr>
                    <w:t>；</w:t>
                  </w:r>
                </w:p>
                <w:p w14:paraId="5C809C41">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3、供墨过程：印刷</w:t>
                  </w:r>
                  <w:r>
                    <w:rPr>
                      <w:rFonts w:hint="eastAsia" w:cs="Times New Roman"/>
                      <w:sz w:val="21"/>
                      <w:szCs w:val="21"/>
                      <w:lang w:val="en-US" w:eastAsia="zh-CN"/>
                    </w:rPr>
                    <w:t>工序</w:t>
                  </w:r>
                  <w:r>
                    <w:rPr>
                      <w:rFonts w:hint="default" w:ascii="Times New Roman" w:hAnsi="Times New Roman" w:eastAsia="宋体" w:cs="Times New Roman"/>
                      <w:sz w:val="21"/>
                      <w:szCs w:val="21"/>
                    </w:rPr>
                    <w:t>二次密闭，</w:t>
                  </w:r>
                  <w:r>
                    <w:rPr>
                      <w:rFonts w:hint="eastAsia" w:cs="Times New Roman"/>
                      <w:sz w:val="21"/>
                      <w:szCs w:val="21"/>
                      <w:lang w:eastAsia="zh-CN"/>
                    </w:rPr>
                    <w:t>油墨</w:t>
                  </w:r>
                  <w:r>
                    <w:rPr>
                      <w:rFonts w:hint="default" w:ascii="Times New Roman" w:hAnsi="Times New Roman" w:eastAsia="宋体" w:cs="Times New Roman"/>
                      <w:sz w:val="21"/>
                      <w:szCs w:val="21"/>
                    </w:rPr>
                    <w:t>桶加盖密闭保存，密闭转运至印刷车间，通过自动供墨系统，利用软管自动泵密闭墨槽，密闭盖仅留有软管的进出口，供墨工序产生的废气与印刷工序产生的废气经</w:t>
                  </w:r>
                  <w:r>
                    <w:rPr>
                      <w:rFonts w:hint="eastAsia" w:cs="Times New Roman"/>
                      <w:sz w:val="21"/>
                      <w:szCs w:val="21"/>
                      <w:lang w:eastAsia="zh-CN"/>
                    </w:rPr>
                    <w:t>负压管道</w:t>
                  </w:r>
                  <w:r>
                    <w:rPr>
                      <w:rFonts w:hint="default" w:ascii="Times New Roman" w:hAnsi="Times New Roman" w:eastAsia="宋体" w:cs="Times New Roman"/>
                      <w:sz w:val="21"/>
                      <w:szCs w:val="21"/>
                    </w:rPr>
                    <w:t>收集引至</w:t>
                  </w:r>
                  <w:r>
                    <w:rPr>
                      <w:rFonts w:hint="eastAsia" w:cs="Times New Roman"/>
                      <w:sz w:val="21"/>
                      <w:szCs w:val="21"/>
                      <w:lang w:val="en-US" w:eastAsia="zh-CN"/>
                    </w:rPr>
                    <w:t>活性炭吸附脱附+催化燃烧</w:t>
                  </w:r>
                  <w:r>
                    <w:rPr>
                      <w:rFonts w:hint="eastAsia" w:cs="Times New Roman"/>
                      <w:sz w:val="21"/>
                      <w:szCs w:val="21"/>
                      <w:lang w:eastAsia="zh-CN"/>
                    </w:rPr>
                    <w:t>装置</w:t>
                  </w:r>
                  <w:r>
                    <w:rPr>
                      <w:rFonts w:hint="default" w:ascii="Times New Roman" w:hAnsi="Times New Roman" w:eastAsia="宋体" w:cs="Times New Roman"/>
                      <w:sz w:val="21"/>
                      <w:szCs w:val="21"/>
                    </w:rPr>
                    <w:t>进行处理；</w:t>
                  </w:r>
                </w:p>
                <w:p w14:paraId="4D51A51A">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4、印刷工序：</w:t>
                  </w:r>
                  <w:r>
                    <w:rPr>
                      <w:rFonts w:hint="eastAsia" w:cs="Times New Roman"/>
                      <w:sz w:val="21"/>
                      <w:szCs w:val="21"/>
                      <w:highlight w:val="none"/>
                      <w:lang w:val="en-US" w:eastAsia="zh-CN"/>
                    </w:rPr>
                    <w:t>本项目柔版印刷机采用封闭刮刀，烘箱密闭，保持负压，印刷废气经负压收集</w:t>
                  </w:r>
                  <w:r>
                    <w:rPr>
                      <w:rFonts w:hint="default" w:ascii="Times New Roman" w:hAnsi="Times New Roman" w:eastAsia="宋体" w:cs="Times New Roman"/>
                      <w:sz w:val="21"/>
                      <w:szCs w:val="21"/>
                      <w:highlight w:val="none"/>
                    </w:rPr>
                    <w:t>；</w:t>
                  </w:r>
                </w:p>
                <w:p w14:paraId="72F1D743">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lang w:bidi="ar"/>
                    </w:rPr>
                  </w:pPr>
                  <w:r>
                    <w:rPr>
                      <w:rFonts w:hint="default" w:ascii="Times New Roman" w:hAnsi="Times New Roman" w:eastAsia="宋体" w:cs="Times New Roman"/>
                      <w:sz w:val="21"/>
                      <w:szCs w:val="21"/>
                    </w:rPr>
                    <w:t>5、清洗过程：</w:t>
                  </w:r>
                  <w:r>
                    <w:rPr>
                      <w:rFonts w:hint="eastAsia" w:cs="Times New Roman"/>
                      <w:sz w:val="21"/>
                      <w:szCs w:val="21"/>
                      <w:lang w:eastAsia="zh-CN"/>
                    </w:rPr>
                    <w:t>本项目</w:t>
                  </w:r>
                  <w:r>
                    <w:rPr>
                      <w:rFonts w:hint="eastAsia" w:cs="Times New Roman"/>
                      <w:sz w:val="21"/>
                      <w:szCs w:val="21"/>
                      <w:lang w:val="en-US" w:eastAsia="zh-CN"/>
                    </w:rPr>
                    <w:t>使用抹布蘸水擦洗印刷机，废抹布储存于密闭容器内作为危废处理；</w:t>
                  </w:r>
                </w:p>
                <w:p w14:paraId="356605C8">
                  <w:pPr>
                    <w:keepNext w:val="0"/>
                    <w:keepLines w:val="0"/>
                    <w:suppressLineNumbers w:val="0"/>
                    <w:spacing w:before="0" w:beforeAutospacing="0" w:after="0" w:afterAutospacing="0"/>
                    <w:ind w:left="0" w:right="0"/>
                    <w:jc w:val="both"/>
                    <w:rPr>
                      <w:rFonts w:hint="eastAsia" w:ascii="Times New Roman" w:hAnsi="Times New Roman" w:eastAsia="宋体" w:cs="Times New Roman"/>
                      <w:sz w:val="21"/>
                      <w:szCs w:val="21"/>
                      <w:lang w:val="en-US" w:eastAsia="zh-CN" w:bidi="ar"/>
                    </w:rPr>
                  </w:pPr>
                  <w:r>
                    <w:rPr>
                      <w:rFonts w:hint="eastAsia" w:cs="Times New Roman"/>
                      <w:sz w:val="21"/>
                      <w:szCs w:val="21"/>
                      <w:lang w:val="en-US" w:eastAsia="zh-CN" w:bidi="ar"/>
                    </w:rPr>
                    <w:t>6、复合过程：本项目不涉及复合过程。</w:t>
                  </w:r>
                </w:p>
                <w:p w14:paraId="1BE7A298">
                  <w:pPr>
                    <w:keepNext w:val="0"/>
                    <w:keepLines w:val="0"/>
                    <w:suppressLineNumbers w:val="0"/>
                    <w:spacing w:before="0" w:beforeAutospacing="0" w:after="0" w:afterAutospacing="0"/>
                    <w:ind w:left="0" w:right="0"/>
                    <w:jc w:val="both"/>
                    <w:rPr>
                      <w:rFonts w:hint="eastAsia" w:ascii="Times New Roman" w:hAnsi="Times New Roman" w:eastAsia="宋体" w:cs="Times New Roman"/>
                      <w:sz w:val="21"/>
                      <w:szCs w:val="21"/>
                      <w:lang w:eastAsia="zh-CN"/>
                    </w:rPr>
                  </w:pPr>
                  <w:r>
                    <w:rPr>
                      <w:rFonts w:hint="eastAsia" w:cs="Times New Roman"/>
                      <w:sz w:val="21"/>
                      <w:szCs w:val="21"/>
                      <w:lang w:val="en-US" w:eastAsia="zh-CN"/>
                    </w:rPr>
                    <w:t>7</w:t>
                  </w:r>
                  <w:r>
                    <w:rPr>
                      <w:rFonts w:hint="default" w:ascii="Times New Roman" w:hAnsi="Times New Roman" w:eastAsia="宋体" w:cs="Times New Roman"/>
                      <w:sz w:val="21"/>
                      <w:szCs w:val="21"/>
                    </w:rPr>
                    <w:t>、存储过程：项目VOCs物料为油墨，为密闭桶装，存储于无阳光直射的密闭原料库。废包装桶、废活性炭等含VOCs的废物分类放置于贴有标识的容器内，加盖密封，存放于危险废物暂存间</w:t>
                  </w:r>
                  <w:r>
                    <w:rPr>
                      <w:rFonts w:hint="eastAsia" w:cs="Times New Roman"/>
                      <w:sz w:val="21"/>
                      <w:szCs w:val="21"/>
                      <w:lang w:eastAsia="zh-CN"/>
                    </w:rPr>
                    <w:t>。</w:t>
                  </w:r>
                </w:p>
              </w:tc>
              <w:tc>
                <w:tcPr>
                  <w:tcW w:w="639" w:type="pct"/>
                  <w:noWrap w:val="0"/>
                  <w:vAlign w:val="center"/>
                </w:tcPr>
                <w:p w14:paraId="776B24B8">
                  <w:pPr>
                    <w:keepNext w:val="0"/>
                    <w:keepLines w:val="0"/>
                    <w:suppressLineNumbers w:val="0"/>
                    <w:adjustRightInd w:val="0"/>
                    <w:snapToGrid w:val="0"/>
                    <w:spacing w:before="0" w:beforeAutospacing="0" w:after="0" w:afterAutospacing="0"/>
                    <w:ind w:left="0" w:right="0"/>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按要求建设，满足</w:t>
                  </w:r>
                  <w:r>
                    <w:rPr>
                      <w:rFonts w:hint="eastAsia" w:cs="Times New Roman"/>
                      <w:sz w:val="21"/>
                      <w:szCs w:val="21"/>
                      <w:lang w:val="en-US" w:eastAsia="zh-CN"/>
                    </w:rPr>
                    <w:t>A</w:t>
                  </w:r>
                  <w:r>
                    <w:rPr>
                      <w:rFonts w:hint="default" w:ascii="Times New Roman" w:hAnsi="Times New Roman" w:eastAsia="宋体" w:cs="Times New Roman"/>
                      <w:sz w:val="21"/>
                      <w:szCs w:val="21"/>
                    </w:rPr>
                    <w:t>级企业指标</w:t>
                  </w:r>
                </w:p>
              </w:tc>
            </w:tr>
            <w:tr w14:paraId="6C99DA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3" w:type="pct"/>
                  <w:noWrap w:val="0"/>
                  <w:vAlign w:val="center"/>
                </w:tcPr>
                <w:p w14:paraId="79F91983">
                  <w:pPr>
                    <w:keepNext w:val="0"/>
                    <w:keepLines w:val="0"/>
                    <w:suppressLineNumbers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污染治理技术</w:t>
                  </w:r>
                </w:p>
              </w:tc>
              <w:tc>
                <w:tcPr>
                  <w:tcW w:w="2162" w:type="pct"/>
                  <w:noWrap w:val="0"/>
                  <w:vAlign w:val="center"/>
                </w:tcPr>
                <w:p w14:paraId="59140657">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1、使用溶剂型原辅材料时，调墨、供墨、涂布（上光）、印刷、覆膜、复合、清洗等工序含VOCs废气采用燃烧、吸附+燃烧、吸附+冷凝回收等治理技术，处理效率≥</w:t>
                  </w:r>
                  <w:r>
                    <w:rPr>
                      <w:rFonts w:hint="eastAsia" w:cs="Times New Roman"/>
                      <w:sz w:val="21"/>
                      <w:szCs w:val="21"/>
                      <w:lang w:val="en-US" w:eastAsia="zh-CN"/>
                    </w:rPr>
                    <w:t>90</w:t>
                  </w:r>
                  <w:r>
                    <w:rPr>
                      <w:rFonts w:hint="default" w:ascii="Times New Roman" w:hAnsi="Times New Roman" w:eastAsia="宋体" w:cs="Times New Roman"/>
                      <w:sz w:val="21"/>
                      <w:szCs w:val="21"/>
                    </w:rPr>
                    <w:t>%；</w:t>
                  </w:r>
                </w:p>
                <w:p w14:paraId="5A01897B">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sz w:val="21"/>
                      <w:szCs w:val="21"/>
                    </w:rPr>
                    <w:t>2、采用平版印刷工艺或使用非溶剂型原辅材料时，当车间或生产设施排气中NMHC初始排放速率≥2 kg/h时，建设末端治污设施，处理效率≥80%</w:t>
                  </w:r>
                </w:p>
              </w:tc>
              <w:tc>
                <w:tcPr>
                  <w:tcW w:w="1924" w:type="pct"/>
                  <w:noWrap w:val="0"/>
                  <w:vAlign w:val="center"/>
                </w:tcPr>
                <w:p w14:paraId="09479C14">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1、本项目油墨输送、印刷等工序含VOCs废气采用</w:t>
                  </w:r>
                  <w:r>
                    <w:rPr>
                      <w:rFonts w:hint="eastAsia" w:cs="Times New Roman"/>
                      <w:sz w:val="21"/>
                      <w:szCs w:val="21"/>
                      <w:lang w:val="en-US" w:eastAsia="zh-CN"/>
                    </w:rPr>
                    <w:t>活性炭吸附脱附+催化燃烧装置</w:t>
                  </w:r>
                  <w:r>
                    <w:rPr>
                      <w:rFonts w:hint="default" w:ascii="Times New Roman" w:hAnsi="Times New Roman" w:eastAsia="宋体" w:cs="Times New Roman"/>
                      <w:sz w:val="21"/>
                      <w:szCs w:val="21"/>
                    </w:rPr>
                    <w:t>进行处理；</w:t>
                  </w:r>
                </w:p>
                <w:p w14:paraId="36BD862C">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2、本项目生产设施排气中NMHC初始排放速率</w:t>
                  </w:r>
                  <w:r>
                    <w:rPr>
                      <w:rFonts w:hint="default" w:ascii="Times New Roman" w:hAnsi="Times New Roman" w:eastAsia="宋体" w:cs="Times New Roman"/>
                      <w:sz w:val="21"/>
                      <w:szCs w:val="21"/>
                      <w:highlight w:val="none"/>
                    </w:rPr>
                    <w:t>为</w:t>
                  </w:r>
                  <w:r>
                    <w:rPr>
                      <w:rFonts w:hint="eastAsia" w:cs="Times New Roman"/>
                      <w:sz w:val="21"/>
                      <w:szCs w:val="21"/>
                      <w:highlight w:val="none"/>
                      <w:lang w:val="en-US" w:eastAsia="zh-CN"/>
                    </w:rPr>
                    <w:t>0.4945</w:t>
                  </w:r>
                  <w:r>
                    <w:rPr>
                      <w:rFonts w:hint="default" w:ascii="Times New Roman" w:hAnsi="Times New Roman" w:eastAsia="宋体" w:cs="Times New Roman"/>
                      <w:sz w:val="21"/>
                      <w:szCs w:val="21"/>
                      <w:highlight w:val="none"/>
                    </w:rPr>
                    <w:t>kg/h，</w:t>
                  </w:r>
                  <w:r>
                    <w:rPr>
                      <w:rFonts w:hint="default" w:ascii="Times New Roman" w:hAnsi="Times New Roman" w:eastAsia="宋体" w:cs="Times New Roman"/>
                      <w:sz w:val="21"/>
                      <w:szCs w:val="21"/>
                    </w:rPr>
                    <w:t>建设末端治理</w:t>
                  </w:r>
                  <w:r>
                    <w:rPr>
                      <w:rFonts w:hint="eastAsia" w:cs="Times New Roman"/>
                      <w:sz w:val="21"/>
                      <w:szCs w:val="21"/>
                      <w:lang w:val="en-US" w:eastAsia="zh-CN"/>
                    </w:rPr>
                    <w:t>设施</w:t>
                  </w:r>
                  <w:r>
                    <w:rPr>
                      <w:rFonts w:hint="default" w:ascii="Times New Roman" w:hAnsi="Times New Roman" w:eastAsia="宋体" w:cs="Times New Roman"/>
                      <w:sz w:val="21"/>
                      <w:szCs w:val="21"/>
                    </w:rPr>
                    <w:t>处理效率为</w:t>
                  </w:r>
                  <w:r>
                    <w:rPr>
                      <w:rFonts w:hint="eastAsia" w:cs="Times New Roman"/>
                      <w:sz w:val="21"/>
                      <w:szCs w:val="21"/>
                      <w:lang w:val="en-US" w:eastAsia="zh-CN"/>
                    </w:rPr>
                    <w:t>95</w:t>
                  </w:r>
                  <w:r>
                    <w:rPr>
                      <w:rFonts w:hint="default" w:ascii="Times New Roman" w:hAnsi="Times New Roman" w:eastAsia="宋体" w:cs="Times New Roman"/>
                      <w:sz w:val="21"/>
                      <w:szCs w:val="21"/>
                    </w:rPr>
                    <w:t>%。</w:t>
                  </w:r>
                </w:p>
              </w:tc>
              <w:tc>
                <w:tcPr>
                  <w:tcW w:w="639" w:type="pct"/>
                  <w:noWrap w:val="0"/>
                  <w:vAlign w:val="center"/>
                </w:tcPr>
                <w:p w14:paraId="32E26555">
                  <w:pPr>
                    <w:keepNext w:val="0"/>
                    <w:keepLines w:val="0"/>
                    <w:suppressLineNumbers w:val="0"/>
                    <w:adjustRightInd w:val="0"/>
                    <w:snapToGrid w:val="0"/>
                    <w:spacing w:before="0" w:beforeAutospacing="0" w:after="0" w:afterAutospacing="0"/>
                    <w:ind w:left="0" w:right="0"/>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按要求建设，满足</w:t>
                  </w:r>
                  <w:r>
                    <w:rPr>
                      <w:rFonts w:hint="eastAsia" w:cs="Times New Roman"/>
                      <w:sz w:val="21"/>
                      <w:szCs w:val="21"/>
                      <w:lang w:val="en-US" w:eastAsia="zh-CN"/>
                    </w:rPr>
                    <w:t>A</w:t>
                  </w:r>
                  <w:r>
                    <w:rPr>
                      <w:rFonts w:hint="default" w:ascii="Times New Roman" w:hAnsi="Times New Roman" w:eastAsia="宋体" w:cs="Times New Roman"/>
                      <w:sz w:val="21"/>
                      <w:szCs w:val="21"/>
                    </w:rPr>
                    <w:t>级企业指标</w:t>
                  </w:r>
                </w:p>
              </w:tc>
            </w:tr>
            <w:tr w14:paraId="4D573E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3" w:type="pct"/>
                  <w:noWrap w:val="0"/>
                  <w:vAlign w:val="center"/>
                </w:tcPr>
                <w:p w14:paraId="7261C0C4">
                  <w:pPr>
                    <w:keepNext w:val="0"/>
                    <w:keepLines w:val="0"/>
                    <w:suppressLineNumbers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排放限值</w:t>
                  </w:r>
                </w:p>
              </w:tc>
              <w:tc>
                <w:tcPr>
                  <w:tcW w:w="2162" w:type="pct"/>
                  <w:noWrap w:val="0"/>
                  <w:vAlign w:val="center"/>
                </w:tcPr>
                <w:p w14:paraId="7AB16D0F">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1、在连续一年的监测数据中，车间或生产设施排气筒排放的NMHC为</w:t>
                  </w:r>
                  <w:r>
                    <w:rPr>
                      <w:rFonts w:hint="eastAsia" w:cs="Times New Roman"/>
                      <w:sz w:val="21"/>
                      <w:szCs w:val="21"/>
                      <w:lang w:val="en-US" w:eastAsia="zh-CN"/>
                    </w:rPr>
                    <w:t>20</w:t>
                  </w:r>
                  <w:r>
                    <w:rPr>
                      <w:rFonts w:hint="default" w:ascii="Times New Roman" w:hAnsi="Times New Roman" w:eastAsia="宋体" w:cs="Times New Roman"/>
                      <w:sz w:val="21"/>
                      <w:szCs w:val="21"/>
                    </w:rPr>
                    <w:t>-</w:t>
                  </w:r>
                  <w:r>
                    <w:rPr>
                      <w:rFonts w:hint="eastAsia" w:cs="Times New Roman"/>
                      <w:sz w:val="21"/>
                      <w:szCs w:val="21"/>
                      <w:lang w:val="en-US" w:eastAsia="zh-CN"/>
                    </w:rPr>
                    <w:t>3</w:t>
                  </w:r>
                  <w:r>
                    <w:rPr>
                      <w:rFonts w:hint="default" w:ascii="Times New Roman" w:hAnsi="Times New Roman" w:eastAsia="宋体" w:cs="Times New Roman"/>
                      <w:sz w:val="21"/>
                      <w:szCs w:val="21"/>
                    </w:rPr>
                    <w:t>0 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、TVOC为</w:t>
                  </w:r>
                  <w:r>
                    <w:rPr>
                      <w:rFonts w:hint="eastAsia" w:cs="Times New Roman"/>
                      <w:sz w:val="21"/>
                      <w:szCs w:val="21"/>
                      <w:lang w:val="en-US" w:eastAsia="zh-CN"/>
                    </w:rPr>
                    <w:t>40</w:t>
                  </w:r>
                  <w:r>
                    <w:rPr>
                      <w:rFonts w:hint="default" w:ascii="Times New Roman" w:hAnsi="Times New Roman" w:eastAsia="宋体" w:cs="Times New Roman"/>
                      <w:sz w:val="21"/>
                      <w:szCs w:val="21"/>
                    </w:rPr>
                    <w:t>-</w:t>
                  </w:r>
                  <w:r>
                    <w:rPr>
                      <w:rFonts w:hint="eastAsia" w:cs="Times New Roman"/>
                      <w:sz w:val="21"/>
                      <w:szCs w:val="21"/>
                      <w:lang w:val="en-US" w:eastAsia="zh-CN"/>
                    </w:rPr>
                    <w:t>50</w:t>
                  </w:r>
                  <w:r>
                    <w:rPr>
                      <w:rFonts w:hint="default" w:ascii="Times New Roman" w:hAnsi="Times New Roman" w:eastAsia="宋体" w:cs="Times New Roman"/>
                      <w:sz w:val="21"/>
                      <w:szCs w:val="21"/>
                    </w:rPr>
                    <w:t xml:space="preserve"> 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w:t>
                  </w:r>
                </w:p>
                <w:p w14:paraId="185022EC">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2、厂区内无组织排放监控点NMHC的1h平均浓度值不高于6 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、任意一次浓度值不高于20 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w:t>
                  </w:r>
                </w:p>
                <w:p w14:paraId="5A75EE25">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sz w:val="21"/>
                      <w:szCs w:val="21"/>
                    </w:rPr>
                    <w:t>3、其他各项污染物稳定达到现行排放控制要求，并从严地方要求</w:t>
                  </w:r>
                </w:p>
              </w:tc>
              <w:tc>
                <w:tcPr>
                  <w:tcW w:w="1924" w:type="pct"/>
                  <w:noWrap w:val="0"/>
                  <w:vAlign w:val="center"/>
                </w:tcPr>
                <w:p w14:paraId="4F6EE61F">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1.本项目</w:t>
                  </w:r>
                  <w:r>
                    <w:rPr>
                      <w:rFonts w:hint="eastAsia" w:cs="Times New Roman"/>
                      <w:sz w:val="21"/>
                      <w:szCs w:val="21"/>
                      <w:lang w:eastAsia="zh-CN"/>
                    </w:rPr>
                    <w:t>建</w:t>
                  </w:r>
                  <w:r>
                    <w:rPr>
                      <w:rFonts w:hint="eastAsia" w:cs="Times New Roman"/>
                      <w:sz w:val="21"/>
                      <w:szCs w:val="21"/>
                      <w:highlight w:val="none"/>
                      <w:lang w:eastAsia="zh-CN"/>
                    </w:rPr>
                    <w:t>成后，</w:t>
                  </w:r>
                  <w:r>
                    <w:rPr>
                      <w:rFonts w:hint="default" w:ascii="Times New Roman" w:hAnsi="Times New Roman" w:eastAsia="宋体" w:cs="Times New Roman"/>
                      <w:sz w:val="21"/>
                      <w:szCs w:val="21"/>
                      <w:highlight w:val="none"/>
                    </w:rPr>
                    <w:t>全厂有组织VOCs排放浓度</w:t>
                  </w:r>
                  <w:r>
                    <w:rPr>
                      <w:rFonts w:hint="default" w:ascii="Times New Roman" w:hAnsi="Times New Roman" w:eastAsia="宋体" w:cs="Times New Roman"/>
                      <w:color w:val="000000" w:themeColor="text1"/>
                      <w:sz w:val="21"/>
                      <w:szCs w:val="21"/>
                      <w:highlight w:val="none"/>
                      <w14:textFill>
                        <w14:solidFill>
                          <w14:schemeClr w14:val="tx1"/>
                        </w14:solidFill>
                      </w14:textFill>
                    </w:rPr>
                    <w:t>为</w:t>
                  </w:r>
                  <w:r>
                    <w:rPr>
                      <w:rFonts w:hint="eastAsia" w:cs="Times New Roman"/>
                      <w:color w:val="000000" w:themeColor="text1"/>
                      <w:sz w:val="21"/>
                      <w:szCs w:val="21"/>
                      <w:highlight w:val="none"/>
                      <w:lang w:val="en-US" w:eastAsia="zh-CN"/>
                      <w14:textFill>
                        <w14:solidFill>
                          <w14:schemeClr w14:val="tx1"/>
                        </w14:solidFill>
                      </w14:textFill>
                    </w:rPr>
                    <w:t>2.55</w:t>
                  </w:r>
                  <w:r>
                    <w:rPr>
                      <w:rFonts w:hint="default" w:ascii="Times New Roman" w:hAnsi="Times New Roman" w:eastAsia="宋体" w:cs="Times New Roman"/>
                      <w:sz w:val="21"/>
                      <w:szCs w:val="21"/>
                      <w:highlight w:val="none"/>
                    </w:rPr>
                    <w:t>mg/m</w:t>
                  </w:r>
                  <w:r>
                    <w:rPr>
                      <w:rFonts w:hint="default" w:ascii="Times New Roman" w:hAnsi="Times New Roman" w:eastAsia="宋体" w:cs="Times New Roman"/>
                      <w:sz w:val="21"/>
                      <w:szCs w:val="21"/>
                      <w:highlight w:val="none"/>
                      <w:vertAlign w:val="superscript"/>
                    </w:rPr>
                    <w:t>3</w:t>
                  </w:r>
                  <w:r>
                    <w:rPr>
                      <w:rFonts w:hint="default" w:ascii="Times New Roman" w:hAnsi="Times New Roman" w:eastAsia="宋体" w:cs="Times New Roman"/>
                      <w:sz w:val="21"/>
                      <w:szCs w:val="21"/>
                      <w:highlight w:val="none"/>
                    </w:rPr>
                    <w:t>，</w:t>
                  </w:r>
                  <w:r>
                    <w:rPr>
                      <w:rFonts w:hint="default" w:ascii="Times New Roman" w:hAnsi="Times New Roman" w:eastAsia="宋体" w:cs="Times New Roman"/>
                      <w:sz w:val="21"/>
                      <w:szCs w:val="21"/>
                    </w:rPr>
                    <w:t>能够满足NMHC有组织排放浓度为20-30 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的要求；</w:t>
                  </w:r>
                </w:p>
                <w:p w14:paraId="3F98D6A3">
                  <w:pPr>
                    <w:keepNext w:val="0"/>
                    <w:keepLines w:val="0"/>
                    <w:suppressLineNumbers w:val="0"/>
                    <w:adjustRightInd w:val="0"/>
                    <w:snapToGrid w:val="0"/>
                    <w:spacing w:before="0" w:beforeAutospacing="0" w:after="0" w:afterAutospacing="0"/>
                    <w:ind w:left="0" w:right="0"/>
                    <w:jc w:val="both"/>
                    <w:rPr>
                      <w:rFonts w:hint="eastAsia" w:cs="Times New Roman"/>
                      <w:sz w:val="21"/>
                      <w:szCs w:val="21"/>
                      <w:vertAlign w:val="baseline"/>
                      <w:lang w:eastAsia="zh-CN"/>
                    </w:rPr>
                  </w:pPr>
                  <w:r>
                    <w:rPr>
                      <w:rFonts w:hint="default" w:ascii="Times New Roman" w:hAnsi="Times New Roman" w:eastAsia="宋体" w:cs="Times New Roman"/>
                      <w:sz w:val="21"/>
                      <w:szCs w:val="21"/>
                    </w:rPr>
                    <w:t>2.厂区内无组织排放监控点NMHC的1h平均浓度值不高于6 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、任意一次浓度值不高于20 mg/m</w:t>
                  </w:r>
                  <w:r>
                    <w:rPr>
                      <w:rFonts w:hint="default" w:ascii="Times New Roman" w:hAnsi="Times New Roman" w:eastAsia="宋体" w:cs="Times New Roman"/>
                      <w:sz w:val="21"/>
                      <w:szCs w:val="21"/>
                      <w:vertAlign w:val="superscript"/>
                    </w:rPr>
                    <w:t>3</w:t>
                  </w:r>
                  <w:r>
                    <w:rPr>
                      <w:rFonts w:hint="eastAsia" w:cs="Times New Roman"/>
                      <w:sz w:val="21"/>
                      <w:szCs w:val="21"/>
                      <w:vertAlign w:val="baseline"/>
                      <w:lang w:eastAsia="zh-CN"/>
                    </w:rPr>
                    <w:t>；</w:t>
                  </w:r>
                </w:p>
                <w:p w14:paraId="165A0767">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0"/>
                    <w:jc w:val="both"/>
                    <w:textAlignment w:val="auto"/>
                    <w:rPr>
                      <w:rFonts w:hint="default"/>
                      <w:lang w:val="en-US" w:eastAsia="zh-CN"/>
                    </w:rPr>
                  </w:pPr>
                  <w:r>
                    <w:rPr>
                      <w:rFonts w:hint="eastAsia" w:cs="Times New Roman"/>
                      <w:sz w:val="21"/>
                      <w:szCs w:val="21"/>
                      <w:vertAlign w:val="baseline"/>
                      <w:lang w:val="en-US" w:eastAsia="zh-CN"/>
                    </w:rPr>
                    <w:t>3、本项目不涉及其他废气污染物。</w:t>
                  </w:r>
                </w:p>
              </w:tc>
              <w:tc>
                <w:tcPr>
                  <w:tcW w:w="639" w:type="pct"/>
                  <w:noWrap w:val="0"/>
                  <w:vAlign w:val="center"/>
                </w:tcPr>
                <w:p w14:paraId="0F5BFA6D">
                  <w:pPr>
                    <w:keepNext w:val="0"/>
                    <w:keepLines w:val="0"/>
                    <w:suppressLineNumbers w:val="0"/>
                    <w:adjustRightInd w:val="0"/>
                    <w:snapToGrid w:val="0"/>
                    <w:spacing w:before="0" w:beforeAutospacing="0" w:after="0" w:afterAutospacing="0"/>
                    <w:ind w:left="0" w:right="0"/>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按要求建设，满足</w:t>
                  </w:r>
                  <w:r>
                    <w:rPr>
                      <w:rFonts w:hint="eastAsia" w:cs="Times New Roman"/>
                      <w:sz w:val="21"/>
                      <w:szCs w:val="21"/>
                      <w:lang w:val="en-US" w:eastAsia="zh-CN"/>
                    </w:rPr>
                    <w:t>A</w:t>
                  </w:r>
                  <w:r>
                    <w:rPr>
                      <w:rFonts w:hint="default" w:ascii="Times New Roman" w:hAnsi="Times New Roman" w:eastAsia="宋体" w:cs="Times New Roman"/>
                      <w:sz w:val="21"/>
                      <w:szCs w:val="21"/>
                    </w:rPr>
                    <w:t>级企业指标</w:t>
                  </w:r>
                </w:p>
              </w:tc>
            </w:tr>
            <w:tr w14:paraId="6F3A71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3" w:type="pct"/>
                  <w:noWrap w:val="0"/>
                  <w:vAlign w:val="center"/>
                </w:tcPr>
                <w:p w14:paraId="551F96A6">
                  <w:pPr>
                    <w:keepNext w:val="0"/>
                    <w:keepLines w:val="0"/>
                    <w:suppressLineNumbers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监测监控水平</w:t>
                  </w:r>
                </w:p>
              </w:tc>
              <w:tc>
                <w:tcPr>
                  <w:tcW w:w="2162" w:type="pct"/>
                  <w:noWrap w:val="0"/>
                  <w:vAlign w:val="center"/>
                </w:tcPr>
                <w:p w14:paraId="48F3535A">
                  <w:pPr>
                    <w:keepNext w:val="0"/>
                    <w:keepLines w:val="0"/>
                    <w:suppressLineNumbers w:val="0"/>
                    <w:tabs>
                      <w:tab w:val="center" w:pos="4153"/>
                      <w:tab w:val="right" w:pos="8306"/>
                    </w:tabs>
                    <w:snapToGrid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1、严格执行《排污许可证申请与核发技术规范 印刷工业》（HJ 1066-2019）规定的自行监测管理要求；</w:t>
                  </w:r>
                </w:p>
                <w:p w14:paraId="627C2246">
                  <w:pPr>
                    <w:keepNext w:val="0"/>
                    <w:keepLines w:val="0"/>
                    <w:suppressLineNumbers w:val="0"/>
                    <w:tabs>
                      <w:tab w:val="center" w:pos="4153"/>
                      <w:tab w:val="right" w:pos="8306"/>
                    </w:tabs>
                    <w:snapToGrid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2、重点排污企业风量大于10000 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/h的主要排放口</w:t>
                  </w:r>
                  <w:r>
                    <w:rPr>
                      <w:rFonts w:hint="default" w:ascii="Times New Roman" w:hAnsi="Times New Roman" w:eastAsia="宋体" w:cs="Times New Roman"/>
                      <w:color w:val="000000"/>
                      <w:sz w:val="21"/>
                      <w:szCs w:val="21"/>
                    </w:rPr>
                    <w:t>安装NMHC在线监测设施（FID检测器）</w:t>
                  </w:r>
                  <w:r>
                    <w:rPr>
                      <w:rFonts w:hint="default" w:ascii="Times New Roman" w:hAnsi="Times New Roman" w:eastAsia="宋体" w:cs="Times New Roman"/>
                      <w:sz w:val="21"/>
                      <w:szCs w:val="21"/>
                    </w:rPr>
                    <w:t>，自动监控数据保存一年以上；</w:t>
                  </w:r>
                </w:p>
                <w:p w14:paraId="4401405D">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sz w:val="21"/>
                      <w:szCs w:val="21"/>
                    </w:rPr>
                    <w:t>3、安装DCS系统</w:t>
                  </w:r>
                  <w:r>
                    <w:rPr>
                      <w:rFonts w:hint="eastAsia" w:cs="Times New Roman"/>
                      <w:sz w:val="21"/>
                      <w:szCs w:val="21"/>
                      <w:lang w:val="en-US" w:eastAsia="zh-CN"/>
                    </w:rPr>
                    <w:t>、</w:t>
                  </w:r>
                  <w:r>
                    <w:rPr>
                      <w:rFonts w:hint="default" w:ascii="Times New Roman" w:hAnsi="Times New Roman" w:eastAsia="宋体" w:cs="Times New Roman"/>
                      <w:sz w:val="21"/>
                      <w:szCs w:val="21"/>
                    </w:rPr>
                    <w:t>仪器仪表等装置，</w:t>
                  </w:r>
                  <w:r>
                    <w:rPr>
                      <w:rFonts w:hint="eastAsia" w:cs="Times New Roman"/>
                      <w:sz w:val="21"/>
                      <w:szCs w:val="21"/>
                      <w:lang w:eastAsia="zh-CN"/>
                    </w:rPr>
                    <w:t>连续测量并记录治理设施控制指标温度、压力（压差）、时间和频率值。再生式活性炭连续自动测量并记录温度、再生时间和更换周期；更换式活性炭记录温度、更换周期及更换量；</w:t>
                  </w:r>
                  <w:r>
                    <w:rPr>
                      <w:rFonts w:hint="default" w:ascii="Times New Roman" w:hAnsi="Times New Roman" w:eastAsia="宋体" w:cs="Times New Roman"/>
                      <w:sz w:val="21"/>
                      <w:szCs w:val="21"/>
                    </w:rPr>
                    <w:t>数据保存一年以上。</w:t>
                  </w:r>
                </w:p>
              </w:tc>
              <w:tc>
                <w:tcPr>
                  <w:tcW w:w="1924" w:type="pct"/>
                  <w:noWrap w:val="0"/>
                  <w:vAlign w:val="center"/>
                </w:tcPr>
                <w:p w14:paraId="56C194D0">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1、严格执行《排污单位自行监测技术指南 印刷工业》（HJ1246—2022）规定的自行监测管理要求，按时进行监测；</w:t>
                  </w:r>
                </w:p>
                <w:p w14:paraId="7B373E65">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2、我单位不属于重点排污单位，按《排污单位自行监测技术指南 印刷工业》（HJ 1246－2022），进行自行监测；</w:t>
                  </w:r>
                </w:p>
                <w:p w14:paraId="0FD63A80">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3、安装DCS系统、PLC系统装置，记录治理设施主要参数，数据保存一年以上。</w:t>
                  </w:r>
                </w:p>
              </w:tc>
              <w:tc>
                <w:tcPr>
                  <w:tcW w:w="639" w:type="pct"/>
                  <w:noWrap w:val="0"/>
                  <w:vAlign w:val="center"/>
                </w:tcPr>
                <w:p w14:paraId="285C7135">
                  <w:pPr>
                    <w:keepNext w:val="0"/>
                    <w:keepLines w:val="0"/>
                    <w:suppressLineNumbers w:val="0"/>
                    <w:adjustRightInd w:val="0"/>
                    <w:snapToGrid w:val="0"/>
                    <w:spacing w:before="0" w:beforeAutospacing="0" w:after="0" w:afterAutospacing="0"/>
                    <w:ind w:left="0" w:right="0"/>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按要求建设，满足</w:t>
                  </w:r>
                  <w:r>
                    <w:rPr>
                      <w:rFonts w:hint="eastAsia" w:cs="Times New Roman"/>
                      <w:sz w:val="21"/>
                      <w:szCs w:val="21"/>
                      <w:lang w:val="en-US" w:eastAsia="zh-CN"/>
                    </w:rPr>
                    <w:t>A</w:t>
                  </w:r>
                  <w:r>
                    <w:rPr>
                      <w:rFonts w:hint="default" w:ascii="Times New Roman" w:hAnsi="Times New Roman" w:eastAsia="宋体" w:cs="Times New Roman"/>
                      <w:sz w:val="21"/>
                      <w:szCs w:val="21"/>
                    </w:rPr>
                    <w:t>级企业指标</w:t>
                  </w:r>
                </w:p>
              </w:tc>
            </w:tr>
            <w:tr w14:paraId="2B1079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3" w:type="pct"/>
                  <w:vMerge w:val="restart"/>
                  <w:noWrap w:val="0"/>
                  <w:vAlign w:val="center"/>
                </w:tcPr>
                <w:p w14:paraId="379C4973">
                  <w:pPr>
                    <w:keepNext w:val="0"/>
                    <w:keepLines w:val="0"/>
                    <w:suppressLineNumbers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环境管理水平</w:t>
                  </w:r>
                </w:p>
              </w:tc>
              <w:tc>
                <w:tcPr>
                  <w:tcW w:w="2162" w:type="pct"/>
                  <w:noWrap w:val="0"/>
                  <w:vAlign w:val="center"/>
                </w:tcPr>
                <w:p w14:paraId="58922359">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环保档案齐全：1、环评批复文件；2、排污许可证及季度、年度执行报告；3、竣工验收文件；4、废气治理设施运行管理规程；5、一年内废气监测报告。</w:t>
                  </w:r>
                </w:p>
              </w:tc>
              <w:tc>
                <w:tcPr>
                  <w:tcW w:w="1924" w:type="pct"/>
                  <w:noWrap w:val="0"/>
                  <w:vAlign w:val="center"/>
                </w:tcPr>
                <w:p w14:paraId="1AB159CC">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1.项目环评批复文件要求存档备查；</w:t>
                  </w:r>
                </w:p>
                <w:p w14:paraId="1D373F0E">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2.建成后将按照要求申报排污许可证；</w:t>
                  </w:r>
                </w:p>
                <w:p w14:paraId="0139A0D2">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3.建立环境管理制度；</w:t>
                  </w:r>
                </w:p>
                <w:p w14:paraId="4B31816C">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4.制定废气治理设施运行管理规程；</w:t>
                  </w:r>
                </w:p>
                <w:p w14:paraId="37872C6F">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5.对5年内废气监测报告存档备查。</w:t>
                  </w:r>
                </w:p>
              </w:tc>
              <w:tc>
                <w:tcPr>
                  <w:tcW w:w="639" w:type="pct"/>
                  <w:noWrap w:val="0"/>
                  <w:vAlign w:val="center"/>
                </w:tcPr>
                <w:p w14:paraId="6D047A23">
                  <w:pPr>
                    <w:keepNext w:val="0"/>
                    <w:keepLines w:val="0"/>
                    <w:suppressLineNumbers w:val="0"/>
                    <w:adjustRightInd w:val="0"/>
                    <w:snapToGrid w:val="0"/>
                    <w:spacing w:before="0" w:beforeAutospacing="0" w:after="0" w:afterAutospacing="0"/>
                    <w:ind w:left="0" w:right="0"/>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按要求建设，满足</w:t>
                  </w:r>
                  <w:r>
                    <w:rPr>
                      <w:rFonts w:hint="eastAsia" w:cs="Times New Roman"/>
                      <w:sz w:val="21"/>
                      <w:szCs w:val="21"/>
                      <w:lang w:val="en-US" w:eastAsia="zh-CN"/>
                    </w:rPr>
                    <w:t>A</w:t>
                  </w:r>
                  <w:r>
                    <w:rPr>
                      <w:rFonts w:hint="default" w:ascii="Times New Roman" w:hAnsi="Times New Roman" w:eastAsia="宋体" w:cs="Times New Roman"/>
                      <w:sz w:val="21"/>
                      <w:szCs w:val="21"/>
                    </w:rPr>
                    <w:t>级企业指标</w:t>
                  </w:r>
                </w:p>
              </w:tc>
            </w:tr>
            <w:tr w14:paraId="0F7209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3" w:type="pct"/>
                  <w:vMerge w:val="continue"/>
                  <w:noWrap w:val="0"/>
                  <w:vAlign w:val="center"/>
                </w:tcPr>
                <w:p w14:paraId="2B7C511A">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eastAsia="宋体" w:cs="Times New Roman"/>
                      <w:sz w:val="21"/>
                      <w:szCs w:val="21"/>
                    </w:rPr>
                  </w:pPr>
                </w:p>
              </w:tc>
              <w:tc>
                <w:tcPr>
                  <w:tcW w:w="2162" w:type="pct"/>
                  <w:noWrap w:val="0"/>
                  <w:vAlign w:val="center"/>
                </w:tcPr>
                <w:p w14:paraId="21996055">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台账记录：1、生产设施运行管理信息（生产时间、运行负荷、产品产量等，必须具备近一年及以上所用油墨的固含量、VOCs含量、含水率（水性油墨）等信息的检测报告）；2、废气污染治理设施运行管理信息（燃烧室温度、冷凝温度、过滤材料更换频次、吸附剂更换频次、催化剂更换频次）；3、监测记录信息（主要污染排放口废气排放记录（手工监测和在线监测）等）；4、主要原辅材料消耗记录；5、燃料（天然气）消耗记录。</w:t>
                  </w:r>
                </w:p>
              </w:tc>
              <w:tc>
                <w:tcPr>
                  <w:tcW w:w="1924" w:type="pct"/>
                  <w:noWrap w:val="0"/>
                  <w:vAlign w:val="center"/>
                </w:tcPr>
                <w:p w14:paraId="0BCB11C0">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1.要求项目对生产设施运行管理信息（生产时间、运行负荷、产品产量等）进行记录存档，备查；且具备近一年及以上所用油墨VOCs含量等信息的检测报告。</w:t>
                  </w:r>
                </w:p>
                <w:p w14:paraId="4B5A1BE0">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2.要求项目对废气污染治理设施运行管理信息进行记录存档（燃烧室温度、冷凝温度、过滤材料更换频次、吸附剂更换频次），备查；</w:t>
                  </w:r>
                </w:p>
                <w:p w14:paraId="153239F3">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3.要求项目对监测记录信息（主要污染排放口废气排放记录等）进行记录存档，备查；</w:t>
                  </w:r>
                </w:p>
                <w:p w14:paraId="55EAF2B9">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4.要求项目对主要原辅材料消耗记录存档，备查；</w:t>
                  </w:r>
                </w:p>
                <w:p w14:paraId="3F00C94A">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5.项目不使用燃料，主要使用电能；</w:t>
                  </w:r>
                </w:p>
              </w:tc>
              <w:tc>
                <w:tcPr>
                  <w:tcW w:w="639" w:type="pct"/>
                  <w:noWrap w:val="0"/>
                  <w:vAlign w:val="center"/>
                </w:tcPr>
                <w:p w14:paraId="5EE12274">
                  <w:pPr>
                    <w:keepNext w:val="0"/>
                    <w:keepLines w:val="0"/>
                    <w:suppressLineNumbers w:val="0"/>
                    <w:adjustRightInd w:val="0"/>
                    <w:snapToGrid w:val="0"/>
                    <w:spacing w:before="0" w:beforeAutospacing="0" w:after="0" w:afterAutospacing="0"/>
                    <w:ind w:left="0" w:right="0"/>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按要求建设，满足</w:t>
                  </w:r>
                  <w:r>
                    <w:rPr>
                      <w:rFonts w:hint="eastAsia" w:cs="Times New Roman"/>
                      <w:sz w:val="21"/>
                      <w:szCs w:val="21"/>
                      <w:lang w:val="en-US" w:eastAsia="zh-CN"/>
                    </w:rPr>
                    <w:t>A</w:t>
                  </w:r>
                  <w:r>
                    <w:rPr>
                      <w:rFonts w:hint="default" w:ascii="Times New Roman" w:hAnsi="Times New Roman" w:eastAsia="宋体" w:cs="Times New Roman"/>
                      <w:sz w:val="21"/>
                      <w:szCs w:val="21"/>
                    </w:rPr>
                    <w:t>级企业指标</w:t>
                  </w:r>
                </w:p>
              </w:tc>
            </w:tr>
            <w:tr w14:paraId="076374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3" w:type="pct"/>
                  <w:vMerge w:val="continue"/>
                  <w:noWrap w:val="0"/>
                  <w:vAlign w:val="center"/>
                </w:tcPr>
                <w:p w14:paraId="1FF02A84">
                  <w:pPr>
                    <w:keepNext w:val="0"/>
                    <w:keepLines w:val="0"/>
                    <w:suppressLineNumbers w:val="0"/>
                    <w:adjustRightInd w:val="0"/>
                    <w:snapToGrid w:val="0"/>
                    <w:spacing w:before="0" w:beforeAutospacing="0" w:after="0" w:afterAutospacing="0"/>
                    <w:ind w:left="0" w:right="0" w:firstLine="420" w:firstLineChars="200"/>
                    <w:rPr>
                      <w:rFonts w:hint="default" w:ascii="Times New Roman" w:hAnsi="Times New Roman" w:eastAsia="宋体" w:cs="Times New Roman"/>
                      <w:sz w:val="21"/>
                      <w:szCs w:val="21"/>
                    </w:rPr>
                  </w:pPr>
                </w:p>
              </w:tc>
              <w:tc>
                <w:tcPr>
                  <w:tcW w:w="2162" w:type="pct"/>
                  <w:noWrap w:val="0"/>
                  <w:vAlign w:val="center"/>
                </w:tcPr>
                <w:p w14:paraId="627F69CB">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人员配置：设置环保部门，配备专职环保人员，并具备相应的环境管理能力。</w:t>
                  </w:r>
                </w:p>
              </w:tc>
              <w:tc>
                <w:tcPr>
                  <w:tcW w:w="1924" w:type="pct"/>
                  <w:noWrap w:val="0"/>
                  <w:vAlign w:val="center"/>
                </w:tcPr>
                <w:p w14:paraId="2C05BC52">
                  <w:pPr>
                    <w:keepNext w:val="0"/>
                    <w:keepLines w:val="0"/>
                    <w:suppressLineNumbers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要求项目配备专职环保人员，并具备相应的环境管理能力（学历、培训、从业经验等）。</w:t>
                  </w:r>
                </w:p>
              </w:tc>
              <w:tc>
                <w:tcPr>
                  <w:tcW w:w="639" w:type="pct"/>
                  <w:noWrap w:val="0"/>
                  <w:vAlign w:val="center"/>
                </w:tcPr>
                <w:p w14:paraId="09E65B19">
                  <w:pPr>
                    <w:keepNext w:val="0"/>
                    <w:keepLines w:val="0"/>
                    <w:suppressLineNumbers w:val="0"/>
                    <w:adjustRightInd w:val="0"/>
                    <w:snapToGrid w:val="0"/>
                    <w:spacing w:before="0" w:beforeAutospacing="0" w:after="0" w:afterAutospacing="0"/>
                    <w:ind w:left="0" w:right="0"/>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按要求建设，满足</w:t>
                  </w:r>
                  <w:r>
                    <w:rPr>
                      <w:rFonts w:hint="eastAsia" w:cs="Times New Roman"/>
                      <w:sz w:val="21"/>
                      <w:szCs w:val="21"/>
                      <w:lang w:val="en-US" w:eastAsia="zh-CN"/>
                    </w:rPr>
                    <w:t>A</w:t>
                  </w:r>
                  <w:r>
                    <w:rPr>
                      <w:rFonts w:hint="default" w:ascii="Times New Roman" w:hAnsi="Times New Roman" w:eastAsia="宋体" w:cs="Times New Roman"/>
                      <w:sz w:val="21"/>
                      <w:szCs w:val="21"/>
                    </w:rPr>
                    <w:t>级企业指标</w:t>
                  </w:r>
                </w:p>
              </w:tc>
            </w:tr>
            <w:tr w14:paraId="60918A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3" w:type="pct"/>
                  <w:noWrap w:val="0"/>
                  <w:vAlign w:val="center"/>
                </w:tcPr>
                <w:p w14:paraId="089814DA">
                  <w:pPr>
                    <w:keepNext w:val="0"/>
                    <w:keepLines w:val="0"/>
                    <w:suppressLineNumbers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运输方式</w:t>
                  </w:r>
                </w:p>
              </w:tc>
              <w:tc>
                <w:tcPr>
                  <w:tcW w:w="2162" w:type="pct"/>
                  <w:noWrap w:val="0"/>
                  <w:vAlign w:val="center"/>
                </w:tcPr>
                <w:p w14:paraId="6D419462">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1、物料公路运输全部使用达到国五及以上排放标准重型载货车辆（含燃气）或新能源车辆；</w:t>
                  </w:r>
                </w:p>
                <w:p w14:paraId="640DFB3F">
                  <w:pPr>
                    <w:keepNext w:val="0"/>
                    <w:keepLines w:val="0"/>
                    <w:suppressLineNumbers w:val="0"/>
                    <w:spacing w:before="0" w:beforeAutospacing="0" w:after="0" w:afterAutospacing="0"/>
                    <w:ind w:left="0" w:right="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2、厂内运输车辆全部达到国五及以上排放标准（含燃气）或使用新能源车辆；</w:t>
                  </w:r>
                </w:p>
                <w:p w14:paraId="54052EB2">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sz w:val="21"/>
                      <w:szCs w:val="21"/>
                    </w:rPr>
                    <w:t>3、厂内非道路移动机械</w:t>
                  </w:r>
                  <w:r>
                    <w:rPr>
                      <w:rFonts w:hint="eastAsia" w:cs="Times New Roman"/>
                      <w:sz w:val="21"/>
                      <w:szCs w:val="21"/>
                      <w:lang w:eastAsia="zh-CN"/>
                    </w:rPr>
                    <w:t>使用</w:t>
                  </w:r>
                  <w:r>
                    <w:rPr>
                      <w:rFonts w:hint="default" w:ascii="Times New Roman" w:hAnsi="Times New Roman" w:eastAsia="宋体" w:cs="Times New Roman"/>
                      <w:sz w:val="21"/>
                      <w:szCs w:val="21"/>
                    </w:rPr>
                    <w:t>达到国三及以上排放标准或使用新能源机械。</w:t>
                  </w:r>
                </w:p>
              </w:tc>
              <w:tc>
                <w:tcPr>
                  <w:tcW w:w="1924" w:type="pct"/>
                  <w:noWrap w:val="0"/>
                  <w:vAlign w:val="center"/>
                </w:tcPr>
                <w:p w14:paraId="449472A6">
                  <w:pPr>
                    <w:keepNext w:val="0"/>
                    <w:keepLines w:val="0"/>
                    <w:suppressLineNumbers w:val="0"/>
                    <w:spacing w:before="0" w:beforeAutospacing="0" w:after="0" w:afterAutospacing="0"/>
                    <w:ind w:left="0" w:right="0"/>
                    <w:jc w:val="both"/>
                    <w:rPr>
                      <w:rFonts w:hint="eastAsia" w:cs="宋体"/>
                      <w:color w:val="000000"/>
                      <w:sz w:val="21"/>
                      <w:szCs w:val="21"/>
                    </w:rPr>
                  </w:pPr>
                  <w:r>
                    <w:rPr>
                      <w:rFonts w:hint="eastAsia" w:cs="宋体"/>
                      <w:color w:val="000000"/>
                      <w:sz w:val="21"/>
                      <w:szCs w:val="21"/>
                    </w:rPr>
                    <w:t>1.要求项目公路运输全部使用国五及以上排放标准的重型载货车辆（含燃气）或新能源车辆比例；</w:t>
                  </w:r>
                </w:p>
                <w:p w14:paraId="5F302099">
                  <w:pPr>
                    <w:keepNext w:val="0"/>
                    <w:keepLines w:val="0"/>
                    <w:suppressLineNumbers w:val="0"/>
                    <w:spacing w:before="0" w:beforeAutospacing="0" w:after="0" w:afterAutospacing="0"/>
                    <w:ind w:left="0" w:right="0"/>
                    <w:jc w:val="both"/>
                    <w:rPr>
                      <w:rFonts w:hint="eastAsia" w:cs="宋体"/>
                      <w:color w:val="000000"/>
                      <w:sz w:val="21"/>
                      <w:szCs w:val="21"/>
                    </w:rPr>
                  </w:pPr>
                  <w:r>
                    <w:rPr>
                      <w:rFonts w:hint="eastAsia" w:cs="宋体"/>
                      <w:color w:val="000000"/>
                      <w:sz w:val="21"/>
                      <w:szCs w:val="21"/>
                    </w:rPr>
                    <w:t>2.要求项目厂内运输车辆全部达到国五及以上排放标准（含燃气）或使用新能源车辆；</w:t>
                  </w:r>
                </w:p>
                <w:p w14:paraId="2DC714A1">
                  <w:pPr>
                    <w:keepNext w:val="0"/>
                    <w:keepLines w:val="0"/>
                    <w:suppressLineNumbers w:val="0"/>
                    <w:spacing w:before="0" w:beforeAutospacing="0" w:after="0" w:afterAutospacing="0"/>
                    <w:ind w:left="0" w:right="0"/>
                    <w:jc w:val="both"/>
                    <w:rPr>
                      <w:rFonts w:hint="eastAsia" w:ascii="Times New Roman" w:hAnsi="Times New Roman" w:eastAsia="宋体" w:cs="Times New Roman"/>
                      <w:color w:val="000000"/>
                      <w:sz w:val="21"/>
                      <w:szCs w:val="21"/>
                      <w:lang w:val="en-US" w:eastAsia="zh-CN"/>
                    </w:rPr>
                  </w:pPr>
                  <w:r>
                    <w:rPr>
                      <w:rFonts w:hint="eastAsia" w:cs="宋体"/>
                      <w:color w:val="000000"/>
                      <w:sz w:val="21"/>
                      <w:szCs w:val="21"/>
                    </w:rPr>
                    <w:t>3.要求项目厂内非道路移动机械全部达到国三及以上排放标准</w:t>
                  </w:r>
                  <w:r>
                    <w:rPr>
                      <w:rFonts w:hint="eastAsia" w:cs="宋体"/>
                      <w:color w:val="000000"/>
                      <w:sz w:val="21"/>
                      <w:szCs w:val="21"/>
                      <w:lang w:eastAsia="zh-CN"/>
                    </w:rPr>
                    <w:t>。</w:t>
                  </w:r>
                </w:p>
              </w:tc>
              <w:tc>
                <w:tcPr>
                  <w:tcW w:w="639" w:type="pct"/>
                  <w:noWrap w:val="0"/>
                  <w:vAlign w:val="center"/>
                </w:tcPr>
                <w:p w14:paraId="1D36C3A6">
                  <w:pPr>
                    <w:keepNext w:val="0"/>
                    <w:keepLines w:val="0"/>
                    <w:suppressLineNumbers w:val="0"/>
                    <w:adjustRightInd w:val="0"/>
                    <w:snapToGrid w:val="0"/>
                    <w:spacing w:before="0" w:beforeAutospacing="0" w:after="0" w:afterAutospacing="0"/>
                    <w:ind w:left="0" w:right="0"/>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按要求建设，满足</w:t>
                  </w:r>
                  <w:r>
                    <w:rPr>
                      <w:rFonts w:hint="eastAsia" w:cs="Times New Roman"/>
                      <w:sz w:val="21"/>
                      <w:szCs w:val="21"/>
                      <w:lang w:val="en-US" w:eastAsia="zh-CN"/>
                    </w:rPr>
                    <w:t>A</w:t>
                  </w:r>
                  <w:r>
                    <w:rPr>
                      <w:rFonts w:hint="default" w:ascii="Times New Roman" w:hAnsi="Times New Roman" w:eastAsia="宋体" w:cs="Times New Roman"/>
                      <w:sz w:val="21"/>
                      <w:szCs w:val="21"/>
                    </w:rPr>
                    <w:t>级企业指标</w:t>
                  </w:r>
                </w:p>
              </w:tc>
            </w:tr>
            <w:tr w14:paraId="0049DB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3" w:type="pct"/>
                  <w:tcBorders>
                    <w:bottom w:val="single" w:color="auto" w:sz="8" w:space="0"/>
                  </w:tcBorders>
                  <w:noWrap w:val="0"/>
                  <w:vAlign w:val="center"/>
                </w:tcPr>
                <w:p w14:paraId="77C85944">
                  <w:pPr>
                    <w:keepNext w:val="0"/>
                    <w:keepLines w:val="0"/>
                    <w:suppressLineNumbers w:val="0"/>
                    <w:spacing w:before="0" w:beforeAutospacing="0" w:after="0" w:afterAutospacing="0"/>
                    <w:ind w:left="0" w:right="0"/>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运输监管</w:t>
                  </w:r>
                </w:p>
              </w:tc>
              <w:tc>
                <w:tcPr>
                  <w:tcW w:w="2162" w:type="pct"/>
                  <w:tcBorders>
                    <w:bottom w:val="single" w:color="auto" w:sz="8" w:space="0"/>
                  </w:tcBorders>
                  <w:noWrap w:val="0"/>
                  <w:vAlign w:val="center"/>
                </w:tcPr>
                <w:p w14:paraId="632B9554">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参照《重污染天气重点行业移动源应急管理技术指南》建立门禁系统和电子台账。</w:t>
                  </w:r>
                </w:p>
              </w:tc>
              <w:tc>
                <w:tcPr>
                  <w:tcW w:w="1924" w:type="pct"/>
                  <w:tcBorders>
                    <w:bottom w:val="single" w:color="auto" w:sz="8" w:space="0"/>
                  </w:tcBorders>
                  <w:noWrap w:val="0"/>
                  <w:vAlign w:val="center"/>
                </w:tcPr>
                <w:p w14:paraId="04B265C0">
                  <w:pPr>
                    <w:keepNext w:val="0"/>
                    <w:keepLines w:val="0"/>
                    <w:suppressLineNumbers w:val="0"/>
                    <w:spacing w:before="0" w:beforeAutospacing="0" w:after="0" w:afterAutospacing="0"/>
                    <w:ind w:left="0" w:right="0"/>
                    <w:jc w:val="both"/>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eastAsia="zh-CN"/>
                    </w:rPr>
                    <w:t>项目</w:t>
                  </w:r>
                  <w:r>
                    <w:rPr>
                      <w:rFonts w:hint="default" w:ascii="Times New Roman" w:hAnsi="Times New Roman" w:eastAsia="宋体" w:cs="Times New Roman"/>
                      <w:color w:val="000000"/>
                      <w:sz w:val="21"/>
                      <w:szCs w:val="21"/>
                    </w:rPr>
                    <w:t>建成后按《重污染天气重点行业移动源应急管理技术指南》建立门禁视频监控系统和电子台账。</w:t>
                  </w:r>
                </w:p>
              </w:tc>
              <w:tc>
                <w:tcPr>
                  <w:tcW w:w="639" w:type="pct"/>
                  <w:tcBorders>
                    <w:bottom w:val="single" w:color="auto" w:sz="8" w:space="0"/>
                  </w:tcBorders>
                  <w:noWrap w:val="0"/>
                  <w:vAlign w:val="center"/>
                </w:tcPr>
                <w:p w14:paraId="2D07F035">
                  <w:pPr>
                    <w:keepNext w:val="0"/>
                    <w:keepLines w:val="0"/>
                    <w:suppressLineNumbers w:val="0"/>
                    <w:adjustRightInd w:val="0"/>
                    <w:snapToGrid w:val="0"/>
                    <w:spacing w:before="0" w:beforeAutospacing="0" w:after="0" w:afterAutospacing="0"/>
                    <w:ind w:left="0" w:right="0"/>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按要求建设，满足</w:t>
                  </w:r>
                  <w:r>
                    <w:rPr>
                      <w:rFonts w:hint="eastAsia" w:cs="Times New Roman"/>
                      <w:sz w:val="21"/>
                      <w:szCs w:val="21"/>
                      <w:lang w:val="en-US" w:eastAsia="zh-CN"/>
                    </w:rPr>
                    <w:t>A</w:t>
                  </w:r>
                  <w:r>
                    <w:rPr>
                      <w:rFonts w:hint="default" w:ascii="Times New Roman" w:hAnsi="Times New Roman" w:eastAsia="宋体" w:cs="Times New Roman"/>
                      <w:sz w:val="21"/>
                      <w:szCs w:val="21"/>
                    </w:rPr>
                    <w:t>级企业指标</w:t>
                  </w:r>
                </w:p>
              </w:tc>
            </w:tr>
          </w:tbl>
          <w:p w14:paraId="1461FE79">
            <w:pPr>
              <w:keepNext w:val="0"/>
              <w:keepLines w:val="0"/>
              <w:suppressLineNumbers w:val="0"/>
              <w:spacing w:before="0" w:beforeAutospacing="0" w:after="0" w:afterAutospacing="0" w:line="520" w:lineRule="exact"/>
              <w:ind w:left="0" w:right="0" w:firstLine="480" w:firstLineChars="200"/>
              <w:rPr>
                <w:rFonts w:hint="eastAsia"/>
                <w:bCs/>
                <w:sz w:val="24"/>
              </w:rPr>
            </w:pPr>
            <w:r>
              <w:rPr>
                <w:rFonts w:hint="eastAsia"/>
                <w:bCs/>
                <w:sz w:val="24"/>
              </w:rPr>
              <w:t>本项目拟按照国家重点行业包装印刷</w:t>
            </w:r>
            <w:r>
              <w:rPr>
                <w:rFonts w:hint="eastAsia"/>
                <w:bCs/>
                <w:sz w:val="24"/>
                <w:lang w:val="en-US" w:eastAsia="zh-CN"/>
              </w:rPr>
              <w:t>A</w:t>
            </w:r>
            <w:r>
              <w:rPr>
                <w:rFonts w:hint="eastAsia"/>
                <w:bCs/>
                <w:sz w:val="24"/>
              </w:rPr>
              <w:t>级标准建设，符合绩效分级管控要求。</w:t>
            </w:r>
          </w:p>
          <w:p w14:paraId="43FE9253">
            <w:pPr>
              <w:keepNext w:val="0"/>
              <w:keepLines w:val="0"/>
              <w:suppressLineNumbers w:val="0"/>
              <w:spacing w:before="0" w:beforeAutospacing="0" w:after="0" w:afterAutospacing="0" w:line="440" w:lineRule="exact"/>
              <w:ind w:left="0" w:right="0" w:firstLine="482" w:firstLineChars="200"/>
              <w:rPr>
                <w:rFonts w:hint="default"/>
                <w:b/>
                <w:bCs/>
                <w:sz w:val="24"/>
              </w:rPr>
            </w:pPr>
            <w:r>
              <w:rPr>
                <w:rFonts w:hint="eastAsia"/>
                <w:b/>
                <w:sz w:val="24"/>
                <w:lang w:val="en-US" w:eastAsia="zh-CN"/>
              </w:rPr>
              <w:t>8</w:t>
            </w:r>
            <w:r>
              <w:rPr>
                <w:rFonts w:hint="default"/>
                <w:b/>
                <w:sz w:val="24"/>
              </w:rPr>
              <w:t>、</w:t>
            </w:r>
            <w:r>
              <w:rPr>
                <w:rFonts w:hint="default"/>
                <w:b/>
                <w:bCs/>
                <w:sz w:val="24"/>
              </w:rPr>
              <w:t>本项目与《挥发性有机物无组织排放控制标准》（GB37822-2019）（以下简称《控制标准》）的对比分析</w:t>
            </w:r>
          </w:p>
          <w:p w14:paraId="0468ACD3">
            <w:pPr>
              <w:keepNext w:val="0"/>
              <w:keepLines w:val="0"/>
              <w:suppressLineNumbers w:val="0"/>
              <w:autoSpaceDE w:val="0"/>
              <w:autoSpaceDN w:val="0"/>
              <w:spacing w:before="0" w:beforeAutospacing="0" w:after="0" w:afterAutospacing="0" w:line="440" w:lineRule="exact"/>
              <w:ind w:left="0" w:right="0" w:firstLine="964" w:firstLineChars="400"/>
              <w:rPr>
                <w:rFonts w:hint="default"/>
                <w:b/>
                <w:snapToGrid w:val="0"/>
                <w:sz w:val="24"/>
              </w:rPr>
            </w:pPr>
            <w:r>
              <w:rPr>
                <w:rFonts w:hint="default"/>
                <w:b/>
                <w:snapToGrid w:val="0"/>
                <w:sz w:val="24"/>
              </w:rPr>
              <w:t>表</w:t>
            </w:r>
            <w:r>
              <w:rPr>
                <w:rFonts w:hint="eastAsia"/>
                <w:b/>
                <w:snapToGrid w:val="0"/>
                <w:sz w:val="24"/>
                <w:lang w:val="en-US" w:eastAsia="zh-CN"/>
              </w:rPr>
              <w:t>8</w:t>
            </w:r>
            <w:r>
              <w:rPr>
                <w:rFonts w:hint="default"/>
                <w:b/>
                <w:snapToGrid w:val="0"/>
                <w:sz w:val="24"/>
              </w:rPr>
              <w:t xml:space="preserve">      与《控制标准》对照情况一览表</w:t>
            </w:r>
          </w:p>
          <w:tbl>
            <w:tblPr>
              <w:tblStyle w:val="22"/>
              <w:tblW w:w="5000" w:type="pct"/>
              <w:tblInd w:w="5"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53"/>
              <w:gridCol w:w="4250"/>
              <w:gridCol w:w="3028"/>
              <w:gridCol w:w="707"/>
            </w:tblGrid>
            <w:tr w14:paraId="74ECE86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886" w:type="pct"/>
                  <w:gridSpan w:val="2"/>
                  <w:tcBorders>
                    <w:top w:val="single" w:color="000000" w:sz="8" w:space="0"/>
                    <w:bottom w:val="single" w:color="000000" w:sz="8" w:space="0"/>
                  </w:tcBorders>
                  <w:noWrap w:val="0"/>
                  <w:vAlign w:val="center"/>
                </w:tcPr>
                <w:p w14:paraId="00D33A4E">
                  <w:pPr>
                    <w:keepNext w:val="0"/>
                    <w:keepLines w:val="0"/>
                    <w:suppressLineNumbers w:val="0"/>
                    <w:spacing w:before="0" w:beforeAutospacing="0" w:after="0" w:afterAutospacing="0"/>
                    <w:ind w:left="0" w:right="0"/>
                    <w:jc w:val="center"/>
                    <w:rPr>
                      <w:rFonts w:hint="default"/>
                      <w:b/>
                      <w:bCs/>
                      <w:sz w:val="21"/>
                      <w:szCs w:val="21"/>
                    </w:rPr>
                  </w:pPr>
                  <w:r>
                    <w:rPr>
                      <w:rFonts w:hint="default"/>
                      <w:b/>
                      <w:bCs/>
                      <w:sz w:val="21"/>
                      <w:szCs w:val="21"/>
                    </w:rPr>
                    <w:t>与</w:t>
                  </w:r>
                  <w:r>
                    <w:rPr>
                      <w:rFonts w:hint="eastAsia"/>
                      <w:b/>
                      <w:bCs/>
                      <w:sz w:val="21"/>
                      <w:szCs w:val="21"/>
                    </w:rPr>
                    <w:t>控制标准</w:t>
                  </w:r>
                  <w:r>
                    <w:rPr>
                      <w:rFonts w:hint="default"/>
                      <w:b/>
                      <w:bCs/>
                      <w:sz w:val="21"/>
                      <w:szCs w:val="21"/>
                    </w:rPr>
                    <w:t>相关条文</w:t>
                  </w:r>
                </w:p>
              </w:tc>
              <w:tc>
                <w:tcPr>
                  <w:tcW w:w="1713" w:type="pct"/>
                  <w:tcBorders>
                    <w:top w:val="single" w:color="000000" w:sz="8" w:space="0"/>
                    <w:bottom w:val="single" w:color="000000" w:sz="8" w:space="0"/>
                  </w:tcBorders>
                  <w:noWrap w:val="0"/>
                  <w:vAlign w:val="center"/>
                </w:tcPr>
                <w:p w14:paraId="53002B52">
                  <w:pPr>
                    <w:keepNext w:val="0"/>
                    <w:keepLines w:val="0"/>
                    <w:suppressLineNumbers w:val="0"/>
                    <w:spacing w:before="0" w:beforeAutospacing="0" w:after="0" w:afterAutospacing="0"/>
                    <w:ind w:left="0" w:right="0"/>
                    <w:jc w:val="center"/>
                    <w:rPr>
                      <w:rFonts w:hint="default"/>
                      <w:b/>
                      <w:bCs/>
                      <w:sz w:val="21"/>
                      <w:szCs w:val="21"/>
                    </w:rPr>
                  </w:pPr>
                  <w:r>
                    <w:rPr>
                      <w:rFonts w:hint="default"/>
                      <w:b/>
                      <w:bCs/>
                      <w:sz w:val="21"/>
                      <w:szCs w:val="21"/>
                    </w:rPr>
                    <w:t>本项目情况</w:t>
                  </w:r>
                </w:p>
              </w:tc>
              <w:tc>
                <w:tcPr>
                  <w:tcW w:w="399" w:type="pct"/>
                  <w:tcBorders>
                    <w:top w:val="single" w:color="000000" w:sz="8" w:space="0"/>
                    <w:bottom w:val="single" w:color="000000" w:sz="8" w:space="0"/>
                  </w:tcBorders>
                  <w:noWrap w:val="0"/>
                  <w:vAlign w:val="center"/>
                </w:tcPr>
                <w:p w14:paraId="176DEA6D">
                  <w:pPr>
                    <w:keepNext w:val="0"/>
                    <w:keepLines w:val="0"/>
                    <w:suppressLineNumbers w:val="0"/>
                    <w:spacing w:before="0" w:beforeAutospacing="0" w:after="0" w:afterAutospacing="0"/>
                    <w:ind w:left="0" w:right="0"/>
                    <w:jc w:val="center"/>
                    <w:rPr>
                      <w:rFonts w:hint="default"/>
                      <w:b/>
                      <w:bCs/>
                      <w:sz w:val="21"/>
                      <w:szCs w:val="21"/>
                    </w:rPr>
                  </w:pPr>
                  <w:r>
                    <w:rPr>
                      <w:rFonts w:hint="default"/>
                      <w:b/>
                      <w:bCs/>
                      <w:sz w:val="21"/>
                      <w:szCs w:val="21"/>
                    </w:rPr>
                    <w:t>对比结果</w:t>
                  </w:r>
                </w:p>
              </w:tc>
            </w:tr>
            <w:tr w14:paraId="29C380D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82" w:type="pct"/>
                  <w:tcBorders>
                    <w:top w:val="single" w:color="000000" w:sz="8" w:space="0"/>
                    <w:bottom w:val="single" w:color="000000" w:sz="4" w:space="0"/>
                  </w:tcBorders>
                  <w:noWrap w:val="0"/>
                  <w:vAlign w:val="center"/>
                </w:tcPr>
                <w:p w14:paraId="2EC40634">
                  <w:pPr>
                    <w:pStyle w:val="79"/>
                    <w:keepNext w:val="0"/>
                    <w:keepLines w:val="0"/>
                    <w:suppressLineNumbers w:val="0"/>
                    <w:spacing w:before="0" w:beforeAutospacing="0" w:after="0" w:afterAutospacing="0" w:line="240" w:lineRule="auto"/>
                    <w:ind w:left="0" w:right="0"/>
                    <w:rPr>
                      <w:rFonts w:hint="default" w:ascii="Times New Roman" w:hAnsi="Times New Roman" w:eastAsia="宋体"/>
                      <w:sz w:val="21"/>
                      <w:szCs w:val="21"/>
                    </w:rPr>
                  </w:pPr>
                  <w:r>
                    <w:rPr>
                      <w:rFonts w:hint="default" w:ascii="Times New Roman" w:hAnsi="Times New Roman" w:eastAsia="宋体"/>
                      <w:sz w:val="21"/>
                      <w:szCs w:val="21"/>
                    </w:rPr>
                    <w:t>VOCs物料储存无组织排放控制要求</w:t>
                  </w:r>
                </w:p>
              </w:tc>
              <w:tc>
                <w:tcPr>
                  <w:tcW w:w="2404" w:type="pct"/>
                  <w:tcBorders>
                    <w:top w:val="single" w:color="000000" w:sz="8" w:space="0"/>
                    <w:bottom w:val="single" w:color="000000" w:sz="4" w:space="0"/>
                  </w:tcBorders>
                  <w:noWrap w:val="0"/>
                  <w:vAlign w:val="center"/>
                </w:tcPr>
                <w:p w14:paraId="367D446F">
                  <w:pPr>
                    <w:keepNext w:val="0"/>
                    <w:keepLines w:val="0"/>
                    <w:widowControl/>
                    <w:suppressLineNumbers w:val="0"/>
                    <w:spacing w:before="0" w:beforeAutospacing="0" w:after="0" w:afterAutospacing="0"/>
                    <w:ind w:left="0" w:right="0"/>
                    <w:jc w:val="both"/>
                    <w:rPr>
                      <w:rFonts w:hint="default"/>
                      <w:sz w:val="21"/>
                      <w:szCs w:val="21"/>
                    </w:rPr>
                  </w:pPr>
                  <w:r>
                    <w:rPr>
                      <w:rFonts w:hint="default"/>
                      <w:sz w:val="21"/>
                      <w:szCs w:val="21"/>
                    </w:rPr>
                    <w:t>VOCs物料应储存于密闭的容器、包装袋、储罐、储库、料仓中。盛装VOCs物料的容器或包装袋应存放于室内，或存放于设置有雨棚、遮阳和防渗设施的专用场地。盛装VOCs物料的容器或包装袋在非取用状态时应加盖、封口，保持密闭。VOCs物料储罐应密封良好，其中挥发性有机液体储罐应符合5.2规定。VOCs物料储库、料仓应满足密闭空间的要求</w:t>
                  </w:r>
                  <w:r>
                    <w:rPr>
                      <w:rFonts w:hint="eastAsia" w:ascii="宋体" w:hAnsi="宋体" w:cs="宋体"/>
                      <w:color w:val="000000"/>
                      <w:kern w:val="0"/>
                      <w:sz w:val="21"/>
                      <w:szCs w:val="21"/>
                      <w:lang w:bidi="ar"/>
                    </w:rPr>
                    <w:t xml:space="preserve">利用完整的围护结构将污染物质、作业场所等与周围空间阻隔所形成的封闭区域或封闭式建筑物。 该封闭区域或封闭式建筑物除人员、车辆、设备、物料进出时，以及依法设立的排气筒、通风口外，门窗及其他开口（孔）部位应随时保持关闭状态。 </w:t>
                  </w:r>
                </w:p>
              </w:tc>
              <w:tc>
                <w:tcPr>
                  <w:tcW w:w="1713" w:type="pct"/>
                  <w:tcBorders>
                    <w:top w:val="single" w:color="000000" w:sz="8" w:space="0"/>
                    <w:bottom w:val="single" w:color="000000" w:sz="4" w:space="0"/>
                  </w:tcBorders>
                  <w:noWrap w:val="0"/>
                  <w:vAlign w:val="center"/>
                </w:tcPr>
                <w:p w14:paraId="7CA225F6">
                  <w:pPr>
                    <w:pStyle w:val="79"/>
                    <w:keepNext w:val="0"/>
                    <w:keepLines w:val="0"/>
                    <w:suppressLineNumbers w:val="0"/>
                    <w:spacing w:before="0" w:beforeAutospacing="0" w:after="0" w:afterAutospacing="0" w:line="240" w:lineRule="auto"/>
                    <w:ind w:left="0" w:right="0"/>
                    <w:jc w:val="both"/>
                    <w:rPr>
                      <w:rFonts w:ascii="Times New Roman" w:hAnsi="Times New Roman" w:eastAsia="宋体"/>
                      <w:color w:val="auto"/>
                      <w:sz w:val="21"/>
                      <w:szCs w:val="21"/>
                    </w:rPr>
                  </w:pPr>
                  <w:r>
                    <w:rPr>
                      <w:rFonts w:hint="default" w:ascii="Times New Roman" w:hAnsi="Times New Roman" w:eastAsia="宋体"/>
                      <w:color w:val="auto"/>
                      <w:sz w:val="21"/>
                      <w:szCs w:val="21"/>
                    </w:rPr>
                    <w:t>本项目涉及VOCs</w:t>
                  </w:r>
                  <w:r>
                    <w:rPr>
                      <w:rFonts w:ascii="Times New Roman" w:hAnsi="Times New Roman" w:eastAsia="宋体"/>
                      <w:color w:val="auto"/>
                      <w:sz w:val="21"/>
                      <w:szCs w:val="21"/>
                    </w:rPr>
                    <w:t>的主要</w:t>
                  </w:r>
                  <w:r>
                    <w:rPr>
                      <w:rFonts w:hint="default" w:ascii="Times New Roman" w:hAnsi="Times New Roman" w:eastAsia="宋体"/>
                      <w:color w:val="auto"/>
                      <w:sz w:val="21"/>
                      <w:szCs w:val="21"/>
                    </w:rPr>
                    <w:t>物料为</w:t>
                  </w:r>
                  <w:r>
                    <w:rPr>
                      <w:rFonts w:ascii="Times New Roman" w:hAnsi="Times New Roman" w:eastAsia="宋体"/>
                      <w:color w:val="auto"/>
                      <w:sz w:val="21"/>
                      <w:szCs w:val="21"/>
                    </w:rPr>
                    <w:t>油墨</w:t>
                  </w:r>
                  <w:r>
                    <w:rPr>
                      <w:rFonts w:hint="eastAsia" w:ascii="Times New Roman" w:hAnsi="Times New Roman" w:eastAsia="宋体"/>
                      <w:color w:val="auto"/>
                      <w:sz w:val="21"/>
                      <w:szCs w:val="21"/>
                      <w:lang w:eastAsia="zh-CN"/>
                    </w:rPr>
                    <w:t>，</w:t>
                  </w:r>
                  <w:r>
                    <w:rPr>
                      <w:rFonts w:ascii="Times New Roman" w:hAnsi="Times New Roman" w:eastAsia="宋体"/>
                      <w:color w:val="auto"/>
                      <w:sz w:val="21"/>
                      <w:szCs w:val="21"/>
                    </w:rPr>
                    <w:t>密闭桶装</w:t>
                  </w:r>
                  <w:r>
                    <w:rPr>
                      <w:rFonts w:hint="default" w:ascii="Times New Roman" w:hAnsi="Times New Roman" w:eastAsia="宋体"/>
                      <w:color w:val="auto"/>
                      <w:sz w:val="21"/>
                      <w:szCs w:val="21"/>
                    </w:rPr>
                    <w:t>，暂存于</w:t>
                  </w:r>
                  <w:r>
                    <w:rPr>
                      <w:rFonts w:ascii="Times New Roman" w:hAnsi="Times New Roman" w:eastAsia="宋体"/>
                      <w:color w:val="auto"/>
                      <w:sz w:val="21"/>
                      <w:szCs w:val="21"/>
                    </w:rPr>
                    <w:t>密闭原</w:t>
                  </w:r>
                  <w:r>
                    <w:rPr>
                      <w:rFonts w:hint="default" w:ascii="Times New Roman" w:hAnsi="Times New Roman" w:eastAsia="宋体"/>
                      <w:color w:val="auto"/>
                      <w:sz w:val="21"/>
                      <w:szCs w:val="21"/>
                    </w:rPr>
                    <w:t>料库中备用</w:t>
                  </w:r>
                  <w:r>
                    <w:rPr>
                      <w:rFonts w:ascii="Times New Roman" w:hAnsi="Times New Roman" w:eastAsia="宋体"/>
                      <w:color w:val="auto"/>
                      <w:sz w:val="21"/>
                      <w:szCs w:val="21"/>
                    </w:rPr>
                    <w:t>。</w:t>
                  </w:r>
                  <w:r>
                    <w:rPr>
                      <w:rFonts w:hint="eastAsia" w:ascii="Times New Roman" w:hAnsi="Times New Roman" w:eastAsia="宋体"/>
                      <w:color w:val="auto"/>
                      <w:sz w:val="21"/>
                      <w:szCs w:val="21"/>
                      <w:lang w:eastAsia="zh-CN"/>
                    </w:rPr>
                    <w:t>密闭原料库</w:t>
                  </w:r>
                  <w:r>
                    <w:rPr>
                      <w:rFonts w:hint="default" w:ascii="Times New Roman" w:hAnsi="Times New Roman" w:eastAsia="宋体"/>
                      <w:color w:val="auto"/>
                      <w:sz w:val="21"/>
                      <w:szCs w:val="21"/>
                    </w:rPr>
                    <w:t>满足地面防渗、防雨、防晒要求。</w:t>
                  </w:r>
                  <w:r>
                    <w:rPr>
                      <w:rFonts w:ascii="Times New Roman" w:hAnsi="Times New Roman" w:eastAsia="宋体"/>
                      <w:color w:val="auto"/>
                      <w:sz w:val="21"/>
                      <w:szCs w:val="21"/>
                    </w:rPr>
                    <w:t>盛装油墨的容器</w:t>
                  </w:r>
                  <w:r>
                    <w:rPr>
                      <w:rFonts w:hint="default" w:ascii="Times New Roman" w:hAnsi="Times New Roman" w:eastAsia="宋体"/>
                      <w:color w:val="auto"/>
                      <w:sz w:val="21"/>
                      <w:szCs w:val="21"/>
                    </w:rPr>
                    <w:t>在非取用状态时应加盖、封口</w:t>
                  </w:r>
                  <w:r>
                    <w:rPr>
                      <w:rFonts w:ascii="Times New Roman" w:hAnsi="Times New Roman" w:eastAsia="宋体"/>
                      <w:color w:val="auto"/>
                      <w:sz w:val="21"/>
                      <w:szCs w:val="21"/>
                    </w:rPr>
                    <w:t>。</w:t>
                  </w:r>
                  <w:r>
                    <w:rPr>
                      <w:rFonts w:hint="default" w:ascii="Times New Roman" w:hAnsi="Times New Roman" w:eastAsia="宋体"/>
                      <w:color w:val="auto"/>
                      <w:sz w:val="21"/>
                      <w:szCs w:val="21"/>
                    </w:rPr>
                    <w:t>VOCs物料储库</w:t>
                  </w:r>
                  <w:r>
                    <w:rPr>
                      <w:rFonts w:ascii="宋体" w:hAnsi="宋体" w:eastAsia="宋体" w:cs="宋体"/>
                      <w:color w:val="auto"/>
                      <w:sz w:val="21"/>
                      <w:szCs w:val="21"/>
                      <w:lang w:bidi="ar"/>
                    </w:rPr>
                    <w:t>为封闭式建筑物，除人员、车辆、设备、物料进出时，以及依法设立的排气筒、通风口外，门窗及其他开口（孔）部位应随时保持关闭状态。</w:t>
                  </w:r>
                </w:p>
              </w:tc>
              <w:tc>
                <w:tcPr>
                  <w:tcW w:w="399" w:type="pct"/>
                  <w:tcBorders>
                    <w:top w:val="single" w:color="000000" w:sz="8" w:space="0"/>
                    <w:bottom w:val="single" w:color="000000" w:sz="4" w:space="0"/>
                  </w:tcBorders>
                  <w:noWrap w:val="0"/>
                  <w:vAlign w:val="center"/>
                </w:tcPr>
                <w:p w14:paraId="133C4A0C">
                  <w:pPr>
                    <w:pStyle w:val="79"/>
                    <w:keepNext w:val="0"/>
                    <w:keepLines w:val="0"/>
                    <w:suppressLineNumbers w:val="0"/>
                    <w:spacing w:before="0" w:beforeAutospacing="0" w:after="0" w:afterAutospacing="0" w:line="240" w:lineRule="auto"/>
                    <w:ind w:left="0" w:right="0"/>
                    <w:rPr>
                      <w:rFonts w:ascii="Times New Roman" w:hAnsi="Times New Roman" w:eastAsia="宋体"/>
                      <w:sz w:val="21"/>
                      <w:szCs w:val="21"/>
                    </w:rPr>
                  </w:pPr>
                  <w:r>
                    <w:rPr>
                      <w:rFonts w:hint="default" w:ascii="Times New Roman" w:hAnsi="Times New Roman" w:eastAsia="宋体"/>
                      <w:sz w:val="21"/>
                      <w:szCs w:val="21"/>
                    </w:rPr>
                    <w:t>符合</w:t>
                  </w:r>
                </w:p>
              </w:tc>
            </w:tr>
            <w:tr w14:paraId="18DA26C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82" w:type="pct"/>
                  <w:tcBorders>
                    <w:top w:val="single" w:color="000000" w:sz="4" w:space="0"/>
                  </w:tcBorders>
                  <w:noWrap w:val="0"/>
                  <w:vAlign w:val="center"/>
                </w:tcPr>
                <w:p w14:paraId="3F9D7AA4">
                  <w:pPr>
                    <w:pStyle w:val="79"/>
                    <w:keepNext w:val="0"/>
                    <w:keepLines w:val="0"/>
                    <w:suppressLineNumbers w:val="0"/>
                    <w:spacing w:before="0" w:beforeAutospacing="0" w:after="0" w:afterAutospacing="0" w:line="240" w:lineRule="auto"/>
                    <w:ind w:left="0" w:right="0"/>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VOCs物料转移和输送无组织排放控制要求</w:t>
                  </w:r>
                </w:p>
              </w:tc>
              <w:tc>
                <w:tcPr>
                  <w:tcW w:w="2404" w:type="pct"/>
                  <w:tcBorders>
                    <w:top w:val="single" w:color="000000" w:sz="4" w:space="0"/>
                  </w:tcBorders>
                  <w:noWrap w:val="0"/>
                  <w:vAlign w:val="center"/>
                </w:tcPr>
                <w:p w14:paraId="68AEDC57">
                  <w:pPr>
                    <w:keepNext w:val="0"/>
                    <w:keepLines w:val="0"/>
                    <w:widowControl/>
                    <w:suppressLineNumbers w:val="0"/>
                    <w:spacing w:before="0" w:beforeAutospacing="0" w:after="0" w:afterAutospacing="0"/>
                    <w:ind w:left="0" w:right="0"/>
                    <w:jc w:val="both"/>
                    <w:rPr>
                      <w:rFonts w:hint="default"/>
                      <w:sz w:val="21"/>
                      <w:szCs w:val="21"/>
                    </w:rPr>
                  </w:pPr>
                  <w:r>
                    <w:rPr>
                      <w:rFonts w:hint="default" w:ascii="Times New Roman" w:hAnsi="Times New Roman" w:eastAsia="宋体" w:cs="Times New Roman"/>
                      <w:sz w:val="21"/>
                      <w:szCs w:val="21"/>
                    </w:rPr>
                    <w:t>液态VOCs物料应采用密闭管道输送。采用非管道输送方式转移液态VOCs物料时，应采用密闭容器、罐车。</w:t>
                  </w:r>
                </w:p>
              </w:tc>
              <w:tc>
                <w:tcPr>
                  <w:tcW w:w="1713" w:type="pct"/>
                  <w:tcBorders>
                    <w:top w:val="single" w:color="000000" w:sz="4" w:space="0"/>
                  </w:tcBorders>
                  <w:noWrap w:val="0"/>
                  <w:vAlign w:val="center"/>
                </w:tcPr>
                <w:p w14:paraId="6FDE4E96">
                  <w:pPr>
                    <w:pStyle w:val="79"/>
                    <w:keepNext w:val="0"/>
                    <w:keepLines w:val="0"/>
                    <w:suppressLineNumbers w:val="0"/>
                    <w:spacing w:before="0" w:beforeAutospacing="0" w:after="0" w:afterAutospacing="0" w:line="240" w:lineRule="auto"/>
                    <w:ind w:left="0" w:right="0"/>
                    <w:jc w:val="both"/>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eastAsia="zh-CN"/>
                    </w:rPr>
                    <w:t>本项目油墨属于液态</w:t>
                  </w:r>
                  <w:r>
                    <w:rPr>
                      <w:rFonts w:hint="eastAsia" w:ascii="Times New Roman" w:hAnsi="Times New Roman" w:eastAsia="宋体"/>
                      <w:color w:val="auto"/>
                      <w:sz w:val="21"/>
                      <w:szCs w:val="21"/>
                      <w:lang w:val="en-US" w:eastAsia="zh-CN"/>
                    </w:rPr>
                    <w:t>VOCs物料，盛装油墨的容器在非取用状态时加盖封口，使用时利用软管自动泵将油墨输送至印刷机密闭墨槽，输送油墨时管道密闭。</w:t>
                  </w:r>
                </w:p>
              </w:tc>
              <w:tc>
                <w:tcPr>
                  <w:tcW w:w="399" w:type="pct"/>
                  <w:tcBorders>
                    <w:top w:val="single" w:color="000000" w:sz="4" w:space="0"/>
                  </w:tcBorders>
                  <w:noWrap w:val="0"/>
                  <w:vAlign w:val="center"/>
                </w:tcPr>
                <w:p w14:paraId="6E328574">
                  <w:pPr>
                    <w:pStyle w:val="79"/>
                    <w:keepNext w:val="0"/>
                    <w:keepLines w:val="0"/>
                    <w:suppressLineNumbers w:val="0"/>
                    <w:spacing w:before="0" w:beforeAutospacing="0" w:after="0" w:afterAutospacing="0" w:line="240" w:lineRule="auto"/>
                    <w:ind w:left="0" w:right="0"/>
                    <w:rPr>
                      <w:rFonts w:hint="eastAsia" w:ascii="Times New Roman" w:hAnsi="Times New Roman" w:eastAsia="宋体"/>
                      <w:sz w:val="21"/>
                      <w:szCs w:val="21"/>
                      <w:lang w:eastAsia="zh-CN"/>
                    </w:rPr>
                  </w:pPr>
                  <w:r>
                    <w:rPr>
                      <w:rFonts w:hint="eastAsia" w:ascii="Times New Roman" w:hAnsi="Times New Roman" w:eastAsia="宋体"/>
                      <w:sz w:val="21"/>
                      <w:szCs w:val="21"/>
                      <w:lang w:eastAsia="zh-CN"/>
                    </w:rPr>
                    <w:t>符合</w:t>
                  </w:r>
                </w:p>
              </w:tc>
            </w:tr>
            <w:tr w14:paraId="689C7AD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82" w:type="pct"/>
                  <w:vMerge w:val="restart"/>
                  <w:tcBorders>
                    <w:top w:val="single" w:color="000000" w:sz="4" w:space="0"/>
                  </w:tcBorders>
                  <w:noWrap w:val="0"/>
                  <w:vAlign w:val="center"/>
                </w:tcPr>
                <w:p w14:paraId="6BBD4391">
                  <w:pPr>
                    <w:pStyle w:val="79"/>
                    <w:keepNext w:val="0"/>
                    <w:keepLines w:val="0"/>
                    <w:suppressLineNumbers w:val="0"/>
                    <w:spacing w:before="0" w:beforeAutospacing="0" w:after="0" w:afterAutospacing="0" w:line="240" w:lineRule="auto"/>
                    <w:ind w:left="0" w:right="0"/>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VOCs无组织排放废气收集处理系统要求</w:t>
                  </w:r>
                </w:p>
              </w:tc>
              <w:tc>
                <w:tcPr>
                  <w:tcW w:w="2404" w:type="pct"/>
                  <w:tcBorders>
                    <w:top w:val="single" w:color="000000" w:sz="4" w:space="0"/>
                  </w:tcBorders>
                  <w:noWrap w:val="0"/>
                  <w:vAlign w:val="center"/>
                </w:tcPr>
                <w:p w14:paraId="08538F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firstLine="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VOCs废气收集处理系统应与生产工艺设备同步运行。VOCs 废气收集处理系统发生故障或检修时，对应的生产工艺设备应停止运行，待检修完毕后同步投入使用</w:t>
                  </w:r>
                  <w:r>
                    <w:rPr>
                      <w:rFonts w:hint="eastAsia" w:cs="Times New Roman"/>
                      <w:sz w:val="21"/>
                      <w:szCs w:val="21"/>
                      <w:lang w:eastAsia="zh-CN"/>
                    </w:rPr>
                    <w:t>；</w:t>
                  </w:r>
                  <w:r>
                    <w:rPr>
                      <w:rFonts w:hint="default" w:ascii="Times New Roman" w:hAnsi="Times New Roman" w:eastAsia="宋体" w:cs="Times New Roman"/>
                      <w:sz w:val="21"/>
                      <w:szCs w:val="21"/>
                    </w:rPr>
                    <w:t>生产工艺设备不能停止运行或不能及时停止运行的，应设置废气应急处理设施或采取其他替代措施。</w:t>
                  </w:r>
                </w:p>
              </w:tc>
              <w:tc>
                <w:tcPr>
                  <w:tcW w:w="1713" w:type="pct"/>
                  <w:tcBorders>
                    <w:top w:val="single" w:color="000000" w:sz="4" w:space="0"/>
                  </w:tcBorders>
                  <w:noWrap w:val="0"/>
                  <w:vAlign w:val="center"/>
                </w:tcPr>
                <w:p w14:paraId="230E0849">
                  <w:pPr>
                    <w:pStyle w:val="79"/>
                    <w:keepNext w:val="0"/>
                    <w:keepLines w:val="0"/>
                    <w:suppressLineNumbers w:val="0"/>
                    <w:spacing w:before="0" w:beforeAutospacing="0" w:after="0" w:afterAutospacing="0" w:line="240" w:lineRule="auto"/>
                    <w:ind w:left="0" w:right="0"/>
                    <w:jc w:val="both"/>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本项目废气收集处理系统与生产工艺设备同步运行，废气收集处理系统故障或检修时，对应生产工艺设备停止运行</w:t>
                  </w:r>
                  <w:r>
                    <w:rPr>
                      <w:rFonts w:hint="default" w:ascii="Times New Roman" w:hAnsi="Times New Roman" w:eastAsia="宋体" w:cs="Times New Roman"/>
                      <w:sz w:val="21"/>
                      <w:szCs w:val="21"/>
                    </w:rPr>
                    <w:t>，待检修完毕后同步投入使用</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生产工艺设备不能停止运行或不能及时停止运行的，设置废气应急处理设施或采取其他替代措施。</w:t>
                  </w:r>
                </w:p>
              </w:tc>
              <w:tc>
                <w:tcPr>
                  <w:tcW w:w="399" w:type="pct"/>
                  <w:tcBorders>
                    <w:top w:val="single" w:color="000000" w:sz="4" w:space="0"/>
                  </w:tcBorders>
                  <w:noWrap w:val="0"/>
                  <w:vAlign w:val="center"/>
                </w:tcPr>
                <w:p w14:paraId="355257AA">
                  <w:pPr>
                    <w:pStyle w:val="79"/>
                    <w:keepNext w:val="0"/>
                    <w:keepLines w:val="0"/>
                    <w:suppressLineNumbers w:val="0"/>
                    <w:spacing w:before="0" w:beforeAutospacing="0" w:after="0" w:afterAutospacing="0" w:line="240" w:lineRule="auto"/>
                    <w:ind w:left="0" w:right="0"/>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符合</w:t>
                  </w:r>
                </w:p>
              </w:tc>
            </w:tr>
            <w:tr w14:paraId="0C41081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69" w:hRule="atLeast"/>
              </w:trPr>
              <w:tc>
                <w:tcPr>
                  <w:tcW w:w="482" w:type="pct"/>
                  <w:vMerge w:val="continue"/>
                  <w:noWrap w:val="0"/>
                  <w:vAlign w:val="center"/>
                </w:tcPr>
                <w:p w14:paraId="2F546DA1">
                  <w:pPr>
                    <w:pStyle w:val="79"/>
                    <w:keepNext w:val="0"/>
                    <w:keepLines w:val="0"/>
                    <w:suppressLineNumbers w:val="0"/>
                    <w:spacing w:before="0" w:beforeAutospacing="0" w:after="0" w:afterAutospacing="0" w:line="240" w:lineRule="auto"/>
                    <w:ind w:left="0" w:right="0"/>
                    <w:rPr>
                      <w:rFonts w:hint="eastAsia" w:ascii="Times New Roman" w:hAnsi="Times New Roman" w:eastAsia="宋体"/>
                      <w:sz w:val="21"/>
                      <w:szCs w:val="21"/>
                      <w:lang w:val="en-US" w:eastAsia="zh-CN"/>
                    </w:rPr>
                  </w:pPr>
                </w:p>
              </w:tc>
              <w:tc>
                <w:tcPr>
                  <w:tcW w:w="2404" w:type="pct"/>
                  <w:tcBorders>
                    <w:top w:val="single" w:color="000000" w:sz="4" w:space="0"/>
                  </w:tcBorders>
                  <w:noWrap w:val="0"/>
                  <w:vAlign w:val="center"/>
                </w:tcPr>
                <w:p w14:paraId="0F8AF9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firstLine="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废气收集系统排风罩(集气罩)的设置应符合GB/T16758的规定。采用外部排风罩的，应按GB/T 16758、AO/T 4274-2016 规定的方法测量控制风速，测量点应选取在距排风罩开口面最远处的VOCs无组织排放位置，控制风速不应低于0.3m</w:t>
                  </w:r>
                  <w:r>
                    <w:rPr>
                      <w:rFonts w:hint="eastAsia" w:cs="Times New Roman"/>
                      <w:sz w:val="21"/>
                      <w:szCs w:val="21"/>
                      <w:lang w:val="en-US" w:eastAsia="zh-CN"/>
                    </w:rPr>
                    <w:t>/</w:t>
                  </w:r>
                  <w:r>
                    <w:rPr>
                      <w:rFonts w:hint="default" w:ascii="Times New Roman" w:hAnsi="Times New Roman" w:eastAsia="宋体" w:cs="Times New Roman"/>
                      <w:sz w:val="21"/>
                      <w:szCs w:val="21"/>
                    </w:rPr>
                    <w:t>s(行业相关规范有具体规定的，按相关规定执行)。</w:t>
                  </w:r>
                </w:p>
                <w:p w14:paraId="4C4664F1">
                  <w:pPr>
                    <w:pStyle w:val="21"/>
                    <w:keepNext w:val="0"/>
                    <w:keepLines w:val="0"/>
                    <w:pageBreakBefore w:val="0"/>
                    <w:suppressLineNumbers w:val="0"/>
                    <w:kinsoku/>
                    <w:wordWrap/>
                    <w:overflowPunct/>
                    <w:topLinePunct w:val="0"/>
                    <w:autoSpaceDE/>
                    <w:autoSpaceDN/>
                    <w:bidi w:val="0"/>
                    <w:adjustRightInd/>
                    <w:snapToGrid/>
                    <w:spacing w:before="0" w:beforeAutospacing="0" w:afterAutospacing="0"/>
                    <w:ind w:left="0" w:leftChars="0" w:right="0" w:firstLine="0"/>
                    <w:jc w:val="both"/>
                    <w:textAlignment w:val="auto"/>
                    <w:rPr>
                      <w:rFonts w:hint="default"/>
                    </w:rPr>
                  </w:pPr>
                  <w:r>
                    <w:rPr>
                      <w:rFonts w:hint="default"/>
                    </w:rPr>
                    <w:t>废气收集系统的输送管道应密闭。废气收集系统应在负压下运行，若处于正压状态，应对输送管道组件的密封点进行泄漏检测，泄漏检测值不应超过 500 wmolmol,亦不应有感官可察觉泄漏。泄漏检测频次、修复与记录的要求按照第8章规定执行。</w:t>
                  </w:r>
                </w:p>
              </w:tc>
              <w:tc>
                <w:tcPr>
                  <w:tcW w:w="1713" w:type="pct"/>
                  <w:tcBorders>
                    <w:top w:val="single" w:color="000000" w:sz="4" w:space="0"/>
                  </w:tcBorders>
                  <w:noWrap w:val="0"/>
                  <w:vAlign w:val="center"/>
                </w:tcPr>
                <w:p w14:paraId="6CC262E2">
                  <w:pPr>
                    <w:pStyle w:val="79"/>
                    <w:keepNext w:val="0"/>
                    <w:keepLines w:val="0"/>
                    <w:suppressLineNumbers w:val="0"/>
                    <w:spacing w:before="0" w:beforeAutospacing="0" w:after="0" w:afterAutospacing="0" w:line="240" w:lineRule="auto"/>
                    <w:ind w:left="0" w:right="0"/>
                    <w:jc w:val="both"/>
                    <w:rPr>
                      <w:rFonts w:hint="default" w:ascii="Times New Roman" w:hAnsi="Times New Roman" w:eastAsia="宋体" w:cs="Times New Roman"/>
                      <w:sz w:val="21"/>
                      <w:szCs w:val="21"/>
                      <w:lang w:val="en-US" w:eastAsia="zh-CN"/>
                    </w:rPr>
                  </w:pPr>
                  <w:r>
                    <w:rPr>
                      <w:rFonts w:hint="eastAsia" w:ascii="Times New Roman" w:hAnsi="Times New Roman" w:eastAsia="宋体"/>
                      <w:color w:val="auto"/>
                      <w:sz w:val="21"/>
                      <w:szCs w:val="21"/>
                      <w:lang w:val="en-US" w:eastAsia="zh-CN"/>
                    </w:rPr>
                    <w:t>本项目淋膜工序废气经集气罩收集，</w:t>
                  </w:r>
                  <w:r>
                    <w:rPr>
                      <w:rFonts w:hint="default" w:ascii="Times New Roman" w:hAnsi="Times New Roman" w:eastAsia="宋体" w:cs="Times New Roman"/>
                      <w:sz w:val="21"/>
                      <w:szCs w:val="21"/>
                    </w:rPr>
                    <w:t>距</w:t>
                  </w:r>
                  <w:r>
                    <w:rPr>
                      <w:rFonts w:hint="eastAsia" w:ascii="Times New Roman" w:hAnsi="Times New Roman" w:eastAsia="宋体" w:cs="Times New Roman"/>
                      <w:sz w:val="21"/>
                      <w:szCs w:val="21"/>
                      <w:lang w:val="en-US" w:eastAsia="zh-CN"/>
                    </w:rPr>
                    <w:t>集气罩</w:t>
                  </w:r>
                  <w:r>
                    <w:rPr>
                      <w:rFonts w:hint="default" w:ascii="Times New Roman" w:hAnsi="Times New Roman" w:eastAsia="宋体" w:cs="Times New Roman"/>
                      <w:sz w:val="21"/>
                      <w:szCs w:val="21"/>
                    </w:rPr>
                    <w:t>开口面最远处的VOCs无组织排放位置，控制风速不低于0.3m</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rPr>
                    <w:t>s</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印刷机位于二次密闭间内，废气经负压收集。</w:t>
                  </w:r>
                </w:p>
              </w:tc>
              <w:tc>
                <w:tcPr>
                  <w:tcW w:w="399" w:type="pct"/>
                  <w:tcBorders>
                    <w:top w:val="single" w:color="000000" w:sz="4" w:space="0"/>
                  </w:tcBorders>
                  <w:noWrap w:val="0"/>
                  <w:vAlign w:val="center"/>
                </w:tcPr>
                <w:p w14:paraId="0D6FA787">
                  <w:pPr>
                    <w:pStyle w:val="79"/>
                    <w:keepNext w:val="0"/>
                    <w:keepLines w:val="0"/>
                    <w:suppressLineNumbers w:val="0"/>
                    <w:spacing w:before="0" w:beforeAutospacing="0" w:after="0" w:afterAutospacing="0" w:line="240" w:lineRule="auto"/>
                    <w:ind w:left="0" w:right="0"/>
                    <w:rPr>
                      <w:rFonts w:hint="default" w:ascii="Times New Roman" w:hAnsi="Times New Roman" w:eastAsia="宋体"/>
                      <w:sz w:val="21"/>
                      <w:szCs w:val="21"/>
                      <w:lang w:val="en-US" w:eastAsia="zh-CN"/>
                    </w:rPr>
                  </w:pPr>
                  <w:r>
                    <w:rPr>
                      <w:rFonts w:hint="eastAsia" w:ascii="Times New Roman" w:hAnsi="Times New Roman" w:eastAsia="宋体"/>
                      <w:sz w:val="21"/>
                      <w:szCs w:val="21"/>
                      <w:lang w:val="en-US" w:eastAsia="zh-CN"/>
                    </w:rPr>
                    <w:t>符合</w:t>
                  </w:r>
                </w:p>
              </w:tc>
            </w:tr>
            <w:tr w14:paraId="3DEAE84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82" w:type="pct"/>
                  <w:noWrap w:val="0"/>
                  <w:vAlign w:val="center"/>
                </w:tcPr>
                <w:p w14:paraId="194F920D">
                  <w:pPr>
                    <w:pStyle w:val="79"/>
                    <w:keepNext w:val="0"/>
                    <w:keepLines w:val="0"/>
                    <w:suppressLineNumbers w:val="0"/>
                    <w:spacing w:before="0" w:beforeAutospacing="0" w:after="0" w:afterAutospacing="0" w:line="240" w:lineRule="auto"/>
                    <w:ind w:left="0" w:right="0"/>
                    <w:rPr>
                      <w:rFonts w:hint="default" w:ascii="Times New Roman" w:hAnsi="Times New Roman" w:eastAsia="宋体"/>
                      <w:sz w:val="21"/>
                      <w:szCs w:val="21"/>
                    </w:rPr>
                  </w:pPr>
                  <w:r>
                    <w:rPr>
                      <w:rFonts w:hint="default" w:ascii="Times New Roman" w:hAnsi="Times New Roman" w:eastAsia="宋体"/>
                      <w:sz w:val="21"/>
                      <w:szCs w:val="21"/>
                    </w:rPr>
                    <w:t>其他</w:t>
                  </w:r>
                </w:p>
              </w:tc>
              <w:tc>
                <w:tcPr>
                  <w:tcW w:w="2404" w:type="pct"/>
                  <w:noWrap w:val="0"/>
                  <w:vAlign w:val="center"/>
                </w:tcPr>
                <w:p w14:paraId="591D1F5B">
                  <w:pPr>
                    <w:pStyle w:val="79"/>
                    <w:keepNext w:val="0"/>
                    <w:keepLines w:val="0"/>
                    <w:suppressLineNumbers w:val="0"/>
                    <w:spacing w:before="0" w:beforeAutospacing="0" w:after="0" w:afterAutospacing="0" w:line="240" w:lineRule="auto"/>
                    <w:ind w:left="0" w:right="0"/>
                    <w:jc w:val="both"/>
                    <w:rPr>
                      <w:rFonts w:hint="default" w:ascii="Times New Roman" w:hAnsi="Times New Roman" w:eastAsia="宋体"/>
                      <w:sz w:val="21"/>
                      <w:szCs w:val="21"/>
                    </w:rPr>
                  </w:pPr>
                  <w:r>
                    <w:rPr>
                      <w:rFonts w:hint="default" w:ascii="Times New Roman" w:hAnsi="Times New Roman" w:eastAsia="宋体"/>
                      <w:sz w:val="21"/>
                      <w:szCs w:val="21"/>
                    </w:rPr>
                    <w:t>企业应建立台账，记录含VOCs原辅材料和含VOCs产品的名称、使用量、回收量、废弃量、去向以及VOCs含量等信息。台账保存期限不少于3年。通风生产设备、操作工位、车间厂房等应在符合安全生产、职业卫生相关规定的前提下，根据行业作业规程与标准、工业建筑及洁净厂房通风设计规范等的要求，采用合理的通风量。载有VOCs物料的设备及其管道在开停工（车）、检维修和清洗时，应在退料阶段将残存物料退净，并用密闭容器盛装，退料过程废气应排至VOCs废气收集处理系统；清洗及吹扫过程排气应排至VOCs废气收集处理系统。工艺过程产生的含VOCs废料（渣、液）应按照第5章、第6章的要求进行储存、转移和输送。盛装过VOCs物料的废包装容器应加盖密闭。</w:t>
                  </w:r>
                </w:p>
              </w:tc>
              <w:tc>
                <w:tcPr>
                  <w:tcW w:w="1713" w:type="pct"/>
                  <w:noWrap w:val="0"/>
                  <w:vAlign w:val="center"/>
                </w:tcPr>
                <w:p w14:paraId="4A57AD3C">
                  <w:pPr>
                    <w:pStyle w:val="79"/>
                    <w:keepNext w:val="0"/>
                    <w:keepLines w:val="0"/>
                    <w:suppressLineNumbers w:val="0"/>
                    <w:spacing w:before="0" w:beforeAutospacing="0" w:after="0" w:afterAutospacing="0" w:line="240" w:lineRule="auto"/>
                    <w:ind w:left="0" w:right="0"/>
                    <w:jc w:val="both"/>
                    <w:rPr>
                      <w:rFonts w:hint="default" w:ascii="Times New Roman" w:hAnsi="Times New Roman" w:eastAsia="宋体"/>
                      <w:color w:val="auto"/>
                      <w:sz w:val="21"/>
                      <w:szCs w:val="21"/>
                    </w:rPr>
                  </w:pPr>
                  <w:r>
                    <w:rPr>
                      <w:rFonts w:ascii="Times New Roman" w:hAnsi="Times New Roman" w:eastAsia="宋体"/>
                      <w:color w:val="auto"/>
                      <w:sz w:val="21"/>
                      <w:szCs w:val="21"/>
                    </w:rPr>
                    <w:t>本项目</w:t>
                  </w:r>
                  <w:r>
                    <w:rPr>
                      <w:rFonts w:hint="default" w:ascii="Times New Roman" w:hAnsi="Times New Roman" w:eastAsia="宋体"/>
                      <w:color w:val="auto"/>
                      <w:sz w:val="21"/>
                      <w:szCs w:val="21"/>
                    </w:rPr>
                    <w:t>建成后建立台账，记录</w:t>
                  </w:r>
                  <w:r>
                    <w:rPr>
                      <w:rFonts w:ascii="Times New Roman" w:hAnsi="Times New Roman" w:eastAsia="宋体"/>
                      <w:color w:val="auto"/>
                      <w:sz w:val="21"/>
                      <w:szCs w:val="21"/>
                    </w:rPr>
                    <w:t>原辅材料采购量、</w:t>
                  </w:r>
                  <w:r>
                    <w:rPr>
                      <w:rFonts w:hint="default" w:ascii="Times New Roman" w:hAnsi="Times New Roman" w:eastAsia="宋体"/>
                      <w:color w:val="auto"/>
                      <w:sz w:val="21"/>
                      <w:szCs w:val="21"/>
                    </w:rPr>
                    <w:t>含VOCs原辅材料的名称、使用量、回收量、废弃量、去向以及VOCs含量等信息。台账保存期限不少于5年。</w:t>
                  </w:r>
                </w:p>
                <w:p w14:paraId="18E966CA">
                  <w:pPr>
                    <w:pStyle w:val="79"/>
                    <w:keepNext w:val="0"/>
                    <w:keepLines w:val="0"/>
                    <w:suppressLineNumbers w:val="0"/>
                    <w:spacing w:before="0" w:beforeAutospacing="0" w:after="0" w:afterAutospacing="0" w:line="240" w:lineRule="auto"/>
                    <w:ind w:left="0" w:right="0"/>
                    <w:jc w:val="both"/>
                    <w:rPr>
                      <w:rFonts w:hint="default" w:ascii="Times New Roman" w:hAnsi="Times New Roman" w:eastAsia="宋体"/>
                      <w:color w:val="auto"/>
                      <w:sz w:val="21"/>
                      <w:szCs w:val="21"/>
                    </w:rPr>
                  </w:pPr>
                  <w:r>
                    <w:rPr>
                      <w:rFonts w:hint="default" w:ascii="Times New Roman" w:hAnsi="Times New Roman" w:eastAsia="宋体"/>
                      <w:color w:val="auto"/>
                      <w:sz w:val="21"/>
                      <w:szCs w:val="21"/>
                    </w:rPr>
                    <w:t>项目通风生产设备、操作工位、车间厂房等在符合安全生产、职业卫生相关规定的前提下，根据行业作业规程与标准、工业建筑及洁净厂房通风设计规范等的要求，采用合理的通风量。</w:t>
                  </w:r>
                </w:p>
                <w:p w14:paraId="48A46E42">
                  <w:pPr>
                    <w:pStyle w:val="79"/>
                    <w:keepNext w:val="0"/>
                    <w:keepLines w:val="0"/>
                    <w:suppressLineNumbers w:val="0"/>
                    <w:spacing w:before="0" w:beforeAutospacing="0" w:after="0" w:afterAutospacing="0" w:line="240" w:lineRule="auto"/>
                    <w:ind w:left="0" w:right="0"/>
                    <w:jc w:val="both"/>
                    <w:rPr>
                      <w:rFonts w:ascii="Times New Roman" w:hAnsi="Times New Roman" w:eastAsia="宋体"/>
                      <w:color w:val="auto"/>
                      <w:sz w:val="21"/>
                      <w:szCs w:val="21"/>
                    </w:rPr>
                  </w:pPr>
                  <w:r>
                    <w:rPr>
                      <w:rFonts w:hint="default" w:ascii="Times New Roman" w:hAnsi="Times New Roman" w:eastAsia="宋体"/>
                      <w:color w:val="auto"/>
                      <w:sz w:val="21"/>
                      <w:szCs w:val="21"/>
                    </w:rPr>
                    <w:t>盛装过VOCs物料的废包装容器加盖密闭。</w:t>
                  </w:r>
                </w:p>
              </w:tc>
              <w:tc>
                <w:tcPr>
                  <w:tcW w:w="399" w:type="pct"/>
                  <w:noWrap w:val="0"/>
                  <w:vAlign w:val="center"/>
                </w:tcPr>
                <w:p w14:paraId="2E5A480A">
                  <w:pPr>
                    <w:pStyle w:val="79"/>
                    <w:keepNext w:val="0"/>
                    <w:keepLines w:val="0"/>
                    <w:suppressLineNumbers w:val="0"/>
                    <w:spacing w:before="0" w:beforeAutospacing="0" w:after="0" w:afterAutospacing="0" w:line="240" w:lineRule="auto"/>
                    <w:ind w:left="0" w:right="0"/>
                    <w:rPr>
                      <w:rFonts w:ascii="Times New Roman" w:hAnsi="Times New Roman" w:eastAsia="宋体"/>
                      <w:sz w:val="21"/>
                      <w:szCs w:val="21"/>
                    </w:rPr>
                  </w:pPr>
                  <w:r>
                    <w:rPr>
                      <w:rFonts w:hint="default" w:ascii="Times New Roman" w:hAnsi="Times New Roman" w:eastAsia="宋体"/>
                      <w:sz w:val="21"/>
                      <w:szCs w:val="21"/>
                    </w:rPr>
                    <w:t>符合</w:t>
                  </w:r>
                </w:p>
              </w:tc>
            </w:tr>
            <w:tr w14:paraId="7C9ADE9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82" w:type="pct"/>
                  <w:vMerge w:val="restart"/>
                  <w:noWrap w:val="0"/>
                  <w:vAlign w:val="center"/>
                </w:tcPr>
                <w:p w14:paraId="4C0388F4">
                  <w:pPr>
                    <w:pStyle w:val="79"/>
                    <w:keepNext w:val="0"/>
                    <w:keepLines w:val="0"/>
                    <w:suppressLineNumbers w:val="0"/>
                    <w:spacing w:before="0" w:beforeAutospacing="0" w:after="0" w:afterAutospacing="0" w:line="240" w:lineRule="auto"/>
                    <w:ind w:left="0" w:right="0"/>
                    <w:rPr>
                      <w:rFonts w:hint="default" w:ascii="Times New Roman" w:hAnsi="Times New Roman" w:eastAsia="宋体"/>
                      <w:sz w:val="21"/>
                      <w:szCs w:val="21"/>
                    </w:rPr>
                  </w:pPr>
                  <w:r>
                    <w:rPr>
                      <w:rFonts w:hint="default" w:ascii="Times New Roman" w:hAnsi="Times New Roman" w:eastAsia="宋体"/>
                      <w:sz w:val="21"/>
                      <w:szCs w:val="21"/>
                    </w:rPr>
                    <w:t>企业厂区内及周边污染监控要求</w:t>
                  </w:r>
                </w:p>
              </w:tc>
              <w:tc>
                <w:tcPr>
                  <w:tcW w:w="2404" w:type="pct"/>
                  <w:noWrap w:val="0"/>
                  <w:vAlign w:val="center"/>
                </w:tcPr>
                <w:p w14:paraId="146751FD">
                  <w:pPr>
                    <w:pStyle w:val="79"/>
                    <w:keepNext w:val="0"/>
                    <w:keepLines w:val="0"/>
                    <w:suppressLineNumbers w:val="0"/>
                    <w:spacing w:before="0" w:beforeAutospacing="0" w:after="0" w:afterAutospacing="0" w:line="240" w:lineRule="auto"/>
                    <w:ind w:left="0" w:right="0"/>
                    <w:rPr>
                      <w:rFonts w:hint="default" w:ascii="Times New Roman" w:hAnsi="Times New Roman" w:eastAsia="宋体"/>
                      <w:sz w:val="21"/>
                      <w:szCs w:val="21"/>
                    </w:rPr>
                  </w:pPr>
                  <w:r>
                    <w:rPr>
                      <w:rFonts w:hint="default" w:ascii="Times New Roman" w:hAnsi="Times New Roman" w:eastAsia="宋体"/>
                      <w:sz w:val="21"/>
                      <w:szCs w:val="21"/>
                    </w:rPr>
                    <w:t>11.1企业边界及周边VOCs监控要求执行GB16297或相关行业排放标准的规定。</w:t>
                  </w:r>
                </w:p>
              </w:tc>
              <w:tc>
                <w:tcPr>
                  <w:tcW w:w="1713" w:type="pct"/>
                  <w:noWrap w:val="0"/>
                  <w:vAlign w:val="center"/>
                </w:tcPr>
                <w:p w14:paraId="56149DD5">
                  <w:pPr>
                    <w:pStyle w:val="79"/>
                    <w:keepNext w:val="0"/>
                    <w:keepLines w:val="0"/>
                    <w:suppressLineNumbers w:val="0"/>
                    <w:spacing w:before="0" w:beforeAutospacing="0" w:after="0" w:afterAutospacing="0" w:line="240" w:lineRule="auto"/>
                    <w:ind w:left="0" w:right="0"/>
                    <w:jc w:val="both"/>
                    <w:rPr>
                      <w:rFonts w:ascii="Times New Roman" w:hAnsi="Times New Roman" w:eastAsia="宋体"/>
                      <w:color w:val="auto"/>
                      <w:sz w:val="21"/>
                      <w:szCs w:val="21"/>
                    </w:rPr>
                  </w:pPr>
                  <w:r>
                    <w:rPr>
                      <w:rFonts w:hint="default" w:ascii="Times New Roman" w:hAnsi="Times New Roman" w:eastAsia="宋体"/>
                      <w:color w:val="auto"/>
                      <w:sz w:val="21"/>
                      <w:szCs w:val="21"/>
                    </w:rPr>
                    <w:t>经预测，本项目无组织废气排放满足《关于全省开展工业企业挥发性有机物专项治理工作中排放建议值的通知》豫环攻坚办【2017】162号文非甲烷总烃厂界无组织排放限值</w:t>
                  </w:r>
                  <w:r>
                    <w:rPr>
                      <w:rFonts w:ascii="Times New Roman" w:hAnsi="Times New Roman" w:eastAsia="宋体"/>
                      <w:color w:val="auto"/>
                      <w:sz w:val="21"/>
                      <w:szCs w:val="21"/>
                    </w:rPr>
                    <w:t>：</w:t>
                  </w:r>
                  <w:r>
                    <w:rPr>
                      <w:rFonts w:hint="default" w:ascii="Times New Roman" w:hAnsi="Times New Roman" w:eastAsia="宋体"/>
                      <w:color w:val="auto"/>
                      <w:sz w:val="21"/>
                      <w:szCs w:val="21"/>
                    </w:rPr>
                    <w:t>2.0mg/m</w:t>
                  </w:r>
                  <w:r>
                    <w:rPr>
                      <w:rFonts w:hint="default" w:ascii="Times New Roman" w:hAnsi="Times New Roman" w:eastAsia="宋体"/>
                      <w:color w:val="auto"/>
                      <w:sz w:val="21"/>
                      <w:szCs w:val="21"/>
                      <w:vertAlign w:val="superscript"/>
                    </w:rPr>
                    <w:t>3</w:t>
                  </w:r>
                  <w:r>
                    <w:rPr>
                      <w:rFonts w:hint="default" w:ascii="Times New Roman" w:hAnsi="Times New Roman" w:eastAsia="宋体"/>
                      <w:color w:val="auto"/>
                      <w:sz w:val="21"/>
                      <w:szCs w:val="21"/>
                    </w:rPr>
                    <w:t>。</w:t>
                  </w:r>
                </w:p>
              </w:tc>
              <w:tc>
                <w:tcPr>
                  <w:tcW w:w="399" w:type="pct"/>
                  <w:noWrap w:val="0"/>
                  <w:vAlign w:val="center"/>
                </w:tcPr>
                <w:p w14:paraId="39CAA655">
                  <w:pPr>
                    <w:pStyle w:val="79"/>
                    <w:keepNext w:val="0"/>
                    <w:keepLines w:val="0"/>
                    <w:suppressLineNumbers w:val="0"/>
                    <w:spacing w:before="0" w:beforeAutospacing="0" w:after="0" w:afterAutospacing="0" w:line="240" w:lineRule="auto"/>
                    <w:ind w:left="0" w:right="0"/>
                    <w:rPr>
                      <w:rFonts w:ascii="Times New Roman" w:hAnsi="Times New Roman" w:eastAsia="宋体"/>
                      <w:sz w:val="21"/>
                      <w:szCs w:val="21"/>
                    </w:rPr>
                  </w:pPr>
                  <w:r>
                    <w:rPr>
                      <w:rFonts w:hint="default" w:ascii="Times New Roman" w:hAnsi="Times New Roman" w:eastAsia="宋体"/>
                      <w:sz w:val="21"/>
                      <w:szCs w:val="21"/>
                    </w:rPr>
                    <w:t>符合</w:t>
                  </w:r>
                </w:p>
              </w:tc>
            </w:tr>
            <w:tr w14:paraId="130E1DC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82" w:type="pct"/>
                  <w:vMerge w:val="continue"/>
                  <w:tcBorders>
                    <w:bottom w:val="single" w:color="000000" w:sz="8" w:space="0"/>
                  </w:tcBorders>
                  <w:noWrap w:val="0"/>
                  <w:vAlign w:val="top"/>
                </w:tcPr>
                <w:p w14:paraId="6776F83E">
                  <w:pPr>
                    <w:keepNext w:val="0"/>
                    <w:keepLines w:val="0"/>
                    <w:suppressLineNumbers w:val="0"/>
                    <w:spacing w:before="0" w:beforeAutospacing="0" w:after="0" w:afterAutospacing="0"/>
                    <w:ind w:left="0" w:right="0"/>
                    <w:rPr>
                      <w:rFonts w:hint="default"/>
                      <w:color w:val="FF0000"/>
                      <w:sz w:val="21"/>
                      <w:szCs w:val="21"/>
                    </w:rPr>
                  </w:pPr>
                </w:p>
              </w:tc>
              <w:tc>
                <w:tcPr>
                  <w:tcW w:w="2404" w:type="pct"/>
                  <w:tcBorders>
                    <w:bottom w:val="single" w:color="000000" w:sz="8" w:space="0"/>
                  </w:tcBorders>
                  <w:noWrap w:val="0"/>
                  <w:vAlign w:val="center"/>
                </w:tcPr>
                <w:p w14:paraId="1F297EA0">
                  <w:pPr>
                    <w:pStyle w:val="79"/>
                    <w:keepNext w:val="0"/>
                    <w:keepLines w:val="0"/>
                    <w:suppressLineNumbers w:val="0"/>
                    <w:spacing w:before="0" w:beforeAutospacing="0" w:after="0" w:afterAutospacing="0" w:line="240" w:lineRule="auto"/>
                    <w:ind w:left="0" w:right="0"/>
                    <w:jc w:val="both"/>
                    <w:rPr>
                      <w:rFonts w:hint="default" w:ascii="Times New Roman" w:hAnsi="Times New Roman" w:eastAsia="宋体"/>
                      <w:sz w:val="21"/>
                      <w:szCs w:val="21"/>
                    </w:rPr>
                  </w:pPr>
                  <w:r>
                    <w:rPr>
                      <w:rFonts w:hint="default" w:ascii="Times New Roman" w:hAnsi="Times New Roman" w:eastAsia="宋体"/>
                      <w:sz w:val="21"/>
                      <w:szCs w:val="21"/>
                    </w:rPr>
                    <w:t>11.2地方生态环境主管部门可根据当地环境保护需要，对厂区内VOCs无组织排放状况进行监控，具体实施方式由各地自行确定。厂区内VOCs无组织排放监控要求：监控点处1h平均浓度值≤6mg/m³、监控点处任意一次浓度值≤20mg/m³。</w:t>
                  </w:r>
                </w:p>
              </w:tc>
              <w:tc>
                <w:tcPr>
                  <w:tcW w:w="1713" w:type="pct"/>
                  <w:tcBorders>
                    <w:bottom w:val="single" w:color="000000" w:sz="8" w:space="0"/>
                  </w:tcBorders>
                  <w:noWrap w:val="0"/>
                  <w:vAlign w:val="center"/>
                </w:tcPr>
                <w:p w14:paraId="3D2A21BB">
                  <w:pPr>
                    <w:pStyle w:val="79"/>
                    <w:keepNext w:val="0"/>
                    <w:keepLines w:val="0"/>
                    <w:suppressLineNumbers w:val="0"/>
                    <w:spacing w:before="0" w:beforeAutospacing="0" w:after="0" w:afterAutospacing="0" w:line="240" w:lineRule="auto"/>
                    <w:ind w:left="0" w:right="0"/>
                    <w:jc w:val="both"/>
                    <w:rPr>
                      <w:rFonts w:ascii="Times New Roman" w:hAnsi="Times New Roman" w:eastAsia="宋体"/>
                      <w:color w:val="auto"/>
                      <w:sz w:val="21"/>
                      <w:szCs w:val="21"/>
                    </w:rPr>
                  </w:pPr>
                  <w:r>
                    <w:rPr>
                      <w:rFonts w:hint="default" w:ascii="Times New Roman" w:hAnsi="Times New Roman" w:eastAsia="宋体"/>
                      <w:color w:val="auto"/>
                      <w:sz w:val="21"/>
                      <w:szCs w:val="21"/>
                    </w:rPr>
                    <w:t>本项目建成后按要求对厂区内VOCs无组织排放</w:t>
                  </w:r>
                  <w:r>
                    <w:rPr>
                      <w:rFonts w:ascii="Times New Roman" w:hAnsi="Times New Roman" w:eastAsia="宋体"/>
                      <w:color w:val="auto"/>
                      <w:sz w:val="21"/>
                      <w:szCs w:val="21"/>
                    </w:rPr>
                    <w:t>进行</w:t>
                  </w:r>
                  <w:r>
                    <w:rPr>
                      <w:rFonts w:hint="default" w:ascii="Times New Roman" w:hAnsi="Times New Roman" w:eastAsia="宋体"/>
                      <w:color w:val="auto"/>
                      <w:sz w:val="21"/>
                      <w:szCs w:val="21"/>
                    </w:rPr>
                    <w:t>监控。</w:t>
                  </w:r>
                </w:p>
              </w:tc>
              <w:tc>
                <w:tcPr>
                  <w:tcW w:w="399" w:type="pct"/>
                  <w:tcBorders>
                    <w:bottom w:val="single" w:color="000000" w:sz="8" w:space="0"/>
                  </w:tcBorders>
                  <w:noWrap w:val="0"/>
                  <w:vAlign w:val="center"/>
                </w:tcPr>
                <w:p w14:paraId="6E58DF3E">
                  <w:pPr>
                    <w:pStyle w:val="79"/>
                    <w:keepNext w:val="0"/>
                    <w:keepLines w:val="0"/>
                    <w:suppressLineNumbers w:val="0"/>
                    <w:spacing w:before="0" w:beforeAutospacing="0" w:after="0" w:afterAutospacing="0" w:line="240" w:lineRule="auto"/>
                    <w:ind w:left="0" w:right="0"/>
                    <w:rPr>
                      <w:rFonts w:ascii="Times New Roman" w:hAnsi="Times New Roman" w:eastAsia="宋体"/>
                      <w:sz w:val="21"/>
                      <w:szCs w:val="21"/>
                    </w:rPr>
                  </w:pPr>
                  <w:r>
                    <w:rPr>
                      <w:rFonts w:hint="default" w:ascii="Times New Roman" w:hAnsi="Times New Roman" w:eastAsia="宋体"/>
                      <w:sz w:val="21"/>
                      <w:szCs w:val="21"/>
                    </w:rPr>
                    <w:t>符合</w:t>
                  </w:r>
                </w:p>
              </w:tc>
            </w:tr>
          </w:tbl>
          <w:p w14:paraId="238A2434">
            <w:pPr>
              <w:keepNext w:val="0"/>
              <w:keepLines w:val="0"/>
              <w:suppressLineNumbers w:val="0"/>
              <w:spacing w:before="0" w:beforeAutospacing="0" w:after="0" w:afterAutospacing="0" w:line="440" w:lineRule="exact"/>
              <w:ind w:left="0" w:right="0" w:firstLine="480" w:firstLineChars="200"/>
              <w:rPr>
                <w:rFonts w:hint="eastAsia"/>
                <w:bCs/>
                <w:sz w:val="24"/>
              </w:rPr>
            </w:pPr>
            <w:r>
              <w:rPr>
                <w:rFonts w:hint="eastAsia"/>
                <w:bCs/>
                <w:sz w:val="24"/>
              </w:rPr>
              <w:t>由上表可知，本项目符合</w:t>
            </w:r>
            <w:r>
              <w:rPr>
                <w:rFonts w:hint="default"/>
                <w:bCs/>
                <w:sz w:val="24"/>
              </w:rPr>
              <w:t>《挥发性有机物无组织排放控制标准》（GB37822-2019）</w:t>
            </w:r>
            <w:r>
              <w:rPr>
                <w:rFonts w:hint="eastAsia"/>
                <w:bCs/>
                <w:sz w:val="24"/>
              </w:rPr>
              <w:t>中文件要求。</w:t>
            </w:r>
          </w:p>
          <w:p w14:paraId="7FEA1C5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482" w:firstLineChars="200"/>
              <w:jc w:val="both"/>
              <w:textAlignment w:val="auto"/>
              <w:rPr>
                <w:rFonts w:hint="eastAsia"/>
                <w:b/>
                <w:sz w:val="24"/>
                <w:highlight w:val="none"/>
                <w:lang w:val="en-US" w:eastAsia="zh-CN"/>
              </w:rPr>
            </w:pPr>
            <w:r>
              <w:rPr>
                <w:rFonts w:hint="eastAsia"/>
                <w:b/>
                <w:sz w:val="24"/>
                <w:highlight w:val="none"/>
                <w:lang w:val="en-US" w:eastAsia="zh-CN"/>
              </w:rPr>
              <w:t>9、本项目与《新乡市生态环境局关于印发&lt;印刷行业挥发性有机物治理方案&gt;》通知（新环【2021】22号）的对比分析</w:t>
            </w:r>
          </w:p>
          <w:p w14:paraId="1D6218F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440" w:lineRule="exact"/>
              <w:ind w:left="0" w:right="0" w:firstLine="964" w:firstLineChars="400"/>
              <w:jc w:val="center"/>
              <w:textAlignment w:val="auto"/>
              <w:rPr>
                <w:rFonts w:hint="default" w:ascii="Times New Roman" w:hAnsi="Times New Roman" w:eastAsia="宋体" w:cs="Times New Roman"/>
                <w:b/>
                <w:snapToGrid w:val="0"/>
                <w:sz w:val="24"/>
                <w:szCs w:val="24"/>
                <w:lang w:val="en-US" w:eastAsia="zh-CN"/>
              </w:rPr>
            </w:pPr>
            <w:r>
              <w:rPr>
                <w:rFonts w:hint="default" w:ascii="Times New Roman" w:hAnsi="Times New Roman" w:eastAsia="宋体" w:cs="Times New Roman"/>
                <w:b/>
                <w:snapToGrid w:val="0"/>
                <w:sz w:val="24"/>
                <w:szCs w:val="24"/>
                <w:lang w:val="en-US" w:eastAsia="zh-CN"/>
              </w:rPr>
              <w:t>表</w:t>
            </w:r>
            <w:r>
              <w:rPr>
                <w:rFonts w:hint="eastAsia" w:cs="Times New Roman"/>
                <w:b/>
                <w:snapToGrid w:val="0"/>
                <w:sz w:val="24"/>
                <w:szCs w:val="24"/>
                <w:lang w:val="en-US" w:eastAsia="zh-CN"/>
              </w:rPr>
              <w:t>9</w:t>
            </w:r>
            <w:r>
              <w:rPr>
                <w:rFonts w:hint="default" w:ascii="Times New Roman" w:hAnsi="Times New Roman" w:eastAsia="宋体" w:cs="Times New Roman"/>
                <w:b/>
                <w:snapToGrid w:val="0"/>
                <w:sz w:val="24"/>
                <w:szCs w:val="24"/>
                <w:lang w:val="en-US" w:eastAsia="zh-CN"/>
              </w:rPr>
              <w:t xml:space="preserve">      与《</w:t>
            </w:r>
            <w:r>
              <w:rPr>
                <w:rFonts w:hint="eastAsia" w:cs="Times New Roman"/>
                <w:b/>
                <w:snapToGrid w:val="0"/>
                <w:sz w:val="24"/>
                <w:szCs w:val="24"/>
                <w:lang w:val="en-US" w:eastAsia="zh-CN"/>
              </w:rPr>
              <w:t>治理方案</w:t>
            </w:r>
            <w:r>
              <w:rPr>
                <w:rFonts w:hint="default" w:ascii="Times New Roman" w:hAnsi="Times New Roman" w:eastAsia="宋体" w:cs="Times New Roman"/>
                <w:b/>
                <w:snapToGrid w:val="0"/>
                <w:sz w:val="24"/>
                <w:szCs w:val="24"/>
                <w:lang w:val="en-US" w:eastAsia="zh-CN"/>
              </w:rPr>
              <w:t>》对照情况一览表</w:t>
            </w:r>
          </w:p>
          <w:tbl>
            <w:tblPr>
              <w:tblStyle w:val="22"/>
              <w:tblW w:w="5000" w:type="pct"/>
              <w:tblInd w:w="5"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25"/>
              <w:gridCol w:w="4294"/>
              <w:gridCol w:w="3022"/>
              <w:gridCol w:w="697"/>
            </w:tblGrid>
            <w:tr w14:paraId="3F1A65F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896" w:type="pct"/>
                  <w:gridSpan w:val="2"/>
                  <w:tcBorders>
                    <w:top w:val="single" w:color="000000" w:sz="8" w:space="0"/>
                    <w:bottom w:val="single" w:color="000000" w:sz="8" w:space="0"/>
                  </w:tcBorders>
                  <w:noWrap w:val="0"/>
                  <w:vAlign w:val="center"/>
                </w:tcPr>
                <w:p w14:paraId="75956CD8">
                  <w:pPr>
                    <w:keepNext w:val="0"/>
                    <w:keepLines w:val="0"/>
                    <w:suppressLineNumbers w:val="0"/>
                    <w:spacing w:before="0" w:beforeAutospacing="0" w:after="0" w:afterAutospacing="0"/>
                    <w:ind w:left="0" w:right="0"/>
                    <w:jc w:val="center"/>
                    <w:rPr>
                      <w:rFonts w:hint="default"/>
                      <w:b/>
                      <w:bCs/>
                      <w:color w:val="auto"/>
                      <w:sz w:val="21"/>
                      <w:szCs w:val="21"/>
                      <w:lang w:val="en-US"/>
                    </w:rPr>
                  </w:pPr>
                  <w:r>
                    <w:rPr>
                      <w:rFonts w:hint="eastAsia"/>
                      <w:b/>
                      <w:bCs/>
                      <w:color w:val="auto"/>
                      <w:sz w:val="21"/>
                      <w:szCs w:val="21"/>
                      <w:lang w:val="en-US" w:eastAsia="zh-CN"/>
                    </w:rPr>
                    <w:t>文件要求</w:t>
                  </w:r>
                </w:p>
              </w:tc>
              <w:tc>
                <w:tcPr>
                  <w:tcW w:w="1709" w:type="pct"/>
                  <w:tcBorders>
                    <w:top w:val="single" w:color="000000" w:sz="8" w:space="0"/>
                    <w:bottom w:val="single" w:color="000000" w:sz="8" w:space="0"/>
                  </w:tcBorders>
                  <w:noWrap w:val="0"/>
                  <w:vAlign w:val="center"/>
                </w:tcPr>
                <w:p w14:paraId="359C0DD2">
                  <w:pPr>
                    <w:keepNext w:val="0"/>
                    <w:keepLines w:val="0"/>
                    <w:suppressLineNumbers w:val="0"/>
                    <w:spacing w:before="0" w:beforeAutospacing="0" w:after="0" w:afterAutospacing="0"/>
                    <w:ind w:left="0" w:right="0"/>
                    <w:jc w:val="center"/>
                    <w:rPr>
                      <w:rFonts w:hint="default"/>
                      <w:b/>
                      <w:bCs/>
                      <w:color w:val="auto"/>
                      <w:sz w:val="21"/>
                      <w:szCs w:val="21"/>
                    </w:rPr>
                  </w:pPr>
                  <w:r>
                    <w:rPr>
                      <w:rFonts w:hint="default"/>
                      <w:b/>
                      <w:bCs/>
                      <w:color w:val="auto"/>
                      <w:sz w:val="21"/>
                      <w:szCs w:val="21"/>
                    </w:rPr>
                    <w:t>本项目情况</w:t>
                  </w:r>
                </w:p>
              </w:tc>
              <w:tc>
                <w:tcPr>
                  <w:tcW w:w="394" w:type="pct"/>
                  <w:tcBorders>
                    <w:top w:val="single" w:color="000000" w:sz="8" w:space="0"/>
                    <w:bottom w:val="single" w:color="000000" w:sz="8" w:space="0"/>
                  </w:tcBorders>
                  <w:noWrap w:val="0"/>
                  <w:vAlign w:val="center"/>
                </w:tcPr>
                <w:p w14:paraId="497E6580">
                  <w:pPr>
                    <w:keepNext w:val="0"/>
                    <w:keepLines w:val="0"/>
                    <w:suppressLineNumbers w:val="0"/>
                    <w:spacing w:before="0" w:beforeAutospacing="0" w:after="0" w:afterAutospacing="0"/>
                    <w:ind w:left="0" w:right="0"/>
                    <w:jc w:val="center"/>
                    <w:rPr>
                      <w:rFonts w:hint="default"/>
                      <w:b/>
                      <w:bCs/>
                      <w:color w:val="auto"/>
                      <w:sz w:val="21"/>
                      <w:szCs w:val="21"/>
                    </w:rPr>
                  </w:pPr>
                  <w:r>
                    <w:rPr>
                      <w:rFonts w:hint="default"/>
                      <w:b/>
                      <w:bCs/>
                      <w:color w:val="auto"/>
                      <w:sz w:val="21"/>
                      <w:szCs w:val="21"/>
                    </w:rPr>
                    <w:t>对比结果</w:t>
                  </w:r>
                </w:p>
              </w:tc>
            </w:tr>
            <w:tr w14:paraId="33F04E2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82" w:hRule="atLeast"/>
              </w:trPr>
              <w:tc>
                <w:tcPr>
                  <w:tcW w:w="466" w:type="pct"/>
                  <w:tcBorders>
                    <w:top w:val="single" w:color="000000" w:sz="8" w:space="0"/>
                    <w:bottom w:val="single" w:color="000000" w:sz="4" w:space="0"/>
                  </w:tcBorders>
                  <w:noWrap w:val="0"/>
                  <w:vAlign w:val="center"/>
                </w:tcPr>
                <w:p w14:paraId="1AA90377">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（一）原辅材料替代</w:t>
                  </w:r>
                </w:p>
              </w:tc>
              <w:tc>
                <w:tcPr>
                  <w:tcW w:w="2429" w:type="pct"/>
                  <w:tcBorders>
                    <w:top w:val="single" w:color="000000" w:sz="8" w:space="0"/>
                    <w:bottom w:val="single" w:color="000000" w:sz="4" w:space="0"/>
                  </w:tcBorders>
                  <w:noWrap w:val="0"/>
                  <w:vAlign w:val="center"/>
                </w:tcPr>
                <w:p w14:paraId="348244B8">
                  <w:pPr>
                    <w:keepNext w:val="0"/>
                    <w:keepLines w:val="0"/>
                    <w:widowControl/>
                    <w:suppressLineNumbers w:val="0"/>
                    <w:spacing w:before="0" w:beforeAutospacing="0" w:after="0" w:afterAutospacing="0"/>
                    <w:ind w:left="0" w:right="0"/>
                    <w:jc w:val="both"/>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鼓励使用植物油基胶印油墨替代技术、无/低醇润湿液替代技术、辐射固化油墨替代技术、水性凹印油墨替代技术、水性凸印油墨替代技术、水性胶粘剂替代技术、水性光油替代技术、UV光油替代技术，从源头控制印刷行业VOCs产生量。</w:t>
                  </w:r>
                </w:p>
                <w:p w14:paraId="03449A6B">
                  <w:pPr>
                    <w:keepNext w:val="0"/>
                    <w:keepLines w:val="0"/>
                    <w:widowControl/>
                    <w:suppressLineNumbers w:val="0"/>
                    <w:spacing w:before="0" w:beforeAutospacing="0" w:after="0" w:afterAutospacing="0"/>
                    <w:ind w:left="0" w:right="0"/>
                    <w:jc w:val="both"/>
                    <w:rPr>
                      <w:rFonts w:hint="eastAsia"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sz w:val="21"/>
                      <w:szCs w:val="21"/>
                      <w:u w:val="none"/>
                      <w:lang w:val="en-US" w:eastAsia="zh-CN"/>
                    </w:rPr>
                    <w:t>植物油基胶印油墨替代技术适用于所有可吸收性材料的平版印刷工艺；无/低醇润湿液替代技术适用于平版印刷工艺，采用无/低醇润湿液替代传统润湿液，一般可减少润版工序VOCs产生量50%-90%；辐射固化油墨替代技术适用于平版、凸版及网版印刷工艺对标签、票证、纸包装、金属罐等的印刷，不适用于对直接接触食品的产品的印刷；水性凹印油墨替代技术适用于塑料表印、塑料轻包装及纸张凹版印刷工艺；水性凸印油墨替代技术适用于纸包装、标签、票证、塑料包装、铝罐等的凸版印刷工艺；水性胶粘剂替代技术适用于方便面包装袋、膨化食品包装袋等轻包装制品的覆膜工序，以及纸包装的复合工序；水性光油替代技术适用于书刊、画册、食品包装、药品包装等纸张印刷的上光工艺；UV光油替代技术适用于纸张及金属的上光工艺，不适用于直接接触食品的产品的上光。</w:t>
                  </w:r>
                </w:p>
              </w:tc>
              <w:tc>
                <w:tcPr>
                  <w:tcW w:w="1709" w:type="pct"/>
                  <w:tcBorders>
                    <w:top w:val="single" w:color="000000" w:sz="8" w:space="0"/>
                    <w:bottom w:val="single" w:color="000000" w:sz="4" w:space="0"/>
                  </w:tcBorders>
                  <w:noWrap w:val="0"/>
                  <w:vAlign w:val="center"/>
                </w:tcPr>
                <w:p w14:paraId="570DD235">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b w:val="0"/>
                      <w:bCs/>
                      <w:color w:val="auto"/>
                      <w:sz w:val="21"/>
                      <w:szCs w:val="21"/>
                      <w:lang w:val="en-US" w:eastAsia="zh-CN"/>
                    </w:rPr>
                    <w:t>本项目</w:t>
                  </w:r>
                  <w:r>
                    <w:rPr>
                      <w:rFonts w:hint="default" w:ascii="Times New Roman" w:hAnsi="Times New Roman" w:eastAsia="宋体" w:cs="Times New Roman"/>
                      <w:color w:val="auto"/>
                      <w:kern w:val="0"/>
                      <w:sz w:val="21"/>
                      <w:szCs w:val="21"/>
                      <w:highlight w:val="none"/>
                      <w:lang w:val="en-US" w:eastAsia="zh-CN"/>
                    </w:rPr>
                    <w:t>使用水性油墨</w:t>
                  </w:r>
                  <w:r>
                    <w:rPr>
                      <w:rFonts w:hint="default" w:ascii="Times New Roman" w:hAnsi="Times New Roman" w:eastAsia="宋体" w:cs="Times New Roman"/>
                      <w:b w:val="0"/>
                      <w:bCs/>
                      <w:color w:val="auto"/>
                      <w:sz w:val="21"/>
                      <w:szCs w:val="21"/>
                      <w:highlight w:val="none"/>
                      <w:lang w:val="en-US" w:eastAsia="zh-CN"/>
                    </w:rPr>
                    <w:t>（VOCs含量未检出，检测报告编号：DGC250410005BD)能够满足《油墨中可挥发性有机化合物（VOCs）含量的限值》（GB38507-2020）中水性油墨（柔印油墨吸收性承印物）VOC含量限量值≤5%的限值要求。</w:t>
                  </w:r>
                </w:p>
              </w:tc>
              <w:tc>
                <w:tcPr>
                  <w:tcW w:w="394" w:type="pct"/>
                  <w:tcBorders>
                    <w:top w:val="single" w:color="000000" w:sz="8" w:space="0"/>
                    <w:bottom w:val="single" w:color="000000" w:sz="4" w:space="0"/>
                  </w:tcBorders>
                  <w:noWrap w:val="0"/>
                  <w:vAlign w:val="center"/>
                </w:tcPr>
                <w:p w14:paraId="56708A3A">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sz w:val="21"/>
                      <w:szCs w:val="21"/>
                      <w:highlight w:val="none"/>
                    </w:rPr>
                    <w:t>符合</w:t>
                  </w:r>
                </w:p>
              </w:tc>
            </w:tr>
            <w:tr w14:paraId="1438640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82" w:hRule="atLeast"/>
              </w:trPr>
              <w:tc>
                <w:tcPr>
                  <w:tcW w:w="825" w:type="dxa"/>
                  <w:tcBorders>
                    <w:top w:val="single" w:color="000000" w:sz="4" w:space="0"/>
                  </w:tcBorders>
                  <w:noWrap w:val="0"/>
                  <w:vAlign w:val="center"/>
                </w:tcPr>
                <w:p w14:paraId="74F97756">
                  <w:pPr>
                    <w:pStyle w:val="79"/>
                    <w:keepNext w:val="0"/>
                    <w:keepLines w:val="0"/>
                    <w:suppressLineNumbers w:val="0"/>
                    <w:adjustRightInd w:val="0"/>
                    <w:snapToGrid w:val="0"/>
                    <w:spacing w:before="0" w:beforeAutospacing="0" w:after="0" w:afterAutospacing="0" w:line="240" w:lineRule="auto"/>
                    <w:ind w:left="0" w:right="0"/>
                    <w:rPr>
                      <w:rFonts w:hint="eastAsia" w:ascii="Times New Roman" w:hAnsi="Times New Roman" w:eastAsia="宋体" w:cs="Times New Roman"/>
                      <w:sz w:val="21"/>
                      <w:szCs w:val="21"/>
                      <w:highlight w:val="none"/>
                      <w:lang w:val="en-US" w:eastAsia="zh-CN"/>
                    </w:rPr>
                  </w:pPr>
                  <w:r>
                    <w:rPr>
                      <w:rFonts w:hint="default" w:ascii="Times New Roman" w:hAnsi="Times New Roman" w:eastAsiaTheme="minorEastAsia"/>
                      <w:sz w:val="21"/>
                      <w:szCs w:val="21"/>
                    </w:rPr>
                    <w:t>（二）工艺设备革新</w:t>
                  </w:r>
                </w:p>
              </w:tc>
              <w:tc>
                <w:tcPr>
                  <w:tcW w:w="4294" w:type="dxa"/>
                  <w:tcBorders>
                    <w:top w:val="single" w:color="000000" w:sz="4" w:space="0"/>
                  </w:tcBorders>
                  <w:noWrap w:val="0"/>
                  <w:vAlign w:val="center"/>
                </w:tcPr>
                <w:p w14:paraId="589E1B5D">
                  <w:pPr>
                    <w:keepNext w:val="0"/>
                    <w:keepLines w:val="0"/>
                    <w:widowControl/>
                    <w:suppressLineNumbers w:val="0"/>
                    <w:adjustRightInd w:val="0"/>
                    <w:snapToGrid w:val="0"/>
                    <w:spacing w:before="0" w:beforeAutospacing="0" w:after="0" w:afterAutospacing="0"/>
                    <w:ind w:left="0" w:right="0"/>
                    <w:jc w:val="both"/>
                    <w:rPr>
                      <w:rFonts w:hint="default" w:eastAsiaTheme="minorEastAsia"/>
                      <w:sz w:val="21"/>
                      <w:szCs w:val="21"/>
                      <w:highlight w:val="none"/>
                    </w:rPr>
                  </w:pPr>
                  <w:r>
                    <w:rPr>
                      <w:rFonts w:hint="default" w:eastAsiaTheme="minorEastAsia"/>
                      <w:sz w:val="21"/>
                      <w:szCs w:val="21"/>
                      <w:highlight w:val="none"/>
                    </w:rPr>
                    <w:t>鼓励使用自动橡皮布清洗技术、零醇润版胶印技术、无水胶印技术、无溶剂复合技术、共挤出复合技术对企业进行改造升级，提升企业绿色发展水平。</w:t>
                  </w:r>
                </w:p>
                <w:p w14:paraId="49EB0DA8">
                  <w:pPr>
                    <w:keepNext w:val="0"/>
                    <w:keepLines w:val="0"/>
                    <w:widowControl/>
                    <w:suppressLineNumbers w:val="0"/>
                    <w:adjustRightInd w:val="0"/>
                    <w:snapToGrid w:val="0"/>
                    <w:spacing w:before="0" w:beforeAutospacing="0" w:after="0" w:afterAutospacing="0"/>
                    <w:ind w:left="0" w:right="0"/>
                    <w:jc w:val="both"/>
                    <w:rPr>
                      <w:rFonts w:hint="default" w:eastAsiaTheme="minorEastAsia"/>
                      <w:sz w:val="21"/>
                      <w:szCs w:val="21"/>
                      <w:highlight w:val="none"/>
                    </w:rPr>
                  </w:pPr>
                  <w:r>
                    <w:rPr>
                      <w:rFonts w:hint="default" w:eastAsiaTheme="minorEastAsia"/>
                      <w:sz w:val="21"/>
                      <w:szCs w:val="21"/>
                      <w:highlight w:val="none"/>
                    </w:rPr>
                    <w:t>自动橡皮布清洗技术适用于平版印刷橡皮布的清洗工序，在印刷机上安装自动橡皮布清洗装置，使装置中的无纺布或毛刷辊与橡皮滚筒表面的橡皮布接触并高速摩擦，达到清洗橡皮布的目的。</w:t>
                  </w:r>
                </w:p>
                <w:p w14:paraId="53F6EF3D">
                  <w:pPr>
                    <w:keepNext w:val="0"/>
                    <w:keepLines w:val="0"/>
                    <w:widowControl/>
                    <w:suppressLineNumbers w:val="0"/>
                    <w:adjustRightInd w:val="0"/>
                    <w:snapToGrid w:val="0"/>
                    <w:spacing w:before="0" w:beforeAutospacing="0" w:after="0" w:afterAutospacing="0"/>
                    <w:ind w:left="0" w:right="0"/>
                    <w:jc w:val="both"/>
                    <w:rPr>
                      <w:rFonts w:hint="default" w:eastAsiaTheme="minorEastAsia"/>
                      <w:sz w:val="21"/>
                      <w:szCs w:val="21"/>
                      <w:highlight w:val="none"/>
                    </w:rPr>
                  </w:pPr>
                  <w:r>
                    <w:rPr>
                      <w:rFonts w:hint="default" w:eastAsiaTheme="minorEastAsia"/>
                      <w:sz w:val="21"/>
                      <w:szCs w:val="21"/>
                      <w:highlight w:val="none"/>
                    </w:rPr>
                    <w:t>零醇润版胶印技术适用于报纸、书刊、纸包装等的平版印刷工艺，通过改造平版印刷机的水辊系统，以实现不含VOCs的润湿液替代传统润湿液。</w:t>
                  </w:r>
                </w:p>
                <w:p w14:paraId="287B91E3">
                  <w:pPr>
                    <w:keepNext w:val="0"/>
                    <w:keepLines w:val="0"/>
                    <w:widowControl/>
                    <w:suppressLineNumbers w:val="0"/>
                    <w:adjustRightInd w:val="0"/>
                    <w:snapToGrid w:val="0"/>
                    <w:spacing w:before="0" w:beforeAutospacing="0" w:after="0" w:afterAutospacing="0"/>
                    <w:ind w:left="0" w:right="0"/>
                    <w:jc w:val="both"/>
                    <w:rPr>
                      <w:rFonts w:hint="default" w:eastAsiaTheme="minorEastAsia"/>
                      <w:sz w:val="21"/>
                      <w:szCs w:val="21"/>
                      <w:highlight w:val="none"/>
                    </w:rPr>
                  </w:pPr>
                  <w:r>
                    <w:rPr>
                      <w:rFonts w:hint="default" w:eastAsiaTheme="minorEastAsia"/>
                      <w:sz w:val="21"/>
                      <w:szCs w:val="21"/>
                      <w:highlight w:val="none"/>
                    </w:rPr>
                    <w:t>无水胶印技术适用于书刊、标签等的平版印刷工艺，采用表面为不亲墨硅橡胶的印版、专用油墨和控温系统来实现印刷。</w:t>
                  </w:r>
                </w:p>
                <w:p w14:paraId="792C7D65">
                  <w:pPr>
                    <w:keepNext w:val="0"/>
                    <w:keepLines w:val="0"/>
                    <w:widowControl/>
                    <w:suppressLineNumbers w:val="0"/>
                    <w:adjustRightInd w:val="0"/>
                    <w:snapToGrid w:val="0"/>
                    <w:spacing w:before="0" w:beforeAutospacing="0" w:after="0" w:afterAutospacing="0"/>
                    <w:ind w:left="0" w:right="0"/>
                    <w:jc w:val="both"/>
                    <w:rPr>
                      <w:rFonts w:hint="default" w:eastAsiaTheme="minorEastAsia"/>
                      <w:sz w:val="21"/>
                      <w:szCs w:val="21"/>
                      <w:highlight w:val="none"/>
                    </w:rPr>
                  </w:pPr>
                  <w:r>
                    <w:rPr>
                      <w:rFonts w:hint="default" w:eastAsiaTheme="minorEastAsia"/>
                      <w:sz w:val="21"/>
                      <w:szCs w:val="21"/>
                      <w:highlight w:val="none"/>
                    </w:rPr>
                    <w:t>无溶剂复合技术适用于印刷工业的复合工序，该技术使用无溶剂聚氨酯胶粘剂，通过反应固化将不同基材粘结在一起，获得新的功能性材料。</w:t>
                  </w:r>
                </w:p>
                <w:p w14:paraId="686F13BC">
                  <w:pPr>
                    <w:keepNext w:val="0"/>
                    <w:keepLines w:val="0"/>
                    <w:widowControl/>
                    <w:suppressLineNumbers w:val="0"/>
                    <w:adjustRightInd w:val="0"/>
                    <w:snapToGrid w:val="0"/>
                    <w:spacing w:before="0" w:beforeAutospacing="0" w:after="0" w:afterAutospacing="0"/>
                    <w:ind w:left="0" w:right="0"/>
                    <w:jc w:val="both"/>
                    <w:rPr>
                      <w:rFonts w:hint="default" w:ascii="Times New Roman" w:hAnsi="Times New Roman" w:eastAsia="宋体" w:cs="Times New Roman"/>
                      <w:b w:val="0"/>
                      <w:bCs w:val="0"/>
                      <w:sz w:val="21"/>
                      <w:szCs w:val="21"/>
                      <w:highlight w:val="none"/>
                      <w:u w:val="none"/>
                      <w:lang w:val="en-US" w:eastAsia="zh-CN"/>
                    </w:rPr>
                  </w:pPr>
                  <w:r>
                    <w:rPr>
                      <w:rFonts w:hint="default" w:eastAsiaTheme="minorEastAsia"/>
                      <w:sz w:val="21"/>
                      <w:szCs w:val="21"/>
                      <w:highlight w:val="none"/>
                    </w:rPr>
                    <w:t>共挤出复合技术适用于印刷工业的复合膜生产工序，该技术采用两台或两台以上挤出机，将不同品种的树脂从一个模头中一次挤出成膜，在工艺过程中不使用胶粘剂等含VOCs原辅材料，可减少VOCs的产生量。</w:t>
                  </w:r>
                </w:p>
              </w:tc>
              <w:tc>
                <w:tcPr>
                  <w:tcW w:w="3022" w:type="dxa"/>
                  <w:tcBorders>
                    <w:top w:val="single" w:color="000000" w:sz="4" w:space="0"/>
                  </w:tcBorders>
                  <w:noWrap w:val="0"/>
                  <w:vAlign w:val="center"/>
                </w:tcPr>
                <w:p w14:paraId="43A6B0AF">
                  <w:pPr>
                    <w:pStyle w:val="79"/>
                    <w:keepNext w:val="0"/>
                    <w:keepLines w:val="0"/>
                    <w:suppressLineNumbers w:val="0"/>
                    <w:adjustRightInd w:val="0"/>
                    <w:snapToGrid w:val="0"/>
                    <w:spacing w:before="0" w:beforeAutospacing="0" w:after="0" w:afterAutospacing="0" w:line="240" w:lineRule="auto"/>
                    <w:ind w:left="0" w:right="0"/>
                    <w:jc w:val="both"/>
                    <w:rPr>
                      <w:rFonts w:hint="default" w:ascii="Times New Roman" w:hAnsi="Times New Roman" w:eastAsia="宋体" w:cs="Times New Roman"/>
                      <w:b w:val="0"/>
                      <w:bCs/>
                      <w:color w:val="auto"/>
                      <w:sz w:val="21"/>
                      <w:szCs w:val="21"/>
                      <w:highlight w:val="none"/>
                      <w:lang w:val="en-US" w:eastAsia="zh-CN"/>
                    </w:rPr>
                  </w:pPr>
                  <w:r>
                    <w:rPr>
                      <w:rFonts w:ascii="Times New Roman" w:hAnsi="Times New Roman" w:eastAsiaTheme="minorEastAsia"/>
                      <w:color w:val="auto"/>
                      <w:sz w:val="21"/>
                      <w:szCs w:val="21"/>
                      <w:highlight w:val="none"/>
                    </w:rPr>
                    <w:t>本项目使用食品级原纸、PE颗粒、水性油墨，经淋膜、印刷、分切、模切工序生产食品级淋膜纸。不涉及清洗、胶印、复合工序。</w:t>
                  </w:r>
                </w:p>
              </w:tc>
              <w:tc>
                <w:tcPr>
                  <w:tcW w:w="697" w:type="dxa"/>
                  <w:tcBorders>
                    <w:top w:val="single" w:color="000000" w:sz="4" w:space="0"/>
                  </w:tcBorders>
                  <w:noWrap w:val="0"/>
                  <w:vAlign w:val="center"/>
                </w:tcPr>
                <w:p w14:paraId="0D6D05CE">
                  <w:pPr>
                    <w:pStyle w:val="79"/>
                    <w:keepNext w:val="0"/>
                    <w:keepLines w:val="0"/>
                    <w:suppressLineNumbers w:val="0"/>
                    <w:adjustRightInd w:val="0"/>
                    <w:snapToGrid w:val="0"/>
                    <w:spacing w:before="0" w:beforeAutospacing="0" w:after="0" w:afterAutospacing="0" w:line="240" w:lineRule="auto"/>
                    <w:ind w:left="0" w:right="0"/>
                    <w:rPr>
                      <w:rFonts w:hint="default" w:ascii="Times New Roman" w:hAnsi="Times New Roman" w:eastAsia="宋体" w:cs="Times New Roman"/>
                      <w:sz w:val="21"/>
                      <w:szCs w:val="21"/>
                      <w:highlight w:val="none"/>
                    </w:rPr>
                  </w:pPr>
                  <w:r>
                    <w:rPr>
                      <w:rFonts w:hint="default" w:ascii="Times New Roman" w:hAnsi="Times New Roman" w:eastAsiaTheme="minorEastAsia"/>
                      <w:sz w:val="21"/>
                      <w:szCs w:val="21"/>
                    </w:rPr>
                    <w:t>符合</w:t>
                  </w:r>
                </w:p>
              </w:tc>
            </w:tr>
            <w:tr w14:paraId="76708CE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66" w:type="pct"/>
                  <w:vMerge w:val="restart"/>
                  <w:tcBorders>
                    <w:tl2br w:val="nil"/>
                    <w:tr2bl w:val="nil"/>
                  </w:tcBorders>
                  <w:noWrap w:val="0"/>
                  <w:vAlign w:val="center"/>
                </w:tcPr>
                <w:p w14:paraId="075C2152">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color w:val="000000"/>
                      <w:kern w:val="0"/>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（三）无组织排放治理</w:t>
                  </w:r>
                </w:p>
              </w:tc>
              <w:tc>
                <w:tcPr>
                  <w:tcW w:w="2429" w:type="pct"/>
                  <w:tcBorders>
                    <w:tl2br w:val="nil"/>
                    <w:tr2bl w:val="nil"/>
                  </w:tcBorders>
                  <w:noWrap w:val="0"/>
                  <w:vAlign w:val="center"/>
                </w:tcPr>
                <w:p w14:paraId="4E116F60">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ind w:left="0" w:right="0"/>
                    <w:jc w:val="both"/>
                    <w:textAlignment w:val="auto"/>
                    <w:rPr>
                      <w:rFonts w:hint="default" w:ascii="Times New Roman" w:hAnsi="Times New Roman" w:eastAsia="宋体" w:cs="Times New Roman"/>
                      <w:b w:val="0"/>
                      <w:bCs w:val="0"/>
                      <w:color w:val="000000"/>
                      <w:kern w:val="0"/>
                      <w:sz w:val="21"/>
                      <w:szCs w:val="21"/>
                      <w:u w:val="none"/>
                      <w:lang w:val="en-US" w:eastAsia="zh-CN" w:bidi="ar-SA"/>
                    </w:rPr>
                  </w:pPr>
                  <w:r>
                    <w:rPr>
                      <w:rFonts w:hint="default" w:ascii="Times New Roman" w:hAnsi="Times New Roman" w:eastAsia="宋体" w:cs="Times New Roman"/>
                      <w:b w:val="0"/>
                      <w:bCs w:val="0"/>
                      <w:color w:val="000000"/>
                      <w:kern w:val="0"/>
                      <w:sz w:val="21"/>
                      <w:szCs w:val="21"/>
                      <w:u w:val="none"/>
                      <w:lang w:val="en-US" w:eastAsia="zh-CN" w:bidi="ar-SA"/>
                    </w:rPr>
                    <w:t>调配过程：调墨过程应采用密闭设备或使用全密闭自动调墨装置进行计量、搅拌、调配。或设置专门的调配间进行调墨、调胶等，调墨废气通过排气柜或集气罩收集，废气排至VOCs废气收集处理系统。</w:t>
                  </w:r>
                </w:p>
              </w:tc>
              <w:tc>
                <w:tcPr>
                  <w:tcW w:w="1709" w:type="pct"/>
                  <w:tcBorders>
                    <w:tl2br w:val="nil"/>
                    <w:tr2bl w:val="nil"/>
                  </w:tcBorders>
                  <w:noWrap w:val="0"/>
                  <w:vAlign w:val="center"/>
                </w:tcPr>
                <w:p w14:paraId="3DCBC0E7">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本项目</w:t>
                  </w:r>
                  <w:r>
                    <w:rPr>
                      <w:rFonts w:hint="eastAsia" w:cs="Times New Roman"/>
                      <w:color w:val="auto"/>
                      <w:kern w:val="0"/>
                      <w:sz w:val="21"/>
                      <w:szCs w:val="21"/>
                      <w:highlight w:val="none"/>
                      <w:lang w:val="en-US" w:eastAsia="zh-CN" w:bidi="ar-SA"/>
                    </w:rPr>
                    <w:t>水性油墨直接使用，不需调配</w:t>
                  </w:r>
                  <w:r>
                    <w:rPr>
                      <w:rFonts w:hint="default" w:ascii="Times New Roman" w:hAnsi="Times New Roman" w:eastAsia="宋体" w:cs="Times New Roman"/>
                      <w:b w:val="0"/>
                      <w:bCs w:val="0"/>
                      <w:color w:val="000000"/>
                      <w:sz w:val="21"/>
                      <w:szCs w:val="21"/>
                      <w:u w:val="none"/>
                      <w:lang w:val="en-US" w:eastAsia="zh-CN"/>
                    </w:rPr>
                    <w:t xml:space="preserve">。 </w:t>
                  </w:r>
                </w:p>
              </w:tc>
              <w:tc>
                <w:tcPr>
                  <w:tcW w:w="394" w:type="pct"/>
                  <w:vMerge w:val="restart"/>
                  <w:tcBorders>
                    <w:tl2br w:val="nil"/>
                    <w:tr2bl w:val="nil"/>
                  </w:tcBorders>
                  <w:noWrap w:val="0"/>
                  <w:vAlign w:val="center"/>
                </w:tcPr>
                <w:p w14:paraId="660E644F">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color w:val="000000"/>
                      <w:kern w:val="0"/>
                      <w:sz w:val="21"/>
                      <w:szCs w:val="21"/>
                      <w:highlight w:val="none"/>
                      <w:lang w:val="en-US" w:eastAsia="zh-CN" w:bidi="ar-SA"/>
                    </w:rPr>
                  </w:pPr>
                  <w:r>
                    <w:rPr>
                      <w:rFonts w:hint="default" w:ascii="Times New Roman" w:hAnsi="Times New Roman" w:eastAsia="宋体" w:cs="Times New Roman"/>
                      <w:sz w:val="21"/>
                      <w:szCs w:val="21"/>
                      <w:highlight w:val="none"/>
                    </w:rPr>
                    <w:t>符合</w:t>
                  </w:r>
                </w:p>
              </w:tc>
            </w:tr>
            <w:tr w14:paraId="50598F3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66" w:type="pct"/>
                  <w:vMerge w:val="continue"/>
                  <w:tcBorders>
                    <w:tl2br w:val="nil"/>
                    <w:tr2bl w:val="nil"/>
                  </w:tcBorders>
                  <w:noWrap w:val="0"/>
                  <w:vAlign w:val="center"/>
                </w:tcPr>
                <w:p w14:paraId="217F957D">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rPr>
                  </w:pPr>
                </w:p>
              </w:tc>
              <w:tc>
                <w:tcPr>
                  <w:tcW w:w="2429" w:type="pct"/>
                  <w:tcBorders>
                    <w:tl2br w:val="nil"/>
                    <w:tr2bl w:val="nil"/>
                  </w:tcBorders>
                  <w:noWrap w:val="0"/>
                  <w:vAlign w:val="center"/>
                </w:tcPr>
                <w:p w14:paraId="70C1E892">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ind w:left="0" w:right="0"/>
                    <w:jc w:val="both"/>
                    <w:textAlignment w:val="auto"/>
                    <w:rPr>
                      <w:rFonts w:hint="default" w:ascii="Times New Roman" w:hAnsi="Times New Roman" w:eastAsia="宋体" w:cs="Times New Roman"/>
                      <w:b w:val="0"/>
                      <w:bCs w:val="0"/>
                      <w:color w:val="000000"/>
                      <w:kern w:val="0"/>
                      <w:sz w:val="21"/>
                      <w:szCs w:val="21"/>
                      <w:u w:val="none"/>
                      <w:lang w:val="en-US" w:eastAsia="zh-CN" w:bidi="ar-SA"/>
                    </w:rPr>
                  </w:pPr>
                  <w:r>
                    <w:rPr>
                      <w:rFonts w:hint="default" w:ascii="Times New Roman" w:hAnsi="Times New Roman" w:eastAsia="宋体" w:cs="Times New Roman"/>
                      <w:b w:val="0"/>
                      <w:bCs w:val="0"/>
                      <w:color w:val="000000"/>
                      <w:kern w:val="0"/>
                      <w:sz w:val="21"/>
                      <w:szCs w:val="21"/>
                      <w:u w:val="none"/>
                      <w:lang w:val="en-US" w:eastAsia="zh-CN" w:bidi="ar-SA"/>
                    </w:rPr>
                    <w:t>2、供墨过程：液态含VOCs原辅材料应采用密闭管道输送。采用非管道输送方式转移液态含VOCs原辅材料，应采用密闭容器、罐车，减少原辅材料供应过程中VOCs逸散；向墨槽中加油墨或稀释剂时采用漏斗或软管等接驳工具。</w:t>
                  </w:r>
                </w:p>
              </w:tc>
              <w:tc>
                <w:tcPr>
                  <w:tcW w:w="1709" w:type="pct"/>
                  <w:tcBorders>
                    <w:tl2br w:val="nil"/>
                    <w:tr2bl w:val="nil"/>
                  </w:tcBorders>
                  <w:noWrap w:val="0"/>
                  <w:vAlign w:val="center"/>
                </w:tcPr>
                <w:p w14:paraId="535AB1E7">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kern w:val="0"/>
                      <w:sz w:val="21"/>
                      <w:szCs w:val="21"/>
                      <w:u w:val="none"/>
                      <w:lang w:val="en-US" w:eastAsia="zh-CN"/>
                    </w:rPr>
                    <w:t>本项目油墨采用密闭管道输送，向墨槽中加油墨时采用软管。</w:t>
                  </w:r>
                </w:p>
              </w:tc>
              <w:tc>
                <w:tcPr>
                  <w:tcW w:w="394" w:type="pct"/>
                  <w:vMerge w:val="continue"/>
                  <w:tcBorders>
                    <w:tl2br w:val="nil"/>
                    <w:tr2bl w:val="nil"/>
                  </w:tcBorders>
                  <w:noWrap w:val="0"/>
                  <w:vAlign w:val="center"/>
                </w:tcPr>
                <w:p w14:paraId="07C7B15D">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rPr>
                  </w:pPr>
                </w:p>
              </w:tc>
            </w:tr>
            <w:tr w14:paraId="79A087A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66" w:type="pct"/>
                  <w:vMerge w:val="continue"/>
                  <w:tcBorders>
                    <w:tl2br w:val="nil"/>
                    <w:tr2bl w:val="nil"/>
                  </w:tcBorders>
                  <w:noWrap w:val="0"/>
                  <w:vAlign w:val="center"/>
                </w:tcPr>
                <w:p w14:paraId="3ED7AF4B">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rPr>
                  </w:pPr>
                </w:p>
              </w:tc>
              <w:tc>
                <w:tcPr>
                  <w:tcW w:w="2429" w:type="pct"/>
                  <w:tcBorders>
                    <w:tl2br w:val="nil"/>
                    <w:tr2bl w:val="nil"/>
                  </w:tcBorders>
                  <w:noWrap w:val="0"/>
                  <w:vAlign w:val="center"/>
                </w:tcPr>
                <w:p w14:paraId="7671F95F">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ind w:left="0" w:right="0"/>
                    <w:jc w:val="both"/>
                    <w:textAlignment w:val="auto"/>
                    <w:rPr>
                      <w:rFonts w:hint="default" w:ascii="Times New Roman" w:hAnsi="Times New Roman" w:eastAsia="宋体" w:cs="Times New Roman"/>
                      <w:b w:val="0"/>
                      <w:bCs w:val="0"/>
                      <w:color w:val="000000"/>
                      <w:kern w:val="0"/>
                      <w:sz w:val="21"/>
                      <w:szCs w:val="21"/>
                      <w:u w:val="none"/>
                      <w:lang w:val="en-US" w:eastAsia="zh-CN" w:bidi="ar-SA"/>
                    </w:rPr>
                  </w:pPr>
                  <w:r>
                    <w:rPr>
                      <w:rFonts w:hint="default" w:ascii="Times New Roman" w:hAnsi="Times New Roman" w:eastAsia="宋体" w:cs="Times New Roman"/>
                      <w:b w:val="0"/>
                      <w:bCs w:val="0"/>
                      <w:color w:val="000000"/>
                      <w:kern w:val="0"/>
                      <w:sz w:val="21"/>
                      <w:szCs w:val="21"/>
                      <w:u w:val="none"/>
                      <w:lang w:val="en-US" w:eastAsia="zh-CN" w:bidi="ar-SA"/>
                    </w:rPr>
                    <w:t>3、印刷过程：柔版印刷机采用封闭刮刀；凹版印刷机通过安装盖板、改变墨槽开口形状等减小墨盘、墨桶、搅墨机等开口面积，墨盘、墨桶、搅墨机等开口处设置专门集气收集装置；烘箱密闭，保持负压；采用溶剂型印刷机整体二次封闭，排风收集。</w:t>
                  </w:r>
                </w:p>
              </w:tc>
              <w:tc>
                <w:tcPr>
                  <w:tcW w:w="1709" w:type="pct"/>
                  <w:tcBorders>
                    <w:tl2br w:val="nil"/>
                    <w:tr2bl w:val="nil"/>
                  </w:tcBorders>
                  <w:noWrap w:val="0"/>
                  <w:vAlign w:val="center"/>
                </w:tcPr>
                <w:p w14:paraId="621283B5">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本项目柔版印刷机采用封闭刮刀，烘箱密闭，保持负压</w:t>
                  </w:r>
                  <w:r>
                    <w:rPr>
                      <w:rFonts w:hint="eastAsia" w:ascii="Times New Roman" w:hAnsi="Times New Roman" w:eastAsia="宋体" w:cs="Times New Roman"/>
                      <w:b w:val="0"/>
                      <w:bCs w:val="0"/>
                      <w:kern w:val="0"/>
                      <w:sz w:val="21"/>
                      <w:szCs w:val="21"/>
                      <w:u w:val="none"/>
                      <w:lang w:val="en-US" w:eastAsia="zh-CN"/>
                    </w:rPr>
                    <w:t>。</w:t>
                  </w:r>
                </w:p>
              </w:tc>
              <w:tc>
                <w:tcPr>
                  <w:tcW w:w="394" w:type="pct"/>
                  <w:vMerge w:val="restart"/>
                  <w:tcBorders>
                    <w:tl2br w:val="nil"/>
                    <w:tr2bl w:val="nil"/>
                  </w:tcBorders>
                  <w:noWrap w:val="0"/>
                  <w:vAlign w:val="center"/>
                </w:tcPr>
                <w:p w14:paraId="637D0920">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符合</w:t>
                  </w:r>
                </w:p>
              </w:tc>
            </w:tr>
            <w:tr w14:paraId="4694122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66" w:type="pct"/>
                  <w:vMerge w:val="continue"/>
                  <w:tcBorders>
                    <w:tl2br w:val="nil"/>
                    <w:tr2bl w:val="nil"/>
                  </w:tcBorders>
                  <w:noWrap w:val="0"/>
                  <w:vAlign w:val="center"/>
                </w:tcPr>
                <w:p w14:paraId="5259B6DA">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rPr>
                  </w:pPr>
                </w:p>
              </w:tc>
              <w:tc>
                <w:tcPr>
                  <w:tcW w:w="2429" w:type="pct"/>
                  <w:tcBorders>
                    <w:tl2br w:val="nil"/>
                    <w:tr2bl w:val="nil"/>
                  </w:tcBorders>
                  <w:noWrap w:val="0"/>
                  <w:vAlign w:val="center"/>
                </w:tcPr>
                <w:p w14:paraId="05FD6C87">
                  <w:pPr>
                    <w:keepNext w:val="0"/>
                    <w:keepLines w:val="0"/>
                    <w:suppressLineNumbers w:val="0"/>
                    <w:autoSpaceDE w:val="0"/>
                    <w:autoSpaceDN w:val="0"/>
                    <w:adjustRightInd w:val="0"/>
                    <w:snapToGrid w:val="0"/>
                    <w:spacing w:before="0" w:beforeAutospacing="0" w:after="0" w:afterAutospacing="0"/>
                    <w:ind w:left="0" w:right="0"/>
                    <w:jc w:val="both"/>
                    <w:rPr>
                      <w:rFonts w:hint="default" w:ascii="Times New Roman" w:hAnsi="Times New Roman" w:eastAsia="宋体" w:cs="Times New Roman"/>
                      <w:b w:val="0"/>
                      <w:bCs w:val="0"/>
                      <w:color w:val="000000"/>
                      <w:kern w:val="0"/>
                      <w:sz w:val="21"/>
                      <w:szCs w:val="21"/>
                      <w:u w:val="none"/>
                      <w:lang w:val="en-US" w:eastAsia="zh-CN" w:bidi="ar-SA"/>
                    </w:rPr>
                  </w:pPr>
                  <w:r>
                    <w:rPr>
                      <w:rFonts w:hint="default" w:ascii="Times New Roman" w:hAnsi="Times New Roman" w:eastAsia="宋体" w:cs="Times New Roman"/>
                      <w:b w:val="0"/>
                      <w:bCs w:val="0"/>
                      <w:color w:val="000000"/>
                      <w:kern w:val="0"/>
                      <w:sz w:val="21"/>
                      <w:szCs w:val="21"/>
                      <w:u w:val="none"/>
                      <w:lang w:val="en-US" w:eastAsia="zh-CN" w:bidi="ar-SA"/>
                    </w:rPr>
                    <w:t>4、清洗过程：集中清洗应在密闭装置或空间内进行、清洗工序产生的废气应通过废气收集系统收集至废气处理设施；沾染清洗剂的毛巾或抹布储存于密闭容器。</w:t>
                  </w:r>
                </w:p>
              </w:tc>
              <w:tc>
                <w:tcPr>
                  <w:tcW w:w="1709" w:type="pct"/>
                  <w:tcBorders>
                    <w:tl2br w:val="nil"/>
                    <w:tr2bl w:val="nil"/>
                  </w:tcBorders>
                  <w:noWrap w:val="0"/>
                  <w:vAlign w:val="center"/>
                </w:tcPr>
                <w:p w14:paraId="5AEDF026">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本项目定期用抹布擦净印刷机，擦洗抹布储存于密闭容器作为危险废物处理。</w:t>
                  </w:r>
                </w:p>
              </w:tc>
              <w:tc>
                <w:tcPr>
                  <w:tcW w:w="394" w:type="pct"/>
                  <w:vMerge w:val="continue"/>
                  <w:tcBorders>
                    <w:tl2br w:val="nil"/>
                    <w:tr2bl w:val="nil"/>
                  </w:tcBorders>
                  <w:noWrap w:val="0"/>
                  <w:vAlign w:val="center"/>
                </w:tcPr>
                <w:p w14:paraId="67F26FB4">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sz w:val="21"/>
                      <w:szCs w:val="21"/>
                      <w:highlight w:val="none"/>
                      <w:lang w:val="en-US" w:eastAsia="zh-CN"/>
                    </w:rPr>
                  </w:pPr>
                </w:p>
              </w:tc>
            </w:tr>
            <w:tr w14:paraId="3D13BFB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66" w:type="pct"/>
                  <w:vMerge w:val="continue"/>
                  <w:tcBorders>
                    <w:tl2br w:val="nil"/>
                    <w:tr2bl w:val="nil"/>
                  </w:tcBorders>
                  <w:noWrap w:val="0"/>
                  <w:vAlign w:val="center"/>
                </w:tcPr>
                <w:p w14:paraId="5B1D5A59">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rPr>
                  </w:pPr>
                </w:p>
              </w:tc>
              <w:tc>
                <w:tcPr>
                  <w:tcW w:w="2429" w:type="pct"/>
                  <w:tcBorders>
                    <w:tl2br w:val="nil"/>
                    <w:tr2bl w:val="nil"/>
                  </w:tcBorders>
                  <w:noWrap w:val="0"/>
                  <w:vAlign w:val="center"/>
                </w:tcPr>
                <w:p w14:paraId="5A17F208">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ind w:left="0" w:right="0"/>
                    <w:jc w:val="both"/>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5、</w:t>
                  </w:r>
                  <w:r>
                    <w:rPr>
                      <w:rFonts w:hint="default" w:ascii="Times New Roman" w:hAnsi="Times New Roman" w:eastAsia="宋体" w:cs="Times New Roman"/>
                      <w:i w:val="0"/>
                      <w:iCs w:val="0"/>
                      <w:caps w:val="0"/>
                      <w:color w:val="333333"/>
                      <w:spacing w:val="-15"/>
                      <w:sz w:val="21"/>
                      <w:szCs w:val="21"/>
                      <w:shd w:val="clear" w:fill="FFFFFF"/>
                    </w:rPr>
                    <w:t>复合过程：烘箱密闭，保</w:t>
                  </w:r>
                  <w:r>
                    <w:rPr>
                      <w:rFonts w:hint="default" w:ascii="Times New Roman" w:hAnsi="Times New Roman" w:eastAsia="宋体" w:cs="Times New Roman"/>
                      <w:i w:val="0"/>
                      <w:iCs w:val="0"/>
                      <w:caps w:val="0"/>
                      <w:color w:val="333333"/>
                      <w:spacing w:val="0"/>
                      <w:sz w:val="21"/>
                      <w:szCs w:val="21"/>
                      <w:shd w:val="clear" w:fill="FFFFFF"/>
                    </w:rPr>
                    <w:t>持负压；干式复合机上胶部位集气收集，有条件可以复合机整机封闭集气收集。</w:t>
                  </w:r>
                </w:p>
              </w:tc>
              <w:tc>
                <w:tcPr>
                  <w:tcW w:w="1709" w:type="pct"/>
                  <w:tcBorders>
                    <w:tl2br w:val="nil"/>
                    <w:tr2bl w:val="nil"/>
                  </w:tcBorders>
                  <w:noWrap w:val="0"/>
                  <w:vAlign w:val="center"/>
                </w:tcPr>
                <w:p w14:paraId="756C7DB3">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sz w:val="21"/>
                      <w:szCs w:val="21"/>
                      <w:highlight w:val="none"/>
                      <w:lang w:val="en-US" w:eastAsia="zh-CN"/>
                    </w:rPr>
                    <w:t>本项目不涉及复合过程。</w:t>
                  </w:r>
                </w:p>
              </w:tc>
              <w:tc>
                <w:tcPr>
                  <w:tcW w:w="394" w:type="pct"/>
                  <w:vMerge w:val="continue"/>
                  <w:tcBorders>
                    <w:tl2br w:val="nil"/>
                    <w:tr2bl w:val="nil"/>
                  </w:tcBorders>
                  <w:noWrap w:val="0"/>
                  <w:vAlign w:val="center"/>
                </w:tcPr>
                <w:p w14:paraId="2F18ABB2">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sz w:val="21"/>
                      <w:szCs w:val="21"/>
                      <w:highlight w:val="none"/>
                      <w:lang w:val="en-US" w:eastAsia="zh-CN"/>
                    </w:rPr>
                  </w:pPr>
                </w:p>
              </w:tc>
            </w:tr>
            <w:tr w14:paraId="115D26C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466" w:type="pct"/>
                  <w:vMerge w:val="continue"/>
                  <w:tcBorders>
                    <w:tl2br w:val="nil"/>
                    <w:tr2bl w:val="nil"/>
                  </w:tcBorders>
                  <w:noWrap w:val="0"/>
                  <w:vAlign w:val="center"/>
                </w:tcPr>
                <w:p w14:paraId="76529BB9">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rPr>
                  </w:pPr>
                </w:p>
              </w:tc>
              <w:tc>
                <w:tcPr>
                  <w:tcW w:w="2429" w:type="pct"/>
                  <w:tcBorders>
                    <w:tl2br w:val="nil"/>
                    <w:tr2bl w:val="nil"/>
                  </w:tcBorders>
                  <w:noWrap w:val="0"/>
                  <w:vAlign w:val="center"/>
                </w:tcPr>
                <w:p w14:paraId="63BB4A93">
                  <w:pPr>
                    <w:keepNext w:val="0"/>
                    <w:keepLines w:val="0"/>
                    <w:suppressLineNumbers w:val="0"/>
                    <w:autoSpaceDE w:val="0"/>
                    <w:autoSpaceDN w:val="0"/>
                    <w:adjustRightInd w:val="0"/>
                    <w:snapToGrid w:val="0"/>
                    <w:spacing w:before="0" w:beforeAutospacing="0" w:after="0" w:afterAutospacing="0"/>
                    <w:ind w:left="0" w:right="0"/>
                    <w:jc w:val="both"/>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6、</w:t>
                  </w:r>
                  <w:r>
                    <w:rPr>
                      <w:rFonts w:hint="default" w:ascii="Times New Roman" w:hAnsi="Times New Roman" w:eastAsia="宋体" w:cs="Times New Roman"/>
                      <w:b w:val="0"/>
                      <w:bCs w:val="0"/>
                      <w:color w:val="000000"/>
                      <w:kern w:val="0"/>
                      <w:sz w:val="21"/>
                      <w:szCs w:val="21"/>
                      <w:u w:val="none"/>
                      <w:lang w:val="en-US" w:eastAsia="zh-CN" w:bidi="ar-SA"/>
                    </w:rPr>
                    <w:t>存储过程：油墨、稀释剂、胶粘剂、清洗剂、上光油等VOCs物料密闭存储，存放于无阳光直射的场所；废油墨、废清洗剂、废活性炭等含VOCs的废物应分类放置于贴有标识的容器内，加盖密封，存放于危废间，危废间废气负压收集至废气处理设施或建独立有机废气处理设施。</w:t>
                  </w:r>
                </w:p>
              </w:tc>
              <w:tc>
                <w:tcPr>
                  <w:tcW w:w="1709" w:type="pct"/>
                  <w:tcBorders>
                    <w:tl2br w:val="nil"/>
                    <w:tr2bl w:val="nil"/>
                  </w:tcBorders>
                  <w:noWrap w:val="0"/>
                  <w:vAlign w:val="center"/>
                </w:tcPr>
                <w:p w14:paraId="1EEC974E">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sz w:val="21"/>
                      <w:szCs w:val="21"/>
                      <w:u w:val="none"/>
                      <w:lang w:val="en-US" w:eastAsia="zh-CN"/>
                    </w:rPr>
                    <w:t>本项目油墨储存于无阳光直射的密闭储存间内；废油墨包装桶、废活性炭等含VOCs废物分类放置于贴有标识的容器内，加盖密封，存放于危废间内，危废间废气经负压收集至活性炭吸附脱附+催化燃烧装置治理</w:t>
                  </w:r>
                  <w:r>
                    <w:rPr>
                      <w:rFonts w:hint="default" w:ascii="Times New Roman" w:hAnsi="Times New Roman" w:eastAsia="宋体" w:cs="Times New Roman"/>
                      <w:b w:val="0"/>
                      <w:bCs w:val="0"/>
                      <w:sz w:val="21"/>
                      <w:szCs w:val="21"/>
                      <w:u w:val="none"/>
                      <w:lang w:val="en-US" w:eastAsia="zh-CN"/>
                    </w:rPr>
                    <w:t>。</w:t>
                  </w:r>
                </w:p>
              </w:tc>
              <w:tc>
                <w:tcPr>
                  <w:tcW w:w="394" w:type="pct"/>
                  <w:vMerge w:val="continue"/>
                  <w:tcBorders>
                    <w:tl2br w:val="nil"/>
                    <w:tr2bl w:val="nil"/>
                  </w:tcBorders>
                  <w:noWrap w:val="0"/>
                  <w:vAlign w:val="center"/>
                </w:tcPr>
                <w:p w14:paraId="53E4A865">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sz w:val="21"/>
                      <w:szCs w:val="21"/>
                      <w:highlight w:val="none"/>
                      <w:lang w:val="en-US" w:eastAsia="zh-CN"/>
                    </w:rPr>
                  </w:pPr>
                </w:p>
              </w:tc>
            </w:tr>
            <w:tr w14:paraId="652D391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466" w:type="pct"/>
                  <w:vMerge w:val="continue"/>
                  <w:tcBorders>
                    <w:tl2br w:val="nil"/>
                    <w:tr2bl w:val="nil"/>
                  </w:tcBorders>
                  <w:noWrap w:val="0"/>
                  <w:vAlign w:val="center"/>
                </w:tcPr>
                <w:p w14:paraId="284ADA1F">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rPr>
                  </w:pPr>
                </w:p>
              </w:tc>
              <w:tc>
                <w:tcPr>
                  <w:tcW w:w="2429" w:type="pct"/>
                  <w:tcBorders>
                    <w:tl2br w:val="nil"/>
                    <w:tr2bl w:val="nil"/>
                  </w:tcBorders>
                  <w:noWrap w:val="0"/>
                  <w:vAlign w:val="center"/>
                </w:tcPr>
                <w:p w14:paraId="64E9E7CF">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b w:val="0"/>
                      <w:bCs w:val="0"/>
                      <w:color w:val="000000"/>
                      <w:sz w:val="21"/>
                      <w:szCs w:val="21"/>
                      <w:u w:val="none"/>
                      <w:lang w:val="en-US" w:eastAsia="zh-CN"/>
                    </w:rPr>
                    <w:t>7、厂容厂貌：厂区干净整洁，地面全部硬化或绿化；车间规范整洁，无物料散落，无“跑、冒、滴、漏”。</w:t>
                  </w:r>
                </w:p>
              </w:tc>
              <w:tc>
                <w:tcPr>
                  <w:tcW w:w="1709" w:type="pct"/>
                  <w:tcBorders>
                    <w:tl2br w:val="nil"/>
                    <w:tr2bl w:val="nil"/>
                  </w:tcBorders>
                  <w:noWrap w:val="0"/>
                  <w:vAlign w:val="center"/>
                </w:tcPr>
                <w:p w14:paraId="063CD507">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b w:val="0"/>
                      <w:bCs w:val="0"/>
                      <w:color w:val="000000"/>
                      <w:sz w:val="21"/>
                      <w:szCs w:val="21"/>
                      <w:u w:val="none"/>
                      <w:lang w:val="en-US" w:eastAsia="zh-CN"/>
                    </w:rPr>
                    <w:t>本项目</w:t>
                  </w:r>
                  <w:r>
                    <w:rPr>
                      <w:rFonts w:hint="default" w:ascii="Times New Roman" w:hAnsi="Times New Roman" w:eastAsia="宋体" w:cs="Times New Roman"/>
                      <w:b w:val="0"/>
                      <w:bCs w:val="0"/>
                      <w:color w:val="000000"/>
                      <w:sz w:val="21"/>
                      <w:szCs w:val="21"/>
                      <w:u w:val="none"/>
                      <w:lang w:val="en-US" w:eastAsia="zh-CN"/>
                    </w:rPr>
                    <w:t>厂区干净整洁，地面全部硬化或绿化；车间规范整洁，无物料散落，无</w:t>
                  </w:r>
                  <w:r>
                    <w:rPr>
                      <w:rFonts w:hint="eastAsia" w:ascii="Times New Roman" w:hAnsi="Times New Roman" w:eastAsia="宋体" w:cs="Times New Roman"/>
                      <w:b w:val="0"/>
                      <w:bCs w:val="0"/>
                      <w:color w:val="000000"/>
                      <w:sz w:val="21"/>
                      <w:szCs w:val="21"/>
                      <w:u w:val="none"/>
                      <w:lang w:val="en-US" w:eastAsia="zh-CN"/>
                    </w:rPr>
                    <w:t>“</w:t>
                  </w:r>
                  <w:r>
                    <w:rPr>
                      <w:rFonts w:hint="default" w:ascii="Times New Roman" w:hAnsi="Times New Roman" w:eastAsia="宋体" w:cs="Times New Roman"/>
                      <w:b w:val="0"/>
                      <w:bCs w:val="0"/>
                      <w:color w:val="000000"/>
                      <w:sz w:val="21"/>
                      <w:szCs w:val="21"/>
                      <w:u w:val="none"/>
                      <w:lang w:val="en-US" w:eastAsia="zh-CN"/>
                    </w:rPr>
                    <w:t>跑、冒、滴、漏</w:t>
                  </w:r>
                  <w:r>
                    <w:rPr>
                      <w:rFonts w:hint="eastAsia" w:ascii="Times New Roman" w:hAnsi="Times New Roman" w:eastAsia="宋体" w:cs="Times New Roman"/>
                      <w:b w:val="0"/>
                      <w:bCs w:val="0"/>
                      <w:color w:val="000000"/>
                      <w:sz w:val="21"/>
                      <w:szCs w:val="21"/>
                      <w:u w:val="none"/>
                      <w:lang w:val="en-US" w:eastAsia="zh-CN"/>
                    </w:rPr>
                    <w:t>”</w:t>
                  </w:r>
                  <w:r>
                    <w:rPr>
                      <w:rFonts w:hint="default" w:ascii="Times New Roman" w:hAnsi="Times New Roman" w:eastAsia="宋体" w:cs="Times New Roman"/>
                      <w:b w:val="0"/>
                      <w:bCs w:val="0"/>
                      <w:color w:val="000000"/>
                      <w:sz w:val="21"/>
                      <w:szCs w:val="21"/>
                      <w:u w:val="none"/>
                      <w:lang w:val="en-US" w:eastAsia="zh-CN"/>
                    </w:rPr>
                    <w:t>。</w:t>
                  </w:r>
                </w:p>
              </w:tc>
              <w:tc>
                <w:tcPr>
                  <w:tcW w:w="394" w:type="pct"/>
                  <w:vMerge w:val="continue"/>
                  <w:tcBorders>
                    <w:tl2br w:val="nil"/>
                    <w:tr2bl w:val="nil"/>
                  </w:tcBorders>
                  <w:noWrap w:val="0"/>
                  <w:vAlign w:val="center"/>
                </w:tcPr>
                <w:p w14:paraId="3FEFFD43">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rPr>
                  </w:pPr>
                </w:p>
              </w:tc>
            </w:tr>
            <w:tr w14:paraId="5EBE78C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66" w:type="pct"/>
                  <w:vMerge w:val="restart"/>
                  <w:tcBorders>
                    <w:tl2br w:val="nil"/>
                    <w:tr2bl w:val="nil"/>
                  </w:tcBorders>
                  <w:noWrap w:val="0"/>
                  <w:vAlign w:val="center"/>
                </w:tcPr>
                <w:p w14:paraId="3D9D43EF">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四</w:t>
                  </w:r>
                  <w:r>
                    <w:rPr>
                      <w:rFonts w:hint="eastAsia"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治理设施升级</w:t>
                  </w:r>
                </w:p>
              </w:tc>
              <w:tc>
                <w:tcPr>
                  <w:tcW w:w="2429" w:type="pct"/>
                  <w:tcBorders>
                    <w:tl2br w:val="nil"/>
                    <w:tr2bl w:val="nil"/>
                  </w:tcBorders>
                  <w:noWrap w:val="0"/>
                  <w:vAlign w:val="center"/>
                </w:tcPr>
                <w:p w14:paraId="50BECFAC">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b w:val="0"/>
                      <w:bCs w:val="0"/>
                      <w:color w:val="000000"/>
                      <w:sz w:val="21"/>
                      <w:szCs w:val="21"/>
                      <w:u w:val="none"/>
                      <w:lang w:val="en-US" w:eastAsia="zh-CN"/>
                    </w:rPr>
                    <w:t>使用溶剂型原辅材料时，调墨、供墨、涂布（上光）、印刷、覆膜、复合、清洗等工序含VOCs废气采用燃烧、吸附+燃烧、吸附+冷凝回收等治理技术，处理效率≥85%</w:t>
                  </w:r>
                </w:p>
              </w:tc>
              <w:tc>
                <w:tcPr>
                  <w:tcW w:w="1709" w:type="pct"/>
                  <w:tcBorders>
                    <w:tl2br w:val="nil"/>
                    <w:tr2bl w:val="nil"/>
                  </w:tcBorders>
                  <w:noWrap w:val="0"/>
                  <w:vAlign w:val="center"/>
                </w:tcPr>
                <w:p w14:paraId="294EFE4F">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000000"/>
                      <w:sz w:val="21"/>
                      <w:szCs w:val="21"/>
                      <w:u w:val="none"/>
                      <w:lang w:val="en-US" w:eastAsia="zh-CN"/>
                    </w:rPr>
                  </w:pPr>
                  <w:r>
                    <w:rPr>
                      <w:rFonts w:hint="eastAsia" w:ascii="Times New Roman" w:hAnsi="Times New Roman" w:eastAsia="宋体" w:cs="Times New Roman"/>
                      <w:b w:val="0"/>
                      <w:bCs w:val="0"/>
                      <w:color w:val="000000"/>
                      <w:sz w:val="21"/>
                      <w:szCs w:val="21"/>
                      <w:u w:val="none"/>
                      <w:lang w:val="en-US" w:eastAsia="zh-CN"/>
                    </w:rPr>
                    <w:t>本项目印刷废气采用活性炭吸附脱附+催化燃烧装置治理，</w:t>
                  </w:r>
                  <w:r>
                    <w:rPr>
                      <w:rFonts w:hint="eastAsia" w:ascii="Times New Roman" w:hAnsi="Times New Roman" w:eastAsia="宋体" w:cs="Times New Roman"/>
                      <w:sz w:val="21"/>
                      <w:szCs w:val="21"/>
                      <w:highlight w:val="none"/>
                      <w:lang w:val="en-US" w:eastAsia="zh-CN"/>
                    </w:rPr>
                    <w:t>处理效率</w:t>
                  </w:r>
                  <w:r>
                    <w:rPr>
                      <w:rFonts w:hint="default" w:ascii="Times New Roman" w:hAnsi="Times New Roman" w:eastAsia="宋体" w:cs="Times New Roman"/>
                      <w:b w:val="0"/>
                      <w:bCs w:val="0"/>
                      <w:sz w:val="21"/>
                      <w:szCs w:val="21"/>
                      <w:highlight w:val="none"/>
                      <w:u w:val="none"/>
                      <w:lang w:val="en-US" w:eastAsia="zh-CN"/>
                    </w:rPr>
                    <w:t>≥85%</w:t>
                  </w:r>
                  <w:r>
                    <w:rPr>
                      <w:rFonts w:hint="eastAsia" w:ascii="Times New Roman" w:hAnsi="Times New Roman" w:eastAsia="宋体" w:cs="Times New Roman"/>
                      <w:b w:val="0"/>
                      <w:bCs w:val="0"/>
                      <w:color w:val="000000"/>
                      <w:sz w:val="21"/>
                      <w:szCs w:val="21"/>
                      <w:u w:val="none"/>
                      <w:lang w:val="en-US" w:eastAsia="zh-CN"/>
                    </w:rPr>
                    <w:t>。</w:t>
                  </w:r>
                </w:p>
              </w:tc>
              <w:tc>
                <w:tcPr>
                  <w:tcW w:w="394" w:type="pct"/>
                  <w:tcBorders>
                    <w:tl2br w:val="nil"/>
                    <w:tr2bl w:val="nil"/>
                  </w:tcBorders>
                  <w:noWrap w:val="0"/>
                  <w:vAlign w:val="center"/>
                </w:tcPr>
                <w:p w14:paraId="477B1778">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符合</w:t>
                  </w:r>
                </w:p>
              </w:tc>
            </w:tr>
            <w:tr w14:paraId="29B3B9D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66" w:type="pct"/>
                  <w:vMerge w:val="continue"/>
                  <w:tcBorders>
                    <w:tl2br w:val="nil"/>
                    <w:tr2bl w:val="nil"/>
                  </w:tcBorders>
                  <w:noWrap w:val="0"/>
                  <w:vAlign w:val="center"/>
                </w:tcPr>
                <w:p w14:paraId="5D192C4E">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rPr>
                  </w:pPr>
                </w:p>
              </w:tc>
              <w:tc>
                <w:tcPr>
                  <w:tcW w:w="2429" w:type="pct"/>
                  <w:tcBorders>
                    <w:tl2br w:val="nil"/>
                    <w:tr2bl w:val="nil"/>
                  </w:tcBorders>
                  <w:noWrap w:val="0"/>
                  <w:vAlign w:val="center"/>
                </w:tcPr>
                <w:p w14:paraId="23858918">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 xml:space="preserve">采用平版印刷工艺或使用非溶剂型原辅材料时，当车间或生产设施排气中NMHC初始排放速率≥1.0kg/h时，建设末端治污设施，处理效率≥80%。 </w:t>
                  </w:r>
                </w:p>
              </w:tc>
              <w:tc>
                <w:tcPr>
                  <w:tcW w:w="1709" w:type="pct"/>
                  <w:tcBorders>
                    <w:tl2br w:val="nil"/>
                    <w:tr2bl w:val="nil"/>
                  </w:tcBorders>
                  <w:noWrap w:val="0"/>
                  <w:vAlign w:val="center"/>
                </w:tcPr>
                <w:p w14:paraId="344C5C76">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000000"/>
                      <w:sz w:val="21"/>
                      <w:szCs w:val="21"/>
                      <w:u w:val="none"/>
                      <w:lang w:val="en-US" w:eastAsia="zh-CN"/>
                    </w:rPr>
                  </w:pPr>
                  <w:r>
                    <w:rPr>
                      <w:rFonts w:hint="eastAsia" w:ascii="Times New Roman" w:hAnsi="Times New Roman" w:eastAsia="宋体" w:cs="Times New Roman"/>
                      <w:b w:val="0"/>
                      <w:bCs w:val="0"/>
                      <w:color w:val="000000"/>
                      <w:sz w:val="21"/>
                      <w:szCs w:val="21"/>
                      <w:highlight w:val="none"/>
                      <w:u w:val="none"/>
                      <w:lang w:val="en-US" w:eastAsia="zh-CN"/>
                    </w:rPr>
                    <w:t>本项目采用柔版印刷工艺，使用水性油墨，废气采用</w:t>
                  </w:r>
                  <w:r>
                    <w:rPr>
                      <w:rFonts w:hint="eastAsia" w:ascii="Times New Roman" w:hAnsi="Times New Roman" w:eastAsia="宋体" w:cs="Times New Roman"/>
                      <w:sz w:val="21"/>
                      <w:szCs w:val="21"/>
                      <w:highlight w:val="none"/>
                      <w:lang w:val="en-US" w:eastAsia="zh-CN"/>
                    </w:rPr>
                    <w:t>活性炭吸附脱附+催化燃烧装置治理，处理效率</w:t>
                  </w:r>
                  <w:r>
                    <w:rPr>
                      <w:rFonts w:hint="default" w:ascii="Times New Roman" w:hAnsi="Times New Roman" w:eastAsia="宋体" w:cs="Times New Roman"/>
                      <w:b w:val="0"/>
                      <w:bCs w:val="0"/>
                      <w:sz w:val="21"/>
                      <w:szCs w:val="21"/>
                      <w:highlight w:val="none"/>
                      <w:u w:val="none"/>
                      <w:lang w:val="en-US" w:eastAsia="zh-CN"/>
                    </w:rPr>
                    <w:t>≥</w:t>
                  </w:r>
                  <w:r>
                    <w:rPr>
                      <w:rFonts w:hint="eastAsia" w:ascii="Times New Roman" w:hAnsi="Times New Roman" w:eastAsia="宋体" w:cs="Times New Roman"/>
                      <w:b w:val="0"/>
                      <w:bCs w:val="0"/>
                      <w:sz w:val="21"/>
                      <w:szCs w:val="21"/>
                      <w:highlight w:val="none"/>
                      <w:u w:val="none"/>
                      <w:lang w:val="en-US" w:eastAsia="zh-CN"/>
                    </w:rPr>
                    <w:t>80</w:t>
                  </w:r>
                  <w:r>
                    <w:rPr>
                      <w:rFonts w:hint="default" w:ascii="Times New Roman" w:hAnsi="Times New Roman" w:eastAsia="宋体" w:cs="Times New Roman"/>
                      <w:b w:val="0"/>
                      <w:bCs w:val="0"/>
                      <w:sz w:val="21"/>
                      <w:szCs w:val="21"/>
                      <w:highlight w:val="none"/>
                      <w:u w:val="none"/>
                      <w:lang w:val="en-US" w:eastAsia="zh-CN"/>
                    </w:rPr>
                    <w:t>%</w:t>
                  </w:r>
                  <w:r>
                    <w:rPr>
                      <w:rFonts w:hint="eastAsia" w:ascii="Times New Roman" w:hAnsi="Times New Roman" w:eastAsia="宋体" w:cs="Times New Roman"/>
                      <w:b w:val="0"/>
                      <w:bCs w:val="0"/>
                      <w:sz w:val="21"/>
                      <w:szCs w:val="21"/>
                      <w:highlight w:val="none"/>
                      <w:u w:val="none"/>
                      <w:lang w:val="en-US" w:eastAsia="zh-CN"/>
                    </w:rPr>
                    <w:t>。</w:t>
                  </w:r>
                </w:p>
              </w:tc>
              <w:tc>
                <w:tcPr>
                  <w:tcW w:w="394" w:type="pct"/>
                  <w:tcBorders>
                    <w:tl2br w:val="nil"/>
                    <w:tr2bl w:val="nil"/>
                  </w:tcBorders>
                  <w:noWrap w:val="0"/>
                  <w:vAlign w:val="center"/>
                </w:tcPr>
                <w:p w14:paraId="7E2F82C5">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符合</w:t>
                  </w:r>
                </w:p>
              </w:tc>
            </w:tr>
            <w:tr w14:paraId="7ED0081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66" w:type="pct"/>
                  <w:vMerge w:val="restart"/>
                  <w:tcBorders>
                    <w:tl2br w:val="nil"/>
                    <w:tr2bl w:val="nil"/>
                  </w:tcBorders>
                  <w:noWrap w:val="0"/>
                  <w:vAlign w:val="center"/>
                </w:tcPr>
                <w:p w14:paraId="435B1B51">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五</w:t>
                  </w:r>
                  <w:r>
                    <w:rPr>
                      <w:rFonts w:hint="eastAsia"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排放限值提标</w:t>
                  </w:r>
                </w:p>
              </w:tc>
              <w:tc>
                <w:tcPr>
                  <w:tcW w:w="2429" w:type="pct"/>
                  <w:tcBorders>
                    <w:tl2br w:val="nil"/>
                    <w:tr2bl w:val="nil"/>
                  </w:tcBorders>
                  <w:noWrap w:val="0"/>
                  <w:vAlign w:val="center"/>
                </w:tcPr>
                <w:p w14:paraId="441EA34E">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val="en-US" w:eastAsia="zh-CN"/>
                    </w:rPr>
                    <w:t>1、在连续一年的监测数据中，车间或生产设施排气筒排放的NMHC不超过河南省地标（DB41/1956—2020）规定的排放浓度40mg/m</w:t>
                  </w:r>
                  <w:r>
                    <w:rPr>
                      <w:rFonts w:hint="default" w:ascii="Times New Roman" w:hAnsi="Times New Roman" w:eastAsia="宋体" w:cs="Times New Roman"/>
                      <w:b w:val="0"/>
                      <w:bCs w:val="0"/>
                      <w:sz w:val="21"/>
                      <w:szCs w:val="21"/>
                      <w:u w:val="none"/>
                      <w:vertAlign w:val="superscript"/>
                      <w:lang w:val="en-US" w:eastAsia="zh-CN"/>
                    </w:rPr>
                    <w:t>3</w:t>
                  </w:r>
                  <w:r>
                    <w:rPr>
                      <w:rFonts w:hint="default" w:ascii="Times New Roman" w:hAnsi="Times New Roman" w:eastAsia="宋体" w:cs="Times New Roman"/>
                      <w:b w:val="0"/>
                      <w:bCs w:val="0"/>
                      <w:sz w:val="21"/>
                      <w:szCs w:val="21"/>
                      <w:u w:val="none"/>
                      <w:lang w:val="en-US" w:eastAsia="zh-CN"/>
                    </w:rPr>
                    <w:t>，排放速率1.0kg/h。鼓励企业提高绩效，达到绩效分级A级企业要求（NMHC排放&lt;30mg/m</w:t>
                  </w:r>
                  <w:r>
                    <w:rPr>
                      <w:rFonts w:hint="default" w:ascii="Times New Roman" w:hAnsi="Times New Roman" w:eastAsia="宋体" w:cs="Times New Roman"/>
                      <w:b w:val="0"/>
                      <w:bCs w:val="0"/>
                      <w:sz w:val="21"/>
                      <w:szCs w:val="21"/>
                      <w:u w:val="none"/>
                      <w:vertAlign w:val="superscript"/>
                      <w:lang w:val="en-US" w:eastAsia="zh-CN"/>
                    </w:rPr>
                    <w:t>3</w:t>
                  </w:r>
                  <w:r>
                    <w:rPr>
                      <w:rFonts w:hint="default" w:ascii="Times New Roman" w:hAnsi="Times New Roman" w:eastAsia="宋体" w:cs="Times New Roman"/>
                      <w:b w:val="0"/>
                      <w:bCs w:val="0"/>
                      <w:sz w:val="21"/>
                      <w:szCs w:val="21"/>
                      <w:u w:val="none"/>
                      <w:lang w:val="en-US" w:eastAsia="zh-CN"/>
                    </w:rPr>
                    <w:t>、TVOC&lt;50mg/m</w:t>
                  </w:r>
                  <w:r>
                    <w:rPr>
                      <w:rFonts w:hint="default" w:ascii="Times New Roman" w:hAnsi="Times New Roman" w:eastAsia="宋体" w:cs="Times New Roman"/>
                      <w:b w:val="0"/>
                      <w:bCs w:val="0"/>
                      <w:sz w:val="21"/>
                      <w:szCs w:val="21"/>
                      <w:u w:val="none"/>
                      <w:vertAlign w:val="superscript"/>
                      <w:lang w:val="en-US" w:eastAsia="zh-CN"/>
                    </w:rPr>
                    <w:t>3</w:t>
                  </w:r>
                  <w:r>
                    <w:rPr>
                      <w:rFonts w:hint="default" w:ascii="Times New Roman" w:hAnsi="Times New Roman" w:eastAsia="宋体" w:cs="Times New Roman"/>
                      <w:b w:val="0"/>
                      <w:bCs w:val="0"/>
                      <w:sz w:val="21"/>
                      <w:szCs w:val="21"/>
                      <w:u w:val="none"/>
                      <w:lang w:val="en-US" w:eastAsia="zh-CN"/>
                    </w:rPr>
                    <w:t>）。</w:t>
                  </w:r>
                </w:p>
              </w:tc>
              <w:tc>
                <w:tcPr>
                  <w:tcW w:w="1709" w:type="pct"/>
                  <w:tcBorders>
                    <w:tl2br w:val="nil"/>
                    <w:tr2bl w:val="nil"/>
                  </w:tcBorders>
                  <w:noWrap w:val="0"/>
                  <w:vAlign w:val="center"/>
                </w:tcPr>
                <w:p w14:paraId="4A862FA0">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000000"/>
                      <w:sz w:val="21"/>
                      <w:szCs w:val="21"/>
                      <w:u w:val="none"/>
                      <w:vertAlign w:val="baseline"/>
                      <w:lang w:val="en-US" w:eastAsia="zh-CN"/>
                    </w:rPr>
                  </w:pPr>
                  <w:r>
                    <w:rPr>
                      <w:rFonts w:hint="eastAsia" w:ascii="Times New Roman" w:hAnsi="Times New Roman" w:eastAsia="宋体" w:cs="Times New Roman"/>
                      <w:b w:val="0"/>
                      <w:bCs w:val="0"/>
                      <w:color w:val="000000"/>
                      <w:sz w:val="21"/>
                      <w:szCs w:val="21"/>
                      <w:u w:val="none"/>
                      <w:lang w:val="en-US" w:eastAsia="zh-CN"/>
                    </w:rPr>
                    <w:t>本项目非甲烷总烃排放满足</w:t>
                  </w:r>
                  <w:r>
                    <w:rPr>
                      <w:rFonts w:hint="default" w:ascii="Times New Roman" w:hAnsi="Times New Roman" w:eastAsia="宋体" w:cs="Times New Roman"/>
                      <w:b w:val="0"/>
                      <w:bCs w:val="0"/>
                      <w:sz w:val="21"/>
                      <w:szCs w:val="21"/>
                      <w:u w:val="none"/>
                      <w:lang w:val="en-US" w:eastAsia="zh-CN"/>
                    </w:rPr>
                    <w:t>河南省地标（DB41/195</w:t>
                  </w:r>
                  <w:r>
                    <w:rPr>
                      <w:rFonts w:hint="eastAsia" w:ascii="Times New Roman" w:hAnsi="Times New Roman" w:eastAsia="宋体" w:cs="Times New Roman"/>
                      <w:b w:val="0"/>
                      <w:bCs w:val="0"/>
                      <w:sz w:val="21"/>
                      <w:szCs w:val="21"/>
                      <w:u w:val="none"/>
                      <w:lang w:val="en-US" w:eastAsia="zh-CN"/>
                    </w:rPr>
                    <w:t>6</w:t>
                  </w:r>
                  <w:r>
                    <w:rPr>
                      <w:rFonts w:hint="default" w:ascii="Times New Roman" w:hAnsi="Times New Roman" w:eastAsia="宋体" w:cs="Times New Roman"/>
                      <w:b w:val="0"/>
                      <w:bCs w:val="0"/>
                      <w:sz w:val="21"/>
                      <w:szCs w:val="21"/>
                      <w:u w:val="none"/>
                      <w:lang w:val="en-US" w:eastAsia="zh-CN"/>
                    </w:rPr>
                    <w:t>-2020）</w:t>
                  </w:r>
                  <w:r>
                    <w:rPr>
                      <w:rFonts w:hint="eastAsia" w:ascii="Times New Roman" w:hAnsi="Times New Roman" w:eastAsia="宋体" w:cs="Times New Roman"/>
                      <w:b w:val="0"/>
                      <w:bCs w:val="0"/>
                      <w:sz w:val="21"/>
                      <w:szCs w:val="21"/>
                      <w:u w:val="none"/>
                      <w:lang w:val="en-US" w:eastAsia="zh-CN"/>
                    </w:rPr>
                    <w:t>规定的排放浓度4</w:t>
                  </w:r>
                  <w:r>
                    <w:rPr>
                      <w:rFonts w:hint="default" w:ascii="Times New Roman" w:hAnsi="Times New Roman" w:eastAsia="宋体" w:cs="Times New Roman"/>
                      <w:b w:val="0"/>
                      <w:bCs w:val="0"/>
                      <w:sz w:val="21"/>
                      <w:szCs w:val="21"/>
                      <w:u w:val="none"/>
                      <w:lang w:val="en-US" w:eastAsia="zh-CN"/>
                    </w:rPr>
                    <w:t>0mg/m</w:t>
                  </w:r>
                  <w:r>
                    <w:rPr>
                      <w:rFonts w:hint="default" w:ascii="Times New Roman" w:hAnsi="Times New Roman" w:eastAsia="宋体" w:cs="Times New Roman"/>
                      <w:b w:val="0"/>
                      <w:bCs w:val="0"/>
                      <w:sz w:val="21"/>
                      <w:szCs w:val="21"/>
                      <w:u w:val="none"/>
                      <w:vertAlign w:val="superscript"/>
                      <w:lang w:val="en-US" w:eastAsia="zh-CN"/>
                    </w:rPr>
                    <w:t>3</w:t>
                  </w:r>
                  <w:r>
                    <w:rPr>
                      <w:rFonts w:hint="eastAsia" w:ascii="Times New Roman" w:hAnsi="Times New Roman" w:eastAsia="宋体" w:cs="Times New Roman"/>
                      <w:b w:val="0"/>
                      <w:bCs w:val="0"/>
                      <w:sz w:val="21"/>
                      <w:szCs w:val="21"/>
                      <w:u w:val="none"/>
                      <w:vertAlign w:val="baseline"/>
                      <w:lang w:val="en-US" w:eastAsia="zh-CN"/>
                    </w:rPr>
                    <w:t>，排放速率1.0kg/h；同时满足包装印刷工业绩效分级A级</w:t>
                  </w:r>
                  <w:r>
                    <w:rPr>
                      <w:rFonts w:hint="eastAsia" w:ascii="Times New Roman" w:hAnsi="宋体" w:cs="Times New Roman"/>
                      <w:color w:val="000000"/>
                      <w:sz w:val="21"/>
                      <w:szCs w:val="21"/>
                      <w:lang w:val="en-US" w:eastAsia="zh-CN"/>
                    </w:rPr>
                    <w:t>NMHC</w:t>
                  </w:r>
                  <w:r>
                    <w:rPr>
                      <w:rFonts w:hint="default" w:ascii="Times New Roman" w:hAnsi="Times New Roman" w:eastAsia="宋体" w:cs="Times New Roman"/>
                      <w:color w:val="000000"/>
                      <w:sz w:val="21"/>
                      <w:szCs w:val="21"/>
                      <w:lang w:val="en-US" w:eastAsia="zh-CN"/>
                    </w:rPr>
                    <w:t>排放浓度30mg/m</w:t>
                  </w:r>
                  <w:r>
                    <w:rPr>
                      <w:rFonts w:hint="default" w:ascii="Times New Roman" w:hAnsi="Times New Roman" w:eastAsia="宋体" w:cs="Times New Roman"/>
                      <w:color w:val="000000"/>
                      <w:sz w:val="21"/>
                      <w:szCs w:val="21"/>
                      <w:vertAlign w:val="superscript"/>
                      <w:lang w:val="en-US" w:eastAsia="zh-CN"/>
                    </w:rPr>
                    <w:t>3</w:t>
                  </w:r>
                  <w:r>
                    <w:rPr>
                      <w:rFonts w:hint="default" w:ascii="Times New Roman" w:hAnsi="Times New Roman" w:eastAsia="宋体" w:cs="Times New Roman"/>
                      <w:color w:val="000000"/>
                      <w:sz w:val="21"/>
                      <w:szCs w:val="21"/>
                      <w:vertAlign w:val="baseline"/>
                      <w:lang w:val="en-US" w:eastAsia="zh-CN"/>
                    </w:rPr>
                    <w:t>的限值要求。</w:t>
                  </w:r>
                </w:p>
              </w:tc>
              <w:tc>
                <w:tcPr>
                  <w:tcW w:w="394" w:type="pct"/>
                  <w:tcBorders>
                    <w:tl2br w:val="nil"/>
                    <w:tr2bl w:val="nil"/>
                  </w:tcBorders>
                  <w:noWrap w:val="0"/>
                  <w:vAlign w:val="center"/>
                </w:tcPr>
                <w:p w14:paraId="6C706E5C">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符合</w:t>
                  </w:r>
                </w:p>
              </w:tc>
            </w:tr>
            <w:tr w14:paraId="4B30AA8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66" w:type="pct"/>
                  <w:vMerge w:val="continue"/>
                  <w:tcBorders>
                    <w:tl2br w:val="nil"/>
                    <w:tr2bl w:val="nil"/>
                  </w:tcBorders>
                  <w:noWrap w:val="0"/>
                  <w:vAlign w:val="center"/>
                </w:tcPr>
                <w:p w14:paraId="15E697E0">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rPr>
                  </w:pPr>
                </w:p>
              </w:tc>
              <w:tc>
                <w:tcPr>
                  <w:tcW w:w="2429" w:type="pct"/>
                  <w:tcBorders>
                    <w:tl2br w:val="nil"/>
                    <w:tr2bl w:val="nil"/>
                  </w:tcBorders>
                  <w:noWrap w:val="0"/>
                  <w:vAlign w:val="center"/>
                </w:tcPr>
                <w:p w14:paraId="22D8B12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ind w:left="0" w:right="0"/>
                    <w:jc w:val="both"/>
                    <w:textAlignment w:val="auto"/>
                    <w:rPr>
                      <w:rFonts w:hint="default" w:ascii="Times New Roman" w:hAnsi="Times New Roman" w:eastAsia="宋体" w:cs="Times New Roman"/>
                      <w:b w:val="0"/>
                      <w:bCs w:val="0"/>
                      <w:color w:val="000000"/>
                      <w:kern w:val="0"/>
                      <w:sz w:val="21"/>
                      <w:szCs w:val="21"/>
                      <w:u w:val="none"/>
                      <w:lang w:val="en-US" w:eastAsia="zh-CN" w:bidi="ar-SA"/>
                    </w:rPr>
                  </w:pPr>
                  <w:r>
                    <w:rPr>
                      <w:rFonts w:hint="default" w:ascii="Times New Roman" w:hAnsi="Times New Roman" w:eastAsia="宋体" w:cs="Times New Roman"/>
                      <w:b w:val="0"/>
                      <w:bCs w:val="0"/>
                      <w:color w:val="000000"/>
                      <w:kern w:val="0"/>
                      <w:sz w:val="21"/>
                      <w:szCs w:val="21"/>
                      <w:u w:val="none"/>
                      <w:lang w:val="en-US" w:eastAsia="zh-CN" w:bidi="ar-SA"/>
                    </w:rPr>
                    <w:t>2、其他污染物苯不超过河南省地标（DB41/1956—2020）规定的排放浓度0.5mg/m</w:t>
                  </w:r>
                  <w:r>
                    <w:rPr>
                      <w:rFonts w:hint="default" w:ascii="Times New Roman" w:hAnsi="Times New Roman" w:eastAsia="宋体" w:cs="Times New Roman"/>
                      <w:b w:val="0"/>
                      <w:bCs w:val="0"/>
                      <w:color w:val="000000"/>
                      <w:kern w:val="0"/>
                      <w:sz w:val="21"/>
                      <w:szCs w:val="21"/>
                      <w:u w:val="none"/>
                      <w:vertAlign w:val="superscript"/>
                      <w:lang w:val="en-US" w:eastAsia="zh-CN" w:bidi="ar-SA"/>
                    </w:rPr>
                    <w:t>3</w:t>
                  </w:r>
                  <w:r>
                    <w:rPr>
                      <w:rFonts w:hint="default" w:ascii="Times New Roman" w:hAnsi="Times New Roman" w:eastAsia="宋体" w:cs="Times New Roman"/>
                      <w:b w:val="0"/>
                      <w:bCs w:val="0"/>
                      <w:color w:val="000000"/>
                      <w:kern w:val="0"/>
                      <w:sz w:val="21"/>
                      <w:szCs w:val="21"/>
                      <w:u w:val="none"/>
                      <w:lang w:val="en-US" w:eastAsia="zh-CN" w:bidi="ar-SA"/>
                    </w:rPr>
                    <w:t>，排放速率0.1kg/h；甲苯与二甲苯合计不超过河南省地标（DB41/1956—2020）规定的排放浓度8mg/m</w:t>
                  </w:r>
                  <w:r>
                    <w:rPr>
                      <w:rFonts w:hint="default" w:ascii="Times New Roman" w:hAnsi="Times New Roman" w:eastAsia="宋体" w:cs="Times New Roman"/>
                      <w:b w:val="0"/>
                      <w:bCs w:val="0"/>
                      <w:color w:val="000000"/>
                      <w:kern w:val="0"/>
                      <w:sz w:val="21"/>
                      <w:szCs w:val="21"/>
                      <w:u w:val="none"/>
                      <w:vertAlign w:val="superscript"/>
                      <w:lang w:val="en-US" w:eastAsia="zh-CN" w:bidi="ar-SA"/>
                    </w:rPr>
                    <w:t>3</w:t>
                  </w:r>
                  <w:r>
                    <w:rPr>
                      <w:rFonts w:hint="default" w:ascii="Times New Roman" w:hAnsi="Times New Roman" w:eastAsia="宋体" w:cs="Times New Roman"/>
                      <w:b w:val="0"/>
                      <w:bCs w:val="0"/>
                      <w:color w:val="000000"/>
                      <w:kern w:val="0"/>
                      <w:sz w:val="21"/>
                      <w:szCs w:val="21"/>
                      <w:u w:val="none"/>
                      <w:lang w:val="en-US" w:eastAsia="zh-CN" w:bidi="ar-SA"/>
                    </w:rPr>
                    <w:t>，排放速率0.5kg/h。</w:t>
                  </w:r>
                </w:p>
              </w:tc>
              <w:tc>
                <w:tcPr>
                  <w:tcW w:w="1709" w:type="pct"/>
                  <w:tcBorders>
                    <w:tl2br w:val="nil"/>
                    <w:tr2bl w:val="nil"/>
                  </w:tcBorders>
                  <w:noWrap w:val="0"/>
                  <w:vAlign w:val="center"/>
                </w:tcPr>
                <w:p w14:paraId="51C8E8F5">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000000"/>
                      <w:sz w:val="21"/>
                      <w:szCs w:val="21"/>
                      <w:u w:val="none"/>
                      <w:lang w:val="en-US" w:eastAsia="zh-CN"/>
                    </w:rPr>
                  </w:pPr>
                  <w:r>
                    <w:rPr>
                      <w:rFonts w:hint="eastAsia" w:ascii="Times New Roman" w:hAnsi="Times New Roman" w:eastAsia="宋体" w:cs="Times New Roman"/>
                      <w:b w:val="0"/>
                      <w:bCs w:val="0"/>
                      <w:color w:val="000000"/>
                      <w:sz w:val="21"/>
                      <w:szCs w:val="21"/>
                      <w:u w:val="none"/>
                      <w:lang w:val="en-US" w:eastAsia="zh-CN"/>
                    </w:rPr>
                    <w:t>本项目</w:t>
                  </w:r>
                  <w:r>
                    <w:rPr>
                      <w:rFonts w:hint="eastAsia" w:ascii="Times New Roman" w:hAnsi="Times New Roman" w:eastAsia="宋体" w:cs="Times New Roman"/>
                      <w:b w:val="0"/>
                      <w:bCs w:val="0"/>
                      <w:sz w:val="21"/>
                      <w:szCs w:val="21"/>
                      <w:u w:val="none"/>
                      <w:lang w:val="en-US" w:eastAsia="zh-CN"/>
                    </w:rPr>
                    <w:t>不涉及苯、甲苯、二甲苯产生</w:t>
                  </w:r>
                  <w:r>
                    <w:rPr>
                      <w:rFonts w:hint="default" w:ascii="Times New Roman" w:hAnsi="Times New Roman" w:eastAsia="宋体" w:cs="Times New Roman"/>
                      <w:b w:val="0"/>
                      <w:bCs w:val="0"/>
                      <w:sz w:val="21"/>
                      <w:szCs w:val="21"/>
                      <w:u w:val="none"/>
                      <w:lang w:val="en-US" w:eastAsia="zh-CN"/>
                    </w:rPr>
                    <w:t>。</w:t>
                  </w:r>
                </w:p>
              </w:tc>
              <w:tc>
                <w:tcPr>
                  <w:tcW w:w="394" w:type="pct"/>
                  <w:tcBorders>
                    <w:tl2br w:val="nil"/>
                    <w:tr2bl w:val="nil"/>
                  </w:tcBorders>
                  <w:noWrap w:val="0"/>
                  <w:vAlign w:val="center"/>
                </w:tcPr>
                <w:p w14:paraId="4E24457D">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符合</w:t>
                  </w:r>
                </w:p>
              </w:tc>
            </w:tr>
            <w:tr w14:paraId="40538A7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66" w:type="pct"/>
                  <w:vMerge w:val="continue"/>
                  <w:tcBorders>
                    <w:tl2br w:val="nil"/>
                    <w:tr2bl w:val="nil"/>
                  </w:tcBorders>
                  <w:noWrap w:val="0"/>
                  <w:vAlign w:val="center"/>
                </w:tcPr>
                <w:p w14:paraId="5C8128BC">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rPr>
                  </w:pPr>
                </w:p>
              </w:tc>
              <w:tc>
                <w:tcPr>
                  <w:tcW w:w="2429" w:type="pct"/>
                  <w:tcBorders>
                    <w:tl2br w:val="nil"/>
                    <w:tr2bl w:val="nil"/>
                  </w:tcBorders>
                  <w:noWrap w:val="0"/>
                  <w:vAlign w:val="center"/>
                </w:tcPr>
                <w:p w14:paraId="3FBE4905">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ind w:left="0" w:right="0"/>
                    <w:jc w:val="both"/>
                    <w:textAlignment w:val="auto"/>
                    <w:rPr>
                      <w:rFonts w:hint="default" w:ascii="Times New Roman" w:hAnsi="Times New Roman" w:eastAsia="宋体" w:cs="Times New Roman"/>
                      <w:b w:val="0"/>
                      <w:bCs w:val="0"/>
                      <w:color w:val="000000"/>
                      <w:kern w:val="0"/>
                      <w:sz w:val="21"/>
                      <w:szCs w:val="21"/>
                      <w:u w:val="none"/>
                      <w:lang w:val="en-US" w:eastAsia="zh-CN" w:bidi="ar-SA"/>
                    </w:rPr>
                  </w:pPr>
                  <w:r>
                    <w:rPr>
                      <w:rFonts w:hint="default" w:ascii="Times New Roman" w:hAnsi="Times New Roman" w:eastAsia="宋体" w:cs="Times New Roman"/>
                      <w:b w:val="0"/>
                      <w:bCs w:val="0"/>
                      <w:color w:val="000000"/>
                      <w:kern w:val="0"/>
                      <w:sz w:val="21"/>
                      <w:szCs w:val="21"/>
                      <w:u w:val="none"/>
                      <w:lang w:val="en-US" w:eastAsia="zh-CN" w:bidi="ar-SA"/>
                    </w:rPr>
                    <w:t>3、厂区内无组织排放监控点NMHC的1h平均浓度值不高于6mg/m3、任意一次浓度值不高于20mg/m3；苯、甲苯和二甲苯合计分别不超过0.1和0.4mg/m3。</w:t>
                  </w:r>
                </w:p>
              </w:tc>
              <w:tc>
                <w:tcPr>
                  <w:tcW w:w="1709" w:type="pct"/>
                  <w:tcBorders>
                    <w:tl2br w:val="nil"/>
                    <w:tr2bl w:val="nil"/>
                  </w:tcBorders>
                  <w:noWrap w:val="0"/>
                  <w:vAlign w:val="center"/>
                </w:tcPr>
                <w:p w14:paraId="21119D77">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b w:val="0"/>
                      <w:bCs w:val="0"/>
                      <w:sz w:val="21"/>
                      <w:szCs w:val="21"/>
                      <w:u w:val="none"/>
                      <w:lang w:val="en-US" w:eastAsia="zh-CN"/>
                    </w:rPr>
                    <w:t>厂区内无组织排放监控点NMHC的1h平均浓度值不超过6mg/m</w:t>
                  </w:r>
                  <w:r>
                    <w:rPr>
                      <w:rFonts w:hint="default" w:ascii="Times New Roman" w:hAnsi="Times New Roman" w:eastAsia="宋体" w:cs="Times New Roman"/>
                      <w:b w:val="0"/>
                      <w:bCs w:val="0"/>
                      <w:sz w:val="21"/>
                      <w:szCs w:val="21"/>
                      <w:u w:val="none"/>
                      <w:vertAlign w:val="superscript"/>
                      <w:lang w:val="en-US" w:eastAsia="zh-CN"/>
                    </w:rPr>
                    <w:t>3</w:t>
                  </w:r>
                  <w:r>
                    <w:rPr>
                      <w:rFonts w:hint="default" w:ascii="Times New Roman" w:hAnsi="Times New Roman" w:eastAsia="宋体" w:cs="Times New Roman"/>
                      <w:b w:val="0"/>
                      <w:bCs w:val="0"/>
                      <w:sz w:val="21"/>
                      <w:szCs w:val="21"/>
                      <w:u w:val="none"/>
                      <w:lang w:val="en-US" w:eastAsia="zh-CN"/>
                    </w:rPr>
                    <w:t>、任意一次浓度值不超过20mg/m</w:t>
                  </w:r>
                  <w:r>
                    <w:rPr>
                      <w:rFonts w:hint="default" w:ascii="Times New Roman" w:hAnsi="Times New Roman" w:eastAsia="宋体" w:cs="Times New Roman"/>
                      <w:b w:val="0"/>
                      <w:bCs w:val="0"/>
                      <w:sz w:val="21"/>
                      <w:szCs w:val="21"/>
                      <w:u w:val="none"/>
                      <w:vertAlign w:val="superscript"/>
                      <w:lang w:val="en-US" w:eastAsia="zh-CN"/>
                    </w:rPr>
                    <w:t>3</w:t>
                  </w:r>
                  <w:r>
                    <w:rPr>
                      <w:rFonts w:hint="default" w:ascii="Times New Roman" w:hAnsi="Times New Roman" w:eastAsia="宋体" w:cs="Times New Roman"/>
                      <w:b w:val="0"/>
                      <w:bCs w:val="0"/>
                      <w:sz w:val="21"/>
                      <w:szCs w:val="21"/>
                      <w:u w:val="none"/>
                      <w:lang w:val="en-US" w:eastAsia="zh-CN"/>
                    </w:rPr>
                    <w:t>。</w:t>
                  </w:r>
                </w:p>
              </w:tc>
              <w:tc>
                <w:tcPr>
                  <w:tcW w:w="394" w:type="pct"/>
                  <w:tcBorders>
                    <w:tl2br w:val="nil"/>
                    <w:tr2bl w:val="nil"/>
                  </w:tcBorders>
                  <w:noWrap w:val="0"/>
                  <w:vAlign w:val="center"/>
                </w:tcPr>
                <w:p w14:paraId="4F1E5454">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符合</w:t>
                  </w:r>
                </w:p>
              </w:tc>
            </w:tr>
            <w:tr w14:paraId="39841C0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66" w:type="pct"/>
                  <w:vMerge w:val="restart"/>
                  <w:tcBorders>
                    <w:tl2br w:val="nil"/>
                    <w:tr2bl w:val="nil"/>
                  </w:tcBorders>
                  <w:noWrap w:val="0"/>
                  <w:vAlign w:val="center"/>
                </w:tcPr>
                <w:p w14:paraId="5C9B43CB">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六</w:t>
                  </w:r>
                  <w:r>
                    <w:rPr>
                      <w:rFonts w:hint="eastAsia"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监测水平提升</w:t>
                  </w:r>
                </w:p>
              </w:tc>
              <w:tc>
                <w:tcPr>
                  <w:tcW w:w="2429" w:type="pct"/>
                  <w:tcBorders>
                    <w:tl2br w:val="nil"/>
                    <w:tr2bl w:val="nil"/>
                  </w:tcBorders>
                  <w:noWrap w:val="0"/>
                  <w:vAlign w:val="center"/>
                </w:tcPr>
                <w:p w14:paraId="1124D687">
                  <w:pPr>
                    <w:keepNext w:val="0"/>
                    <w:keepLines w:val="0"/>
                    <w:pageBreakBefore w:val="0"/>
                    <w:widowControl w:val="0"/>
                    <w:suppressLineNumbers w:val="0"/>
                    <w:kinsoku/>
                    <w:wordWrap/>
                    <w:overflowPunct/>
                    <w:topLinePunct w:val="0"/>
                    <w:autoSpaceDE w:val="0"/>
                    <w:autoSpaceDN w:val="0"/>
                    <w:bidi w:val="0"/>
                    <w:adjustRightInd/>
                    <w:snapToGrid w:val="0"/>
                    <w:spacing w:before="0" w:beforeAutospacing="0" w:after="0" w:afterAutospacing="0"/>
                    <w:ind w:left="0" w:right="0"/>
                    <w:jc w:val="both"/>
                    <w:textAlignment w:val="auto"/>
                    <w:rPr>
                      <w:rFonts w:hint="default" w:ascii="Times New Roman" w:hAnsi="Times New Roman" w:eastAsia="宋体" w:cs="Times New Roman"/>
                      <w:b w:val="0"/>
                      <w:bCs w:val="0"/>
                      <w:color w:val="000000"/>
                      <w:kern w:val="0"/>
                      <w:sz w:val="21"/>
                      <w:szCs w:val="21"/>
                      <w:u w:val="none"/>
                      <w:lang w:val="en-US" w:eastAsia="zh-CN" w:bidi="ar-SA"/>
                    </w:rPr>
                  </w:pPr>
                  <w:r>
                    <w:rPr>
                      <w:rFonts w:hint="default" w:ascii="Times New Roman" w:hAnsi="Times New Roman" w:eastAsia="宋体" w:cs="Times New Roman"/>
                      <w:b w:val="0"/>
                      <w:bCs w:val="0"/>
                      <w:color w:val="000000"/>
                      <w:kern w:val="0"/>
                      <w:sz w:val="21"/>
                      <w:szCs w:val="21"/>
                      <w:u w:val="none"/>
                      <w:lang w:val="en-US" w:eastAsia="zh-CN" w:bidi="ar-SA"/>
                    </w:rPr>
                    <w:t>严格执行《排污许可证申请与核发技术规范印刷工业》（HJ1066-2019）规定的自行监测管理要求。</w:t>
                  </w:r>
                </w:p>
              </w:tc>
              <w:tc>
                <w:tcPr>
                  <w:tcW w:w="1709" w:type="pct"/>
                  <w:tcBorders>
                    <w:tl2br w:val="nil"/>
                    <w:tr2bl w:val="nil"/>
                  </w:tcBorders>
                  <w:noWrap w:val="0"/>
                  <w:vAlign w:val="center"/>
                </w:tcPr>
                <w:p w14:paraId="45069A1B">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color w:val="000000"/>
                      <w:sz w:val="21"/>
                      <w:szCs w:val="21"/>
                      <w:lang w:val="en-US" w:eastAsia="zh-CN"/>
                    </w:rPr>
                    <w:t>1、</w:t>
                  </w:r>
                  <w:r>
                    <w:rPr>
                      <w:rFonts w:hint="default" w:ascii="Times New Roman" w:hAnsi="Times New Roman" w:eastAsia="宋体" w:cs="Times New Roman"/>
                      <w:b w:val="0"/>
                      <w:bCs w:val="0"/>
                      <w:color w:val="000000"/>
                      <w:kern w:val="0"/>
                      <w:sz w:val="21"/>
                      <w:szCs w:val="21"/>
                      <w:highlight w:val="none"/>
                      <w:u w:val="none"/>
                      <w:lang w:val="en-US" w:eastAsia="zh-CN" w:bidi="ar"/>
                    </w:rPr>
                    <w:t>严格执行《排污单位自行监测技术指南 印刷工业》（HJ1246—2022）规定的自行监测管理要求</w:t>
                  </w:r>
                  <w:r>
                    <w:rPr>
                      <w:rFonts w:hint="eastAsia" w:ascii="Times New Roman" w:hAnsi="Times New Roman" w:eastAsia="宋体" w:cs="Times New Roman"/>
                      <w:b w:val="0"/>
                      <w:bCs w:val="0"/>
                      <w:color w:val="000000"/>
                      <w:kern w:val="0"/>
                      <w:sz w:val="21"/>
                      <w:szCs w:val="21"/>
                      <w:highlight w:val="none"/>
                      <w:u w:val="none"/>
                      <w:lang w:val="en-US" w:eastAsia="zh-CN" w:bidi="ar"/>
                    </w:rPr>
                    <w:t>。</w:t>
                  </w:r>
                </w:p>
              </w:tc>
              <w:tc>
                <w:tcPr>
                  <w:tcW w:w="394" w:type="pct"/>
                  <w:tcBorders>
                    <w:tl2br w:val="nil"/>
                    <w:tr2bl w:val="nil"/>
                  </w:tcBorders>
                  <w:noWrap w:val="0"/>
                  <w:vAlign w:val="center"/>
                </w:tcPr>
                <w:p w14:paraId="57C01BF5">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符合</w:t>
                  </w:r>
                </w:p>
              </w:tc>
            </w:tr>
            <w:tr w14:paraId="0A5EA1E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66" w:type="pct"/>
                  <w:vMerge w:val="continue"/>
                  <w:tcBorders>
                    <w:tl2br w:val="nil"/>
                    <w:tr2bl w:val="nil"/>
                  </w:tcBorders>
                  <w:noWrap w:val="0"/>
                  <w:vAlign w:val="center"/>
                </w:tcPr>
                <w:p w14:paraId="51124817">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rPr>
                  </w:pPr>
                </w:p>
              </w:tc>
              <w:tc>
                <w:tcPr>
                  <w:tcW w:w="2429" w:type="pct"/>
                  <w:tcBorders>
                    <w:tl2br w:val="nil"/>
                    <w:tr2bl w:val="nil"/>
                  </w:tcBorders>
                  <w:noWrap w:val="0"/>
                  <w:vAlign w:val="center"/>
                </w:tcPr>
                <w:p w14:paraId="135D8BBE">
                  <w:pPr>
                    <w:keepNext w:val="0"/>
                    <w:keepLines w:val="0"/>
                    <w:suppressLineNumbers w:val="0"/>
                    <w:autoSpaceDE w:val="0"/>
                    <w:autoSpaceDN w:val="0"/>
                    <w:adjustRightInd w:val="0"/>
                    <w:snapToGrid w:val="0"/>
                    <w:spacing w:before="0" w:beforeAutospacing="0" w:after="0" w:afterAutospacing="0"/>
                    <w:ind w:left="0" w:right="0"/>
                    <w:rPr>
                      <w:rFonts w:hint="default" w:ascii="Times New Roman" w:hAnsi="Times New Roman" w:eastAsia="宋体" w:cs="Times New Roman"/>
                      <w:b w:val="0"/>
                      <w:bCs w:val="0"/>
                      <w:color w:val="000000"/>
                      <w:kern w:val="0"/>
                      <w:sz w:val="21"/>
                      <w:szCs w:val="21"/>
                      <w:u w:val="none"/>
                      <w:lang w:val="en-US" w:eastAsia="zh-CN" w:bidi="ar-SA"/>
                    </w:rPr>
                  </w:pPr>
                  <w:r>
                    <w:rPr>
                      <w:rFonts w:hint="default" w:ascii="Times New Roman" w:hAnsi="Times New Roman" w:eastAsia="宋体" w:cs="Times New Roman"/>
                      <w:b w:val="0"/>
                      <w:bCs w:val="0"/>
                      <w:color w:val="000000"/>
                      <w:kern w:val="0"/>
                      <w:sz w:val="21"/>
                      <w:szCs w:val="21"/>
                      <w:u w:val="none"/>
                      <w:lang w:val="en-US" w:eastAsia="zh-CN" w:bidi="ar-SA"/>
                    </w:rPr>
                    <w:t>2、使用溶剂型原辅材料的印刷企业废气排放口需安装VOCs在线监测设施（FID检测器），自动监控数据可保存一年以上。</w:t>
                  </w:r>
                </w:p>
              </w:tc>
              <w:tc>
                <w:tcPr>
                  <w:tcW w:w="1709" w:type="pct"/>
                  <w:tcBorders>
                    <w:tl2br w:val="nil"/>
                    <w:tr2bl w:val="nil"/>
                  </w:tcBorders>
                  <w:noWrap w:val="0"/>
                  <w:vAlign w:val="center"/>
                </w:tcPr>
                <w:p w14:paraId="0FFE6E1F">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color w:val="000000"/>
                      <w:kern w:val="21"/>
                      <w:sz w:val="21"/>
                      <w:szCs w:val="21"/>
                      <w:highlight w:val="none"/>
                      <w:lang w:val="en-US" w:eastAsia="zh-CN"/>
                    </w:rPr>
                    <w:t>本项目</w:t>
                  </w:r>
                  <w:r>
                    <w:rPr>
                      <w:rFonts w:hint="eastAsia" w:ascii="Times New Roman" w:hAnsi="Times New Roman" w:eastAsia="宋体" w:cs="Times New Roman"/>
                      <w:color w:val="000000"/>
                      <w:kern w:val="21"/>
                      <w:sz w:val="21"/>
                      <w:szCs w:val="21"/>
                      <w:highlight w:val="none"/>
                      <w:lang w:val="en-US" w:eastAsia="zh-CN"/>
                    </w:rPr>
                    <w:t>使用水性油墨，无需安装VOCs在线监测设施。</w:t>
                  </w:r>
                </w:p>
              </w:tc>
              <w:tc>
                <w:tcPr>
                  <w:tcW w:w="394" w:type="pct"/>
                  <w:tcBorders>
                    <w:tl2br w:val="nil"/>
                    <w:tr2bl w:val="nil"/>
                  </w:tcBorders>
                  <w:noWrap w:val="0"/>
                  <w:vAlign w:val="center"/>
                </w:tcPr>
                <w:p w14:paraId="3C02BEA9">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符合</w:t>
                  </w:r>
                </w:p>
              </w:tc>
            </w:tr>
            <w:tr w14:paraId="06ADCDF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66" w:type="pct"/>
                  <w:vMerge w:val="continue"/>
                  <w:tcBorders>
                    <w:tl2br w:val="nil"/>
                    <w:tr2bl w:val="nil"/>
                  </w:tcBorders>
                  <w:noWrap w:val="0"/>
                  <w:vAlign w:val="center"/>
                </w:tcPr>
                <w:p w14:paraId="404E066B">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rPr>
                  </w:pPr>
                </w:p>
              </w:tc>
              <w:tc>
                <w:tcPr>
                  <w:tcW w:w="2429" w:type="pct"/>
                  <w:tcBorders>
                    <w:tl2br w:val="nil"/>
                    <w:tr2bl w:val="nil"/>
                  </w:tcBorders>
                  <w:noWrap w:val="0"/>
                  <w:vAlign w:val="center"/>
                </w:tcPr>
                <w:p w14:paraId="4BDCD031">
                  <w:pPr>
                    <w:keepNext w:val="0"/>
                    <w:keepLines w:val="0"/>
                    <w:suppressLineNumbers w:val="0"/>
                    <w:autoSpaceDE w:val="0"/>
                    <w:autoSpaceDN w:val="0"/>
                    <w:adjustRightInd w:val="0"/>
                    <w:snapToGrid w:val="0"/>
                    <w:spacing w:before="0" w:beforeAutospacing="0" w:after="0" w:afterAutospacing="0"/>
                    <w:ind w:left="0" w:right="0"/>
                    <w:jc w:val="both"/>
                    <w:rPr>
                      <w:rFonts w:hint="default" w:ascii="Times New Roman" w:hAnsi="Times New Roman" w:eastAsia="宋体" w:cs="Times New Roman"/>
                      <w:b w:val="0"/>
                      <w:bCs w:val="0"/>
                      <w:color w:val="000000"/>
                      <w:kern w:val="0"/>
                      <w:sz w:val="21"/>
                      <w:szCs w:val="21"/>
                      <w:u w:val="none"/>
                      <w:lang w:val="en-US" w:eastAsia="zh-CN" w:bidi="ar-SA"/>
                    </w:rPr>
                  </w:pPr>
                  <w:r>
                    <w:rPr>
                      <w:rFonts w:hint="default" w:ascii="Times New Roman" w:hAnsi="Times New Roman" w:eastAsia="宋体" w:cs="Times New Roman"/>
                      <w:b w:val="0"/>
                      <w:bCs w:val="0"/>
                      <w:color w:val="000000"/>
                      <w:kern w:val="0"/>
                      <w:sz w:val="21"/>
                      <w:szCs w:val="21"/>
                      <w:u w:val="none"/>
                      <w:lang w:val="en-US" w:eastAsia="zh-CN" w:bidi="ar-SA"/>
                    </w:rPr>
                    <w:t>废气处理设施需安装DCS系统、PLC系统、仪器仪表等装置，记录治理设施主要参数，数据可保存一年以上。</w:t>
                  </w:r>
                </w:p>
              </w:tc>
              <w:tc>
                <w:tcPr>
                  <w:tcW w:w="1709" w:type="pct"/>
                  <w:tcBorders>
                    <w:tl2br w:val="nil"/>
                    <w:tr2bl w:val="nil"/>
                  </w:tcBorders>
                  <w:noWrap w:val="0"/>
                  <w:vAlign w:val="center"/>
                </w:tcPr>
                <w:p w14:paraId="04E733A0">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000000"/>
                      <w:sz w:val="21"/>
                      <w:szCs w:val="21"/>
                      <w:u w:val="none"/>
                      <w:lang w:val="en-US" w:eastAsia="zh-CN"/>
                    </w:rPr>
                  </w:pPr>
                  <w:r>
                    <w:rPr>
                      <w:rFonts w:hint="eastAsia" w:ascii="Times New Roman" w:hAnsi="Times New Roman" w:eastAsia="宋体" w:cs="Times New Roman"/>
                      <w:b w:val="0"/>
                      <w:bCs w:val="0"/>
                      <w:color w:val="000000"/>
                      <w:sz w:val="21"/>
                      <w:szCs w:val="21"/>
                      <w:u w:val="none"/>
                      <w:lang w:val="en-US" w:eastAsia="zh-CN"/>
                    </w:rPr>
                    <w:t>本项目废气处理设施安装DCS系统，记录治理设施主要参数，数据保存一年以上。</w:t>
                  </w:r>
                </w:p>
              </w:tc>
              <w:tc>
                <w:tcPr>
                  <w:tcW w:w="394" w:type="pct"/>
                  <w:tcBorders>
                    <w:tl2br w:val="nil"/>
                    <w:tr2bl w:val="nil"/>
                  </w:tcBorders>
                  <w:noWrap w:val="0"/>
                  <w:vAlign w:val="center"/>
                </w:tcPr>
                <w:p w14:paraId="338E070F">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符合</w:t>
                  </w:r>
                </w:p>
              </w:tc>
            </w:tr>
            <w:tr w14:paraId="604A0BE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66" w:type="pct"/>
                  <w:vMerge w:val="continue"/>
                  <w:tcBorders>
                    <w:tl2br w:val="nil"/>
                    <w:tr2bl w:val="nil"/>
                  </w:tcBorders>
                  <w:noWrap w:val="0"/>
                  <w:vAlign w:val="center"/>
                </w:tcPr>
                <w:p w14:paraId="1C7B8322">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sz w:val="21"/>
                      <w:szCs w:val="21"/>
                      <w:highlight w:val="none"/>
                    </w:rPr>
                  </w:pPr>
                </w:p>
              </w:tc>
              <w:tc>
                <w:tcPr>
                  <w:tcW w:w="2429" w:type="pct"/>
                  <w:tcBorders>
                    <w:tl2br w:val="nil"/>
                    <w:tr2bl w:val="nil"/>
                  </w:tcBorders>
                  <w:noWrap w:val="0"/>
                  <w:vAlign w:val="center"/>
                </w:tcPr>
                <w:p w14:paraId="6E27FE03">
                  <w:pPr>
                    <w:keepNext w:val="0"/>
                    <w:keepLines w:val="0"/>
                    <w:suppressLineNumbers w:val="0"/>
                    <w:autoSpaceDE w:val="0"/>
                    <w:autoSpaceDN w:val="0"/>
                    <w:adjustRightInd w:val="0"/>
                    <w:snapToGrid w:val="0"/>
                    <w:spacing w:before="0" w:beforeAutospacing="0" w:after="0" w:afterAutospacing="0"/>
                    <w:ind w:left="0" w:right="0"/>
                    <w:jc w:val="both"/>
                    <w:rPr>
                      <w:rFonts w:hint="default" w:ascii="Times New Roman" w:hAnsi="Times New Roman" w:eastAsia="宋体" w:cs="Times New Roman"/>
                      <w:i w:val="0"/>
                      <w:iCs w:val="0"/>
                      <w:caps w:val="0"/>
                      <w:color w:val="333333"/>
                      <w:spacing w:val="0"/>
                      <w:sz w:val="21"/>
                      <w:szCs w:val="21"/>
                      <w:shd w:val="clear" w:fill="FFFFFF"/>
                    </w:rPr>
                  </w:pPr>
                  <w:r>
                    <w:rPr>
                      <w:rFonts w:hint="default" w:ascii="Times New Roman" w:hAnsi="Times New Roman" w:eastAsia="宋体" w:cs="Times New Roman"/>
                      <w:b w:val="0"/>
                      <w:bCs w:val="0"/>
                      <w:color w:val="000000"/>
                      <w:kern w:val="0"/>
                      <w:sz w:val="21"/>
                      <w:szCs w:val="21"/>
                      <w:u w:val="none"/>
                      <w:lang w:val="en-US" w:eastAsia="zh-CN" w:bidi="ar-SA"/>
                    </w:rPr>
                    <w:t>安装生产车间全覆盖的高清红外摄像头，并与市生态环境局联网，数据可保存三个月以上。</w:t>
                  </w:r>
                </w:p>
              </w:tc>
              <w:tc>
                <w:tcPr>
                  <w:tcW w:w="1709" w:type="pct"/>
                  <w:tcBorders>
                    <w:tl2br w:val="nil"/>
                    <w:tr2bl w:val="nil"/>
                  </w:tcBorders>
                  <w:noWrap w:val="0"/>
                  <w:vAlign w:val="center"/>
                </w:tcPr>
                <w:p w14:paraId="6C51A9EA">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000000"/>
                      <w:sz w:val="21"/>
                      <w:szCs w:val="21"/>
                      <w:u w:val="none"/>
                      <w:lang w:val="en-US" w:eastAsia="zh-CN"/>
                    </w:rPr>
                  </w:pPr>
                  <w:r>
                    <w:rPr>
                      <w:rFonts w:hint="eastAsia" w:ascii="Times New Roman" w:hAnsi="Times New Roman" w:eastAsia="宋体" w:cs="Times New Roman"/>
                      <w:b w:val="0"/>
                      <w:bCs w:val="0"/>
                      <w:color w:val="000000"/>
                      <w:sz w:val="21"/>
                      <w:szCs w:val="21"/>
                      <w:u w:val="none"/>
                      <w:lang w:val="en-US" w:eastAsia="zh-CN"/>
                    </w:rPr>
                    <w:t>本项目将按照要求安装生产车间全覆盖的高清红外摄像头，并与市生态环境局联网，数据可保存三个月以上。</w:t>
                  </w:r>
                </w:p>
              </w:tc>
              <w:tc>
                <w:tcPr>
                  <w:tcW w:w="394" w:type="pct"/>
                  <w:tcBorders>
                    <w:tl2br w:val="nil"/>
                    <w:tr2bl w:val="nil"/>
                  </w:tcBorders>
                  <w:noWrap w:val="0"/>
                  <w:vAlign w:val="center"/>
                </w:tcPr>
                <w:p w14:paraId="4C2F6B4A">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sz w:val="21"/>
                      <w:szCs w:val="21"/>
                      <w:highlight w:val="none"/>
                      <w:lang w:val="en-US" w:eastAsia="zh-CN"/>
                    </w:rPr>
                  </w:pPr>
                </w:p>
              </w:tc>
            </w:tr>
            <w:tr w14:paraId="49CC5F22">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66" w:type="pct"/>
                  <w:tcBorders>
                    <w:bottom w:val="single" w:color="000000" w:sz="8" w:space="0"/>
                  </w:tcBorders>
                  <w:noWrap w:val="0"/>
                  <w:vAlign w:val="center"/>
                </w:tcPr>
                <w:p w14:paraId="2D3D5892">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七</w:t>
                  </w:r>
                  <w:r>
                    <w:rPr>
                      <w:rFonts w:hint="eastAsia"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环境管理台账化</w:t>
                  </w:r>
                </w:p>
              </w:tc>
              <w:tc>
                <w:tcPr>
                  <w:tcW w:w="2429" w:type="pct"/>
                  <w:tcBorders>
                    <w:bottom w:val="single" w:color="000000" w:sz="8" w:space="0"/>
                  </w:tcBorders>
                  <w:noWrap w:val="0"/>
                  <w:vAlign w:val="center"/>
                </w:tcPr>
                <w:p w14:paraId="59447F9D">
                  <w:pPr>
                    <w:keepNext w:val="0"/>
                    <w:keepLines w:val="0"/>
                    <w:suppressLineNumbers w:val="0"/>
                    <w:autoSpaceDE w:val="0"/>
                    <w:autoSpaceDN w:val="0"/>
                    <w:adjustRightInd w:val="0"/>
                    <w:snapToGrid w:val="0"/>
                    <w:spacing w:before="0" w:beforeAutospacing="0" w:after="0" w:afterAutospacing="0"/>
                    <w:ind w:left="0" w:right="0"/>
                    <w:jc w:val="both"/>
                    <w:rPr>
                      <w:rFonts w:hint="default" w:ascii="Times New Roman" w:hAnsi="Times New Roman" w:eastAsia="宋体" w:cs="Times New Roman"/>
                      <w:b w:val="0"/>
                      <w:bCs w:val="0"/>
                      <w:color w:val="000000"/>
                      <w:sz w:val="21"/>
                      <w:szCs w:val="21"/>
                      <w:u w:val="none"/>
                      <w:lang w:val="en-US" w:eastAsia="zh-CN"/>
                    </w:rPr>
                  </w:pPr>
                  <w:r>
                    <w:rPr>
                      <w:rFonts w:hint="default" w:ascii="Times New Roman" w:hAnsi="Times New Roman" w:eastAsia="宋体" w:cs="Times New Roman"/>
                      <w:i w:val="0"/>
                      <w:iCs w:val="0"/>
                      <w:caps w:val="0"/>
                      <w:color w:val="333333"/>
                      <w:spacing w:val="0"/>
                      <w:sz w:val="21"/>
                      <w:szCs w:val="21"/>
                      <w:shd w:val="clear" w:fill="FFFFFF"/>
                    </w:rPr>
                    <w:t>企业应按照HJ944的要求建立台账，记录含VOCs原辅材料的名称、采购量、使用量、回收量、废弃量、去向、VOCs含量，污染治理设施的工艺流程、设计参数、投运时间、启停时间、温度、风量，过滤材料更换时间和更换量，吸附剂脱附周期、更换时间和更换量，催化剂更换时间和更换量，以及溶剂回收量等信息。台账保存期限不少于三年。</w:t>
                  </w:r>
                </w:p>
              </w:tc>
              <w:tc>
                <w:tcPr>
                  <w:tcW w:w="1709" w:type="pct"/>
                  <w:tcBorders>
                    <w:bottom w:val="single" w:color="000000" w:sz="8" w:space="0"/>
                  </w:tcBorders>
                  <w:noWrap w:val="0"/>
                  <w:vAlign w:val="center"/>
                </w:tcPr>
                <w:p w14:paraId="383C0ADC">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ascii="Times New Roman" w:hAnsi="Times New Roman" w:eastAsia="宋体" w:cs="Times New Roman"/>
                      <w:b w:val="0"/>
                      <w:bCs w:val="0"/>
                      <w:color w:val="000000"/>
                      <w:sz w:val="21"/>
                      <w:szCs w:val="21"/>
                      <w:u w:val="none"/>
                      <w:lang w:val="en-US" w:eastAsia="zh-CN"/>
                    </w:rPr>
                  </w:pPr>
                  <w:r>
                    <w:rPr>
                      <w:rFonts w:hint="eastAsia" w:ascii="Times New Roman" w:hAnsi="Times New Roman" w:eastAsia="宋体" w:cs="Times New Roman"/>
                      <w:b w:val="0"/>
                      <w:bCs w:val="0"/>
                      <w:sz w:val="21"/>
                      <w:szCs w:val="21"/>
                      <w:u w:val="none"/>
                      <w:lang w:val="en-US" w:eastAsia="zh-CN"/>
                    </w:rPr>
                    <w:t>本项目</w:t>
                  </w:r>
                  <w:r>
                    <w:rPr>
                      <w:rFonts w:hint="default" w:ascii="Times New Roman" w:hAnsi="Times New Roman" w:eastAsia="宋体" w:cs="Times New Roman"/>
                      <w:b w:val="0"/>
                      <w:bCs w:val="0"/>
                      <w:sz w:val="21"/>
                      <w:szCs w:val="21"/>
                      <w:u w:val="none"/>
                      <w:lang w:val="en-US" w:eastAsia="zh-CN"/>
                    </w:rPr>
                    <w:t>按照</w:t>
                  </w:r>
                  <w:r>
                    <w:rPr>
                      <w:rFonts w:hint="eastAsia" w:ascii="Times New Roman" w:hAnsi="Times New Roman" w:eastAsia="宋体" w:cs="Times New Roman"/>
                      <w:b w:val="0"/>
                      <w:bCs w:val="0"/>
                      <w:sz w:val="21"/>
                      <w:szCs w:val="21"/>
                      <w:u w:val="none"/>
                      <w:lang w:val="en-US" w:eastAsia="zh-CN"/>
                    </w:rPr>
                    <w:t>HJ944</w:t>
                  </w:r>
                  <w:r>
                    <w:rPr>
                      <w:rFonts w:hint="default" w:ascii="Times New Roman" w:hAnsi="Times New Roman" w:eastAsia="宋体" w:cs="Times New Roman"/>
                      <w:b w:val="0"/>
                      <w:bCs w:val="0"/>
                      <w:sz w:val="21"/>
                      <w:szCs w:val="21"/>
                      <w:u w:val="none"/>
                      <w:lang w:val="en-US" w:eastAsia="zh-CN"/>
                    </w:rPr>
                    <w:t>的要求建立台账，</w:t>
                  </w:r>
                  <w:r>
                    <w:rPr>
                      <w:rFonts w:hint="default" w:ascii="Times New Roman" w:hAnsi="Times New Roman" w:eastAsia="宋体" w:cs="Times New Roman"/>
                      <w:i w:val="0"/>
                      <w:iCs w:val="0"/>
                      <w:caps w:val="0"/>
                      <w:color w:val="333333"/>
                      <w:spacing w:val="0"/>
                      <w:sz w:val="21"/>
                      <w:szCs w:val="21"/>
                      <w:shd w:val="clear" w:fill="FFFFFF"/>
                    </w:rPr>
                    <w:t>记录含VOCs原辅材料的名称、采购量、使用量、回收量、废弃量、去向、VOCs含量，污染治理设施的工艺流程、设计参数、投运时间、启停时间、温度、风量，过滤材料更换时间和更换量，吸附剂脱附周期、更换时间和更换量，催化剂更换时间和更换量。台账保存期限不少于三年。</w:t>
                  </w:r>
                </w:p>
              </w:tc>
              <w:tc>
                <w:tcPr>
                  <w:tcW w:w="394" w:type="pct"/>
                  <w:tcBorders>
                    <w:bottom w:val="single" w:color="000000" w:sz="8" w:space="0"/>
                  </w:tcBorders>
                  <w:noWrap w:val="0"/>
                  <w:vAlign w:val="center"/>
                </w:tcPr>
                <w:p w14:paraId="74D023CF">
                  <w:pPr>
                    <w:pStyle w:val="7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符合</w:t>
                  </w:r>
                </w:p>
              </w:tc>
            </w:tr>
          </w:tbl>
          <w:p w14:paraId="21B74E21">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jc w:val="both"/>
              <w:textAlignment w:val="auto"/>
              <w:rPr>
                <w:rFonts w:hint="default" w:eastAsia="宋体"/>
                <w:lang w:val="en-US" w:eastAsia="zh-CN"/>
              </w:rPr>
            </w:pPr>
            <w:r>
              <w:rPr>
                <w:rFonts w:hint="eastAsia" w:ascii="Times New Roman" w:hAnsi="Times New Roman" w:eastAsia="宋体" w:cs="Times New Roman"/>
                <w:bCs/>
                <w:sz w:val="24"/>
                <w:szCs w:val="24"/>
                <w:lang w:val="en-US" w:eastAsia="zh-CN"/>
              </w:rPr>
              <w:t>由上表可知，本项目符合</w:t>
            </w:r>
            <w:r>
              <w:rPr>
                <w:rFonts w:hint="default" w:ascii="Times New Roman" w:hAnsi="Times New Roman" w:eastAsia="宋体" w:cs="Times New Roman"/>
                <w:bCs/>
                <w:sz w:val="24"/>
                <w:szCs w:val="24"/>
                <w:lang w:val="en-US" w:eastAsia="zh-CN"/>
              </w:rPr>
              <w:t>《工业涂装行业挥发性有机物治理方案》</w:t>
            </w:r>
            <w:r>
              <w:rPr>
                <w:rFonts w:hint="eastAsia" w:ascii="Times New Roman" w:hAnsi="Times New Roman" w:eastAsia="宋体" w:cs="Times New Roman"/>
                <w:bCs/>
                <w:sz w:val="24"/>
                <w:szCs w:val="24"/>
                <w:lang w:val="en-US" w:eastAsia="zh-CN"/>
              </w:rPr>
              <w:t>中文件要求。</w:t>
            </w:r>
          </w:p>
        </w:tc>
      </w:tr>
    </w:tbl>
    <w:p w14:paraId="1034790F">
      <w:pPr>
        <w:pStyle w:val="18"/>
        <w:rPr>
          <w:rFonts w:hint="eastAsia" w:ascii="黑体" w:hAnsi="黑体" w:eastAsia="黑体"/>
          <w:snapToGrid w:val="0"/>
          <w:sz w:val="36"/>
          <w:szCs w:val="36"/>
          <w:lang w:eastAsia="zh-CN"/>
        </w:rPr>
        <w:sectPr>
          <w:pgSz w:w="11906" w:h="16838"/>
          <w:pgMar w:top="1531" w:right="1531" w:bottom="1531" w:left="1531" w:header="851" w:footer="851" w:gutter="0"/>
          <w:pgBorders>
            <w:top w:val="none" w:sz="0" w:space="0"/>
            <w:left w:val="none" w:sz="0" w:space="0"/>
            <w:bottom w:val="none" w:sz="0" w:space="0"/>
            <w:right w:val="none" w:sz="0" w:space="0"/>
          </w:pgBorders>
          <w:pgNumType w:start="1"/>
          <w:cols w:space="720" w:num="1"/>
          <w:docGrid w:linePitch="312" w:charSpace="0"/>
        </w:sectPr>
      </w:pPr>
    </w:p>
    <w:p w14:paraId="67E70C20">
      <w:pPr>
        <w:bidi w:val="0"/>
        <w:spacing w:line="360" w:lineRule="auto"/>
        <w:jc w:val="center"/>
        <w:rPr>
          <w:rFonts w:hint="eastAsia" w:ascii="黑体" w:hAnsi="黑体" w:eastAsia="黑体" w:cs="黑体"/>
          <w:b w:val="0"/>
          <w:bCs w:val="0"/>
          <w:sz w:val="30"/>
          <w:szCs w:val="30"/>
        </w:rPr>
      </w:pPr>
      <w:r>
        <w:rPr>
          <w:rFonts w:hint="eastAsia" w:ascii="黑体" w:hAnsi="黑体" w:eastAsia="黑体" w:cs="黑体"/>
          <w:b w:val="0"/>
          <w:bCs w:val="0"/>
          <w:sz w:val="30"/>
          <w:szCs w:val="30"/>
        </w:rPr>
        <w:t>二、建设项目工程分析</w:t>
      </w:r>
    </w:p>
    <w:tbl>
      <w:tblPr>
        <w:tblStyle w:val="22"/>
        <w:tblW w:w="975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31"/>
        <w:gridCol w:w="9021"/>
      </w:tblGrid>
      <w:tr w14:paraId="5149FF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731" w:type="dxa"/>
            <w:noWrap w:val="0"/>
            <w:vAlign w:val="center"/>
          </w:tcPr>
          <w:p w14:paraId="41C0F3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center"/>
              <w:textAlignment w:val="auto"/>
              <w:rPr>
                <w:rFonts w:hint="default" w:ascii="Times New Roman" w:hAnsi="Times New Roman"/>
                <w:szCs w:val="21"/>
                <w:lang w:val="en-US" w:eastAsia="zh-CN"/>
              </w:rPr>
            </w:pPr>
            <w:r>
              <w:rPr>
                <w:rFonts w:hint="default"/>
                <w:lang w:val="en-US" w:eastAsia="zh-CN"/>
              </w:rPr>
              <w:t>建设内容</w:t>
            </w:r>
          </w:p>
        </w:tc>
        <w:tc>
          <w:tcPr>
            <w:tcW w:w="9021" w:type="dxa"/>
            <w:noWrap w:val="0"/>
            <w:vAlign w:val="top"/>
          </w:tcPr>
          <w:p w14:paraId="72B4A7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textAlignment w:val="auto"/>
              <w:rPr>
                <w:rFonts w:hint="eastAsia" w:ascii="宋体" w:hAnsi="宋体"/>
                <w:color w:val="000000"/>
                <w:sz w:val="24"/>
                <w:lang w:val="en-US" w:eastAsia="zh-CN"/>
              </w:rPr>
            </w:pPr>
            <w:bookmarkStart w:id="1" w:name="_Toc262219100"/>
            <w:r>
              <w:rPr>
                <w:rFonts w:hint="eastAsia"/>
                <w:b/>
                <w:sz w:val="24"/>
              </w:rPr>
              <w:t>一、项目由来</w:t>
            </w:r>
            <w:bookmarkEnd w:id="1"/>
          </w:p>
          <w:p w14:paraId="6A2AE7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eastAsia" w:ascii="宋体" w:hAnsi="宋体" w:cs="宋体"/>
                <w:color w:val="auto"/>
                <w:sz w:val="24"/>
                <w:szCs w:val="24"/>
                <w:highlight w:val="none"/>
                <w:lang w:val="en-US" w:eastAsia="zh-CN"/>
              </w:rPr>
              <w:t>河南丰盛源纸业有限公司</w:t>
            </w:r>
            <w:r>
              <w:rPr>
                <w:rFonts w:hint="eastAsia" w:cs="Times New Roman"/>
                <w:color w:val="auto"/>
                <w:sz w:val="24"/>
                <w:lang w:val="en-US" w:eastAsia="zh-CN"/>
              </w:rPr>
              <w:t>成立于2025年6月，厂址</w:t>
            </w:r>
            <w:r>
              <w:rPr>
                <w:rFonts w:hint="default" w:ascii="Times New Roman" w:hAnsi="Times New Roman" w:cs="Times New Roman"/>
                <w:color w:val="auto"/>
                <w:sz w:val="24"/>
                <w:lang w:val="en-US" w:eastAsia="zh-CN"/>
              </w:rPr>
              <w:t>位于</w:t>
            </w:r>
            <w:r>
              <w:rPr>
                <w:rFonts w:hint="eastAsia" w:ascii="宋体" w:hAnsi="宋体" w:cs="宋体"/>
                <w:color w:val="auto"/>
                <w:sz w:val="24"/>
                <w:szCs w:val="24"/>
                <w:lang w:val="en-US" w:eastAsia="zh-CN"/>
              </w:rPr>
              <w:t>河南省新乡市新乡县七里营镇南位庄村</w:t>
            </w:r>
            <w:r>
              <w:rPr>
                <w:rFonts w:hint="default" w:ascii="Times New Roman" w:hAnsi="Times New Roman" w:cs="Times New Roman"/>
                <w:color w:val="auto"/>
                <w:sz w:val="24"/>
                <w:szCs w:val="24"/>
                <w:lang w:val="en-US" w:eastAsia="zh-CN"/>
              </w:rPr>
              <w:t>工业路698号</w:t>
            </w:r>
            <w:r>
              <w:rPr>
                <w:rFonts w:hint="default" w:ascii="Times New Roman" w:hAnsi="Times New Roman" w:cs="Times New Roman"/>
                <w:color w:val="auto"/>
                <w:sz w:val="24"/>
                <w:lang w:val="en-US" w:eastAsia="zh-CN"/>
              </w:rPr>
              <w:t>，</w:t>
            </w:r>
            <w:r>
              <w:rPr>
                <w:rFonts w:hint="eastAsia" w:ascii="Times New Roman" w:hAnsi="Times New Roman" w:cs="Times New Roman"/>
                <w:color w:val="auto"/>
                <w:sz w:val="24"/>
                <w:lang w:val="en-US" w:eastAsia="zh-CN"/>
              </w:rPr>
              <w:t>总</w:t>
            </w:r>
            <w:r>
              <w:rPr>
                <w:rFonts w:hint="default" w:ascii="Times New Roman" w:hAnsi="Times New Roman" w:cs="Times New Roman"/>
                <w:color w:val="auto"/>
                <w:sz w:val="24"/>
                <w:lang w:val="en-US" w:eastAsia="zh-CN"/>
              </w:rPr>
              <w:t>占地面积</w:t>
            </w:r>
            <w:r>
              <w:rPr>
                <w:rFonts w:hint="eastAsia" w:cs="Times New Roman"/>
                <w:color w:val="auto"/>
                <w:sz w:val="24"/>
                <w:lang w:val="en-US" w:eastAsia="zh-CN"/>
              </w:rPr>
              <w:t>约3000</w:t>
            </w:r>
            <w:r>
              <w:rPr>
                <w:rFonts w:hint="default" w:ascii="Times New Roman" w:hAnsi="Times New Roman" w:cs="Times New Roman"/>
                <w:color w:val="auto"/>
                <w:sz w:val="24"/>
                <w:lang w:val="en-US" w:eastAsia="zh-CN"/>
              </w:rPr>
              <w:t>m</w:t>
            </w:r>
            <w:r>
              <w:rPr>
                <w:rFonts w:hint="default" w:ascii="Times New Roman" w:hAnsi="Times New Roman" w:cs="Times New Roman"/>
                <w:color w:val="auto"/>
                <w:sz w:val="24"/>
                <w:vertAlign w:val="superscript"/>
                <w:lang w:val="en-US" w:eastAsia="zh-CN"/>
              </w:rPr>
              <w:t>2</w:t>
            </w:r>
            <w:r>
              <w:rPr>
                <w:rFonts w:hint="eastAsia" w:cs="Times New Roman"/>
                <w:color w:val="auto"/>
                <w:sz w:val="24"/>
                <w:vertAlign w:val="baseline"/>
                <w:lang w:val="en-US" w:eastAsia="zh-CN"/>
              </w:rPr>
              <w:t>。根据市场需求</w:t>
            </w:r>
            <w:r>
              <w:rPr>
                <w:rFonts w:hint="eastAsia" w:cs="Times New Roman"/>
                <w:color w:val="auto"/>
                <w:sz w:val="24"/>
                <w:highlight w:val="none"/>
                <w:lang w:val="en-US" w:eastAsia="zh-CN"/>
              </w:rPr>
              <w:t>，</w:t>
            </w:r>
            <w:r>
              <w:rPr>
                <w:rFonts w:hint="default" w:ascii="Times New Roman" w:hAnsi="Times New Roman" w:cs="Times New Roman"/>
                <w:color w:val="auto"/>
                <w:sz w:val="24"/>
                <w:highlight w:val="none"/>
              </w:rPr>
              <w:t>企业计划投资</w:t>
            </w:r>
            <w:r>
              <w:rPr>
                <w:rFonts w:hint="eastAsia" w:cs="Times New Roman"/>
                <w:color w:val="auto"/>
                <w:sz w:val="24"/>
                <w:highlight w:val="none"/>
                <w:lang w:val="en-US" w:eastAsia="zh-CN"/>
              </w:rPr>
              <w:t>500</w:t>
            </w:r>
            <w:r>
              <w:rPr>
                <w:rFonts w:hint="default" w:ascii="Times New Roman" w:hAnsi="Times New Roman" w:cs="Times New Roman"/>
                <w:color w:val="auto"/>
                <w:sz w:val="24"/>
                <w:highlight w:val="none"/>
              </w:rPr>
              <w:t>万元</w:t>
            </w:r>
            <w:r>
              <w:rPr>
                <w:rFonts w:hint="eastAsia" w:cs="Times New Roman"/>
                <w:color w:val="auto"/>
                <w:sz w:val="24"/>
                <w:highlight w:val="none"/>
                <w:lang w:eastAsia="zh-CN"/>
              </w:rPr>
              <w:t>，</w:t>
            </w:r>
            <w:r>
              <w:rPr>
                <w:rFonts w:hint="default" w:ascii="Times New Roman" w:hAnsi="Times New Roman" w:cs="Times New Roman"/>
                <w:color w:val="auto"/>
                <w:sz w:val="24"/>
                <w:highlight w:val="none"/>
              </w:rPr>
              <w:t>建设</w:t>
            </w:r>
            <w:r>
              <w:rPr>
                <w:rFonts w:hint="eastAsia" w:ascii="宋体" w:hAnsi="宋体" w:cs="宋体"/>
                <w:color w:val="auto"/>
                <w:sz w:val="24"/>
                <w:szCs w:val="24"/>
                <w:highlight w:val="none"/>
                <w:lang w:val="en-US" w:eastAsia="zh-CN"/>
              </w:rPr>
              <w:t>年</w:t>
            </w:r>
            <w:r>
              <w:rPr>
                <w:rFonts w:hint="eastAsia" w:ascii="宋体" w:hAnsi="宋体" w:cs="宋体"/>
                <w:color w:val="auto"/>
                <w:sz w:val="24"/>
                <w:szCs w:val="24"/>
                <w:highlight w:val="none"/>
                <w:lang w:eastAsia="zh-CN"/>
              </w:rPr>
              <w:t>产</w:t>
            </w:r>
            <w:r>
              <w:rPr>
                <w:rFonts w:hint="eastAsia" w:cs="Times New Roman"/>
                <w:color w:val="auto"/>
                <w:sz w:val="24"/>
                <w:szCs w:val="24"/>
                <w:highlight w:val="none"/>
                <w:lang w:val="en-US" w:eastAsia="zh-CN"/>
              </w:rPr>
              <w:t>23000</w:t>
            </w:r>
            <w:r>
              <w:rPr>
                <w:rFonts w:hint="eastAsia" w:ascii="宋体" w:hAnsi="宋体" w:cs="宋体"/>
                <w:color w:val="auto"/>
                <w:sz w:val="24"/>
                <w:szCs w:val="24"/>
                <w:highlight w:val="none"/>
                <w:lang w:val="en-US" w:eastAsia="zh-CN"/>
              </w:rPr>
              <w:t>吨食品级淋膜纸项目</w:t>
            </w:r>
            <w:r>
              <w:rPr>
                <w:rFonts w:hint="default" w:ascii="Times New Roman" w:hAnsi="Times New Roman" w:cs="Times New Roman"/>
                <w:color w:val="auto"/>
                <w:sz w:val="24"/>
                <w:highlight w:val="none"/>
              </w:rPr>
              <w:t>。项目已经</w:t>
            </w:r>
            <w:r>
              <w:rPr>
                <w:rFonts w:hint="eastAsia" w:cs="Times New Roman"/>
                <w:color w:val="auto"/>
                <w:sz w:val="24"/>
                <w:highlight w:val="none"/>
                <w:lang w:eastAsia="zh-CN"/>
              </w:rPr>
              <w:t>在</w:t>
            </w:r>
            <w:r>
              <w:rPr>
                <w:rFonts w:hint="default" w:ascii="Times New Roman" w:hAnsi="Times New Roman" w:cs="Times New Roman"/>
                <w:color w:val="auto"/>
                <w:sz w:val="24"/>
                <w:highlight w:val="none"/>
              </w:rPr>
              <w:t>新乡县发展和改革委员会备案，备案文号：</w:t>
            </w:r>
            <w:r>
              <w:rPr>
                <w:rFonts w:hint="eastAsia" w:cs="Times New Roman"/>
                <w:color w:val="auto"/>
                <w:sz w:val="24"/>
                <w:szCs w:val="24"/>
                <w:highlight w:val="none"/>
                <w:lang w:val="en-US" w:eastAsia="zh-CN"/>
              </w:rPr>
              <w:t>2507-410721-04-01-207376</w:t>
            </w:r>
            <w:r>
              <w:rPr>
                <w:rFonts w:hint="default" w:ascii="Times New Roman" w:hAnsi="Times New Roman" w:cs="Times New Roman"/>
                <w:color w:val="auto"/>
                <w:sz w:val="24"/>
                <w:highlight w:val="none"/>
              </w:rPr>
              <w:t>。经现场勘察，本项目设备未到位，不具备生产能力，不属于未批先建。</w:t>
            </w:r>
          </w:p>
          <w:p w14:paraId="42FB509C">
            <w:pPr>
              <w:keepNext w:val="0"/>
              <w:keepLines w:val="0"/>
              <w:suppressLineNumbers w:val="0"/>
              <w:tabs>
                <w:tab w:val="center" w:pos="4709"/>
              </w:tabs>
              <w:adjustRightInd w:val="0"/>
              <w:snapToGrid w:val="0"/>
              <w:spacing w:before="0" w:beforeAutospacing="0" w:after="0" w:afterAutospacing="0" w:line="440" w:lineRule="exact"/>
              <w:ind w:left="0" w:right="0"/>
              <w:rPr>
                <w:rFonts w:hint="default"/>
                <w:b/>
                <w:sz w:val="24"/>
                <w:highlight w:val="none"/>
              </w:rPr>
            </w:pPr>
            <w:r>
              <w:rPr>
                <w:rFonts w:hint="eastAsia"/>
                <w:b/>
                <w:sz w:val="24"/>
                <w:highlight w:val="none"/>
              </w:rPr>
              <w:t>二、工程内容及规模</w:t>
            </w:r>
          </w:p>
          <w:p w14:paraId="144C35C1">
            <w:pPr>
              <w:keepNext w:val="0"/>
              <w:keepLines w:val="0"/>
              <w:suppressLineNumbers w:val="0"/>
              <w:adjustRightInd w:val="0"/>
              <w:snapToGrid w:val="0"/>
              <w:spacing w:before="0" w:beforeAutospacing="0" w:after="0" w:afterAutospacing="0" w:line="440" w:lineRule="exact"/>
              <w:ind w:left="0" w:right="0" w:firstLine="482" w:firstLineChars="200"/>
              <w:rPr>
                <w:rFonts w:hint="default"/>
                <w:sz w:val="24"/>
              </w:rPr>
            </w:pPr>
            <w:r>
              <w:rPr>
                <w:rFonts w:hint="default" w:ascii="宋体" w:hAnsi="宋体"/>
                <w:b/>
                <w:sz w:val="24"/>
              </w:rPr>
              <w:t>1、项目概况</w:t>
            </w:r>
          </w:p>
          <w:p w14:paraId="22B6D259">
            <w:pPr>
              <w:keepNext w:val="0"/>
              <w:keepLines w:val="0"/>
              <w:suppressLineNumbers w:val="0"/>
              <w:adjustRightInd w:val="0"/>
              <w:snapToGrid w:val="0"/>
              <w:spacing w:before="0" w:beforeAutospacing="0" w:after="0" w:afterAutospacing="0" w:line="440" w:lineRule="exact"/>
              <w:ind w:left="0" w:right="0" w:firstLine="480" w:firstLineChars="200"/>
              <w:rPr>
                <w:rFonts w:hint="default"/>
                <w:sz w:val="24"/>
              </w:rPr>
            </w:pPr>
            <w:r>
              <w:rPr>
                <w:rFonts w:hint="default"/>
                <w:sz w:val="24"/>
              </w:rPr>
              <w:t>项目的基本情</w:t>
            </w:r>
            <w:r>
              <w:rPr>
                <w:rFonts w:hint="default"/>
                <w:color w:val="auto"/>
                <w:sz w:val="24"/>
              </w:rPr>
              <w:t>况见</w:t>
            </w:r>
            <w:r>
              <w:rPr>
                <w:rFonts w:hint="eastAsia"/>
                <w:color w:val="auto"/>
                <w:sz w:val="24"/>
                <w:lang w:val="en-US" w:eastAsia="zh-CN"/>
              </w:rPr>
              <w:t>下表</w:t>
            </w:r>
            <w:r>
              <w:rPr>
                <w:rFonts w:hint="eastAsia"/>
                <w:color w:val="auto"/>
                <w:sz w:val="24"/>
              </w:rPr>
              <w:t>。</w:t>
            </w:r>
          </w:p>
          <w:p w14:paraId="076552B5">
            <w:pPr>
              <w:pStyle w:val="55"/>
              <w:keepNext w:val="0"/>
              <w:keepLines w:val="0"/>
              <w:suppressLineNumbers w:val="0"/>
              <w:spacing w:before="0" w:beforeAutospacing="0" w:after="0" w:afterAutospacing="0" w:line="440" w:lineRule="exact"/>
              <w:ind w:left="0" w:right="0" w:firstLine="0"/>
              <w:jc w:val="center"/>
              <w:rPr>
                <w:rFonts w:hint="default" w:hAnsi="宋体" w:cs="Times New Roman"/>
                <w:b/>
                <w:bCs/>
                <w:color w:val="000000"/>
                <w:sz w:val="24"/>
                <w:szCs w:val="24"/>
              </w:rPr>
            </w:pPr>
            <w:r>
              <w:rPr>
                <w:rFonts w:hint="default" w:ascii="Times New Roman" w:hAnsi="Times New Roman" w:cs="Times New Roman"/>
                <w:b/>
                <w:bCs/>
                <w:color w:val="auto"/>
                <w:sz w:val="24"/>
                <w:szCs w:val="24"/>
              </w:rPr>
              <w:t>表</w:t>
            </w:r>
            <w:r>
              <w:rPr>
                <w:rFonts w:hint="eastAsia" w:ascii="Times New Roman" w:hAnsi="Times New Roman" w:cs="Times New Roman"/>
                <w:b/>
                <w:bCs/>
                <w:color w:val="auto"/>
                <w:sz w:val="24"/>
                <w:szCs w:val="24"/>
                <w:lang w:val="en-US" w:eastAsia="zh-CN"/>
              </w:rPr>
              <w:t xml:space="preserve">10  </w:t>
            </w:r>
            <w:r>
              <w:rPr>
                <w:rFonts w:hint="eastAsia" w:hAnsi="宋体" w:cs="Times New Roman"/>
                <w:b/>
                <w:bCs/>
                <w:color w:val="000000"/>
                <w:sz w:val="24"/>
                <w:szCs w:val="24"/>
              </w:rPr>
              <w:t>项目基本情况</w:t>
            </w:r>
          </w:p>
          <w:tbl>
            <w:tblPr>
              <w:tblStyle w:val="2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1"/>
              <w:gridCol w:w="1917"/>
              <w:gridCol w:w="6237"/>
            </w:tblGrid>
            <w:tr w14:paraId="3FFEBD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top w:val="single" w:color="auto" w:sz="8" w:space="0"/>
                    <w:bottom w:val="single" w:color="auto" w:sz="8" w:space="0"/>
                  </w:tcBorders>
                  <w:noWrap w:val="0"/>
                  <w:vAlign w:val="center"/>
                </w:tcPr>
                <w:p w14:paraId="70BC7197">
                  <w:pPr>
                    <w:keepNext w:val="0"/>
                    <w:keepLines w:val="0"/>
                    <w:suppressLineNumbers w:val="0"/>
                    <w:adjustRightInd w:val="0"/>
                    <w:snapToGrid w:val="0"/>
                    <w:spacing w:before="0" w:beforeAutospacing="0" w:after="0" w:afterAutospacing="0"/>
                    <w:ind w:left="0" w:right="0"/>
                    <w:jc w:val="center"/>
                    <w:rPr>
                      <w:rFonts w:hint="default"/>
                      <w:b/>
                      <w:sz w:val="21"/>
                      <w:szCs w:val="21"/>
                    </w:rPr>
                  </w:pPr>
                  <w:r>
                    <w:rPr>
                      <w:rFonts w:hint="default"/>
                      <w:b/>
                      <w:sz w:val="21"/>
                      <w:szCs w:val="21"/>
                    </w:rPr>
                    <w:t>序号</w:t>
                  </w:r>
                </w:p>
              </w:tc>
              <w:tc>
                <w:tcPr>
                  <w:tcW w:w="1917" w:type="dxa"/>
                  <w:tcBorders>
                    <w:top w:val="single" w:color="auto" w:sz="8" w:space="0"/>
                    <w:bottom w:val="single" w:color="auto" w:sz="8" w:space="0"/>
                  </w:tcBorders>
                  <w:noWrap w:val="0"/>
                  <w:vAlign w:val="center"/>
                </w:tcPr>
                <w:p w14:paraId="16F2D993">
                  <w:pPr>
                    <w:keepNext w:val="0"/>
                    <w:keepLines w:val="0"/>
                    <w:suppressLineNumbers w:val="0"/>
                    <w:adjustRightInd w:val="0"/>
                    <w:snapToGrid w:val="0"/>
                    <w:spacing w:before="0" w:beforeAutospacing="0" w:after="0" w:afterAutospacing="0"/>
                    <w:ind w:left="0" w:right="0"/>
                    <w:jc w:val="center"/>
                    <w:rPr>
                      <w:rFonts w:hint="default"/>
                      <w:b/>
                      <w:sz w:val="21"/>
                      <w:szCs w:val="21"/>
                    </w:rPr>
                  </w:pPr>
                  <w:r>
                    <w:rPr>
                      <w:rFonts w:hint="default"/>
                      <w:b/>
                      <w:sz w:val="21"/>
                      <w:szCs w:val="21"/>
                    </w:rPr>
                    <w:t>项目</w:t>
                  </w:r>
                </w:p>
              </w:tc>
              <w:tc>
                <w:tcPr>
                  <w:tcW w:w="6237" w:type="dxa"/>
                  <w:tcBorders>
                    <w:top w:val="single" w:color="auto" w:sz="8" w:space="0"/>
                    <w:bottom w:val="single" w:color="auto" w:sz="8" w:space="0"/>
                  </w:tcBorders>
                  <w:noWrap w:val="0"/>
                  <w:vAlign w:val="center"/>
                </w:tcPr>
                <w:p w14:paraId="3934DA9F">
                  <w:pPr>
                    <w:keepNext w:val="0"/>
                    <w:keepLines w:val="0"/>
                    <w:suppressLineNumbers w:val="0"/>
                    <w:adjustRightInd w:val="0"/>
                    <w:snapToGrid w:val="0"/>
                    <w:spacing w:before="0" w:beforeAutospacing="0" w:after="0" w:afterAutospacing="0"/>
                    <w:ind w:left="0" w:right="0"/>
                    <w:jc w:val="center"/>
                    <w:rPr>
                      <w:rFonts w:hint="default"/>
                      <w:b/>
                      <w:sz w:val="21"/>
                      <w:szCs w:val="21"/>
                    </w:rPr>
                  </w:pPr>
                  <w:r>
                    <w:rPr>
                      <w:rFonts w:hint="default"/>
                      <w:b/>
                      <w:sz w:val="21"/>
                      <w:szCs w:val="21"/>
                    </w:rPr>
                    <w:t>内容</w:t>
                  </w:r>
                </w:p>
              </w:tc>
            </w:tr>
            <w:tr w14:paraId="5794D1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top w:val="single" w:color="auto" w:sz="8" w:space="0"/>
                    <w:tl2br w:val="nil"/>
                    <w:tr2bl w:val="nil"/>
                  </w:tcBorders>
                  <w:noWrap w:val="0"/>
                  <w:vAlign w:val="center"/>
                </w:tcPr>
                <w:p w14:paraId="191C7D19">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default"/>
                      <w:sz w:val="21"/>
                      <w:szCs w:val="21"/>
                    </w:rPr>
                    <w:t>1</w:t>
                  </w:r>
                </w:p>
              </w:tc>
              <w:tc>
                <w:tcPr>
                  <w:tcW w:w="1917" w:type="dxa"/>
                  <w:tcBorders>
                    <w:top w:val="single" w:color="auto" w:sz="8" w:space="0"/>
                    <w:tl2br w:val="nil"/>
                    <w:tr2bl w:val="nil"/>
                  </w:tcBorders>
                  <w:noWrap w:val="0"/>
                  <w:vAlign w:val="center"/>
                </w:tcPr>
                <w:p w14:paraId="21C588C0">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default"/>
                      <w:sz w:val="21"/>
                      <w:szCs w:val="21"/>
                    </w:rPr>
                    <w:t>项目名称</w:t>
                  </w:r>
                </w:p>
              </w:tc>
              <w:tc>
                <w:tcPr>
                  <w:tcW w:w="6237" w:type="dxa"/>
                  <w:tcBorders>
                    <w:top w:val="single" w:color="auto" w:sz="8" w:space="0"/>
                    <w:tl2br w:val="nil"/>
                    <w:tr2bl w:val="nil"/>
                  </w:tcBorders>
                  <w:noWrap w:val="0"/>
                  <w:vAlign w:val="center"/>
                </w:tcPr>
                <w:p w14:paraId="05C00278">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u w:val="none"/>
                    </w:rPr>
                  </w:pPr>
                  <w:r>
                    <w:rPr>
                      <w:rFonts w:hint="eastAsia" w:ascii="宋体" w:hAnsi="宋体" w:cs="宋体"/>
                      <w:color w:val="auto"/>
                      <w:sz w:val="21"/>
                      <w:szCs w:val="21"/>
                      <w:highlight w:val="none"/>
                      <w:lang w:val="en-US" w:eastAsia="zh-CN"/>
                    </w:rPr>
                    <w:t>河南丰盛源纸业有限</w:t>
                  </w:r>
                  <w:r>
                    <w:rPr>
                      <w:rFonts w:hint="eastAsia" w:ascii="宋体" w:hAnsi="宋体" w:cs="宋体"/>
                      <w:color w:val="auto"/>
                      <w:sz w:val="21"/>
                      <w:szCs w:val="21"/>
                      <w:highlight w:val="none"/>
                      <w:lang w:eastAsia="zh-CN"/>
                    </w:rPr>
                    <w:t>公司年产</w:t>
                  </w:r>
                  <w:r>
                    <w:rPr>
                      <w:rFonts w:hint="eastAsia" w:cs="Times New Roman"/>
                      <w:color w:val="auto"/>
                      <w:sz w:val="21"/>
                      <w:szCs w:val="21"/>
                      <w:highlight w:val="none"/>
                      <w:lang w:val="en-US" w:eastAsia="zh-CN"/>
                    </w:rPr>
                    <w:t>23000</w:t>
                  </w:r>
                  <w:r>
                    <w:rPr>
                      <w:rFonts w:hint="eastAsia" w:ascii="宋体" w:hAnsi="宋体" w:cs="宋体"/>
                      <w:color w:val="auto"/>
                      <w:sz w:val="21"/>
                      <w:szCs w:val="21"/>
                      <w:highlight w:val="none"/>
                      <w:lang w:val="en-US" w:eastAsia="zh-CN"/>
                    </w:rPr>
                    <w:t>吨食品级淋膜纸项目</w:t>
                  </w:r>
                </w:p>
              </w:tc>
            </w:tr>
            <w:tr w14:paraId="5C9D14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tl2br w:val="nil"/>
                    <w:tr2bl w:val="nil"/>
                  </w:tcBorders>
                  <w:noWrap w:val="0"/>
                  <w:vAlign w:val="center"/>
                </w:tcPr>
                <w:p w14:paraId="467AE1D8">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val="en-US" w:eastAsia="zh-CN"/>
                    </w:rPr>
                  </w:pPr>
                  <w:r>
                    <w:rPr>
                      <w:rFonts w:hint="eastAsia"/>
                      <w:sz w:val="21"/>
                      <w:szCs w:val="21"/>
                      <w:lang w:val="en-US" w:eastAsia="zh-CN"/>
                    </w:rPr>
                    <w:t>2</w:t>
                  </w:r>
                </w:p>
              </w:tc>
              <w:tc>
                <w:tcPr>
                  <w:tcW w:w="1917" w:type="dxa"/>
                  <w:tcBorders>
                    <w:tl2br w:val="nil"/>
                    <w:tr2bl w:val="nil"/>
                  </w:tcBorders>
                  <w:noWrap w:val="0"/>
                  <w:vAlign w:val="center"/>
                </w:tcPr>
                <w:p w14:paraId="7ADF6520">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val="en-US" w:eastAsia="zh-CN"/>
                    </w:rPr>
                  </w:pPr>
                  <w:r>
                    <w:rPr>
                      <w:rFonts w:hint="eastAsia"/>
                      <w:sz w:val="21"/>
                      <w:szCs w:val="21"/>
                      <w:lang w:val="en-US" w:eastAsia="zh-CN"/>
                    </w:rPr>
                    <w:t>建设规模</w:t>
                  </w:r>
                </w:p>
              </w:tc>
              <w:tc>
                <w:tcPr>
                  <w:tcW w:w="6237" w:type="dxa"/>
                  <w:tcBorders>
                    <w:tl2br w:val="nil"/>
                    <w:tr2bl w:val="nil"/>
                  </w:tcBorders>
                  <w:noWrap w:val="0"/>
                  <w:vAlign w:val="center"/>
                </w:tcPr>
                <w:p w14:paraId="1DB9A691">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color w:val="auto"/>
                      <w:sz w:val="21"/>
                      <w:szCs w:val="21"/>
                      <w:u w:val="none"/>
                      <w:lang w:val="en-US" w:eastAsia="zh-CN"/>
                    </w:rPr>
                  </w:pPr>
                  <w:r>
                    <w:rPr>
                      <w:rFonts w:hint="eastAsia" w:ascii="宋体" w:hAnsi="宋体" w:cs="宋体"/>
                      <w:color w:val="auto"/>
                      <w:sz w:val="21"/>
                      <w:szCs w:val="21"/>
                      <w:highlight w:val="none"/>
                      <w:lang w:eastAsia="zh-CN"/>
                    </w:rPr>
                    <w:t>年产</w:t>
                  </w:r>
                  <w:r>
                    <w:rPr>
                      <w:rFonts w:hint="eastAsia" w:cs="Times New Roman"/>
                      <w:color w:val="auto"/>
                      <w:sz w:val="21"/>
                      <w:szCs w:val="21"/>
                      <w:highlight w:val="none"/>
                      <w:lang w:val="en-US" w:eastAsia="zh-CN"/>
                    </w:rPr>
                    <w:t>23000</w:t>
                  </w:r>
                  <w:r>
                    <w:rPr>
                      <w:rFonts w:hint="eastAsia" w:ascii="宋体" w:hAnsi="宋体" w:cs="宋体"/>
                      <w:color w:val="auto"/>
                      <w:sz w:val="21"/>
                      <w:szCs w:val="21"/>
                      <w:highlight w:val="none"/>
                      <w:lang w:val="en-US" w:eastAsia="zh-CN"/>
                    </w:rPr>
                    <w:t>吨食品级淋膜纸</w:t>
                  </w:r>
                </w:p>
              </w:tc>
            </w:tr>
            <w:tr w14:paraId="00AF4E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tl2br w:val="nil"/>
                    <w:tr2bl w:val="nil"/>
                  </w:tcBorders>
                  <w:noWrap w:val="0"/>
                  <w:vAlign w:val="center"/>
                </w:tcPr>
                <w:p w14:paraId="3FDE1F4A">
                  <w:pPr>
                    <w:keepNext w:val="0"/>
                    <w:keepLines w:val="0"/>
                    <w:suppressLineNumbers w:val="0"/>
                    <w:adjustRightInd w:val="0"/>
                    <w:snapToGrid w:val="0"/>
                    <w:spacing w:before="0" w:beforeAutospacing="0" w:after="0" w:afterAutospacing="0"/>
                    <w:ind w:left="0" w:right="0"/>
                    <w:jc w:val="center"/>
                    <w:rPr>
                      <w:rFonts w:hint="default"/>
                      <w:sz w:val="21"/>
                      <w:szCs w:val="21"/>
                      <w:lang w:val="en-US" w:eastAsia="zh-CN"/>
                    </w:rPr>
                  </w:pPr>
                  <w:r>
                    <w:rPr>
                      <w:rFonts w:hint="eastAsia"/>
                      <w:sz w:val="21"/>
                      <w:szCs w:val="21"/>
                      <w:lang w:val="en-US" w:eastAsia="zh-CN"/>
                    </w:rPr>
                    <w:t>3</w:t>
                  </w:r>
                </w:p>
              </w:tc>
              <w:tc>
                <w:tcPr>
                  <w:tcW w:w="1917" w:type="dxa"/>
                  <w:tcBorders>
                    <w:tl2br w:val="nil"/>
                    <w:tr2bl w:val="nil"/>
                  </w:tcBorders>
                  <w:noWrap w:val="0"/>
                  <w:vAlign w:val="center"/>
                </w:tcPr>
                <w:p w14:paraId="75AC88E1">
                  <w:pPr>
                    <w:keepNext w:val="0"/>
                    <w:keepLines w:val="0"/>
                    <w:suppressLineNumbers w:val="0"/>
                    <w:adjustRightInd w:val="0"/>
                    <w:snapToGrid w:val="0"/>
                    <w:spacing w:before="0" w:beforeAutospacing="0" w:after="0" w:afterAutospacing="0"/>
                    <w:ind w:left="0" w:right="0"/>
                    <w:jc w:val="center"/>
                    <w:rPr>
                      <w:rFonts w:hint="default"/>
                      <w:sz w:val="21"/>
                      <w:szCs w:val="21"/>
                      <w:lang w:val="en-US" w:eastAsia="zh-CN"/>
                    </w:rPr>
                  </w:pPr>
                  <w:r>
                    <w:rPr>
                      <w:rFonts w:hint="eastAsia"/>
                      <w:sz w:val="21"/>
                      <w:szCs w:val="21"/>
                      <w:lang w:val="en-US" w:eastAsia="zh-CN"/>
                    </w:rPr>
                    <w:t>建设性质</w:t>
                  </w:r>
                </w:p>
              </w:tc>
              <w:tc>
                <w:tcPr>
                  <w:tcW w:w="6237" w:type="dxa"/>
                  <w:tcBorders>
                    <w:tl2br w:val="nil"/>
                    <w:tr2bl w:val="nil"/>
                  </w:tcBorders>
                  <w:noWrap w:val="0"/>
                  <w:vAlign w:val="center"/>
                </w:tcPr>
                <w:p w14:paraId="4FBB07C7">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color w:val="auto"/>
                      <w:sz w:val="21"/>
                      <w:szCs w:val="21"/>
                      <w:u w:val="none"/>
                      <w:lang w:val="en-US" w:eastAsia="zh-CN"/>
                    </w:rPr>
                  </w:pPr>
                  <w:r>
                    <w:rPr>
                      <w:rFonts w:hint="eastAsia" w:ascii="宋体" w:hAnsi="宋体"/>
                      <w:color w:val="auto"/>
                      <w:sz w:val="21"/>
                      <w:szCs w:val="21"/>
                      <w:u w:val="none"/>
                      <w:lang w:val="en-US" w:eastAsia="zh-CN"/>
                    </w:rPr>
                    <w:t>新建</w:t>
                  </w:r>
                </w:p>
              </w:tc>
            </w:tr>
            <w:tr w14:paraId="75C23D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tl2br w:val="nil"/>
                    <w:tr2bl w:val="nil"/>
                  </w:tcBorders>
                  <w:noWrap w:val="0"/>
                  <w:vAlign w:val="center"/>
                </w:tcPr>
                <w:p w14:paraId="30AFFFC0">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eastAsia="zh-CN"/>
                    </w:rPr>
                  </w:pPr>
                  <w:r>
                    <w:rPr>
                      <w:rFonts w:hint="eastAsia"/>
                      <w:sz w:val="21"/>
                      <w:szCs w:val="21"/>
                      <w:lang w:val="en-US" w:eastAsia="zh-CN"/>
                    </w:rPr>
                    <w:t>4</w:t>
                  </w:r>
                </w:p>
              </w:tc>
              <w:tc>
                <w:tcPr>
                  <w:tcW w:w="1917" w:type="dxa"/>
                  <w:tcBorders>
                    <w:tl2br w:val="nil"/>
                    <w:tr2bl w:val="nil"/>
                  </w:tcBorders>
                  <w:noWrap w:val="0"/>
                  <w:vAlign w:val="center"/>
                </w:tcPr>
                <w:p w14:paraId="4F6C6422">
                  <w:pPr>
                    <w:keepNext w:val="0"/>
                    <w:keepLines w:val="0"/>
                    <w:suppressLineNumbers w:val="0"/>
                    <w:adjustRightInd w:val="0"/>
                    <w:snapToGrid w:val="0"/>
                    <w:spacing w:before="0" w:beforeAutospacing="0" w:after="0" w:afterAutospacing="0"/>
                    <w:ind w:left="0" w:leftChars="0" w:right="0" w:rightChars="0"/>
                    <w:jc w:val="center"/>
                    <w:rPr>
                      <w:rFonts w:hint="default"/>
                      <w:sz w:val="21"/>
                      <w:szCs w:val="21"/>
                    </w:rPr>
                  </w:pPr>
                  <w:r>
                    <w:rPr>
                      <w:rFonts w:hint="eastAsia"/>
                      <w:sz w:val="21"/>
                      <w:szCs w:val="21"/>
                    </w:rPr>
                    <w:t>建设单位</w:t>
                  </w:r>
                </w:p>
              </w:tc>
              <w:tc>
                <w:tcPr>
                  <w:tcW w:w="6237" w:type="dxa"/>
                  <w:tcBorders>
                    <w:tl2br w:val="nil"/>
                    <w:tr2bl w:val="nil"/>
                  </w:tcBorders>
                  <w:noWrap w:val="0"/>
                  <w:vAlign w:val="center"/>
                </w:tcPr>
                <w:p w14:paraId="177BC335">
                  <w:pPr>
                    <w:keepNext w:val="0"/>
                    <w:keepLines w:val="0"/>
                    <w:suppressLineNumbers w:val="0"/>
                    <w:adjustRightInd w:val="0"/>
                    <w:snapToGrid w:val="0"/>
                    <w:spacing w:before="0" w:beforeAutospacing="0" w:after="0" w:afterAutospacing="0"/>
                    <w:ind w:left="0" w:leftChars="0" w:right="0" w:rightChars="0"/>
                    <w:jc w:val="center"/>
                    <w:rPr>
                      <w:rFonts w:hint="eastAsia" w:eastAsia="宋体"/>
                      <w:color w:val="auto"/>
                      <w:sz w:val="21"/>
                      <w:szCs w:val="21"/>
                      <w:u w:val="none"/>
                      <w:lang w:val="en-US" w:eastAsia="zh-CN"/>
                    </w:rPr>
                  </w:pPr>
                  <w:r>
                    <w:rPr>
                      <w:rFonts w:hint="eastAsia" w:ascii="宋体" w:hAnsi="宋体" w:cs="宋体"/>
                      <w:color w:val="auto"/>
                      <w:sz w:val="21"/>
                      <w:szCs w:val="21"/>
                      <w:highlight w:val="none"/>
                      <w:lang w:eastAsia="zh-CN"/>
                    </w:rPr>
                    <w:t>河南</w:t>
                  </w:r>
                  <w:r>
                    <w:rPr>
                      <w:rFonts w:hint="eastAsia" w:ascii="宋体" w:hAnsi="宋体" w:cs="宋体"/>
                      <w:color w:val="auto"/>
                      <w:sz w:val="21"/>
                      <w:szCs w:val="21"/>
                      <w:highlight w:val="none"/>
                      <w:lang w:val="en-US" w:eastAsia="zh-CN"/>
                    </w:rPr>
                    <w:t>丰盛源纸业</w:t>
                  </w:r>
                  <w:r>
                    <w:rPr>
                      <w:rFonts w:hint="eastAsia" w:ascii="宋体" w:hAnsi="宋体" w:cs="宋体"/>
                      <w:color w:val="auto"/>
                      <w:sz w:val="21"/>
                      <w:szCs w:val="21"/>
                      <w:highlight w:val="none"/>
                      <w:lang w:eastAsia="zh-CN"/>
                    </w:rPr>
                    <w:t>有限公司</w:t>
                  </w:r>
                </w:p>
              </w:tc>
            </w:tr>
            <w:tr w14:paraId="65E320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51" w:type="dxa"/>
                  <w:tcBorders>
                    <w:tl2br w:val="nil"/>
                    <w:tr2bl w:val="nil"/>
                  </w:tcBorders>
                  <w:noWrap w:val="0"/>
                  <w:vAlign w:val="center"/>
                </w:tcPr>
                <w:p w14:paraId="6352E95D">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eastAsia="zh-CN"/>
                    </w:rPr>
                  </w:pPr>
                  <w:r>
                    <w:rPr>
                      <w:rFonts w:hint="eastAsia"/>
                      <w:sz w:val="21"/>
                      <w:szCs w:val="21"/>
                      <w:lang w:val="en-US" w:eastAsia="zh-CN"/>
                    </w:rPr>
                    <w:t>5</w:t>
                  </w:r>
                </w:p>
              </w:tc>
              <w:tc>
                <w:tcPr>
                  <w:tcW w:w="1917" w:type="dxa"/>
                  <w:tcBorders>
                    <w:tl2br w:val="nil"/>
                    <w:tr2bl w:val="nil"/>
                  </w:tcBorders>
                  <w:noWrap w:val="0"/>
                  <w:vAlign w:val="center"/>
                </w:tcPr>
                <w:p w14:paraId="289BF2E3">
                  <w:pPr>
                    <w:keepNext w:val="0"/>
                    <w:keepLines w:val="0"/>
                    <w:suppressLineNumbers w:val="0"/>
                    <w:adjustRightInd w:val="0"/>
                    <w:snapToGrid w:val="0"/>
                    <w:spacing w:before="0" w:beforeAutospacing="0" w:after="0" w:afterAutospacing="0"/>
                    <w:ind w:left="0" w:leftChars="0" w:right="0" w:rightChars="0"/>
                    <w:jc w:val="center"/>
                    <w:rPr>
                      <w:rFonts w:hint="default"/>
                      <w:sz w:val="21"/>
                      <w:szCs w:val="21"/>
                    </w:rPr>
                  </w:pPr>
                  <w:r>
                    <w:rPr>
                      <w:rFonts w:hint="eastAsia"/>
                      <w:sz w:val="21"/>
                      <w:szCs w:val="21"/>
                    </w:rPr>
                    <w:t>项目选址</w:t>
                  </w:r>
                </w:p>
              </w:tc>
              <w:tc>
                <w:tcPr>
                  <w:tcW w:w="6237" w:type="dxa"/>
                  <w:tcBorders>
                    <w:tl2br w:val="nil"/>
                    <w:tr2bl w:val="nil"/>
                  </w:tcBorders>
                  <w:noWrap w:val="0"/>
                  <w:vAlign w:val="center"/>
                </w:tcPr>
                <w:p w14:paraId="0FC6E3A0">
                  <w:pPr>
                    <w:keepNext w:val="0"/>
                    <w:keepLines w:val="0"/>
                    <w:suppressLineNumbers w:val="0"/>
                    <w:adjustRightInd w:val="0"/>
                    <w:snapToGrid w:val="0"/>
                    <w:spacing w:before="0" w:beforeAutospacing="0" w:after="0" w:afterAutospacing="0"/>
                    <w:ind w:left="0" w:leftChars="0" w:right="0" w:rightChars="0"/>
                    <w:jc w:val="center"/>
                    <w:rPr>
                      <w:rFonts w:hint="eastAsia" w:eastAsia="宋体"/>
                      <w:color w:val="auto"/>
                      <w:sz w:val="21"/>
                      <w:szCs w:val="21"/>
                      <w:u w:val="none"/>
                      <w:lang w:eastAsia="zh-CN"/>
                    </w:rPr>
                  </w:pPr>
                  <w:r>
                    <w:rPr>
                      <w:rFonts w:hint="eastAsia" w:ascii="宋体" w:hAnsi="宋体" w:cs="宋体"/>
                      <w:color w:val="auto"/>
                      <w:sz w:val="21"/>
                      <w:szCs w:val="21"/>
                      <w:lang w:val="en-US" w:eastAsia="zh-CN"/>
                    </w:rPr>
                    <w:t>河南省新乡市新乡县七里营镇南位庄</w:t>
                  </w:r>
                  <w:r>
                    <w:rPr>
                      <w:rFonts w:hint="default" w:ascii="Times New Roman" w:hAnsi="Times New Roman" w:cs="Times New Roman"/>
                      <w:color w:val="auto"/>
                      <w:sz w:val="21"/>
                      <w:szCs w:val="21"/>
                      <w:lang w:val="en-US" w:eastAsia="zh-CN"/>
                    </w:rPr>
                    <w:t>村工业路698号</w:t>
                  </w:r>
                </w:p>
              </w:tc>
            </w:tr>
            <w:tr w14:paraId="596769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tl2br w:val="nil"/>
                    <w:tr2bl w:val="nil"/>
                  </w:tcBorders>
                  <w:noWrap w:val="0"/>
                  <w:vAlign w:val="center"/>
                </w:tcPr>
                <w:p w14:paraId="2BCD5B85">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val="en-US" w:eastAsia="zh-CN"/>
                    </w:rPr>
                  </w:pPr>
                  <w:r>
                    <w:rPr>
                      <w:rFonts w:hint="eastAsia"/>
                      <w:sz w:val="21"/>
                      <w:szCs w:val="21"/>
                      <w:lang w:val="en-US" w:eastAsia="zh-CN"/>
                    </w:rPr>
                    <w:t>6</w:t>
                  </w:r>
                </w:p>
              </w:tc>
              <w:tc>
                <w:tcPr>
                  <w:tcW w:w="1917" w:type="dxa"/>
                  <w:tcBorders>
                    <w:tl2br w:val="nil"/>
                    <w:tr2bl w:val="nil"/>
                  </w:tcBorders>
                  <w:noWrap w:val="0"/>
                  <w:vAlign w:val="center"/>
                </w:tcPr>
                <w:p w14:paraId="539932BD">
                  <w:pPr>
                    <w:keepNext w:val="0"/>
                    <w:keepLines w:val="0"/>
                    <w:suppressLineNumbers w:val="0"/>
                    <w:adjustRightInd w:val="0"/>
                    <w:snapToGrid w:val="0"/>
                    <w:spacing w:before="0" w:beforeAutospacing="0" w:after="0" w:afterAutospacing="0"/>
                    <w:ind w:left="0" w:leftChars="0" w:right="0" w:rightChars="0"/>
                    <w:jc w:val="center"/>
                    <w:rPr>
                      <w:rFonts w:hint="eastAsia"/>
                      <w:sz w:val="21"/>
                      <w:szCs w:val="21"/>
                    </w:rPr>
                  </w:pPr>
                  <w:r>
                    <w:rPr>
                      <w:rFonts w:hint="default"/>
                      <w:sz w:val="21"/>
                      <w:szCs w:val="21"/>
                    </w:rPr>
                    <w:t>占地面积</w:t>
                  </w:r>
                </w:p>
              </w:tc>
              <w:tc>
                <w:tcPr>
                  <w:tcW w:w="6237" w:type="dxa"/>
                  <w:tcBorders>
                    <w:tl2br w:val="nil"/>
                    <w:tr2bl w:val="nil"/>
                  </w:tcBorders>
                  <w:noWrap w:val="0"/>
                  <w:vAlign w:val="center"/>
                </w:tcPr>
                <w:p w14:paraId="65834FEF">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eastAsia="宋体"/>
                      <w:color w:val="auto"/>
                      <w:sz w:val="21"/>
                      <w:szCs w:val="21"/>
                      <w:u w:val="none"/>
                      <w:lang w:val="en-US" w:eastAsia="zh-CN"/>
                    </w:rPr>
                  </w:pPr>
                  <w:r>
                    <w:rPr>
                      <w:rFonts w:hint="eastAsia"/>
                      <w:color w:val="000000" w:themeColor="text1"/>
                      <w:sz w:val="21"/>
                      <w:szCs w:val="21"/>
                      <w:highlight w:val="none"/>
                      <w:u w:val="none"/>
                      <w:lang w:val="en-US" w:eastAsia="zh-CN"/>
                      <w14:textFill>
                        <w14:solidFill>
                          <w14:schemeClr w14:val="tx1"/>
                        </w14:solidFill>
                      </w14:textFill>
                    </w:rPr>
                    <w:t>8000m</w:t>
                  </w:r>
                  <w:r>
                    <w:rPr>
                      <w:rFonts w:hint="eastAsia"/>
                      <w:color w:val="000000" w:themeColor="text1"/>
                      <w:sz w:val="21"/>
                      <w:szCs w:val="21"/>
                      <w:highlight w:val="none"/>
                      <w:u w:val="none"/>
                      <w:vertAlign w:val="superscript"/>
                      <w:lang w:val="en-US" w:eastAsia="zh-CN"/>
                      <w14:textFill>
                        <w14:solidFill>
                          <w14:schemeClr w14:val="tx1"/>
                        </w14:solidFill>
                      </w14:textFill>
                    </w:rPr>
                    <w:t>2</w:t>
                  </w:r>
                </w:p>
              </w:tc>
            </w:tr>
            <w:tr w14:paraId="3C6A83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tl2br w:val="nil"/>
                    <w:tr2bl w:val="nil"/>
                  </w:tcBorders>
                  <w:noWrap w:val="0"/>
                  <w:vAlign w:val="center"/>
                </w:tcPr>
                <w:p w14:paraId="399F3A09">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eastAsia="zh-CN"/>
                    </w:rPr>
                  </w:pPr>
                  <w:r>
                    <w:rPr>
                      <w:rFonts w:hint="eastAsia"/>
                      <w:sz w:val="21"/>
                      <w:szCs w:val="21"/>
                      <w:lang w:val="en-US" w:eastAsia="zh-CN"/>
                    </w:rPr>
                    <w:t>7</w:t>
                  </w:r>
                </w:p>
              </w:tc>
              <w:tc>
                <w:tcPr>
                  <w:tcW w:w="1917" w:type="dxa"/>
                  <w:tcBorders>
                    <w:tl2br w:val="nil"/>
                    <w:tr2bl w:val="nil"/>
                  </w:tcBorders>
                  <w:noWrap w:val="0"/>
                  <w:vAlign w:val="center"/>
                </w:tcPr>
                <w:p w14:paraId="1C87B2F6">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default"/>
                      <w:sz w:val="21"/>
                      <w:szCs w:val="21"/>
                    </w:rPr>
                    <w:t>总投资</w:t>
                  </w:r>
                </w:p>
              </w:tc>
              <w:tc>
                <w:tcPr>
                  <w:tcW w:w="6237" w:type="dxa"/>
                  <w:tcBorders>
                    <w:tl2br w:val="nil"/>
                    <w:tr2bl w:val="nil"/>
                  </w:tcBorders>
                  <w:noWrap w:val="0"/>
                  <w:vAlign w:val="center"/>
                </w:tcPr>
                <w:p w14:paraId="33E4C67F">
                  <w:pPr>
                    <w:keepNext w:val="0"/>
                    <w:keepLines w:val="0"/>
                    <w:suppressLineNumbers w:val="0"/>
                    <w:adjustRightInd w:val="0"/>
                    <w:snapToGrid w:val="0"/>
                    <w:spacing w:before="0" w:beforeAutospacing="0" w:after="0" w:afterAutospacing="0"/>
                    <w:ind w:left="0" w:leftChars="0" w:right="0" w:rightChars="0"/>
                    <w:jc w:val="center"/>
                    <w:rPr>
                      <w:rFonts w:hint="eastAsia" w:eastAsia="宋体"/>
                      <w:color w:val="000000" w:themeColor="text1"/>
                      <w:sz w:val="21"/>
                      <w:szCs w:val="21"/>
                      <w:u w:val="none"/>
                      <w:lang w:eastAsia="zh-CN"/>
                      <w14:textFill>
                        <w14:solidFill>
                          <w14:schemeClr w14:val="tx1"/>
                        </w14:solidFill>
                      </w14:textFill>
                    </w:rPr>
                  </w:pPr>
                  <w:r>
                    <w:rPr>
                      <w:rFonts w:hint="eastAsia"/>
                      <w:color w:val="000000" w:themeColor="text1"/>
                      <w:sz w:val="21"/>
                      <w:szCs w:val="21"/>
                      <w:u w:val="none"/>
                      <w:lang w:val="en-US" w:eastAsia="zh-CN"/>
                      <w14:textFill>
                        <w14:solidFill>
                          <w14:schemeClr w14:val="tx1"/>
                        </w14:solidFill>
                      </w14:textFill>
                    </w:rPr>
                    <w:t>500</w:t>
                  </w:r>
                  <w:r>
                    <w:rPr>
                      <w:rFonts w:hint="eastAsia"/>
                      <w:color w:val="000000" w:themeColor="text1"/>
                      <w:sz w:val="21"/>
                      <w:szCs w:val="21"/>
                      <w:u w:val="none"/>
                      <w14:textFill>
                        <w14:solidFill>
                          <w14:schemeClr w14:val="tx1"/>
                        </w14:solidFill>
                      </w14:textFill>
                    </w:rPr>
                    <w:t>万元</w:t>
                  </w:r>
                </w:p>
              </w:tc>
            </w:tr>
            <w:tr w14:paraId="1F5C48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1" w:type="dxa"/>
                  <w:tcBorders>
                    <w:bottom w:val="single" w:color="auto" w:sz="8" w:space="0"/>
                  </w:tcBorders>
                  <w:noWrap w:val="0"/>
                  <w:vAlign w:val="center"/>
                </w:tcPr>
                <w:p w14:paraId="3C0B15D5">
                  <w:pPr>
                    <w:keepNext w:val="0"/>
                    <w:keepLines w:val="0"/>
                    <w:suppressLineNumbers w:val="0"/>
                    <w:adjustRightInd w:val="0"/>
                    <w:snapToGrid w:val="0"/>
                    <w:spacing w:before="0" w:beforeAutospacing="0" w:after="0" w:afterAutospacing="0"/>
                    <w:ind w:left="0" w:right="0"/>
                    <w:jc w:val="center"/>
                    <w:rPr>
                      <w:rFonts w:hint="eastAsia" w:eastAsia="宋体"/>
                      <w:sz w:val="21"/>
                      <w:szCs w:val="21"/>
                      <w:lang w:eastAsia="zh-CN"/>
                    </w:rPr>
                  </w:pPr>
                  <w:r>
                    <w:rPr>
                      <w:rFonts w:hint="eastAsia"/>
                      <w:sz w:val="21"/>
                      <w:szCs w:val="21"/>
                      <w:lang w:val="en-US" w:eastAsia="zh-CN"/>
                    </w:rPr>
                    <w:t>8</w:t>
                  </w:r>
                </w:p>
              </w:tc>
              <w:tc>
                <w:tcPr>
                  <w:tcW w:w="1917" w:type="dxa"/>
                  <w:tcBorders>
                    <w:bottom w:val="single" w:color="auto" w:sz="8" w:space="0"/>
                  </w:tcBorders>
                  <w:noWrap w:val="0"/>
                  <w:vAlign w:val="center"/>
                </w:tcPr>
                <w:p w14:paraId="4A288CD4">
                  <w:pPr>
                    <w:keepNext w:val="0"/>
                    <w:keepLines w:val="0"/>
                    <w:suppressLineNumbers w:val="0"/>
                    <w:adjustRightInd w:val="0"/>
                    <w:snapToGrid w:val="0"/>
                    <w:spacing w:before="0" w:beforeAutospacing="0" w:after="0" w:afterAutospacing="0"/>
                    <w:ind w:left="0" w:right="0"/>
                    <w:jc w:val="center"/>
                    <w:rPr>
                      <w:rFonts w:hint="default"/>
                      <w:sz w:val="21"/>
                      <w:szCs w:val="21"/>
                    </w:rPr>
                  </w:pPr>
                  <w:r>
                    <w:rPr>
                      <w:rFonts w:hint="eastAsia"/>
                      <w:sz w:val="21"/>
                      <w:szCs w:val="21"/>
                    </w:rPr>
                    <w:t>劳动定员与制度</w:t>
                  </w:r>
                </w:p>
              </w:tc>
              <w:tc>
                <w:tcPr>
                  <w:tcW w:w="6237" w:type="dxa"/>
                  <w:tcBorders>
                    <w:bottom w:val="single" w:color="auto" w:sz="8" w:space="0"/>
                  </w:tcBorders>
                  <w:noWrap w:val="0"/>
                  <w:vAlign w:val="center"/>
                </w:tcPr>
                <w:p w14:paraId="563E200A">
                  <w:pPr>
                    <w:keepNext w:val="0"/>
                    <w:keepLines w:val="0"/>
                    <w:suppressLineNumbers w:val="0"/>
                    <w:adjustRightInd w:val="0"/>
                    <w:snapToGrid w:val="0"/>
                    <w:spacing w:before="0" w:beforeAutospacing="0" w:after="0" w:afterAutospacing="0"/>
                    <w:ind w:left="0" w:leftChars="0" w:right="0" w:rightChars="0"/>
                    <w:jc w:val="center"/>
                    <w:rPr>
                      <w:rFonts w:hint="default" w:eastAsia="宋体"/>
                      <w:color w:val="000000" w:themeColor="text1"/>
                      <w:sz w:val="21"/>
                      <w:szCs w:val="21"/>
                      <w:u w:val="none"/>
                      <w:lang w:val="en-US" w:eastAsia="zh-CN"/>
                      <w14:textFill>
                        <w14:solidFill>
                          <w14:schemeClr w14:val="tx1"/>
                        </w14:solidFill>
                      </w14:textFill>
                    </w:rPr>
                  </w:pPr>
                  <w:r>
                    <w:rPr>
                      <w:rFonts w:hint="eastAsia"/>
                      <w:color w:val="000000" w:themeColor="text1"/>
                      <w:sz w:val="21"/>
                      <w:szCs w:val="21"/>
                      <w:highlight w:val="none"/>
                      <w:u w:val="none"/>
                      <w:lang w:eastAsia="zh-CN"/>
                      <w14:textFill>
                        <w14:solidFill>
                          <w14:schemeClr w14:val="tx1"/>
                        </w14:solidFill>
                      </w14:textFill>
                    </w:rPr>
                    <w:t>劳动定员</w:t>
                  </w:r>
                  <w:r>
                    <w:rPr>
                      <w:rFonts w:hint="eastAsia"/>
                      <w:color w:val="000000" w:themeColor="text1"/>
                      <w:sz w:val="21"/>
                      <w:szCs w:val="21"/>
                      <w:highlight w:val="none"/>
                      <w:u w:val="none"/>
                      <w:lang w:val="en-US" w:eastAsia="zh-CN"/>
                      <w14:textFill>
                        <w14:solidFill>
                          <w14:schemeClr w14:val="tx1"/>
                        </w14:solidFill>
                      </w14:textFill>
                    </w:rPr>
                    <w:t>11人</w:t>
                  </w:r>
                  <w:r>
                    <w:rPr>
                      <w:rFonts w:hint="eastAsia"/>
                      <w:color w:val="000000" w:themeColor="text1"/>
                      <w:sz w:val="21"/>
                      <w:szCs w:val="21"/>
                      <w:highlight w:val="none"/>
                      <w:u w:val="none"/>
                      <w14:textFill>
                        <w14:solidFill>
                          <w14:schemeClr w14:val="tx1"/>
                        </w14:solidFill>
                      </w14:textFill>
                    </w:rPr>
                    <w:t>，</w:t>
                  </w:r>
                  <w:r>
                    <w:rPr>
                      <w:rFonts w:hint="eastAsia"/>
                      <w:color w:val="000000" w:themeColor="text1"/>
                      <w:sz w:val="21"/>
                      <w:szCs w:val="21"/>
                      <w:highlight w:val="none"/>
                      <w:u w:val="none"/>
                      <w:lang w:val="en-US" w:eastAsia="zh-CN"/>
                      <w14:textFill>
                        <w14:solidFill>
                          <w14:schemeClr w14:val="tx1"/>
                        </w14:solidFill>
                      </w14:textFill>
                    </w:rPr>
                    <w:t>二班生产，每班8小时，年工作300天</w:t>
                  </w:r>
                </w:p>
              </w:tc>
            </w:tr>
          </w:tbl>
          <w:p w14:paraId="7294A535">
            <w:pPr>
              <w:keepNext w:val="0"/>
              <w:keepLines w:val="0"/>
              <w:suppressLineNumbers w:val="0"/>
              <w:spacing w:before="0" w:beforeAutospacing="0" w:after="0" w:afterAutospacing="0" w:line="440" w:lineRule="exact"/>
              <w:ind w:left="0" w:right="0" w:firstLine="482" w:firstLineChars="200"/>
              <w:rPr>
                <w:rFonts w:hint="eastAsia" w:eastAsia="宋体"/>
                <w:b/>
                <w:sz w:val="24"/>
                <w:lang w:eastAsia="zh-CN"/>
              </w:rPr>
            </w:pPr>
            <w:r>
              <w:rPr>
                <w:rFonts w:hint="default"/>
                <w:b/>
                <w:sz w:val="24"/>
              </w:rPr>
              <w:t>2</w:t>
            </w:r>
            <w:r>
              <w:rPr>
                <w:rFonts w:hint="eastAsia"/>
                <w:b/>
                <w:sz w:val="24"/>
              </w:rPr>
              <w:t>、项目建设</w:t>
            </w:r>
            <w:r>
              <w:rPr>
                <w:rFonts w:hint="eastAsia"/>
                <w:b/>
                <w:sz w:val="24"/>
                <w:lang w:val="en-US" w:eastAsia="zh-CN"/>
              </w:rPr>
              <w:t>内容</w:t>
            </w:r>
          </w:p>
          <w:p w14:paraId="12739D04">
            <w:pPr>
              <w:keepNext w:val="0"/>
              <w:keepLines w:val="0"/>
              <w:suppressLineNumbers w:val="0"/>
              <w:spacing w:before="0" w:beforeAutospacing="0" w:after="0" w:afterAutospacing="0" w:line="440" w:lineRule="exact"/>
              <w:ind w:left="0" w:right="0" w:firstLine="480" w:firstLineChars="200"/>
              <w:rPr>
                <w:rFonts w:hint="default" w:hAnsi="宋体" w:cs="Times New Roman"/>
                <w:b/>
                <w:bCs/>
                <w:color w:val="auto"/>
                <w:sz w:val="24"/>
                <w:szCs w:val="24"/>
              </w:rPr>
            </w:pPr>
            <w:r>
              <w:rPr>
                <w:rFonts w:hint="eastAsia"/>
                <w:sz w:val="24"/>
              </w:rPr>
              <w:t>本项目主要工程组成见表</w:t>
            </w:r>
            <w:r>
              <w:rPr>
                <w:rFonts w:hint="eastAsia"/>
                <w:color w:val="auto"/>
                <w:sz w:val="24"/>
                <w:lang w:val="en-US" w:eastAsia="zh-CN"/>
              </w:rPr>
              <w:t>11</w:t>
            </w:r>
            <w:r>
              <w:rPr>
                <w:rFonts w:hint="eastAsia"/>
                <w:color w:val="auto"/>
                <w:sz w:val="24"/>
              </w:rPr>
              <w:t>。</w:t>
            </w:r>
          </w:p>
          <w:p w14:paraId="4682BFD3">
            <w:pPr>
              <w:pStyle w:val="55"/>
              <w:keepNext w:val="0"/>
              <w:keepLines w:val="0"/>
              <w:suppressLineNumbers w:val="0"/>
              <w:spacing w:before="0" w:beforeAutospacing="0" w:after="0" w:afterAutospacing="0" w:line="440" w:lineRule="exact"/>
              <w:ind w:left="0" w:right="0" w:firstLine="0"/>
              <w:jc w:val="center"/>
              <w:rPr>
                <w:rFonts w:hint="default" w:ascii="Times New Roman" w:hAnsi="Times New Roman" w:cs="Times New Roman"/>
                <w:color w:val="auto"/>
                <w:sz w:val="24"/>
                <w:szCs w:val="24"/>
              </w:rPr>
            </w:pPr>
            <w:r>
              <w:rPr>
                <w:rFonts w:hint="default" w:hAnsi="宋体" w:cs="Times New Roman"/>
                <w:b/>
                <w:bCs/>
                <w:color w:val="auto"/>
                <w:sz w:val="24"/>
                <w:szCs w:val="24"/>
              </w:rPr>
              <w:t>表</w:t>
            </w:r>
            <w:r>
              <w:rPr>
                <w:rFonts w:hint="eastAsia" w:ascii="Times New Roman" w:hAnsi="Times New Roman" w:cs="Times New Roman"/>
                <w:b/>
                <w:bCs/>
                <w:color w:val="auto"/>
                <w:sz w:val="24"/>
                <w:szCs w:val="24"/>
                <w:lang w:val="en-US" w:eastAsia="zh-CN"/>
              </w:rPr>
              <w:t>11</w:t>
            </w:r>
            <w:r>
              <w:rPr>
                <w:rFonts w:hint="default" w:ascii="Times New Roman" w:hAnsi="Times New Roman" w:cs="Times New Roman"/>
                <w:b/>
                <w:bCs/>
                <w:color w:val="auto"/>
                <w:sz w:val="24"/>
                <w:szCs w:val="24"/>
                <w:lang w:val="en-US" w:eastAsia="zh-CN"/>
              </w:rPr>
              <w:t xml:space="preserve"> </w:t>
            </w:r>
            <w:r>
              <w:rPr>
                <w:rFonts w:hint="eastAsia" w:hAnsi="宋体" w:cs="Times New Roman"/>
                <w:b/>
                <w:bCs/>
                <w:color w:val="auto"/>
                <w:sz w:val="24"/>
                <w:szCs w:val="24"/>
                <w:lang w:val="en-US" w:eastAsia="zh-CN"/>
              </w:rPr>
              <w:t xml:space="preserve"> </w:t>
            </w:r>
            <w:r>
              <w:rPr>
                <w:rFonts w:hint="default" w:hAnsi="宋体" w:cs="Times New Roman"/>
                <w:b/>
                <w:bCs/>
                <w:color w:val="auto"/>
                <w:sz w:val="24"/>
                <w:szCs w:val="24"/>
              </w:rPr>
              <w:t>本项目组成情况</w:t>
            </w:r>
          </w:p>
          <w:tbl>
            <w:tblPr>
              <w:tblStyle w:val="2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1"/>
              <w:gridCol w:w="1080"/>
              <w:gridCol w:w="5219"/>
              <w:gridCol w:w="1432"/>
              <w:gridCol w:w="13"/>
            </w:tblGrid>
            <w:tr w14:paraId="6D9D81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1" w:type="dxa"/>
                  <w:tcBorders>
                    <w:top w:val="single" w:color="auto" w:sz="8" w:space="0"/>
                    <w:bottom w:val="single" w:color="auto" w:sz="8" w:space="0"/>
                  </w:tcBorders>
                  <w:noWrap w:val="0"/>
                  <w:vAlign w:val="center"/>
                </w:tcPr>
                <w:p w14:paraId="10973336">
                  <w:pPr>
                    <w:keepNext w:val="0"/>
                    <w:keepLines w:val="0"/>
                    <w:suppressLineNumbers w:val="0"/>
                    <w:snapToGrid w:val="0"/>
                    <w:spacing w:before="0" w:beforeAutospacing="0" w:after="0" w:afterAutospacing="0" w:line="240" w:lineRule="auto"/>
                    <w:ind w:left="0" w:leftChars="0" w:right="0" w:rightChars="0"/>
                    <w:jc w:val="center"/>
                    <w:rPr>
                      <w:rFonts w:hint="default"/>
                      <w:b/>
                      <w:color w:val="auto"/>
                      <w:sz w:val="21"/>
                      <w:szCs w:val="21"/>
                      <w:highlight w:val="none"/>
                    </w:rPr>
                  </w:pPr>
                  <w:r>
                    <w:rPr>
                      <w:rFonts w:hint="default"/>
                      <w:b/>
                      <w:color w:val="auto"/>
                      <w:sz w:val="21"/>
                      <w:szCs w:val="21"/>
                      <w:highlight w:val="none"/>
                    </w:rPr>
                    <w:t>项目</w:t>
                  </w:r>
                </w:p>
              </w:tc>
              <w:tc>
                <w:tcPr>
                  <w:tcW w:w="1080" w:type="dxa"/>
                  <w:tcBorders>
                    <w:top w:val="single" w:color="auto" w:sz="8" w:space="0"/>
                    <w:bottom w:val="single" w:color="auto" w:sz="8" w:space="0"/>
                  </w:tcBorders>
                  <w:noWrap w:val="0"/>
                  <w:vAlign w:val="center"/>
                </w:tcPr>
                <w:p w14:paraId="069E9C66">
                  <w:pPr>
                    <w:keepNext w:val="0"/>
                    <w:keepLines w:val="0"/>
                    <w:suppressLineNumbers w:val="0"/>
                    <w:snapToGrid w:val="0"/>
                    <w:spacing w:before="0" w:beforeAutospacing="0" w:after="0" w:afterAutospacing="0" w:line="240" w:lineRule="auto"/>
                    <w:ind w:left="0" w:leftChars="0" w:right="0" w:rightChars="0"/>
                    <w:jc w:val="center"/>
                    <w:rPr>
                      <w:rFonts w:hint="default"/>
                      <w:b/>
                      <w:color w:val="auto"/>
                      <w:sz w:val="21"/>
                      <w:szCs w:val="21"/>
                      <w:highlight w:val="none"/>
                    </w:rPr>
                  </w:pPr>
                  <w:r>
                    <w:rPr>
                      <w:rFonts w:hint="default"/>
                      <w:b/>
                      <w:color w:val="auto"/>
                      <w:sz w:val="21"/>
                      <w:szCs w:val="21"/>
                      <w:highlight w:val="none"/>
                    </w:rPr>
                    <w:t>建设</w:t>
                  </w:r>
                  <w:r>
                    <w:rPr>
                      <w:rFonts w:hint="eastAsia"/>
                      <w:b/>
                      <w:color w:val="auto"/>
                      <w:sz w:val="21"/>
                      <w:szCs w:val="21"/>
                      <w:highlight w:val="none"/>
                      <w:lang w:val="en-US" w:eastAsia="zh-CN"/>
                    </w:rPr>
                    <w:t>名称</w:t>
                  </w:r>
                </w:p>
              </w:tc>
              <w:tc>
                <w:tcPr>
                  <w:tcW w:w="5219" w:type="dxa"/>
                  <w:tcBorders>
                    <w:top w:val="single" w:color="auto" w:sz="8" w:space="0"/>
                    <w:bottom w:val="single" w:color="auto" w:sz="8" w:space="0"/>
                  </w:tcBorders>
                  <w:noWrap w:val="0"/>
                  <w:vAlign w:val="center"/>
                </w:tcPr>
                <w:p w14:paraId="3A545EF8">
                  <w:pPr>
                    <w:keepNext w:val="0"/>
                    <w:keepLines w:val="0"/>
                    <w:suppressLineNumbers w:val="0"/>
                    <w:snapToGrid w:val="0"/>
                    <w:spacing w:before="0" w:beforeAutospacing="0" w:after="0" w:afterAutospacing="0"/>
                    <w:ind w:left="0" w:right="0"/>
                    <w:jc w:val="center"/>
                    <w:rPr>
                      <w:rFonts w:hint="eastAsia" w:eastAsia="宋体"/>
                      <w:b/>
                      <w:color w:val="auto"/>
                      <w:sz w:val="21"/>
                      <w:szCs w:val="21"/>
                      <w:highlight w:val="none"/>
                      <w:lang w:eastAsia="zh-CN"/>
                    </w:rPr>
                  </w:pPr>
                  <w:r>
                    <w:rPr>
                      <w:rFonts w:hint="eastAsia"/>
                      <w:b/>
                      <w:color w:val="auto"/>
                      <w:sz w:val="21"/>
                      <w:szCs w:val="21"/>
                      <w:highlight w:val="none"/>
                      <w:lang w:val="en-US" w:eastAsia="zh-CN"/>
                    </w:rPr>
                    <w:t>建设内容</w:t>
                  </w:r>
                </w:p>
              </w:tc>
              <w:tc>
                <w:tcPr>
                  <w:tcW w:w="1432" w:type="dxa"/>
                  <w:tcBorders>
                    <w:top w:val="single" w:color="auto" w:sz="8" w:space="0"/>
                    <w:bottom w:val="single" w:color="auto" w:sz="8" w:space="0"/>
                  </w:tcBorders>
                  <w:noWrap w:val="0"/>
                  <w:vAlign w:val="center"/>
                </w:tcPr>
                <w:p w14:paraId="36FA7887">
                  <w:pPr>
                    <w:keepNext w:val="0"/>
                    <w:keepLines w:val="0"/>
                    <w:suppressLineNumbers w:val="0"/>
                    <w:snapToGrid w:val="0"/>
                    <w:spacing w:before="0" w:beforeAutospacing="0" w:after="0" w:afterAutospacing="0"/>
                    <w:ind w:left="0" w:right="0"/>
                    <w:jc w:val="center"/>
                    <w:rPr>
                      <w:rFonts w:hint="eastAsia" w:eastAsia="宋体"/>
                      <w:b/>
                      <w:color w:val="auto"/>
                      <w:sz w:val="21"/>
                      <w:szCs w:val="21"/>
                      <w:highlight w:val="none"/>
                      <w:lang w:val="en-US" w:eastAsia="zh-CN"/>
                    </w:rPr>
                  </w:pPr>
                  <w:r>
                    <w:rPr>
                      <w:rFonts w:hint="eastAsia"/>
                      <w:b/>
                      <w:color w:val="auto"/>
                      <w:sz w:val="21"/>
                      <w:szCs w:val="21"/>
                      <w:highlight w:val="none"/>
                      <w:lang w:val="en-US" w:eastAsia="zh-CN"/>
                    </w:rPr>
                    <w:t>备注</w:t>
                  </w:r>
                </w:p>
              </w:tc>
            </w:tr>
            <w:tr w14:paraId="661BF6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1" w:type="dxa"/>
                  <w:tcBorders>
                    <w:top w:val="single" w:color="auto" w:sz="8" w:space="0"/>
                    <w:tl2br w:val="nil"/>
                    <w:tr2bl w:val="nil"/>
                  </w:tcBorders>
                  <w:noWrap w:val="0"/>
                  <w:vAlign w:val="center"/>
                </w:tcPr>
                <w:p w14:paraId="5F003F31">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rPr>
                  </w:pPr>
                  <w:r>
                    <w:rPr>
                      <w:rFonts w:hint="default"/>
                      <w:color w:val="auto"/>
                      <w:sz w:val="21"/>
                      <w:szCs w:val="21"/>
                      <w:highlight w:val="none"/>
                    </w:rPr>
                    <w:t>主体工程</w:t>
                  </w:r>
                </w:p>
              </w:tc>
              <w:tc>
                <w:tcPr>
                  <w:tcW w:w="1080" w:type="dxa"/>
                  <w:tcBorders>
                    <w:top w:val="single" w:color="auto" w:sz="8" w:space="0"/>
                    <w:bottom w:val="single" w:color="auto" w:sz="4" w:space="0"/>
                  </w:tcBorders>
                  <w:noWrap w:val="0"/>
                  <w:vAlign w:val="center"/>
                </w:tcPr>
                <w:p w14:paraId="1C49E496">
                  <w:pPr>
                    <w:keepNext w:val="0"/>
                    <w:keepLines w:val="0"/>
                    <w:suppressLineNumbers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生产车间</w:t>
                  </w:r>
                </w:p>
              </w:tc>
              <w:tc>
                <w:tcPr>
                  <w:tcW w:w="5219" w:type="dxa"/>
                  <w:tcBorders>
                    <w:top w:val="single" w:color="auto" w:sz="8" w:space="0"/>
                    <w:bottom w:val="single" w:color="auto" w:sz="4" w:space="0"/>
                  </w:tcBorders>
                  <w:noWrap w:val="0"/>
                  <w:vAlign w:val="center"/>
                </w:tcPr>
                <w:p w14:paraId="0E670D0B">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auto"/>
                      <w:sz w:val="21"/>
                      <w:szCs w:val="21"/>
                      <w:highlight w:val="none"/>
                      <w:lang w:val="en-US" w:eastAsia="zh-CN"/>
                    </w:rPr>
                  </w:pPr>
                  <w:r>
                    <w:rPr>
                      <w:rFonts w:hint="eastAsia"/>
                      <w:color w:val="auto"/>
                      <w:sz w:val="21"/>
                      <w:szCs w:val="21"/>
                      <w:highlight w:val="none"/>
                      <w:lang w:eastAsia="zh-CN"/>
                    </w:rPr>
                    <w:t>一座，</w:t>
                  </w:r>
                  <w:r>
                    <w:rPr>
                      <w:rFonts w:hint="eastAsia"/>
                      <w:color w:val="auto"/>
                      <w:sz w:val="21"/>
                      <w:szCs w:val="21"/>
                      <w:highlight w:val="none"/>
                    </w:rPr>
                    <w:t>建筑面积为</w:t>
                  </w:r>
                  <w:r>
                    <w:rPr>
                      <w:rFonts w:hint="eastAsia"/>
                      <w:color w:val="auto"/>
                      <w:sz w:val="21"/>
                      <w:szCs w:val="21"/>
                      <w:highlight w:val="none"/>
                      <w:lang w:val="en-US" w:eastAsia="zh-CN"/>
                    </w:rPr>
                    <w:t>2200</w:t>
                  </w:r>
                  <w:r>
                    <w:rPr>
                      <w:rFonts w:hint="eastAsia"/>
                      <w:color w:val="auto"/>
                      <w:sz w:val="21"/>
                      <w:szCs w:val="21"/>
                      <w:highlight w:val="none"/>
                    </w:rPr>
                    <w:t>m</w:t>
                  </w:r>
                  <w:r>
                    <w:rPr>
                      <w:rFonts w:hint="default" w:ascii="Times New Roman" w:hAnsi="Times New Roman" w:cs="Times New Roman"/>
                      <w:color w:val="auto"/>
                      <w:sz w:val="21"/>
                      <w:szCs w:val="21"/>
                      <w:highlight w:val="none"/>
                    </w:rPr>
                    <w:t>²</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设置淋膜、印刷、分切模切等工序。</w:t>
                  </w:r>
                </w:p>
              </w:tc>
              <w:tc>
                <w:tcPr>
                  <w:tcW w:w="1432" w:type="dxa"/>
                  <w:tcBorders>
                    <w:top w:val="single" w:color="auto" w:sz="8" w:space="0"/>
                    <w:bottom w:val="single" w:color="auto" w:sz="4" w:space="0"/>
                  </w:tcBorders>
                  <w:noWrap w:val="0"/>
                  <w:vAlign w:val="center"/>
                </w:tcPr>
                <w:p w14:paraId="796CB7B4">
                  <w:pPr>
                    <w:keepNext w:val="0"/>
                    <w:keepLines w:val="0"/>
                    <w:suppressLineNumbers w:val="0"/>
                    <w:snapToGrid w:val="0"/>
                    <w:spacing w:before="0" w:beforeAutospacing="0" w:after="0" w:afterAutospacing="0"/>
                    <w:ind w:left="0" w:leftChars="0" w:right="0" w:rightChars="0"/>
                    <w:jc w:val="center"/>
                    <w:rPr>
                      <w:rFonts w:hint="default" w:eastAsia="宋体"/>
                      <w:color w:val="auto"/>
                      <w:sz w:val="21"/>
                      <w:szCs w:val="21"/>
                      <w:highlight w:val="none"/>
                      <w:lang w:val="en-US" w:eastAsia="zh-CN"/>
                    </w:rPr>
                  </w:pPr>
                  <w:r>
                    <w:rPr>
                      <w:rFonts w:hint="eastAsia" w:hAnsi="宋体"/>
                      <w:color w:val="000000"/>
                      <w:sz w:val="21"/>
                      <w:szCs w:val="21"/>
                      <w:lang w:val="en-US" w:eastAsia="zh-CN"/>
                    </w:rPr>
                    <w:t>租赁现有</w:t>
                  </w:r>
                </w:p>
              </w:tc>
            </w:tr>
            <w:tr w14:paraId="598ED0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1" w:type="dxa"/>
                  <w:tcBorders>
                    <w:tl2br w:val="nil"/>
                    <w:tr2bl w:val="nil"/>
                  </w:tcBorders>
                  <w:noWrap w:val="0"/>
                  <w:vAlign w:val="center"/>
                </w:tcPr>
                <w:p w14:paraId="3020A800">
                  <w:pPr>
                    <w:keepNext w:val="0"/>
                    <w:keepLines w:val="0"/>
                    <w:suppressLineNumbers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辅助工程</w:t>
                  </w:r>
                </w:p>
              </w:tc>
              <w:tc>
                <w:tcPr>
                  <w:tcW w:w="1080" w:type="dxa"/>
                  <w:tcBorders>
                    <w:top w:val="single" w:color="auto" w:sz="4" w:space="0"/>
                  </w:tcBorders>
                  <w:noWrap w:val="0"/>
                  <w:vAlign w:val="center"/>
                </w:tcPr>
                <w:p w14:paraId="311E5BB7">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办公室</w:t>
                  </w:r>
                </w:p>
              </w:tc>
              <w:tc>
                <w:tcPr>
                  <w:tcW w:w="5219" w:type="dxa"/>
                  <w:tcBorders>
                    <w:top w:val="single" w:color="auto" w:sz="4" w:space="0"/>
                  </w:tcBorders>
                  <w:noWrap w:val="0"/>
                  <w:vAlign w:val="center"/>
                </w:tcPr>
                <w:p w14:paraId="06200C6D">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一座，建筑面积为144</w:t>
                  </w:r>
                  <w:r>
                    <w:rPr>
                      <w:rFonts w:hint="eastAsia"/>
                      <w:color w:val="auto"/>
                      <w:sz w:val="21"/>
                      <w:szCs w:val="21"/>
                      <w:highlight w:val="none"/>
                    </w:rPr>
                    <w:t>m</w:t>
                  </w:r>
                  <w:r>
                    <w:rPr>
                      <w:rFonts w:hint="default" w:ascii="Times New Roman" w:hAnsi="Times New Roman" w:cs="Times New Roman"/>
                      <w:color w:val="auto"/>
                      <w:sz w:val="21"/>
                      <w:szCs w:val="21"/>
                      <w:highlight w:val="none"/>
                    </w:rPr>
                    <w:t>²</w:t>
                  </w:r>
                </w:p>
              </w:tc>
              <w:tc>
                <w:tcPr>
                  <w:tcW w:w="1432" w:type="dxa"/>
                  <w:tcBorders>
                    <w:top w:val="single" w:color="auto" w:sz="4" w:space="0"/>
                  </w:tcBorders>
                  <w:noWrap w:val="0"/>
                  <w:vAlign w:val="center"/>
                </w:tcPr>
                <w:p w14:paraId="714F962C">
                  <w:pPr>
                    <w:keepNext w:val="0"/>
                    <w:keepLines w:val="0"/>
                    <w:suppressLineNumbers w:val="0"/>
                    <w:snapToGrid w:val="0"/>
                    <w:spacing w:before="0" w:beforeAutospacing="0" w:after="0" w:afterAutospacing="0"/>
                    <w:ind w:left="0" w:leftChars="0" w:right="0" w:rightChars="0"/>
                    <w:jc w:val="center"/>
                    <w:rPr>
                      <w:rFonts w:hint="default" w:hAnsi="宋体"/>
                      <w:color w:val="000000"/>
                      <w:sz w:val="21"/>
                      <w:szCs w:val="21"/>
                      <w:lang w:val="en-US" w:eastAsia="zh-CN"/>
                    </w:rPr>
                  </w:pPr>
                  <w:r>
                    <w:rPr>
                      <w:rFonts w:hint="eastAsia" w:hAnsi="宋体"/>
                      <w:color w:val="000000"/>
                      <w:sz w:val="21"/>
                      <w:szCs w:val="21"/>
                      <w:lang w:val="en-US" w:eastAsia="zh-CN"/>
                    </w:rPr>
                    <w:t>租赁现有</w:t>
                  </w:r>
                </w:p>
              </w:tc>
            </w:tr>
            <w:tr w14:paraId="241B0D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1" w:type="dxa"/>
                  <w:vMerge w:val="restart"/>
                  <w:tcBorders>
                    <w:tl2br w:val="nil"/>
                    <w:tr2bl w:val="nil"/>
                  </w:tcBorders>
                  <w:noWrap w:val="0"/>
                  <w:vAlign w:val="center"/>
                </w:tcPr>
                <w:p w14:paraId="418C986F">
                  <w:pPr>
                    <w:keepNext w:val="0"/>
                    <w:keepLines w:val="0"/>
                    <w:suppressLineNumbers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储运工程</w:t>
                  </w:r>
                </w:p>
              </w:tc>
              <w:tc>
                <w:tcPr>
                  <w:tcW w:w="1080" w:type="dxa"/>
                  <w:tcBorders>
                    <w:tl2br w:val="nil"/>
                    <w:tr2bl w:val="nil"/>
                  </w:tcBorders>
                  <w:noWrap w:val="0"/>
                  <w:vAlign w:val="center"/>
                </w:tcPr>
                <w:p w14:paraId="35267134">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仓库</w:t>
                  </w:r>
                </w:p>
              </w:tc>
              <w:tc>
                <w:tcPr>
                  <w:tcW w:w="5219" w:type="dxa"/>
                  <w:tcBorders>
                    <w:tl2br w:val="nil"/>
                    <w:tr2bl w:val="nil"/>
                  </w:tcBorders>
                  <w:noWrap w:val="0"/>
                  <w:vAlign w:val="center"/>
                </w:tcPr>
                <w:p w14:paraId="08509696">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auto"/>
                      <w:sz w:val="21"/>
                      <w:szCs w:val="21"/>
                      <w:highlight w:val="none"/>
                      <w:lang w:val="en-US" w:eastAsia="zh-CN"/>
                    </w:rPr>
                  </w:pPr>
                  <w:r>
                    <w:rPr>
                      <w:rFonts w:hint="eastAsia"/>
                      <w:color w:val="auto"/>
                      <w:sz w:val="21"/>
                      <w:szCs w:val="21"/>
                      <w:highlight w:val="none"/>
                    </w:rPr>
                    <w:t>一座</w:t>
                  </w:r>
                  <w:r>
                    <w:rPr>
                      <w:rFonts w:hint="eastAsia"/>
                      <w:color w:val="auto"/>
                      <w:sz w:val="21"/>
                      <w:szCs w:val="21"/>
                      <w:highlight w:val="none"/>
                      <w:lang w:eastAsia="zh-CN"/>
                    </w:rPr>
                    <w:t>，</w:t>
                  </w:r>
                  <w:r>
                    <w:rPr>
                      <w:rFonts w:hint="eastAsia"/>
                      <w:color w:val="auto"/>
                      <w:sz w:val="21"/>
                      <w:szCs w:val="21"/>
                      <w:highlight w:val="none"/>
                    </w:rPr>
                    <w:t>建筑面积</w:t>
                  </w:r>
                  <w:r>
                    <w:rPr>
                      <w:rFonts w:hint="eastAsia"/>
                      <w:color w:val="auto"/>
                      <w:sz w:val="21"/>
                      <w:szCs w:val="21"/>
                      <w:highlight w:val="none"/>
                      <w:lang w:eastAsia="zh-CN"/>
                    </w:rPr>
                    <w:t>约</w:t>
                  </w:r>
                  <w:r>
                    <w:rPr>
                      <w:rFonts w:hint="eastAsia"/>
                      <w:color w:val="auto"/>
                      <w:sz w:val="21"/>
                      <w:szCs w:val="21"/>
                      <w:highlight w:val="none"/>
                    </w:rPr>
                    <w:t>为</w:t>
                  </w:r>
                  <w:r>
                    <w:rPr>
                      <w:rFonts w:hint="eastAsia"/>
                      <w:color w:val="auto"/>
                      <w:sz w:val="21"/>
                      <w:szCs w:val="21"/>
                      <w:highlight w:val="none"/>
                      <w:lang w:val="en-US" w:eastAsia="zh-CN"/>
                    </w:rPr>
                    <w:t>200</w:t>
                  </w:r>
                  <w:r>
                    <w:rPr>
                      <w:rFonts w:hint="eastAsia"/>
                      <w:color w:val="auto"/>
                      <w:sz w:val="21"/>
                      <w:szCs w:val="21"/>
                      <w:highlight w:val="none"/>
                    </w:rPr>
                    <w:t>m</w:t>
                  </w:r>
                  <w:r>
                    <w:rPr>
                      <w:rFonts w:hint="default" w:ascii="Times New Roman" w:hAnsi="Times New Roman" w:cs="Times New Roman"/>
                      <w:color w:val="auto"/>
                      <w:sz w:val="21"/>
                      <w:szCs w:val="21"/>
                      <w:highlight w:val="none"/>
                    </w:rPr>
                    <w:t>²</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位于车间内部</w:t>
                  </w:r>
                </w:p>
              </w:tc>
              <w:tc>
                <w:tcPr>
                  <w:tcW w:w="1432" w:type="dxa"/>
                  <w:tcBorders>
                    <w:tl2br w:val="nil"/>
                    <w:tr2bl w:val="nil"/>
                  </w:tcBorders>
                  <w:noWrap w:val="0"/>
                  <w:vAlign w:val="center"/>
                </w:tcPr>
                <w:p w14:paraId="79A759F3">
                  <w:pPr>
                    <w:keepNext w:val="0"/>
                    <w:keepLines w:val="0"/>
                    <w:suppressLineNumbers w:val="0"/>
                    <w:snapToGrid w:val="0"/>
                    <w:spacing w:before="0" w:beforeAutospacing="0" w:after="0" w:afterAutospacing="0"/>
                    <w:ind w:left="0" w:leftChars="0" w:right="0" w:rightChars="0"/>
                    <w:jc w:val="center"/>
                    <w:rPr>
                      <w:rFonts w:hint="eastAsia" w:eastAsia="宋体"/>
                      <w:color w:val="auto"/>
                      <w:sz w:val="21"/>
                      <w:szCs w:val="21"/>
                      <w:highlight w:val="none"/>
                      <w:lang w:val="en-US" w:eastAsia="zh-CN"/>
                    </w:rPr>
                  </w:pPr>
                  <w:r>
                    <w:rPr>
                      <w:rFonts w:hint="eastAsia" w:hAnsi="宋体"/>
                      <w:color w:val="000000"/>
                      <w:sz w:val="21"/>
                      <w:szCs w:val="21"/>
                      <w:lang w:val="en-US" w:eastAsia="zh-CN"/>
                    </w:rPr>
                    <w:t>/</w:t>
                  </w:r>
                </w:p>
              </w:tc>
            </w:tr>
            <w:tr w14:paraId="2E4666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3" w:type="dxa"/>
                <w:trHeight w:val="397" w:hRule="atLeast"/>
                <w:jc w:val="center"/>
              </w:trPr>
              <w:tc>
                <w:tcPr>
                  <w:tcW w:w="1061" w:type="dxa"/>
                  <w:vMerge w:val="continue"/>
                  <w:tcBorders>
                    <w:tl2br w:val="nil"/>
                    <w:tr2bl w:val="nil"/>
                  </w:tcBorders>
                  <w:noWrap w:val="0"/>
                  <w:vAlign w:val="center"/>
                </w:tcPr>
                <w:p w14:paraId="00209CB4">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080" w:type="dxa"/>
                  <w:tcBorders>
                    <w:tl2br w:val="nil"/>
                    <w:tr2bl w:val="nil"/>
                  </w:tcBorders>
                  <w:noWrap w:val="0"/>
                  <w:vAlign w:val="center"/>
                </w:tcPr>
                <w:p w14:paraId="50F648D2">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油墨</w:t>
                  </w:r>
                </w:p>
              </w:tc>
              <w:tc>
                <w:tcPr>
                  <w:tcW w:w="5219" w:type="dxa"/>
                  <w:tcBorders>
                    <w:tl2br w:val="nil"/>
                    <w:tr2bl w:val="nil"/>
                  </w:tcBorders>
                  <w:noWrap w:val="0"/>
                  <w:vAlign w:val="center"/>
                </w:tcPr>
                <w:p w14:paraId="6CC52856">
                  <w:pPr>
                    <w:keepNext w:val="0"/>
                    <w:keepLines w:val="0"/>
                    <w:suppressLineNumbers w:val="0"/>
                    <w:snapToGrid w:val="0"/>
                    <w:spacing w:before="0" w:beforeAutospacing="0" w:after="0" w:afterAutospacing="0"/>
                    <w:ind w:left="0" w:leftChars="0" w:right="0" w:rightChars="0" w:firstLine="132" w:firstLineChars="0"/>
                    <w:jc w:val="center"/>
                    <w:rPr>
                      <w:rFonts w:hint="eastAsia"/>
                      <w:color w:val="auto"/>
                      <w:sz w:val="21"/>
                      <w:szCs w:val="21"/>
                      <w:highlight w:val="none"/>
                    </w:rPr>
                  </w:pPr>
                  <w:r>
                    <w:rPr>
                      <w:rFonts w:hint="eastAsia"/>
                      <w:color w:val="auto"/>
                      <w:sz w:val="21"/>
                      <w:szCs w:val="21"/>
                      <w:highlight w:val="none"/>
                      <w:lang w:val="en-US" w:eastAsia="zh-CN"/>
                    </w:rPr>
                    <w:t>一座，建筑面积为30</w:t>
                  </w:r>
                  <w:r>
                    <w:rPr>
                      <w:rFonts w:hint="eastAsia"/>
                      <w:color w:val="auto"/>
                      <w:sz w:val="21"/>
                      <w:szCs w:val="21"/>
                      <w:highlight w:val="none"/>
                    </w:rPr>
                    <w:t>m</w:t>
                  </w:r>
                  <w:r>
                    <w:rPr>
                      <w:rFonts w:hint="default" w:ascii="Times New Roman" w:hAnsi="Times New Roman" w:cs="Times New Roman"/>
                      <w:color w:val="auto"/>
                      <w:sz w:val="21"/>
                      <w:szCs w:val="21"/>
                      <w:highlight w:val="none"/>
                    </w:rPr>
                    <w:t>²</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位于印刷车间内部</w:t>
                  </w:r>
                </w:p>
              </w:tc>
              <w:tc>
                <w:tcPr>
                  <w:tcW w:w="1432" w:type="dxa"/>
                  <w:tcBorders>
                    <w:tl2br w:val="nil"/>
                    <w:tr2bl w:val="nil"/>
                  </w:tcBorders>
                  <w:noWrap w:val="0"/>
                  <w:vAlign w:val="center"/>
                </w:tcPr>
                <w:p w14:paraId="3B0C3493">
                  <w:pPr>
                    <w:keepNext w:val="0"/>
                    <w:keepLines w:val="0"/>
                    <w:suppressLineNumbers w:val="0"/>
                    <w:snapToGrid w:val="0"/>
                    <w:spacing w:before="0" w:beforeAutospacing="0" w:after="0" w:afterAutospacing="0"/>
                    <w:ind w:left="0" w:leftChars="0" w:right="0" w:rightChars="0"/>
                    <w:jc w:val="center"/>
                    <w:rPr>
                      <w:rFonts w:hint="default" w:hAnsi="宋体"/>
                      <w:color w:val="000000"/>
                      <w:sz w:val="21"/>
                      <w:szCs w:val="21"/>
                      <w:lang w:val="en-US" w:eastAsia="zh-CN"/>
                    </w:rPr>
                  </w:pPr>
                  <w:r>
                    <w:rPr>
                      <w:rFonts w:hint="eastAsia" w:hAnsi="宋体"/>
                      <w:color w:val="000000"/>
                      <w:sz w:val="21"/>
                      <w:szCs w:val="21"/>
                      <w:lang w:val="en-US" w:eastAsia="zh-CN"/>
                    </w:rPr>
                    <w:t>/</w:t>
                  </w:r>
                </w:p>
              </w:tc>
            </w:tr>
            <w:tr w14:paraId="7978AC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Merge w:val="restart"/>
                  <w:tcBorders>
                    <w:tl2br w:val="nil"/>
                    <w:tr2bl w:val="nil"/>
                  </w:tcBorders>
                  <w:noWrap w:val="0"/>
                  <w:vAlign w:val="center"/>
                </w:tcPr>
                <w:p w14:paraId="1423F226">
                  <w:pPr>
                    <w:keepNext w:val="0"/>
                    <w:keepLines w:val="0"/>
                    <w:suppressLineNumbers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公用工程</w:t>
                  </w:r>
                </w:p>
              </w:tc>
              <w:tc>
                <w:tcPr>
                  <w:tcW w:w="1080" w:type="dxa"/>
                  <w:tcBorders>
                    <w:tl2br w:val="nil"/>
                    <w:tr2bl w:val="nil"/>
                  </w:tcBorders>
                  <w:noWrap w:val="0"/>
                  <w:vAlign w:val="center"/>
                </w:tcPr>
                <w:p w14:paraId="16D4C8ED">
                  <w:pPr>
                    <w:keepNext w:val="0"/>
                    <w:keepLines w:val="0"/>
                    <w:suppressLineNumbers w:val="0"/>
                    <w:snapToGrid w:val="0"/>
                    <w:spacing w:before="0" w:beforeAutospacing="0" w:after="0" w:afterAutospacing="0" w:line="240" w:lineRule="auto"/>
                    <w:ind w:left="0" w:right="0" w:rightChars="0"/>
                    <w:jc w:val="center"/>
                    <w:rPr>
                      <w:rFonts w:hint="default"/>
                      <w:color w:val="auto"/>
                      <w:sz w:val="21"/>
                      <w:szCs w:val="21"/>
                      <w:highlight w:val="none"/>
                    </w:rPr>
                  </w:pPr>
                  <w:r>
                    <w:rPr>
                      <w:rFonts w:hint="default"/>
                      <w:color w:val="auto"/>
                      <w:sz w:val="21"/>
                      <w:szCs w:val="21"/>
                      <w:highlight w:val="none"/>
                    </w:rPr>
                    <w:t>给水</w:t>
                  </w:r>
                </w:p>
              </w:tc>
              <w:tc>
                <w:tcPr>
                  <w:tcW w:w="5219" w:type="dxa"/>
                  <w:tcBorders>
                    <w:tl2br w:val="nil"/>
                    <w:tr2bl w:val="nil"/>
                  </w:tcBorders>
                  <w:noWrap w:val="0"/>
                  <w:vAlign w:val="center"/>
                </w:tcPr>
                <w:p w14:paraId="00A1D78F">
                  <w:pPr>
                    <w:keepNext w:val="0"/>
                    <w:keepLines w:val="0"/>
                    <w:suppressLineNumbers w:val="0"/>
                    <w:snapToGrid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000000"/>
                      <w:sz w:val="21"/>
                      <w:szCs w:val="21"/>
                      <w:highlight w:val="none"/>
                      <w:lang w:val="en-US" w:eastAsia="zh-CN"/>
                    </w:rPr>
                    <w:t>村集体统一供水</w:t>
                  </w:r>
                </w:p>
              </w:tc>
              <w:tc>
                <w:tcPr>
                  <w:tcW w:w="1445" w:type="dxa"/>
                  <w:gridSpan w:val="2"/>
                  <w:tcBorders>
                    <w:tl2br w:val="nil"/>
                    <w:tr2bl w:val="nil"/>
                  </w:tcBorders>
                  <w:noWrap w:val="0"/>
                  <w:vAlign w:val="center"/>
                </w:tcPr>
                <w:p w14:paraId="3223398E">
                  <w:pPr>
                    <w:keepNext w:val="0"/>
                    <w:keepLines w:val="0"/>
                    <w:suppressLineNumbers w:val="0"/>
                    <w:snapToGrid w:val="0"/>
                    <w:spacing w:before="0" w:beforeAutospacing="0" w:after="0" w:afterAutospacing="0"/>
                    <w:ind w:left="0" w:right="0"/>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r>
            <w:tr w14:paraId="0239D5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061" w:type="dxa"/>
                  <w:vMerge w:val="continue"/>
                  <w:tcBorders>
                    <w:tl2br w:val="nil"/>
                    <w:tr2bl w:val="nil"/>
                  </w:tcBorders>
                  <w:noWrap w:val="0"/>
                  <w:vAlign w:val="center"/>
                </w:tcPr>
                <w:p w14:paraId="6EC729A3">
                  <w:pPr>
                    <w:keepNext w:val="0"/>
                    <w:keepLines w:val="0"/>
                    <w:suppressLineNumbers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080" w:type="dxa"/>
                  <w:tcBorders>
                    <w:tl2br w:val="nil"/>
                    <w:tr2bl w:val="nil"/>
                  </w:tcBorders>
                  <w:noWrap w:val="0"/>
                  <w:vAlign w:val="center"/>
                </w:tcPr>
                <w:p w14:paraId="4CC7DE7C">
                  <w:pPr>
                    <w:keepNext w:val="0"/>
                    <w:keepLines w:val="0"/>
                    <w:suppressLineNumbers w:val="0"/>
                    <w:snapToGrid w:val="0"/>
                    <w:spacing w:before="0" w:beforeAutospacing="0" w:after="0" w:afterAutospacing="0" w:line="240" w:lineRule="auto"/>
                    <w:ind w:left="0" w:leftChars="0" w:right="0" w:rightChars="0"/>
                    <w:jc w:val="center"/>
                    <w:rPr>
                      <w:rFonts w:hint="default"/>
                      <w:color w:val="auto"/>
                      <w:sz w:val="21"/>
                      <w:szCs w:val="21"/>
                      <w:highlight w:val="none"/>
                    </w:rPr>
                  </w:pPr>
                  <w:r>
                    <w:rPr>
                      <w:rFonts w:hint="default"/>
                      <w:color w:val="auto"/>
                      <w:sz w:val="21"/>
                      <w:szCs w:val="21"/>
                      <w:highlight w:val="none"/>
                    </w:rPr>
                    <w:t>供电</w:t>
                  </w:r>
                </w:p>
              </w:tc>
              <w:tc>
                <w:tcPr>
                  <w:tcW w:w="5219" w:type="dxa"/>
                  <w:tcBorders>
                    <w:tl2br w:val="nil"/>
                    <w:tr2bl w:val="nil"/>
                  </w:tcBorders>
                  <w:noWrap w:val="0"/>
                  <w:vAlign w:val="center"/>
                </w:tcPr>
                <w:p w14:paraId="21A30A42">
                  <w:pPr>
                    <w:keepNext w:val="0"/>
                    <w:keepLines w:val="0"/>
                    <w:suppressLineNumbers w:val="0"/>
                    <w:snapToGrid w:val="0"/>
                    <w:spacing w:before="0" w:beforeAutospacing="0" w:after="0" w:afterAutospacing="0"/>
                    <w:ind w:left="0" w:right="0"/>
                    <w:jc w:val="center"/>
                    <w:rPr>
                      <w:rFonts w:hint="eastAsia"/>
                      <w:b w:val="0"/>
                      <w:bCs/>
                      <w:color w:val="auto"/>
                      <w:sz w:val="21"/>
                      <w:szCs w:val="21"/>
                      <w:highlight w:val="none"/>
                      <w:u w:val="none"/>
                      <w:lang w:val="en-US" w:eastAsia="zh-CN"/>
                    </w:rPr>
                  </w:pPr>
                  <w:r>
                    <w:rPr>
                      <w:rFonts w:hint="default"/>
                      <w:color w:val="000000"/>
                      <w:sz w:val="21"/>
                      <w:szCs w:val="21"/>
                    </w:rPr>
                    <w:t>由国家电网供给</w:t>
                  </w:r>
                </w:p>
              </w:tc>
              <w:tc>
                <w:tcPr>
                  <w:tcW w:w="1445" w:type="dxa"/>
                  <w:gridSpan w:val="2"/>
                  <w:tcBorders>
                    <w:tl2br w:val="nil"/>
                    <w:tr2bl w:val="nil"/>
                  </w:tcBorders>
                  <w:noWrap w:val="0"/>
                  <w:vAlign w:val="center"/>
                </w:tcPr>
                <w:p w14:paraId="2005B319">
                  <w:pPr>
                    <w:keepNext w:val="0"/>
                    <w:keepLines w:val="0"/>
                    <w:suppressLineNumbers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r>
            <w:tr w14:paraId="2E62E7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Merge w:val="restart"/>
                  <w:noWrap w:val="0"/>
                  <w:vAlign w:val="center"/>
                </w:tcPr>
                <w:p w14:paraId="7B0A175C">
                  <w:pPr>
                    <w:keepNext w:val="0"/>
                    <w:keepLines w:val="0"/>
                    <w:widowControl/>
                    <w:suppressLineNumbers w:val="0"/>
                    <w:snapToGrid w:val="0"/>
                    <w:spacing w:before="0" w:beforeAutospacing="0" w:after="0" w:afterAutospacing="0" w:line="240" w:lineRule="auto"/>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环保工程</w:t>
                  </w:r>
                </w:p>
              </w:tc>
              <w:tc>
                <w:tcPr>
                  <w:tcW w:w="1080" w:type="dxa"/>
                  <w:vMerge w:val="restart"/>
                  <w:noWrap w:val="0"/>
                  <w:vAlign w:val="center"/>
                </w:tcPr>
                <w:p w14:paraId="0983E7F9">
                  <w:pPr>
                    <w:keepNext w:val="0"/>
                    <w:keepLines w:val="0"/>
                    <w:suppressLineNumbers w:val="0"/>
                    <w:snapToGrid w:val="0"/>
                    <w:spacing w:before="0" w:beforeAutospacing="0" w:after="0" w:afterAutospacing="0" w:line="240" w:lineRule="auto"/>
                    <w:ind w:left="0" w:right="0" w:right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废气治理</w:t>
                  </w:r>
                </w:p>
              </w:tc>
              <w:tc>
                <w:tcPr>
                  <w:tcW w:w="5219" w:type="dxa"/>
                  <w:noWrap w:val="0"/>
                  <w:vAlign w:val="center"/>
                </w:tcPr>
                <w:p w14:paraId="4EF8702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both"/>
                    <w:textAlignment w:val="auto"/>
                    <w:rPr>
                      <w:rFonts w:hint="default" w:cs="Times New Roman" w:eastAsiaTheme="minorEastAsia"/>
                      <w:color w:val="000000" w:themeColor="text1"/>
                      <w:sz w:val="21"/>
                      <w:szCs w:val="21"/>
                      <w:highlight w:val="none"/>
                      <w:lang w:val="en-US" w:eastAsia="zh-CN"/>
                      <w14:textFill>
                        <w14:solidFill>
                          <w14:schemeClr w14:val="tx1"/>
                        </w14:solidFill>
                      </w14:textFill>
                    </w:rPr>
                  </w:pPr>
                  <w:r>
                    <w:rPr>
                      <w:rFonts w:hint="eastAsia" w:hAnsi="宋体"/>
                      <w:bCs/>
                      <w:color w:val="auto"/>
                      <w:sz w:val="21"/>
                      <w:szCs w:val="21"/>
                      <w:lang w:val="en-US" w:eastAsia="zh-CN"/>
                    </w:rPr>
                    <w:t>PE颗粒加热装置密闭，淋膜处上方设置集气罩，废气经集气罩收集至活性炭吸附脱附+催化燃烧装置治理（TA001），尾气经一根15米高排气筒（DA001）排放。</w:t>
                  </w:r>
                </w:p>
              </w:tc>
              <w:tc>
                <w:tcPr>
                  <w:tcW w:w="1445" w:type="dxa"/>
                  <w:gridSpan w:val="2"/>
                  <w:vMerge w:val="restart"/>
                  <w:noWrap w:val="0"/>
                  <w:vAlign w:val="center"/>
                </w:tcPr>
                <w:p w14:paraId="7BF3CD2C">
                  <w:pPr>
                    <w:keepNext w:val="0"/>
                    <w:keepLines w:val="0"/>
                    <w:widowControl/>
                    <w:suppressLineNumbers w:val="0"/>
                    <w:snapToGrid w:val="0"/>
                    <w:spacing w:before="0" w:beforeAutospacing="0" w:after="0" w:afterAutospacing="0"/>
                    <w:ind w:left="0" w:right="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hAnsi="宋体"/>
                      <w:color w:val="000000"/>
                      <w:sz w:val="21"/>
                      <w:szCs w:val="21"/>
                      <w:highlight w:val="none"/>
                      <w:lang w:val="en-US" w:eastAsia="zh-CN"/>
                    </w:rPr>
                    <w:t>新建</w:t>
                  </w:r>
                </w:p>
              </w:tc>
            </w:tr>
            <w:tr w14:paraId="764C9C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Merge w:val="continue"/>
                  <w:noWrap w:val="0"/>
                  <w:vAlign w:val="center"/>
                </w:tcPr>
                <w:p w14:paraId="051A7113">
                  <w:pPr>
                    <w:keepNext w:val="0"/>
                    <w:keepLines w:val="0"/>
                    <w:widowControl/>
                    <w:suppressLineNumbers w:val="0"/>
                    <w:snapToGrid w:val="0"/>
                    <w:spacing w:before="0" w:beforeAutospacing="0" w:after="0" w:afterAutospacing="0" w:line="240" w:lineRule="auto"/>
                    <w:ind w:left="0" w:leftChars="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1080" w:type="dxa"/>
                  <w:vMerge w:val="continue"/>
                  <w:noWrap w:val="0"/>
                  <w:vAlign w:val="center"/>
                </w:tcPr>
                <w:p w14:paraId="6ED1D908">
                  <w:pPr>
                    <w:keepNext w:val="0"/>
                    <w:keepLines w:val="0"/>
                    <w:suppressLineNumbers w:val="0"/>
                    <w:snapToGrid w:val="0"/>
                    <w:spacing w:before="0" w:beforeAutospacing="0" w:after="0" w:afterAutospacing="0" w:line="240" w:lineRule="auto"/>
                    <w:ind w:left="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5219" w:type="dxa"/>
                  <w:noWrap w:val="0"/>
                  <w:vAlign w:val="center"/>
                </w:tcPr>
                <w:p w14:paraId="07972D3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leftChars="0" w:right="0" w:rightChars="0"/>
                    <w:jc w:val="both"/>
                    <w:textAlignment w:val="auto"/>
                    <w:rPr>
                      <w:rFonts w:hint="eastAsia" w:hAnsi="宋体"/>
                      <w:bCs/>
                      <w:color w:val="auto"/>
                      <w:sz w:val="21"/>
                      <w:szCs w:val="21"/>
                      <w:highlight w:val="none"/>
                      <w:lang w:val="en-US" w:eastAsia="zh-CN"/>
                    </w:rPr>
                  </w:pPr>
                  <w:r>
                    <w:rPr>
                      <w:rFonts w:hint="eastAsia" w:hAnsi="宋体"/>
                      <w:bCs/>
                      <w:color w:val="auto"/>
                      <w:sz w:val="21"/>
                      <w:szCs w:val="21"/>
                      <w:lang w:val="en-US" w:eastAsia="zh-CN"/>
                    </w:rPr>
                    <w:t>印刷机二次密闭</w:t>
                  </w:r>
                  <w:r>
                    <w:rPr>
                      <w:rFonts w:hint="eastAsia" w:hAnsi="宋体"/>
                      <w:bCs/>
                      <w:color w:val="auto"/>
                      <w:sz w:val="21"/>
                      <w:szCs w:val="21"/>
                    </w:rPr>
                    <w:t>，</w:t>
                  </w:r>
                  <w:r>
                    <w:rPr>
                      <w:rFonts w:hint="eastAsia" w:hAnsi="宋体"/>
                      <w:bCs/>
                      <w:color w:val="auto"/>
                      <w:sz w:val="21"/>
                      <w:szCs w:val="21"/>
                      <w:lang w:val="en-US" w:eastAsia="zh-CN"/>
                    </w:rPr>
                    <w:t>印刷</w:t>
                  </w:r>
                  <w:r>
                    <w:rPr>
                      <w:rFonts w:hint="eastAsia" w:cs="Times New Roman"/>
                      <w:color w:val="auto"/>
                      <w:sz w:val="21"/>
                      <w:szCs w:val="21"/>
                      <w:lang w:val="en-US" w:eastAsia="zh-CN"/>
                    </w:rPr>
                    <w:t>废气通过负压收集，收集后经</w:t>
                  </w:r>
                  <w:r>
                    <w:rPr>
                      <w:rFonts w:hint="eastAsia" w:ascii="Times New Roman" w:hAnsi="Times New Roman" w:eastAsia="宋体" w:cs="Times New Roman"/>
                      <w:b w:val="0"/>
                      <w:bCs w:val="0"/>
                      <w:color w:val="auto"/>
                      <w:kern w:val="2"/>
                      <w:sz w:val="21"/>
                      <w:szCs w:val="21"/>
                      <w:lang w:val="en-US" w:eastAsia="zh-CN" w:bidi="ar-SA"/>
                    </w:rPr>
                    <w:t>活性炭吸附脱附</w:t>
                  </w:r>
                  <w:r>
                    <w:rPr>
                      <w:rFonts w:hint="eastAsia" w:cs="Times New Roman"/>
                      <w:b w:val="0"/>
                      <w:bCs w:val="0"/>
                      <w:color w:val="auto"/>
                      <w:kern w:val="2"/>
                      <w:sz w:val="21"/>
                      <w:szCs w:val="21"/>
                      <w:lang w:val="en-US" w:eastAsia="zh-CN" w:bidi="ar-SA"/>
                    </w:rPr>
                    <w:t>+</w:t>
                  </w:r>
                  <w:r>
                    <w:rPr>
                      <w:rFonts w:hint="eastAsia" w:ascii="Times New Roman" w:hAnsi="Times New Roman" w:eastAsia="宋体" w:cs="Times New Roman"/>
                      <w:b w:val="0"/>
                      <w:bCs w:val="0"/>
                      <w:color w:val="auto"/>
                      <w:kern w:val="2"/>
                      <w:sz w:val="21"/>
                      <w:szCs w:val="21"/>
                      <w:lang w:val="en-US" w:eastAsia="zh-CN" w:bidi="ar-SA"/>
                    </w:rPr>
                    <w:t>催化燃烧装置（TA00</w:t>
                  </w:r>
                  <w:r>
                    <w:rPr>
                      <w:rFonts w:hint="eastAsia" w:cs="Times New Roman"/>
                      <w:b w:val="0"/>
                      <w:bCs w:val="0"/>
                      <w:color w:val="auto"/>
                      <w:kern w:val="2"/>
                      <w:sz w:val="21"/>
                      <w:szCs w:val="21"/>
                      <w:lang w:val="en-US" w:eastAsia="zh-CN" w:bidi="ar-SA"/>
                    </w:rPr>
                    <w:t>1</w:t>
                  </w:r>
                  <w:r>
                    <w:rPr>
                      <w:rFonts w:hint="eastAsia" w:ascii="Times New Roman" w:hAnsi="Times New Roman" w:eastAsia="宋体" w:cs="Times New Roman"/>
                      <w:b w:val="0"/>
                      <w:bCs w:val="0"/>
                      <w:color w:val="auto"/>
                      <w:kern w:val="2"/>
                      <w:sz w:val="21"/>
                      <w:szCs w:val="21"/>
                      <w:lang w:val="en-US" w:eastAsia="zh-CN" w:bidi="ar-SA"/>
                    </w:rPr>
                    <w:t>）处理，尾气经1根</w:t>
                  </w:r>
                  <w:r>
                    <w:rPr>
                      <w:rFonts w:hint="default" w:ascii="Times New Roman" w:hAnsi="Times New Roman" w:cs="Times New Roman"/>
                      <w:color w:val="auto"/>
                      <w:sz w:val="21"/>
                      <w:szCs w:val="21"/>
                    </w:rPr>
                    <w:t>15m高排气筒</w:t>
                  </w:r>
                  <w:r>
                    <w:rPr>
                      <w:rFonts w:hint="eastAsia" w:cs="Times New Roman"/>
                      <w:color w:val="auto"/>
                      <w:sz w:val="21"/>
                      <w:szCs w:val="21"/>
                      <w:lang w:eastAsia="zh-CN"/>
                    </w:rPr>
                    <w:t>（</w:t>
                  </w:r>
                  <w:r>
                    <w:rPr>
                      <w:rFonts w:hint="eastAsia" w:cs="Times New Roman"/>
                      <w:color w:val="auto"/>
                      <w:sz w:val="21"/>
                      <w:szCs w:val="21"/>
                      <w:lang w:val="en-US" w:eastAsia="zh-CN"/>
                    </w:rPr>
                    <w:t>DA001</w:t>
                  </w:r>
                  <w:r>
                    <w:rPr>
                      <w:rFonts w:hint="eastAsia" w:cs="Times New Roman"/>
                      <w:color w:val="auto"/>
                      <w:sz w:val="21"/>
                      <w:szCs w:val="21"/>
                      <w:lang w:eastAsia="zh-CN"/>
                    </w:rPr>
                    <w:t>）</w:t>
                  </w:r>
                  <w:r>
                    <w:rPr>
                      <w:rFonts w:hint="default" w:ascii="Times New Roman" w:hAnsi="Times New Roman" w:cs="Times New Roman"/>
                      <w:color w:val="auto"/>
                      <w:sz w:val="21"/>
                      <w:szCs w:val="21"/>
                    </w:rPr>
                    <w:t>排放</w:t>
                  </w:r>
                  <w:r>
                    <w:rPr>
                      <w:rFonts w:hint="eastAsia" w:cs="Times New Roman"/>
                      <w:color w:val="auto"/>
                      <w:sz w:val="21"/>
                      <w:szCs w:val="21"/>
                      <w:lang w:eastAsia="zh-CN"/>
                    </w:rPr>
                    <w:t>。</w:t>
                  </w:r>
                </w:p>
              </w:tc>
              <w:tc>
                <w:tcPr>
                  <w:tcW w:w="1445" w:type="dxa"/>
                  <w:gridSpan w:val="2"/>
                  <w:vMerge w:val="continue"/>
                  <w:noWrap w:val="0"/>
                  <w:vAlign w:val="center"/>
                </w:tcPr>
                <w:p w14:paraId="54E9D3F0">
                  <w:pPr>
                    <w:keepNext w:val="0"/>
                    <w:keepLines w:val="0"/>
                    <w:widowControl/>
                    <w:suppressLineNumbers w:val="0"/>
                    <w:snapToGrid w:val="0"/>
                    <w:spacing w:before="0" w:beforeAutospacing="0" w:after="0" w:afterAutospacing="0"/>
                    <w:ind w:left="0" w:right="0"/>
                    <w:jc w:val="center"/>
                    <w:rPr>
                      <w:rFonts w:hint="eastAsia" w:hAnsi="宋体"/>
                      <w:color w:val="000000"/>
                      <w:sz w:val="21"/>
                      <w:szCs w:val="21"/>
                      <w:highlight w:val="none"/>
                      <w:lang w:val="en-US" w:eastAsia="zh-CN"/>
                    </w:rPr>
                  </w:pPr>
                </w:p>
              </w:tc>
            </w:tr>
            <w:tr w14:paraId="1DD1F3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Merge w:val="continue"/>
                  <w:noWrap w:val="0"/>
                  <w:vAlign w:val="center"/>
                </w:tcPr>
                <w:p w14:paraId="28F915B2">
                  <w:pPr>
                    <w:keepNext w:val="0"/>
                    <w:keepLines w:val="0"/>
                    <w:widowControl/>
                    <w:suppressLineNumbers w:val="0"/>
                    <w:snapToGrid w:val="0"/>
                    <w:spacing w:before="0" w:beforeAutospacing="0" w:after="0" w:afterAutospacing="0" w:line="240" w:lineRule="auto"/>
                    <w:ind w:left="0" w:leftChars="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1080" w:type="dxa"/>
                  <w:noWrap w:val="0"/>
                  <w:vAlign w:val="center"/>
                </w:tcPr>
                <w:p w14:paraId="6F4BC784">
                  <w:pPr>
                    <w:keepNext w:val="0"/>
                    <w:keepLines w:val="0"/>
                    <w:suppressLineNumbers w:val="0"/>
                    <w:snapToGrid w:val="0"/>
                    <w:spacing w:before="0" w:beforeAutospacing="0" w:after="0" w:afterAutospacing="0" w:line="240" w:lineRule="auto"/>
                    <w:ind w:left="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废水治理</w:t>
                  </w:r>
                </w:p>
              </w:tc>
              <w:tc>
                <w:tcPr>
                  <w:tcW w:w="5219" w:type="dxa"/>
                  <w:noWrap w:val="0"/>
                  <w:vAlign w:val="center"/>
                </w:tcPr>
                <w:p w14:paraId="6A7B1C50">
                  <w:pPr>
                    <w:keepNext w:val="0"/>
                    <w:keepLines w:val="0"/>
                    <w:suppressLineNumbers w:val="0"/>
                    <w:snapToGrid w:val="0"/>
                    <w:spacing w:before="0" w:beforeAutospacing="0" w:after="0" w:afterAutospacing="0"/>
                    <w:ind w:left="0" w:right="0"/>
                    <w:jc w:val="both"/>
                    <w:rPr>
                      <w:rFonts w:hint="default" w:hAnsi="宋体"/>
                      <w:bCs/>
                      <w:color w:val="auto"/>
                      <w:sz w:val="21"/>
                      <w:szCs w:val="21"/>
                      <w:highlight w:val="none"/>
                      <w:lang w:val="en-US" w:eastAsia="zh-CN"/>
                    </w:rPr>
                  </w:pPr>
                  <w:r>
                    <w:rPr>
                      <w:rFonts w:hint="eastAsia" w:hAnsi="宋体"/>
                      <w:bCs/>
                      <w:color w:val="auto"/>
                      <w:sz w:val="21"/>
                      <w:szCs w:val="21"/>
                      <w:highlight w:val="none"/>
                      <w:lang w:val="en-US" w:eastAsia="zh-CN"/>
                    </w:rPr>
                    <w:t>冷却用水循环使用，定期补充；生活污水经化粪池处理后经定期清运不外排。</w:t>
                  </w:r>
                </w:p>
              </w:tc>
              <w:tc>
                <w:tcPr>
                  <w:tcW w:w="1445" w:type="dxa"/>
                  <w:gridSpan w:val="2"/>
                  <w:noWrap w:val="0"/>
                  <w:vAlign w:val="center"/>
                </w:tcPr>
                <w:p w14:paraId="416C14A3">
                  <w:pPr>
                    <w:keepNext w:val="0"/>
                    <w:keepLines w:val="0"/>
                    <w:widowControl/>
                    <w:suppressLineNumbers w:val="0"/>
                    <w:snapToGrid w:val="0"/>
                    <w:spacing w:before="0" w:beforeAutospacing="0" w:after="0" w:afterAutospacing="0"/>
                    <w:ind w:left="0" w:right="0"/>
                    <w:jc w:val="center"/>
                    <w:rPr>
                      <w:rFonts w:hint="default" w:hAnsi="宋体"/>
                      <w:color w:val="000000"/>
                      <w:sz w:val="21"/>
                      <w:szCs w:val="21"/>
                      <w:highlight w:val="none"/>
                      <w:lang w:val="en-US" w:eastAsia="zh-CN"/>
                    </w:rPr>
                  </w:pPr>
                  <w:r>
                    <w:rPr>
                      <w:rFonts w:hint="eastAsia" w:hAnsi="宋体"/>
                      <w:color w:val="000000"/>
                      <w:sz w:val="21"/>
                      <w:szCs w:val="21"/>
                      <w:highlight w:val="none"/>
                      <w:lang w:val="en-US" w:eastAsia="zh-CN"/>
                    </w:rPr>
                    <w:t>新建</w:t>
                  </w:r>
                </w:p>
              </w:tc>
            </w:tr>
            <w:tr w14:paraId="3BEC0A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Merge w:val="continue"/>
                  <w:noWrap w:val="0"/>
                  <w:vAlign w:val="center"/>
                </w:tcPr>
                <w:p w14:paraId="40038F2E">
                  <w:pPr>
                    <w:keepNext w:val="0"/>
                    <w:keepLines w:val="0"/>
                    <w:widowControl/>
                    <w:suppressLineNumbers w:val="0"/>
                    <w:snapToGrid w:val="0"/>
                    <w:spacing w:before="0" w:beforeAutospacing="0" w:after="0" w:afterAutospacing="0" w:line="240" w:lineRule="auto"/>
                    <w:ind w:left="0" w:right="0"/>
                    <w:jc w:val="left"/>
                    <w:rPr>
                      <w:rFonts w:hint="default"/>
                      <w:color w:val="000000" w:themeColor="text1"/>
                      <w:sz w:val="21"/>
                      <w:szCs w:val="21"/>
                      <w:highlight w:val="none"/>
                      <w14:textFill>
                        <w14:solidFill>
                          <w14:schemeClr w14:val="tx1"/>
                        </w14:solidFill>
                      </w14:textFill>
                    </w:rPr>
                  </w:pPr>
                </w:p>
              </w:tc>
              <w:tc>
                <w:tcPr>
                  <w:tcW w:w="1080" w:type="dxa"/>
                  <w:noWrap w:val="0"/>
                  <w:vAlign w:val="center"/>
                </w:tcPr>
                <w:p w14:paraId="3530EE21">
                  <w:pPr>
                    <w:keepNext w:val="0"/>
                    <w:keepLines w:val="0"/>
                    <w:suppressLineNumbers w:val="0"/>
                    <w:snapToGrid w:val="0"/>
                    <w:spacing w:before="0" w:beforeAutospacing="0" w:after="0" w:afterAutospacing="0" w:line="240" w:lineRule="auto"/>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噪声治理</w:t>
                  </w:r>
                </w:p>
              </w:tc>
              <w:tc>
                <w:tcPr>
                  <w:tcW w:w="5219" w:type="dxa"/>
                  <w:noWrap w:val="0"/>
                  <w:vAlign w:val="center"/>
                </w:tcPr>
                <w:p w14:paraId="59C9B94C">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距离衰减、厂房隔声等</w:t>
                  </w:r>
                </w:p>
              </w:tc>
              <w:tc>
                <w:tcPr>
                  <w:tcW w:w="1445" w:type="dxa"/>
                  <w:gridSpan w:val="2"/>
                  <w:noWrap w:val="0"/>
                  <w:vAlign w:val="center"/>
                </w:tcPr>
                <w:p w14:paraId="147544B7">
                  <w:pPr>
                    <w:keepNext w:val="0"/>
                    <w:keepLines w:val="0"/>
                    <w:widowControl/>
                    <w:suppressLineNumbers w:val="0"/>
                    <w:snapToGrid w:val="0"/>
                    <w:spacing w:before="0" w:beforeAutospacing="0" w:after="0" w:afterAutospacing="0"/>
                    <w:ind w:left="0" w:leftChars="0" w:right="0" w:rightChars="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hAnsiTheme="minorEastAsia" w:eastAsiaTheme="minorEastAsia"/>
                      <w:color w:val="000000" w:themeColor="text1"/>
                      <w:sz w:val="21"/>
                      <w:szCs w:val="21"/>
                      <w:highlight w:val="none"/>
                      <w:lang w:val="en-US" w:eastAsia="zh-CN"/>
                      <w14:textFill>
                        <w14:solidFill>
                          <w14:schemeClr w14:val="tx1"/>
                        </w14:solidFill>
                      </w14:textFill>
                    </w:rPr>
                    <w:t>/</w:t>
                  </w:r>
                </w:p>
              </w:tc>
            </w:tr>
            <w:tr w14:paraId="69149A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Merge w:val="continue"/>
                  <w:noWrap w:val="0"/>
                  <w:vAlign w:val="center"/>
                </w:tcPr>
                <w:p w14:paraId="5054F9C3">
                  <w:pPr>
                    <w:keepNext w:val="0"/>
                    <w:keepLines w:val="0"/>
                    <w:widowControl/>
                    <w:suppressLineNumbers w:val="0"/>
                    <w:snapToGrid w:val="0"/>
                    <w:spacing w:before="0" w:beforeAutospacing="0" w:after="0" w:afterAutospacing="0" w:line="240" w:lineRule="auto"/>
                    <w:ind w:left="0" w:right="0"/>
                    <w:jc w:val="left"/>
                    <w:rPr>
                      <w:rFonts w:hint="default"/>
                      <w:color w:val="000000" w:themeColor="text1"/>
                      <w:sz w:val="21"/>
                      <w:szCs w:val="21"/>
                      <w:highlight w:val="none"/>
                      <w14:textFill>
                        <w14:solidFill>
                          <w14:schemeClr w14:val="tx1"/>
                        </w14:solidFill>
                      </w14:textFill>
                    </w:rPr>
                  </w:pPr>
                </w:p>
              </w:tc>
              <w:tc>
                <w:tcPr>
                  <w:tcW w:w="1080" w:type="dxa"/>
                  <w:vMerge w:val="restart"/>
                  <w:noWrap w:val="0"/>
                  <w:vAlign w:val="center"/>
                </w:tcPr>
                <w:p w14:paraId="4ED02BD5">
                  <w:pPr>
                    <w:keepNext w:val="0"/>
                    <w:keepLines w:val="0"/>
                    <w:suppressLineNumbers w:val="0"/>
                    <w:snapToGrid w:val="0"/>
                    <w:spacing w:before="0" w:beforeAutospacing="0" w:after="0" w:afterAutospacing="0" w:line="240" w:lineRule="auto"/>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固废</w:t>
                  </w:r>
                </w:p>
              </w:tc>
              <w:tc>
                <w:tcPr>
                  <w:tcW w:w="5219" w:type="dxa"/>
                  <w:noWrap w:val="0"/>
                  <w:vAlign w:val="center"/>
                </w:tcPr>
                <w:p w14:paraId="021C2807">
                  <w:pPr>
                    <w:keepNext w:val="0"/>
                    <w:keepLines w:val="0"/>
                    <w:suppressLineNumbers w:val="0"/>
                    <w:snapToGrid w:val="0"/>
                    <w:spacing w:before="0" w:beforeAutospacing="0" w:after="0" w:afterAutospacing="0"/>
                    <w:ind w:left="0" w:leftChars="0" w:right="0" w:rightChars="0" w:firstLine="132" w:firstLineChars="0"/>
                    <w:jc w:val="center"/>
                    <w:rPr>
                      <w:rFonts w:hint="default" w:eastAsia="宋体"/>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一般固废暂存间</w:t>
                  </w:r>
                  <w:r>
                    <w:rPr>
                      <w:rFonts w:hint="eastAsia" w:ascii="Times New Roman" w:hAnsi="Times New Roman" w:eastAsia="宋体" w:cs="Times New Roman"/>
                      <w:color w:val="000000" w:themeColor="text1"/>
                      <w:sz w:val="21"/>
                      <w:szCs w:val="21"/>
                      <w:highlight w:val="none"/>
                      <w:u w:val="none"/>
                      <w:lang w:eastAsia="zh-CN"/>
                      <w14:textFill>
                        <w14:solidFill>
                          <w14:schemeClr w14:val="tx1"/>
                        </w14:solidFill>
                      </w14:textFill>
                    </w:rPr>
                    <w:t>一座</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u w:val="none"/>
                      <w:lang w:eastAsia="zh-CN"/>
                      <w14:textFill>
                        <w14:solidFill>
                          <w14:schemeClr w14:val="tx1"/>
                        </w14:solidFill>
                      </w14:textFill>
                    </w:rPr>
                    <w:t>面积</w:t>
                  </w:r>
                  <w:r>
                    <w:rPr>
                      <w:rFonts w:hint="eastAsia" w:cs="Times New Roman"/>
                      <w:color w:val="000000" w:themeColor="text1"/>
                      <w:sz w:val="21"/>
                      <w:szCs w:val="21"/>
                      <w:highlight w:val="none"/>
                      <w:u w:val="none"/>
                      <w:lang w:val="en-US" w:eastAsia="zh-CN"/>
                      <w14:textFill>
                        <w14:solidFill>
                          <w14:schemeClr w14:val="tx1"/>
                        </w14:solidFill>
                      </w14:textFill>
                    </w:rPr>
                    <w:t>20</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m²</w:t>
                  </w:r>
                </w:p>
              </w:tc>
              <w:tc>
                <w:tcPr>
                  <w:tcW w:w="1445" w:type="dxa"/>
                  <w:gridSpan w:val="2"/>
                  <w:noWrap w:val="0"/>
                  <w:vAlign w:val="center"/>
                </w:tcPr>
                <w:p w14:paraId="7C8F30C5">
                  <w:pPr>
                    <w:keepNext w:val="0"/>
                    <w:keepLines w:val="0"/>
                    <w:widowControl/>
                    <w:suppressLineNumbers w:val="0"/>
                    <w:snapToGrid w:val="0"/>
                    <w:spacing w:before="0" w:beforeAutospacing="0" w:after="0" w:afterAutospacing="0"/>
                    <w:ind w:left="0" w:leftChars="0" w:right="0" w:rightChars="0"/>
                    <w:jc w:val="center"/>
                    <w:rPr>
                      <w:rFonts w:hint="default" w:hAnsiTheme="minorEastAsia" w:eastAsiaTheme="minorEastAsia"/>
                      <w:color w:val="000000" w:themeColor="text1"/>
                      <w:sz w:val="21"/>
                      <w:szCs w:val="21"/>
                      <w:highlight w:val="none"/>
                      <w:lang w:val="en-US" w:eastAsia="zh-CN"/>
                      <w14:textFill>
                        <w14:solidFill>
                          <w14:schemeClr w14:val="tx1"/>
                        </w14:solidFill>
                      </w14:textFill>
                    </w:rPr>
                  </w:pPr>
                  <w:r>
                    <w:rPr>
                      <w:rFonts w:hint="eastAsia" w:hAnsi="宋体"/>
                      <w:color w:val="000000"/>
                      <w:sz w:val="21"/>
                      <w:szCs w:val="21"/>
                      <w:highlight w:val="none"/>
                      <w:lang w:val="en-US" w:eastAsia="zh-CN"/>
                    </w:rPr>
                    <w:t>新建</w:t>
                  </w:r>
                </w:p>
              </w:tc>
            </w:tr>
            <w:tr w14:paraId="134259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dxa"/>
                  <w:vMerge w:val="continue"/>
                  <w:tcBorders>
                    <w:bottom w:val="single" w:color="auto" w:sz="8" w:space="0"/>
                  </w:tcBorders>
                  <w:noWrap w:val="0"/>
                  <w:vAlign w:val="center"/>
                </w:tcPr>
                <w:p w14:paraId="4DB9E9DE">
                  <w:pPr>
                    <w:keepNext w:val="0"/>
                    <w:keepLines w:val="0"/>
                    <w:widowControl/>
                    <w:suppressLineNumbers w:val="0"/>
                    <w:snapToGrid w:val="0"/>
                    <w:spacing w:before="0" w:beforeAutospacing="0" w:after="0" w:afterAutospacing="0" w:line="240" w:lineRule="auto"/>
                    <w:ind w:left="0" w:right="0"/>
                    <w:jc w:val="left"/>
                    <w:rPr>
                      <w:rFonts w:hint="default"/>
                      <w:color w:val="000000" w:themeColor="text1"/>
                      <w:sz w:val="21"/>
                      <w:szCs w:val="21"/>
                      <w:highlight w:val="none"/>
                      <w14:textFill>
                        <w14:solidFill>
                          <w14:schemeClr w14:val="tx1"/>
                        </w14:solidFill>
                      </w14:textFill>
                    </w:rPr>
                  </w:pPr>
                </w:p>
              </w:tc>
              <w:tc>
                <w:tcPr>
                  <w:tcW w:w="1080" w:type="dxa"/>
                  <w:vMerge w:val="continue"/>
                  <w:tcBorders>
                    <w:bottom w:val="single" w:color="auto" w:sz="8" w:space="0"/>
                  </w:tcBorders>
                  <w:noWrap w:val="0"/>
                  <w:vAlign w:val="center"/>
                </w:tcPr>
                <w:p w14:paraId="38E7E50A">
                  <w:pPr>
                    <w:keepNext w:val="0"/>
                    <w:keepLines w:val="0"/>
                    <w:suppressLineNumbers w:val="0"/>
                    <w:snapToGrid w:val="0"/>
                    <w:spacing w:before="0" w:beforeAutospacing="0" w:after="0" w:afterAutospacing="0" w:line="240" w:lineRule="auto"/>
                    <w:ind w:left="0" w:leftChars="0" w:right="0" w:rightChars="0"/>
                    <w:jc w:val="center"/>
                    <w:rPr>
                      <w:rFonts w:hint="eastAsia"/>
                      <w:color w:val="000000" w:themeColor="text1"/>
                      <w:sz w:val="21"/>
                      <w:szCs w:val="21"/>
                      <w:highlight w:val="none"/>
                      <w:lang w:val="en-US" w:eastAsia="zh-CN"/>
                      <w14:textFill>
                        <w14:solidFill>
                          <w14:schemeClr w14:val="tx1"/>
                        </w14:solidFill>
                      </w14:textFill>
                    </w:rPr>
                  </w:pPr>
                </w:p>
              </w:tc>
              <w:tc>
                <w:tcPr>
                  <w:tcW w:w="5219" w:type="dxa"/>
                  <w:tcBorders>
                    <w:bottom w:val="single" w:color="auto" w:sz="8" w:space="0"/>
                  </w:tcBorders>
                  <w:noWrap w:val="0"/>
                  <w:vAlign w:val="center"/>
                </w:tcPr>
                <w:p w14:paraId="6351691C">
                  <w:pPr>
                    <w:keepNext w:val="0"/>
                    <w:keepLines w:val="0"/>
                    <w:suppressLineNumbers w:val="0"/>
                    <w:snapToGrid w:val="0"/>
                    <w:spacing w:before="0" w:beforeAutospacing="0" w:after="0" w:afterAutospacing="0"/>
                    <w:ind w:left="0" w:leftChars="0" w:right="0" w:rightChars="0" w:firstLine="132" w:firstLineChars="0"/>
                    <w:jc w:val="center"/>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危险废物暂存间</w:t>
                  </w:r>
                  <w:r>
                    <w:rPr>
                      <w:rFonts w:hint="eastAsia" w:ascii="Times New Roman" w:hAnsi="Times New Roman" w:eastAsia="宋体" w:cs="Times New Roman"/>
                      <w:color w:val="000000" w:themeColor="text1"/>
                      <w:sz w:val="21"/>
                      <w:szCs w:val="21"/>
                      <w:highlight w:val="none"/>
                      <w:u w:val="none"/>
                      <w:lang w:eastAsia="zh-CN"/>
                      <w14:textFill>
                        <w14:solidFill>
                          <w14:schemeClr w14:val="tx1"/>
                        </w14:solidFill>
                      </w14:textFill>
                    </w:rPr>
                    <w:t>一座</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w:t>
                  </w:r>
                  <w:r>
                    <w:rPr>
                      <w:rFonts w:hint="eastAsia" w:ascii="Times New Roman" w:hAnsi="Times New Roman" w:eastAsia="宋体" w:cs="Times New Roman"/>
                      <w:color w:val="000000" w:themeColor="text1"/>
                      <w:sz w:val="21"/>
                      <w:szCs w:val="21"/>
                      <w:highlight w:val="none"/>
                      <w:u w:val="none"/>
                      <w:lang w:eastAsia="zh-CN"/>
                      <w14:textFill>
                        <w14:solidFill>
                          <w14:schemeClr w14:val="tx1"/>
                        </w14:solidFill>
                      </w14:textFill>
                    </w:rPr>
                    <w:t>面积</w:t>
                  </w:r>
                  <w:r>
                    <w:rPr>
                      <w:rFonts w:hint="eastAsia" w:cs="Times New Roman"/>
                      <w:color w:val="000000" w:themeColor="text1"/>
                      <w:sz w:val="21"/>
                      <w:szCs w:val="21"/>
                      <w:highlight w:val="none"/>
                      <w:u w:val="none"/>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m²</w:t>
                  </w:r>
                </w:p>
              </w:tc>
              <w:tc>
                <w:tcPr>
                  <w:tcW w:w="1445" w:type="dxa"/>
                  <w:gridSpan w:val="2"/>
                  <w:tcBorders>
                    <w:bottom w:val="single" w:color="auto" w:sz="8" w:space="0"/>
                  </w:tcBorders>
                  <w:noWrap w:val="0"/>
                  <w:vAlign w:val="center"/>
                </w:tcPr>
                <w:p w14:paraId="7BFF9B20">
                  <w:pPr>
                    <w:keepNext w:val="0"/>
                    <w:keepLines w:val="0"/>
                    <w:widowControl/>
                    <w:suppressLineNumbers w:val="0"/>
                    <w:snapToGrid w:val="0"/>
                    <w:spacing w:before="0" w:beforeAutospacing="0" w:after="0" w:afterAutospacing="0"/>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hAnsi="宋体"/>
                      <w:color w:val="000000"/>
                      <w:sz w:val="21"/>
                      <w:szCs w:val="21"/>
                      <w:highlight w:val="none"/>
                      <w:lang w:val="en-US" w:eastAsia="zh-CN"/>
                    </w:rPr>
                    <w:t>新建</w:t>
                  </w:r>
                </w:p>
              </w:tc>
            </w:tr>
          </w:tbl>
          <w:p w14:paraId="350B8744">
            <w:pPr>
              <w:keepNext w:val="0"/>
              <w:keepLines w:val="0"/>
              <w:suppressLineNumbers w:val="0"/>
              <w:spacing w:before="0" w:beforeAutospacing="0" w:after="0" w:afterAutospacing="0" w:line="440" w:lineRule="exact"/>
              <w:ind w:left="0" w:right="0" w:firstLine="482" w:firstLineChars="200"/>
              <w:rPr>
                <w:rFonts w:hint="default"/>
                <w:b/>
                <w:sz w:val="24"/>
                <w:lang w:val="en-US"/>
              </w:rPr>
            </w:pPr>
            <w:r>
              <w:rPr>
                <w:rFonts w:hint="eastAsia"/>
                <w:b/>
                <w:sz w:val="24"/>
              </w:rPr>
              <w:t>3、</w:t>
            </w:r>
            <w:r>
              <w:rPr>
                <w:rFonts w:hint="eastAsia" w:cs="Times New Roman"/>
                <w:b/>
                <w:bCs/>
                <w:color w:val="000000"/>
                <w:sz w:val="24"/>
                <w:szCs w:val="24"/>
                <w:lang w:val="en-US" w:eastAsia="zh-CN"/>
              </w:rPr>
              <w:t>本项目产品方案</w:t>
            </w:r>
          </w:p>
          <w:p w14:paraId="425AF684">
            <w:pPr>
              <w:keepNext w:val="0"/>
              <w:keepLines w:val="0"/>
              <w:suppressLineNumbers w:val="0"/>
              <w:spacing w:before="0" w:beforeAutospacing="0" w:after="0" w:afterAutospacing="0" w:line="440" w:lineRule="exact"/>
              <w:ind w:left="0" w:right="0" w:firstLine="480" w:firstLineChars="200"/>
              <w:rPr>
                <w:rFonts w:hint="default"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企业具体产品方案见下表。</w:t>
            </w:r>
          </w:p>
          <w:p w14:paraId="25579848">
            <w:pPr>
              <w:pStyle w:val="55"/>
              <w:keepNext w:val="0"/>
              <w:keepLines w:val="0"/>
              <w:suppressLineNumbers w:val="0"/>
              <w:spacing w:before="0" w:beforeAutospacing="0" w:after="0" w:afterAutospacing="0" w:line="440" w:lineRule="exact"/>
              <w:ind w:left="0" w:right="0" w:firstLine="0"/>
              <w:jc w:val="center"/>
              <w:rPr>
                <w:rFonts w:hint="default"/>
                <w:sz w:val="24"/>
              </w:rPr>
            </w:pPr>
            <w:r>
              <w:rPr>
                <w:rFonts w:hint="eastAsia" w:ascii="Times New Roman" w:hAnsi="Times New Roman" w:cs="Times New Roman"/>
                <w:b/>
                <w:bCs/>
                <w:color w:val="auto"/>
                <w:sz w:val="24"/>
                <w:szCs w:val="24"/>
                <w:lang w:val="en-US" w:eastAsia="zh-CN"/>
              </w:rPr>
              <w:t>表12</w:t>
            </w:r>
            <w:r>
              <w:rPr>
                <w:rFonts w:hint="eastAsia" w:hAnsi="宋体" w:cs="Times New Roman"/>
                <w:b/>
                <w:bCs/>
                <w:color w:val="000000"/>
                <w:sz w:val="24"/>
                <w:szCs w:val="24"/>
                <w:lang w:val="en-US" w:eastAsia="zh-CN"/>
              </w:rPr>
              <w:t xml:space="preserve"> 企业产品</w:t>
            </w:r>
            <w:r>
              <w:rPr>
                <w:rFonts w:hint="default" w:hAnsi="宋体" w:cs="Times New Roman"/>
                <w:b/>
                <w:bCs/>
                <w:color w:val="000000"/>
                <w:sz w:val="24"/>
                <w:szCs w:val="24"/>
              </w:rPr>
              <w:t>方案</w:t>
            </w:r>
            <w:r>
              <w:rPr>
                <w:rFonts w:hint="eastAsia" w:hAnsi="宋体" w:cs="Times New Roman"/>
                <w:b/>
                <w:bCs/>
                <w:color w:val="000000"/>
                <w:sz w:val="24"/>
                <w:szCs w:val="24"/>
                <w:lang w:val="en-US" w:eastAsia="zh-CN"/>
              </w:rPr>
              <w:t>一览表</w:t>
            </w:r>
          </w:p>
          <w:tbl>
            <w:tblPr>
              <w:tblStyle w:val="22"/>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683"/>
              <w:gridCol w:w="2046"/>
              <w:gridCol w:w="2450"/>
              <w:gridCol w:w="3626"/>
            </w:tblGrid>
            <w:tr w14:paraId="718E3EC0">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83" w:type="dxa"/>
                  <w:tcBorders>
                    <w:left w:val="nil"/>
                    <w:bottom w:val="single" w:color="auto" w:sz="8" w:space="0"/>
                    <w:right w:val="single" w:color="auto" w:sz="4" w:space="0"/>
                  </w:tcBorders>
                  <w:noWrap w:val="0"/>
                  <w:vAlign w:val="center"/>
                </w:tcPr>
                <w:p w14:paraId="4F8DB431">
                  <w:pPr>
                    <w:keepNext w:val="0"/>
                    <w:keepLines w:val="0"/>
                    <w:suppressLineNumbers w:val="0"/>
                    <w:adjustRightInd w:val="0"/>
                    <w:snapToGrid w:val="0"/>
                    <w:spacing w:before="0" w:beforeAutospacing="0" w:after="0" w:afterAutospacing="0"/>
                    <w:ind w:left="0" w:right="0"/>
                    <w:jc w:val="center"/>
                    <w:rPr>
                      <w:rFonts w:hint="eastAsia" w:eastAsia="宋体"/>
                      <w:b/>
                      <w:sz w:val="21"/>
                      <w:szCs w:val="21"/>
                      <w:lang w:eastAsia="zh-CN"/>
                    </w:rPr>
                  </w:pPr>
                  <w:r>
                    <w:rPr>
                      <w:rFonts w:hint="eastAsia"/>
                      <w:b/>
                      <w:sz w:val="21"/>
                      <w:szCs w:val="21"/>
                      <w:lang w:val="en-US" w:eastAsia="zh-CN"/>
                    </w:rPr>
                    <w:t>序号</w:t>
                  </w:r>
                </w:p>
              </w:tc>
              <w:tc>
                <w:tcPr>
                  <w:tcW w:w="2046" w:type="dxa"/>
                  <w:tcBorders>
                    <w:left w:val="single" w:color="auto" w:sz="4" w:space="0"/>
                    <w:bottom w:val="single" w:color="auto" w:sz="8" w:space="0"/>
                    <w:right w:val="single" w:color="auto" w:sz="4" w:space="0"/>
                  </w:tcBorders>
                  <w:noWrap w:val="0"/>
                  <w:vAlign w:val="center"/>
                </w:tcPr>
                <w:p w14:paraId="02E85AC7">
                  <w:pPr>
                    <w:keepNext w:val="0"/>
                    <w:keepLines w:val="0"/>
                    <w:suppressLineNumbers w:val="0"/>
                    <w:adjustRightInd w:val="0"/>
                    <w:snapToGrid w:val="0"/>
                    <w:spacing w:before="0" w:beforeAutospacing="0" w:after="0" w:afterAutospacing="0"/>
                    <w:ind w:left="0" w:right="0"/>
                    <w:jc w:val="center"/>
                    <w:rPr>
                      <w:rFonts w:hint="default" w:eastAsia="宋体"/>
                      <w:b/>
                      <w:sz w:val="21"/>
                      <w:szCs w:val="21"/>
                      <w:lang w:val="en-US" w:eastAsia="zh-CN"/>
                    </w:rPr>
                  </w:pPr>
                  <w:r>
                    <w:rPr>
                      <w:rFonts w:hint="eastAsia"/>
                      <w:b/>
                      <w:sz w:val="21"/>
                      <w:szCs w:val="21"/>
                      <w:lang w:val="en-US" w:eastAsia="zh-CN"/>
                    </w:rPr>
                    <w:t>名称</w:t>
                  </w:r>
                </w:p>
              </w:tc>
              <w:tc>
                <w:tcPr>
                  <w:tcW w:w="2450" w:type="dxa"/>
                  <w:tcBorders>
                    <w:left w:val="single" w:color="auto" w:sz="4" w:space="0"/>
                    <w:bottom w:val="single" w:color="auto" w:sz="8" w:space="0"/>
                    <w:right w:val="single" w:color="auto" w:sz="4" w:space="0"/>
                  </w:tcBorders>
                  <w:noWrap w:val="0"/>
                  <w:vAlign w:val="center"/>
                </w:tcPr>
                <w:p w14:paraId="62989ED4">
                  <w:pPr>
                    <w:keepNext w:val="0"/>
                    <w:keepLines w:val="0"/>
                    <w:suppressLineNumbers w:val="0"/>
                    <w:adjustRightInd w:val="0"/>
                    <w:snapToGrid w:val="0"/>
                    <w:spacing w:before="0" w:beforeAutospacing="0" w:after="0" w:afterAutospacing="0"/>
                    <w:ind w:left="0" w:right="0"/>
                    <w:jc w:val="center"/>
                    <w:rPr>
                      <w:rFonts w:hint="default"/>
                      <w:b/>
                      <w:bCs w:val="0"/>
                      <w:sz w:val="21"/>
                      <w:szCs w:val="21"/>
                      <w:lang w:val="en-US" w:eastAsia="zh-CN"/>
                    </w:rPr>
                  </w:pPr>
                  <w:r>
                    <w:rPr>
                      <w:rFonts w:hint="eastAsia"/>
                      <w:b/>
                      <w:bCs w:val="0"/>
                      <w:sz w:val="21"/>
                      <w:szCs w:val="21"/>
                      <w:lang w:val="en-US" w:eastAsia="zh-CN"/>
                    </w:rPr>
                    <w:t>本项目产品产能</w:t>
                  </w:r>
                  <w:r>
                    <w:rPr>
                      <w:rFonts w:hint="eastAsia"/>
                      <w:b/>
                      <w:bCs w:val="0"/>
                      <w:color w:val="auto"/>
                      <w:sz w:val="21"/>
                      <w:szCs w:val="21"/>
                      <w:lang w:val="en-US" w:eastAsia="zh-CN"/>
                    </w:rPr>
                    <w:t>t/a</w:t>
                  </w:r>
                </w:p>
              </w:tc>
              <w:tc>
                <w:tcPr>
                  <w:tcW w:w="3626" w:type="dxa"/>
                  <w:tcBorders>
                    <w:left w:val="single" w:color="auto" w:sz="4" w:space="0"/>
                    <w:bottom w:val="single" w:color="auto" w:sz="8" w:space="0"/>
                  </w:tcBorders>
                  <w:noWrap w:val="0"/>
                  <w:vAlign w:val="center"/>
                </w:tcPr>
                <w:p w14:paraId="25AFCC7D">
                  <w:pPr>
                    <w:keepNext w:val="0"/>
                    <w:keepLines w:val="0"/>
                    <w:suppressLineNumbers w:val="0"/>
                    <w:adjustRightInd w:val="0"/>
                    <w:snapToGrid w:val="0"/>
                    <w:spacing w:before="0" w:beforeAutospacing="0" w:after="0" w:afterAutospacing="0"/>
                    <w:ind w:left="0" w:right="0"/>
                    <w:jc w:val="center"/>
                    <w:rPr>
                      <w:rFonts w:hint="default"/>
                      <w:b/>
                      <w:sz w:val="21"/>
                      <w:szCs w:val="21"/>
                      <w:lang w:val="en-US" w:eastAsia="zh-CN"/>
                    </w:rPr>
                  </w:pPr>
                  <w:r>
                    <w:rPr>
                      <w:rFonts w:hint="eastAsia"/>
                      <w:b/>
                      <w:sz w:val="21"/>
                      <w:szCs w:val="21"/>
                      <w:lang w:val="en-US" w:eastAsia="zh-CN"/>
                    </w:rPr>
                    <w:t>备注</w:t>
                  </w:r>
                </w:p>
              </w:tc>
            </w:tr>
            <w:tr w14:paraId="1EBC56D5">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683" w:type="dxa"/>
                  <w:tcBorders>
                    <w:top w:val="single" w:color="auto" w:sz="8" w:space="0"/>
                    <w:left w:val="nil"/>
                    <w:right w:val="single" w:color="auto" w:sz="4" w:space="0"/>
                  </w:tcBorders>
                  <w:shd w:val="clear" w:color="auto" w:fill="auto"/>
                  <w:noWrap w:val="0"/>
                  <w:vAlign w:val="center"/>
                </w:tcPr>
                <w:p w14:paraId="48CF1BC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1</w:t>
                  </w:r>
                </w:p>
              </w:tc>
              <w:tc>
                <w:tcPr>
                  <w:tcW w:w="2046" w:type="dxa"/>
                  <w:tcBorders>
                    <w:top w:val="single" w:color="auto" w:sz="8" w:space="0"/>
                    <w:left w:val="single" w:color="auto" w:sz="4" w:space="0"/>
                    <w:right w:val="single" w:color="auto" w:sz="4" w:space="0"/>
                  </w:tcBorders>
                  <w:shd w:val="clear" w:color="auto" w:fill="auto"/>
                  <w:noWrap w:val="0"/>
                  <w:vAlign w:val="center"/>
                </w:tcPr>
                <w:p w14:paraId="76FB2827">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lang w:val="en-US" w:eastAsia="zh-CN"/>
                    </w:rPr>
                  </w:pPr>
                  <w:r>
                    <w:rPr>
                      <w:rFonts w:hint="eastAsia"/>
                      <w:color w:val="auto"/>
                      <w:sz w:val="21"/>
                      <w:szCs w:val="21"/>
                      <w:lang w:val="en-US" w:eastAsia="zh-CN"/>
                    </w:rPr>
                    <w:t>食品级淋膜纸</w:t>
                  </w:r>
                </w:p>
              </w:tc>
              <w:tc>
                <w:tcPr>
                  <w:tcW w:w="2450" w:type="dxa"/>
                  <w:tcBorders>
                    <w:top w:val="single" w:color="auto" w:sz="8" w:space="0"/>
                    <w:left w:val="single" w:color="auto" w:sz="4" w:space="0"/>
                    <w:right w:val="single" w:color="auto" w:sz="4" w:space="0"/>
                  </w:tcBorders>
                  <w:shd w:val="clear" w:color="auto" w:fill="auto"/>
                  <w:noWrap w:val="0"/>
                  <w:vAlign w:val="center"/>
                </w:tcPr>
                <w:p w14:paraId="46AA7DF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23000</w:t>
                  </w:r>
                </w:p>
              </w:tc>
              <w:tc>
                <w:tcPr>
                  <w:tcW w:w="3626" w:type="dxa"/>
                  <w:tcBorders>
                    <w:top w:val="single" w:color="auto" w:sz="8" w:space="0"/>
                    <w:left w:val="single" w:color="auto" w:sz="4" w:space="0"/>
                  </w:tcBorders>
                  <w:shd w:val="clear" w:color="auto" w:fill="auto"/>
                  <w:noWrap w:val="0"/>
                  <w:vAlign w:val="center"/>
                </w:tcPr>
                <w:p w14:paraId="3D2E8FD8">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000000"/>
                      <w:sz w:val="21"/>
                      <w:szCs w:val="21"/>
                      <w:lang w:val="en-US" w:eastAsia="zh-CN"/>
                    </w:rPr>
                  </w:pPr>
                  <w:r>
                    <w:rPr>
                      <w:rFonts w:hint="eastAsia"/>
                      <w:color w:val="000000"/>
                      <w:sz w:val="21"/>
                      <w:szCs w:val="21"/>
                      <w:lang w:val="en-US" w:eastAsia="zh-CN"/>
                    </w:rPr>
                    <w:t>150-280g/m</w:t>
                  </w:r>
                  <w:r>
                    <w:rPr>
                      <w:rFonts w:hint="eastAsia"/>
                      <w:color w:val="000000"/>
                      <w:sz w:val="21"/>
                      <w:szCs w:val="21"/>
                      <w:vertAlign w:val="superscript"/>
                      <w:lang w:val="en-US" w:eastAsia="zh-CN"/>
                    </w:rPr>
                    <w:t>2</w:t>
                  </w:r>
                  <w:r>
                    <w:rPr>
                      <w:rFonts w:hint="eastAsia"/>
                      <w:color w:val="000000"/>
                      <w:sz w:val="21"/>
                      <w:szCs w:val="21"/>
                      <w:vertAlign w:val="baseline"/>
                      <w:lang w:val="en-US" w:eastAsia="zh-CN"/>
                    </w:rPr>
                    <w:t>，根据客户需求包装；原纸一面进行淋膜，一面进行印刷</w:t>
                  </w:r>
                </w:p>
              </w:tc>
            </w:tr>
          </w:tbl>
          <w:p w14:paraId="25A28A4A">
            <w:pPr>
              <w:keepNext w:val="0"/>
              <w:keepLines w:val="0"/>
              <w:suppressLineNumbers w:val="0"/>
              <w:snapToGrid w:val="0"/>
              <w:spacing w:before="0" w:beforeAutospacing="0" w:after="0" w:afterAutospacing="0" w:line="440" w:lineRule="exact"/>
              <w:ind w:left="0" w:right="0" w:firstLine="482" w:firstLineChars="200"/>
              <w:rPr>
                <w:rFonts w:hint="default"/>
                <w:b/>
                <w:sz w:val="24"/>
              </w:rPr>
            </w:pPr>
            <w:r>
              <w:rPr>
                <w:rFonts w:hint="eastAsia" w:cs="Times New Roman"/>
                <w:b/>
                <w:sz w:val="24"/>
                <w:lang w:val="en-US" w:eastAsia="zh-CN"/>
              </w:rPr>
              <w:t>4、</w:t>
            </w:r>
            <w:r>
              <w:rPr>
                <w:rFonts w:hint="eastAsia"/>
                <w:b/>
                <w:sz w:val="24"/>
              </w:rPr>
              <w:t>项目主要生产设备</w:t>
            </w:r>
          </w:p>
          <w:p w14:paraId="69CC1472">
            <w:pPr>
              <w:keepNext w:val="0"/>
              <w:keepLines w:val="0"/>
              <w:suppressLineNumbers w:val="0"/>
              <w:adjustRightInd w:val="0"/>
              <w:snapToGrid w:val="0"/>
              <w:spacing w:before="0" w:beforeAutospacing="0" w:after="0" w:afterAutospacing="0" w:line="440" w:lineRule="exact"/>
              <w:ind w:left="0" w:right="0" w:firstLine="508" w:firstLineChars="212"/>
              <w:textAlignment w:val="baseline"/>
              <w:rPr>
                <w:rFonts w:hint="default" w:cs="Times New Roman"/>
                <w:b/>
                <w:sz w:val="24"/>
                <w:highlight w:val="none"/>
                <w:lang w:val="en-US" w:eastAsia="zh-CN"/>
              </w:rPr>
            </w:pPr>
            <w:r>
              <w:rPr>
                <w:rFonts w:hint="eastAsia"/>
                <w:sz w:val="24"/>
                <w:highlight w:val="none"/>
                <w:lang w:val="en-US" w:eastAsia="zh-CN"/>
              </w:rPr>
              <w:t>本项目</w:t>
            </w:r>
            <w:r>
              <w:rPr>
                <w:rFonts w:hint="eastAsia"/>
                <w:sz w:val="24"/>
                <w:highlight w:val="none"/>
              </w:rPr>
              <w:t>生产设备</w:t>
            </w:r>
            <w:r>
              <w:rPr>
                <w:rFonts w:hint="default"/>
                <w:sz w:val="24"/>
                <w:highlight w:val="none"/>
              </w:rPr>
              <w:t>见</w:t>
            </w:r>
            <w:r>
              <w:rPr>
                <w:rFonts w:hint="eastAsia"/>
                <w:sz w:val="24"/>
                <w:highlight w:val="none"/>
                <w:lang w:val="en-US" w:eastAsia="zh-CN"/>
              </w:rPr>
              <w:t>下表。</w:t>
            </w:r>
          </w:p>
          <w:p w14:paraId="758C8FA2">
            <w:pPr>
              <w:pStyle w:val="55"/>
              <w:keepNext w:val="0"/>
              <w:keepLines w:val="0"/>
              <w:suppressLineNumbers w:val="0"/>
              <w:spacing w:before="0" w:beforeAutospacing="0" w:after="0" w:afterAutospacing="0" w:line="440" w:lineRule="exact"/>
              <w:ind w:left="0" w:right="0" w:firstLine="0"/>
              <w:jc w:val="center"/>
              <w:rPr>
                <w:rFonts w:hint="default"/>
                <w:sz w:val="24"/>
                <w:lang w:val="en-US"/>
              </w:rPr>
            </w:pPr>
            <w:r>
              <w:rPr>
                <w:rFonts w:hint="eastAsia" w:ascii="Times New Roman" w:hAnsi="Times New Roman" w:cs="Times New Roman"/>
                <w:b/>
                <w:bCs/>
                <w:color w:val="auto"/>
                <w:sz w:val="24"/>
                <w:szCs w:val="24"/>
                <w:lang w:val="en-US" w:eastAsia="zh-CN"/>
              </w:rPr>
              <w:t>表13</w:t>
            </w:r>
            <w:r>
              <w:rPr>
                <w:rFonts w:hint="eastAsia" w:hAnsi="宋体" w:cs="Times New Roman"/>
                <w:b/>
                <w:bCs/>
                <w:color w:val="auto"/>
                <w:sz w:val="24"/>
                <w:szCs w:val="24"/>
                <w:lang w:val="en-US" w:eastAsia="zh-CN"/>
              </w:rPr>
              <w:t xml:space="preserve"> </w:t>
            </w:r>
            <w:r>
              <w:rPr>
                <w:rFonts w:hint="eastAsia" w:hAnsi="宋体" w:cs="Times New Roman"/>
                <w:b/>
                <w:bCs/>
                <w:color w:val="000000"/>
                <w:sz w:val="24"/>
                <w:szCs w:val="24"/>
                <w:lang w:val="en-US" w:eastAsia="zh-CN"/>
              </w:rPr>
              <w:t xml:space="preserve"> 本项目主要生产设备一览表</w:t>
            </w:r>
          </w:p>
          <w:tbl>
            <w:tblPr>
              <w:tblStyle w:val="22"/>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700"/>
              <w:gridCol w:w="1141"/>
              <w:gridCol w:w="1799"/>
              <w:gridCol w:w="1927"/>
              <w:gridCol w:w="1928"/>
              <w:gridCol w:w="1310"/>
            </w:tblGrid>
            <w:tr w14:paraId="6DBC9037">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00" w:type="dxa"/>
                  <w:tcBorders>
                    <w:left w:val="nil"/>
                    <w:bottom w:val="single" w:color="auto" w:sz="8" w:space="0"/>
                    <w:right w:val="single" w:color="auto" w:sz="4" w:space="0"/>
                  </w:tcBorders>
                  <w:noWrap w:val="0"/>
                  <w:vAlign w:val="center"/>
                </w:tcPr>
                <w:p w14:paraId="6265FE48">
                  <w:pPr>
                    <w:keepNext w:val="0"/>
                    <w:keepLines w:val="0"/>
                    <w:suppressLineNumbers w:val="0"/>
                    <w:adjustRightInd w:val="0"/>
                    <w:snapToGrid w:val="0"/>
                    <w:spacing w:before="0" w:beforeAutospacing="0" w:after="0" w:afterAutospacing="0"/>
                    <w:ind w:left="0" w:right="0"/>
                    <w:jc w:val="center"/>
                    <w:rPr>
                      <w:rFonts w:hint="eastAsia" w:eastAsia="宋体"/>
                      <w:b/>
                      <w:sz w:val="21"/>
                      <w:szCs w:val="21"/>
                      <w:lang w:eastAsia="zh-CN"/>
                    </w:rPr>
                  </w:pPr>
                  <w:r>
                    <w:rPr>
                      <w:rFonts w:hint="eastAsia"/>
                      <w:b/>
                      <w:sz w:val="21"/>
                      <w:szCs w:val="21"/>
                      <w:lang w:val="en-US" w:eastAsia="zh-CN"/>
                    </w:rPr>
                    <w:t>序号</w:t>
                  </w:r>
                </w:p>
              </w:tc>
              <w:tc>
                <w:tcPr>
                  <w:tcW w:w="1141" w:type="dxa"/>
                  <w:tcBorders>
                    <w:left w:val="single" w:color="auto" w:sz="4" w:space="0"/>
                    <w:bottom w:val="single" w:color="auto" w:sz="8" w:space="0"/>
                    <w:right w:val="single" w:color="auto" w:sz="4" w:space="0"/>
                  </w:tcBorders>
                  <w:noWrap w:val="0"/>
                  <w:vAlign w:val="center"/>
                </w:tcPr>
                <w:p w14:paraId="394B871E">
                  <w:pPr>
                    <w:keepNext w:val="0"/>
                    <w:keepLines w:val="0"/>
                    <w:suppressLineNumbers w:val="0"/>
                    <w:adjustRightInd w:val="0"/>
                    <w:snapToGrid w:val="0"/>
                    <w:spacing w:before="0" w:beforeAutospacing="0" w:after="0" w:afterAutospacing="0"/>
                    <w:ind w:left="0" w:leftChars="0" w:right="0" w:rightChars="0"/>
                    <w:jc w:val="center"/>
                    <w:rPr>
                      <w:rFonts w:hint="default" w:eastAsia="宋体"/>
                      <w:b/>
                      <w:sz w:val="21"/>
                      <w:szCs w:val="21"/>
                      <w:lang w:val="en-US" w:eastAsia="zh-CN"/>
                    </w:rPr>
                  </w:pPr>
                  <w:r>
                    <w:rPr>
                      <w:rFonts w:hint="eastAsia"/>
                      <w:b/>
                      <w:sz w:val="21"/>
                      <w:szCs w:val="21"/>
                      <w:lang w:val="en-US" w:eastAsia="zh-CN"/>
                    </w:rPr>
                    <w:t>名称</w:t>
                  </w:r>
                </w:p>
              </w:tc>
              <w:tc>
                <w:tcPr>
                  <w:tcW w:w="1799" w:type="dxa"/>
                  <w:tcBorders>
                    <w:left w:val="single" w:color="auto" w:sz="4" w:space="0"/>
                    <w:bottom w:val="single" w:color="auto" w:sz="8" w:space="0"/>
                    <w:right w:val="single" w:color="auto" w:sz="4" w:space="0"/>
                  </w:tcBorders>
                  <w:noWrap w:val="0"/>
                  <w:vAlign w:val="center"/>
                </w:tcPr>
                <w:p w14:paraId="663BAD50">
                  <w:pPr>
                    <w:keepNext w:val="0"/>
                    <w:keepLines w:val="0"/>
                    <w:suppressLineNumbers w:val="0"/>
                    <w:adjustRightInd w:val="0"/>
                    <w:snapToGrid w:val="0"/>
                    <w:spacing w:before="0" w:beforeAutospacing="0" w:after="0" w:afterAutospacing="0"/>
                    <w:ind w:left="0" w:leftChars="0" w:right="0" w:rightChars="0"/>
                    <w:jc w:val="center"/>
                    <w:rPr>
                      <w:rFonts w:hint="eastAsia"/>
                      <w:b/>
                      <w:sz w:val="21"/>
                      <w:szCs w:val="21"/>
                      <w:lang w:val="en-US" w:eastAsia="zh-CN"/>
                    </w:rPr>
                  </w:pPr>
                  <w:r>
                    <w:rPr>
                      <w:rFonts w:hint="eastAsia"/>
                      <w:b/>
                      <w:sz w:val="21"/>
                      <w:szCs w:val="21"/>
                      <w:lang w:val="en-US" w:eastAsia="zh-CN"/>
                    </w:rPr>
                    <w:t>规格/型号</w:t>
                  </w:r>
                </w:p>
              </w:tc>
              <w:tc>
                <w:tcPr>
                  <w:tcW w:w="1927" w:type="dxa"/>
                  <w:tcBorders>
                    <w:left w:val="single" w:color="auto" w:sz="4" w:space="0"/>
                    <w:bottom w:val="single" w:color="auto" w:sz="8" w:space="0"/>
                    <w:right w:val="single" w:color="auto" w:sz="4" w:space="0"/>
                  </w:tcBorders>
                  <w:noWrap w:val="0"/>
                  <w:vAlign w:val="center"/>
                </w:tcPr>
                <w:p w14:paraId="54C1D4AA">
                  <w:pPr>
                    <w:keepNext w:val="0"/>
                    <w:keepLines w:val="0"/>
                    <w:suppressLineNumbers w:val="0"/>
                    <w:adjustRightInd w:val="0"/>
                    <w:snapToGrid w:val="0"/>
                    <w:spacing w:before="0" w:beforeAutospacing="0" w:after="0" w:afterAutospacing="0"/>
                    <w:ind w:left="0" w:leftChars="0" w:right="0" w:rightChars="0"/>
                    <w:jc w:val="center"/>
                    <w:rPr>
                      <w:rFonts w:hint="default"/>
                      <w:b/>
                      <w:sz w:val="21"/>
                      <w:szCs w:val="21"/>
                      <w:lang w:val="en-US" w:eastAsia="zh-CN"/>
                    </w:rPr>
                  </w:pPr>
                  <w:r>
                    <w:rPr>
                      <w:rFonts w:hint="eastAsia"/>
                      <w:b/>
                      <w:sz w:val="21"/>
                      <w:szCs w:val="21"/>
                      <w:lang w:val="en-US" w:eastAsia="zh-CN"/>
                    </w:rPr>
                    <w:t>参数</w:t>
                  </w:r>
                </w:p>
              </w:tc>
              <w:tc>
                <w:tcPr>
                  <w:tcW w:w="1928" w:type="dxa"/>
                  <w:tcBorders>
                    <w:left w:val="single" w:color="auto" w:sz="4" w:space="0"/>
                    <w:bottom w:val="single" w:color="auto" w:sz="8" w:space="0"/>
                    <w:right w:val="single" w:color="auto" w:sz="4" w:space="0"/>
                  </w:tcBorders>
                  <w:noWrap w:val="0"/>
                  <w:vAlign w:val="center"/>
                </w:tcPr>
                <w:p w14:paraId="4BFD15F5">
                  <w:pPr>
                    <w:keepNext w:val="0"/>
                    <w:keepLines w:val="0"/>
                    <w:suppressLineNumbers w:val="0"/>
                    <w:adjustRightInd w:val="0"/>
                    <w:snapToGrid w:val="0"/>
                    <w:spacing w:before="0" w:beforeAutospacing="0" w:after="0" w:afterAutospacing="0"/>
                    <w:ind w:left="0" w:leftChars="0" w:right="0" w:rightChars="0"/>
                    <w:jc w:val="center"/>
                    <w:rPr>
                      <w:rFonts w:hint="default" w:eastAsia="宋体"/>
                      <w:b/>
                      <w:sz w:val="21"/>
                      <w:szCs w:val="21"/>
                      <w:lang w:val="en-US" w:eastAsia="zh-CN"/>
                    </w:rPr>
                  </w:pPr>
                  <w:r>
                    <w:rPr>
                      <w:rFonts w:hint="eastAsia" w:eastAsia="宋体"/>
                      <w:b/>
                      <w:sz w:val="21"/>
                      <w:szCs w:val="21"/>
                      <w:lang w:val="en-US" w:eastAsia="zh-CN"/>
                    </w:rPr>
                    <w:t>数量</w:t>
                  </w:r>
                  <w:r>
                    <w:rPr>
                      <w:rFonts w:hint="eastAsia"/>
                      <w:b/>
                      <w:sz w:val="21"/>
                      <w:szCs w:val="21"/>
                      <w:lang w:val="en-US" w:eastAsia="zh-CN"/>
                    </w:rPr>
                    <w:t>（台/套）</w:t>
                  </w:r>
                </w:p>
              </w:tc>
              <w:tc>
                <w:tcPr>
                  <w:tcW w:w="1310" w:type="dxa"/>
                  <w:tcBorders>
                    <w:left w:val="single" w:color="auto" w:sz="4" w:space="0"/>
                    <w:bottom w:val="single" w:color="auto" w:sz="8" w:space="0"/>
                  </w:tcBorders>
                  <w:noWrap w:val="0"/>
                  <w:vAlign w:val="center"/>
                </w:tcPr>
                <w:p w14:paraId="269A4793">
                  <w:pPr>
                    <w:keepNext w:val="0"/>
                    <w:keepLines w:val="0"/>
                    <w:suppressLineNumbers w:val="0"/>
                    <w:adjustRightInd w:val="0"/>
                    <w:snapToGrid w:val="0"/>
                    <w:spacing w:before="0" w:beforeAutospacing="0" w:after="0" w:afterAutospacing="0"/>
                    <w:ind w:left="0" w:right="0"/>
                    <w:jc w:val="center"/>
                    <w:rPr>
                      <w:rFonts w:hint="default" w:eastAsia="宋体"/>
                      <w:b/>
                      <w:sz w:val="21"/>
                      <w:szCs w:val="21"/>
                      <w:lang w:val="en-US" w:eastAsia="zh-CN"/>
                    </w:rPr>
                  </w:pPr>
                  <w:r>
                    <w:rPr>
                      <w:rFonts w:hint="eastAsia"/>
                      <w:b/>
                      <w:sz w:val="21"/>
                      <w:szCs w:val="21"/>
                      <w:lang w:val="en-US" w:eastAsia="zh-CN"/>
                    </w:rPr>
                    <w:t>备注</w:t>
                  </w:r>
                </w:p>
              </w:tc>
            </w:tr>
            <w:tr w14:paraId="0C447995">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3" w:hRule="atLeast"/>
                <w:jc w:val="center"/>
              </w:trPr>
              <w:tc>
                <w:tcPr>
                  <w:tcW w:w="700" w:type="dxa"/>
                  <w:tcBorders>
                    <w:top w:val="single" w:color="auto" w:sz="8" w:space="0"/>
                    <w:left w:val="nil"/>
                    <w:bottom w:val="single" w:color="auto" w:sz="4" w:space="0"/>
                    <w:right w:val="single" w:color="auto" w:sz="4" w:space="0"/>
                  </w:tcBorders>
                  <w:shd w:val="clear" w:color="auto" w:fill="auto"/>
                  <w:noWrap w:val="0"/>
                  <w:vAlign w:val="center"/>
                </w:tcPr>
                <w:p w14:paraId="596F2D2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1</w:t>
                  </w:r>
                </w:p>
              </w:tc>
              <w:tc>
                <w:tcPr>
                  <w:tcW w:w="1141" w:type="dxa"/>
                  <w:tcBorders>
                    <w:top w:val="single" w:color="auto" w:sz="8" w:space="0"/>
                    <w:left w:val="single" w:color="auto" w:sz="4" w:space="0"/>
                    <w:bottom w:val="single" w:color="auto" w:sz="4" w:space="0"/>
                    <w:right w:val="single" w:color="auto" w:sz="4" w:space="0"/>
                  </w:tcBorders>
                  <w:shd w:val="clear" w:color="auto" w:fill="auto"/>
                  <w:noWrap w:val="0"/>
                  <w:vAlign w:val="center"/>
                </w:tcPr>
                <w:p w14:paraId="7BFAB3F2">
                  <w:pPr>
                    <w:pStyle w:val="56"/>
                    <w:keepNext w:val="0"/>
                    <w:keepLines w:val="0"/>
                    <w:suppressLineNumbers w:val="0"/>
                    <w:adjustRightInd w:val="0"/>
                    <w:snapToGrid w:val="0"/>
                    <w:spacing w:before="0" w:beforeAutospacing="0" w:after="0" w:afterAutospacing="0" w:line="240" w:lineRule="auto"/>
                    <w:ind w:left="0" w:leftChars="0" w:right="0" w:rightChars="0" w:firstLine="0" w:firstLineChars="0"/>
                    <w:jc w:val="center"/>
                    <w:rPr>
                      <w:rFonts w:hint="default"/>
                      <w:color w:val="auto"/>
                      <w:sz w:val="21"/>
                      <w:szCs w:val="21"/>
                      <w:highlight w:val="none"/>
                      <w:lang w:val="en-US" w:eastAsia="zh-CN"/>
                    </w:rPr>
                  </w:pPr>
                  <w:r>
                    <w:rPr>
                      <w:rFonts w:hint="eastAsia" w:ascii="宋体" w:hAnsi="宋体" w:eastAsia="宋体" w:cs="宋体"/>
                      <w:sz w:val="21"/>
                      <w:szCs w:val="21"/>
                      <w:highlight w:val="none"/>
                      <w:lang w:val="en-US" w:eastAsia="zh-CN"/>
                    </w:rPr>
                    <w:t>全自动无轴淋膜机</w:t>
                  </w:r>
                </w:p>
              </w:tc>
              <w:tc>
                <w:tcPr>
                  <w:tcW w:w="1799" w:type="dxa"/>
                  <w:tcBorders>
                    <w:top w:val="single" w:color="auto" w:sz="8" w:space="0"/>
                    <w:left w:val="single" w:color="auto" w:sz="4" w:space="0"/>
                    <w:bottom w:val="single" w:color="auto" w:sz="4" w:space="0"/>
                    <w:right w:val="single" w:color="auto" w:sz="4" w:space="0"/>
                  </w:tcBorders>
                  <w:shd w:val="clear" w:color="auto" w:fill="auto"/>
                  <w:noWrap w:val="0"/>
                  <w:vAlign w:val="center"/>
                </w:tcPr>
                <w:p w14:paraId="28D569BA">
                  <w:pPr>
                    <w:keepNext w:val="0"/>
                    <w:keepLines w:val="0"/>
                    <w:pageBreakBefore w:val="0"/>
                    <w:widowControl w:val="0"/>
                    <w:numPr>
                      <w:ilvl w:val="0"/>
                      <w:numId w:val="0"/>
                    </w:numPr>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eastAsia="宋体"/>
                      <w:sz w:val="21"/>
                      <w:szCs w:val="21"/>
                      <w:highlight w:val="none"/>
                      <w:lang w:val="en-US" w:eastAsia="zh-CN"/>
                    </w:rPr>
                  </w:pPr>
                  <w:r>
                    <w:rPr>
                      <w:rFonts w:hint="eastAsia"/>
                      <w:sz w:val="21"/>
                      <w:szCs w:val="21"/>
                      <w:highlight w:val="none"/>
                      <w:vertAlign w:val="baseline"/>
                      <w:lang w:val="en-US" w:eastAsia="zh-CN"/>
                    </w:rPr>
                    <w:t>WSFM-1400C</w:t>
                  </w:r>
                </w:p>
              </w:tc>
              <w:tc>
                <w:tcPr>
                  <w:tcW w:w="1927" w:type="dxa"/>
                  <w:tcBorders>
                    <w:top w:val="single" w:color="auto" w:sz="8" w:space="0"/>
                    <w:left w:val="single" w:color="auto" w:sz="4" w:space="0"/>
                    <w:bottom w:val="single" w:color="auto" w:sz="4" w:space="0"/>
                    <w:right w:val="single" w:color="auto" w:sz="4" w:space="0"/>
                  </w:tcBorders>
                  <w:shd w:val="clear" w:color="auto" w:fill="auto"/>
                  <w:noWrap w:val="0"/>
                  <w:vAlign w:val="center"/>
                </w:tcPr>
                <w:p w14:paraId="2BEFD51C">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500</w:t>
                  </w:r>
                  <w:r>
                    <w:rPr>
                      <w:rFonts w:hint="eastAsia"/>
                      <w:sz w:val="21"/>
                      <w:szCs w:val="21"/>
                      <w:lang w:val="en-US" w:eastAsia="zh-CN"/>
                    </w:rPr>
                    <w:t>m/min</w:t>
                  </w:r>
                </w:p>
              </w:tc>
              <w:tc>
                <w:tcPr>
                  <w:tcW w:w="1928" w:type="dxa"/>
                  <w:tcBorders>
                    <w:top w:val="single" w:color="auto" w:sz="8" w:space="0"/>
                    <w:left w:val="single" w:color="auto" w:sz="4" w:space="0"/>
                    <w:bottom w:val="single" w:color="auto" w:sz="4" w:space="0"/>
                    <w:right w:val="single" w:color="auto" w:sz="4" w:space="0"/>
                  </w:tcBorders>
                  <w:shd w:val="clear" w:color="auto" w:fill="auto"/>
                  <w:noWrap w:val="0"/>
                  <w:vAlign w:val="center"/>
                </w:tcPr>
                <w:p w14:paraId="02504635">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2</w:t>
                  </w:r>
                </w:p>
              </w:tc>
              <w:tc>
                <w:tcPr>
                  <w:tcW w:w="1310" w:type="dxa"/>
                  <w:tcBorders>
                    <w:top w:val="single" w:color="auto" w:sz="8" w:space="0"/>
                    <w:left w:val="single" w:color="auto" w:sz="4" w:space="0"/>
                    <w:bottom w:val="single" w:color="auto" w:sz="4" w:space="0"/>
                  </w:tcBorders>
                  <w:shd w:val="clear" w:color="auto" w:fill="auto"/>
                  <w:noWrap w:val="0"/>
                  <w:vAlign w:val="center"/>
                </w:tcPr>
                <w:p w14:paraId="79C0D866">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淋膜工序，自带冷水循环装置</w:t>
                  </w:r>
                </w:p>
              </w:tc>
            </w:tr>
            <w:tr w14:paraId="281C4B5C">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3" w:hRule="atLeast"/>
                <w:jc w:val="center"/>
              </w:trPr>
              <w:tc>
                <w:tcPr>
                  <w:tcW w:w="700" w:type="dxa"/>
                  <w:vMerge w:val="restart"/>
                  <w:tcBorders>
                    <w:top w:val="single" w:color="auto" w:sz="4" w:space="0"/>
                    <w:left w:val="nil"/>
                    <w:bottom w:val="single" w:color="auto" w:sz="4" w:space="0"/>
                    <w:right w:val="single" w:color="auto" w:sz="4" w:space="0"/>
                  </w:tcBorders>
                  <w:shd w:val="clear" w:color="auto" w:fill="auto"/>
                  <w:noWrap w:val="0"/>
                  <w:vAlign w:val="center"/>
                </w:tcPr>
                <w:p w14:paraId="0E39065C">
                  <w:pPr>
                    <w:pStyle w:val="5"/>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lang w:val="en-US" w:eastAsia="zh-CN"/>
                    </w:rPr>
                  </w:pPr>
                  <w:r>
                    <w:rPr>
                      <w:rFonts w:hint="eastAsia"/>
                      <w:color w:val="000000"/>
                      <w:sz w:val="21"/>
                      <w:szCs w:val="21"/>
                      <w:lang w:val="en-US" w:eastAsia="zh-CN"/>
                    </w:rPr>
                    <w:t>2</w:t>
                  </w:r>
                </w:p>
              </w:tc>
              <w:tc>
                <w:tcPr>
                  <w:tcW w:w="1141" w:type="dxa"/>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14:paraId="53E87667">
                  <w:pPr>
                    <w:keepNext w:val="0"/>
                    <w:keepLines w:val="0"/>
                    <w:numPr>
                      <w:ilvl w:val="0"/>
                      <w:numId w:val="0"/>
                    </w:numPr>
                    <w:suppressLineNumbers w:val="0"/>
                    <w:spacing w:before="0" w:beforeAutospacing="0" w:after="0" w:afterAutospacing="0"/>
                    <w:ind w:left="0" w:leftChars="0" w:right="0" w:rightChars="0" w:firstLine="0" w:firstLineChars="0"/>
                    <w:jc w:val="center"/>
                    <w:rPr>
                      <w:rFonts w:hint="eastAsia"/>
                      <w:color w:val="auto"/>
                      <w:sz w:val="21"/>
                      <w:szCs w:val="21"/>
                      <w:highlight w:val="none"/>
                      <w:lang w:val="en-US" w:eastAsia="zh-CN"/>
                    </w:rPr>
                  </w:pPr>
                  <w:r>
                    <w:rPr>
                      <w:rFonts w:hint="eastAsia" w:ascii="宋体" w:hAnsi="宋体" w:eastAsia="宋体" w:cs="宋体"/>
                      <w:sz w:val="21"/>
                      <w:szCs w:val="21"/>
                      <w:vertAlign w:val="baseline"/>
                      <w:lang w:val="en-US" w:eastAsia="zh-CN"/>
                    </w:rPr>
                    <w:t>柔性版印刷机</w:t>
                  </w:r>
                </w:p>
              </w:tc>
              <w:tc>
                <w:tcPr>
                  <w:tcW w:w="179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2987789">
                  <w:pPr>
                    <w:keepNext w:val="0"/>
                    <w:keepLines w:val="0"/>
                    <w:pageBreakBefore w:val="0"/>
                    <w:widowControl w:val="0"/>
                    <w:numPr>
                      <w:ilvl w:val="0"/>
                      <w:numId w:val="0"/>
                    </w:numPr>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vertAlign w:val="baseline"/>
                      <w:lang w:val="en-US" w:eastAsia="zh-CN"/>
                    </w:rPr>
                    <w:t>EKOFA1000-6</w:t>
                  </w:r>
                </w:p>
              </w:tc>
              <w:tc>
                <w:tcPr>
                  <w:tcW w:w="1927" w:type="dxa"/>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14:paraId="66A78B8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sz w:val="21"/>
                      <w:szCs w:val="21"/>
                      <w:lang w:val="en-US" w:eastAsia="zh-CN"/>
                    </w:rPr>
                  </w:pPr>
                  <w:r>
                    <w:rPr>
                      <w:rFonts w:hint="eastAsia"/>
                      <w:sz w:val="21"/>
                      <w:szCs w:val="21"/>
                      <w:lang w:val="en-US" w:eastAsia="zh-CN"/>
                    </w:rPr>
                    <w:t>250m/min</w:t>
                  </w:r>
                </w:p>
              </w:tc>
              <w:tc>
                <w:tcPr>
                  <w:tcW w:w="192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83BBB7A">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p>
              </w:tc>
              <w:tc>
                <w:tcPr>
                  <w:tcW w:w="1310" w:type="dxa"/>
                  <w:vMerge w:val="restart"/>
                  <w:tcBorders>
                    <w:top w:val="single" w:color="auto" w:sz="4" w:space="0"/>
                    <w:left w:val="single" w:color="auto" w:sz="4" w:space="0"/>
                    <w:bottom w:val="single" w:color="auto" w:sz="4" w:space="0"/>
                  </w:tcBorders>
                  <w:shd w:val="clear" w:color="auto" w:fill="auto"/>
                  <w:noWrap w:val="0"/>
                  <w:vAlign w:val="center"/>
                </w:tcPr>
                <w:p w14:paraId="324C42F5">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印刷工序</w:t>
                  </w:r>
                </w:p>
              </w:tc>
            </w:tr>
            <w:tr w14:paraId="5AA3FD6C">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3" w:hRule="atLeast"/>
                <w:jc w:val="center"/>
              </w:trPr>
              <w:tc>
                <w:tcPr>
                  <w:tcW w:w="700" w:type="dxa"/>
                  <w:vMerge w:val="continue"/>
                  <w:tcBorders>
                    <w:top w:val="single" w:color="auto" w:sz="4" w:space="0"/>
                    <w:left w:val="nil"/>
                    <w:bottom w:val="single" w:color="auto" w:sz="4" w:space="0"/>
                    <w:right w:val="single" w:color="auto" w:sz="4" w:space="0"/>
                  </w:tcBorders>
                  <w:shd w:val="clear" w:color="auto" w:fill="auto"/>
                  <w:noWrap w:val="0"/>
                  <w:vAlign w:val="center"/>
                </w:tcPr>
                <w:p w14:paraId="1E5596B9">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lang w:val="en-US" w:eastAsia="zh-CN"/>
                    </w:rPr>
                  </w:pPr>
                </w:p>
              </w:tc>
              <w:tc>
                <w:tcPr>
                  <w:tcW w:w="1141" w:type="dxa"/>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14:paraId="5A07D4C4">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79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D11BEE1">
                  <w:pPr>
                    <w:pStyle w:val="5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sz w:val="21"/>
                      <w:szCs w:val="21"/>
                      <w:highlight w:val="none"/>
                      <w:lang w:val="en-US" w:eastAsia="zh-CN"/>
                    </w:rPr>
                  </w:pPr>
                  <w:r>
                    <w:rPr>
                      <w:rFonts w:hint="eastAsia"/>
                      <w:sz w:val="21"/>
                      <w:szCs w:val="21"/>
                      <w:vertAlign w:val="baseline"/>
                      <w:lang w:val="en-US" w:eastAsia="zh-CN"/>
                    </w:rPr>
                    <w:t>EKOFASCF920-3</w:t>
                  </w:r>
                </w:p>
              </w:tc>
              <w:tc>
                <w:tcPr>
                  <w:tcW w:w="1927" w:type="dxa"/>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14:paraId="28B1D996">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sz w:val="21"/>
                      <w:szCs w:val="21"/>
                      <w:lang w:val="en-US" w:eastAsia="zh-CN"/>
                    </w:rPr>
                  </w:pPr>
                </w:p>
              </w:tc>
              <w:tc>
                <w:tcPr>
                  <w:tcW w:w="192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FA42F39">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c>
                <w:tcPr>
                  <w:tcW w:w="1310" w:type="dxa"/>
                  <w:vMerge w:val="continue"/>
                  <w:tcBorders>
                    <w:top w:val="single" w:color="auto" w:sz="4" w:space="0"/>
                    <w:left w:val="single" w:color="auto" w:sz="4" w:space="0"/>
                    <w:bottom w:val="single" w:color="auto" w:sz="4" w:space="0"/>
                  </w:tcBorders>
                  <w:shd w:val="clear" w:color="auto" w:fill="auto"/>
                  <w:noWrap w:val="0"/>
                  <w:vAlign w:val="center"/>
                </w:tcPr>
                <w:p w14:paraId="428AD356">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000000" w:themeColor="text1"/>
                      <w:sz w:val="21"/>
                      <w:szCs w:val="21"/>
                      <w:lang w:val="en-US" w:eastAsia="zh-CN"/>
                      <w14:textFill>
                        <w14:solidFill>
                          <w14:schemeClr w14:val="tx1"/>
                        </w14:solidFill>
                      </w14:textFill>
                    </w:rPr>
                  </w:pPr>
                </w:p>
              </w:tc>
            </w:tr>
            <w:tr w14:paraId="7C95EAC8">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3" w:hRule="atLeast"/>
                <w:jc w:val="center"/>
              </w:trPr>
              <w:tc>
                <w:tcPr>
                  <w:tcW w:w="700" w:type="dxa"/>
                  <w:vMerge w:val="restart"/>
                  <w:tcBorders>
                    <w:top w:val="single" w:color="auto" w:sz="4" w:space="0"/>
                    <w:left w:val="nil"/>
                    <w:bottom w:val="single" w:color="auto" w:sz="4" w:space="0"/>
                    <w:right w:val="single" w:color="auto" w:sz="4" w:space="0"/>
                  </w:tcBorders>
                  <w:shd w:val="clear" w:color="auto" w:fill="auto"/>
                  <w:noWrap w:val="0"/>
                  <w:vAlign w:val="center"/>
                </w:tcPr>
                <w:p w14:paraId="28E675E5">
                  <w:pPr>
                    <w:pStyle w:val="5"/>
                    <w:keepNext w:val="0"/>
                    <w:keepLines w:val="0"/>
                    <w:suppressLineNumbers w:val="0"/>
                    <w:adjustRightInd w:val="0"/>
                    <w:snapToGrid w:val="0"/>
                    <w:spacing w:before="0" w:beforeAutospacing="0" w:after="0" w:afterAutospacing="0"/>
                    <w:ind w:left="0" w:leftChars="0" w:right="0" w:rightChars="0"/>
                    <w:jc w:val="center"/>
                    <w:rPr>
                      <w:rFonts w:hint="eastAsia"/>
                      <w:color w:val="000000"/>
                      <w:sz w:val="21"/>
                      <w:szCs w:val="21"/>
                      <w:lang w:val="en-US" w:eastAsia="zh-CN"/>
                    </w:rPr>
                  </w:pPr>
                  <w:r>
                    <w:rPr>
                      <w:rFonts w:hint="eastAsia"/>
                      <w:color w:val="auto"/>
                      <w:sz w:val="21"/>
                      <w:szCs w:val="21"/>
                      <w:lang w:val="en-US" w:eastAsia="zh-CN"/>
                    </w:rPr>
                    <w:t>3</w:t>
                  </w:r>
                </w:p>
              </w:tc>
              <w:tc>
                <w:tcPr>
                  <w:tcW w:w="1141" w:type="dxa"/>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14:paraId="6F550405">
                  <w:pPr>
                    <w:keepNext w:val="0"/>
                    <w:keepLines w:val="0"/>
                    <w:numPr>
                      <w:ilvl w:val="0"/>
                      <w:numId w:val="0"/>
                    </w:numPr>
                    <w:suppressLineNumbers w:val="0"/>
                    <w:spacing w:before="0" w:beforeAutospacing="0" w:after="0" w:afterAutospacing="0"/>
                    <w:ind w:left="0" w:leftChars="0" w:right="0" w:rightChars="0" w:firstLine="0" w:firstLineChars="0"/>
                    <w:jc w:val="center"/>
                    <w:rPr>
                      <w:rFonts w:hint="eastAsia"/>
                      <w:color w:val="auto"/>
                      <w:sz w:val="21"/>
                      <w:szCs w:val="21"/>
                      <w:highlight w:val="none"/>
                      <w:lang w:val="en-US" w:eastAsia="zh-CN"/>
                    </w:rPr>
                  </w:pPr>
                  <w:r>
                    <w:rPr>
                      <w:rFonts w:hint="eastAsia" w:ascii="宋体" w:hAnsi="宋体" w:eastAsia="宋体" w:cs="宋体"/>
                      <w:sz w:val="21"/>
                      <w:szCs w:val="21"/>
                      <w:vertAlign w:val="baseline"/>
                      <w:lang w:val="en-US" w:eastAsia="zh-CN"/>
                    </w:rPr>
                    <w:t>高速</w:t>
                  </w:r>
                  <w:r>
                    <w:rPr>
                      <w:rFonts w:hint="eastAsia" w:ascii="宋体" w:hAnsi="宋体" w:cs="宋体"/>
                      <w:sz w:val="21"/>
                      <w:szCs w:val="21"/>
                      <w:vertAlign w:val="baseline"/>
                      <w:lang w:val="en-US" w:eastAsia="zh-CN"/>
                    </w:rPr>
                    <w:t>模</w:t>
                  </w:r>
                  <w:r>
                    <w:rPr>
                      <w:rFonts w:hint="eastAsia" w:ascii="宋体" w:hAnsi="宋体" w:eastAsia="宋体" w:cs="宋体"/>
                      <w:sz w:val="21"/>
                      <w:szCs w:val="21"/>
                      <w:vertAlign w:val="baseline"/>
                      <w:lang w:val="en-US" w:eastAsia="zh-CN"/>
                    </w:rPr>
                    <w:t>切机</w:t>
                  </w:r>
                </w:p>
              </w:tc>
              <w:tc>
                <w:tcPr>
                  <w:tcW w:w="179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7122D2D">
                  <w:pPr>
                    <w:keepNext w:val="0"/>
                    <w:keepLines w:val="0"/>
                    <w:pageBreakBefore w:val="0"/>
                    <w:widowControl w:val="0"/>
                    <w:numPr>
                      <w:ilvl w:val="0"/>
                      <w:numId w:val="0"/>
                    </w:numPr>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eastAsia"/>
                      <w:sz w:val="21"/>
                      <w:szCs w:val="21"/>
                      <w:highlight w:val="none"/>
                      <w:lang w:val="en-US" w:eastAsia="zh-CN"/>
                    </w:rPr>
                  </w:pPr>
                  <w:r>
                    <w:rPr>
                      <w:rFonts w:hint="eastAsia"/>
                      <w:sz w:val="21"/>
                      <w:szCs w:val="21"/>
                      <w:vertAlign w:val="baseline"/>
                      <w:lang w:val="en-US" w:eastAsia="zh-CN"/>
                    </w:rPr>
                    <w:t>950</w:t>
                  </w:r>
                </w:p>
              </w:tc>
              <w:tc>
                <w:tcPr>
                  <w:tcW w:w="192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4810822">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sz w:val="21"/>
                      <w:szCs w:val="21"/>
                      <w:lang w:val="en-US" w:eastAsia="zh-CN"/>
                    </w:rPr>
                  </w:pPr>
                  <w:r>
                    <w:rPr>
                      <w:rFonts w:hint="default"/>
                      <w:sz w:val="21"/>
                      <w:szCs w:val="21"/>
                    </w:rPr>
                    <w:t>功率</w:t>
                  </w:r>
                  <w:r>
                    <w:rPr>
                      <w:rFonts w:hint="eastAsia"/>
                      <w:sz w:val="21"/>
                      <w:szCs w:val="21"/>
                    </w:rPr>
                    <w:t>1</w:t>
                  </w:r>
                  <w:r>
                    <w:rPr>
                      <w:rFonts w:hint="eastAsia"/>
                      <w:sz w:val="21"/>
                      <w:szCs w:val="21"/>
                      <w:lang w:val="en-US" w:eastAsia="zh-CN"/>
                    </w:rPr>
                    <w:t>5</w:t>
                  </w:r>
                  <w:r>
                    <w:rPr>
                      <w:rFonts w:hint="eastAsia"/>
                      <w:sz w:val="21"/>
                      <w:szCs w:val="21"/>
                    </w:rPr>
                    <w:t>kw</w:t>
                  </w:r>
                </w:p>
              </w:tc>
              <w:tc>
                <w:tcPr>
                  <w:tcW w:w="192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9B65944">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p>
              </w:tc>
              <w:tc>
                <w:tcPr>
                  <w:tcW w:w="1310" w:type="dxa"/>
                  <w:vMerge w:val="restart"/>
                  <w:tcBorders>
                    <w:top w:val="single" w:color="auto" w:sz="4" w:space="0"/>
                    <w:left w:val="single" w:color="auto" w:sz="4" w:space="0"/>
                    <w:bottom w:val="single" w:color="auto" w:sz="4" w:space="0"/>
                  </w:tcBorders>
                  <w:shd w:val="clear" w:color="auto" w:fill="auto"/>
                  <w:noWrap w:val="0"/>
                  <w:vAlign w:val="center"/>
                </w:tcPr>
                <w:p w14:paraId="3318400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000000" w:themeColor="text1"/>
                      <w:sz w:val="21"/>
                      <w:szCs w:val="21"/>
                      <w:lang w:val="en-US"/>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异形裁切工序</w:t>
                  </w:r>
                </w:p>
              </w:tc>
            </w:tr>
            <w:tr w14:paraId="600B9AF0">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00" w:type="dxa"/>
                  <w:vMerge w:val="continue"/>
                  <w:tcBorders>
                    <w:top w:val="single" w:color="auto" w:sz="4" w:space="0"/>
                    <w:left w:val="nil"/>
                    <w:bottom w:val="single" w:color="auto" w:sz="4" w:space="0"/>
                    <w:right w:val="single" w:color="auto" w:sz="4" w:space="0"/>
                  </w:tcBorders>
                  <w:shd w:val="clear" w:color="auto" w:fill="auto"/>
                  <w:noWrap w:val="0"/>
                  <w:vAlign w:val="center"/>
                </w:tcPr>
                <w:p w14:paraId="08D402AB">
                  <w:pPr>
                    <w:pStyle w:val="5"/>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lang w:val="en-US" w:eastAsia="zh-CN"/>
                    </w:rPr>
                  </w:pPr>
                </w:p>
              </w:tc>
              <w:tc>
                <w:tcPr>
                  <w:tcW w:w="1141" w:type="dxa"/>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14:paraId="53B8BC5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p>
              </w:tc>
              <w:tc>
                <w:tcPr>
                  <w:tcW w:w="179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9660EE2">
                  <w:pPr>
                    <w:keepNext w:val="0"/>
                    <w:keepLines w:val="0"/>
                    <w:pageBreakBefore w:val="0"/>
                    <w:widowControl w:val="0"/>
                    <w:numPr>
                      <w:ilvl w:val="0"/>
                      <w:numId w:val="0"/>
                    </w:numPr>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auto"/>
                    <w:rPr>
                      <w:rFonts w:hint="default"/>
                      <w:sz w:val="21"/>
                      <w:szCs w:val="21"/>
                      <w:highlight w:val="none"/>
                      <w:lang w:val="en-US" w:eastAsia="zh-CN"/>
                    </w:rPr>
                  </w:pPr>
                  <w:r>
                    <w:rPr>
                      <w:rFonts w:hint="eastAsia"/>
                      <w:sz w:val="21"/>
                      <w:szCs w:val="21"/>
                      <w:vertAlign w:val="baseline"/>
                      <w:lang w:val="en-US" w:eastAsia="zh-CN"/>
                    </w:rPr>
                    <w:t>970</w:t>
                  </w:r>
                </w:p>
              </w:tc>
              <w:tc>
                <w:tcPr>
                  <w:tcW w:w="192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2C824A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default"/>
                      <w:sz w:val="21"/>
                      <w:szCs w:val="21"/>
                    </w:rPr>
                    <w:t>功率</w:t>
                  </w:r>
                  <w:r>
                    <w:rPr>
                      <w:rFonts w:hint="eastAsia"/>
                      <w:sz w:val="21"/>
                      <w:szCs w:val="21"/>
                    </w:rPr>
                    <w:t>1</w:t>
                  </w:r>
                  <w:r>
                    <w:rPr>
                      <w:rFonts w:hint="eastAsia"/>
                      <w:sz w:val="21"/>
                      <w:szCs w:val="21"/>
                      <w:lang w:val="en-US" w:eastAsia="zh-CN"/>
                    </w:rPr>
                    <w:t>5</w:t>
                  </w:r>
                  <w:r>
                    <w:rPr>
                      <w:rFonts w:hint="eastAsia"/>
                      <w:sz w:val="21"/>
                      <w:szCs w:val="21"/>
                    </w:rPr>
                    <w:t>kw</w:t>
                  </w:r>
                </w:p>
              </w:tc>
              <w:tc>
                <w:tcPr>
                  <w:tcW w:w="192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9581427">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p>
              </w:tc>
              <w:tc>
                <w:tcPr>
                  <w:tcW w:w="1310" w:type="dxa"/>
                  <w:vMerge w:val="continue"/>
                  <w:tcBorders>
                    <w:top w:val="single" w:color="auto" w:sz="4" w:space="0"/>
                    <w:left w:val="single" w:color="auto" w:sz="4" w:space="0"/>
                    <w:bottom w:val="single" w:color="auto" w:sz="4" w:space="0"/>
                  </w:tcBorders>
                  <w:shd w:val="clear" w:color="auto" w:fill="auto"/>
                  <w:noWrap w:val="0"/>
                  <w:vAlign w:val="center"/>
                </w:tcPr>
                <w:p w14:paraId="58E5188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eastAsia="宋体"/>
                      <w:color w:val="auto"/>
                      <w:sz w:val="21"/>
                      <w:szCs w:val="21"/>
                      <w:lang w:val="en-US" w:eastAsia="zh-CN"/>
                    </w:rPr>
                  </w:pPr>
                </w:p>
              </w:tc>
            </w:tr>
            <w:tr w14:paraId="783B8B43">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00" w:type="dxa"/>
                  <w:vMerge w:val="continue"/>
                  <w:tcBorders>
                    <w:top w:val="single" w:color="auto" w:sz="4" w:space="0"/>
                    <w:left w:val="nil"/>
                    <w:bottom w:val="single" w:color="auto" w:sz="4" w:space="0"/>
                    <w:right w:val="single" w:color="auto" w:sz="4" w:space="0"/>
                  </w:tcBorders>
                  <w:shd w:val="clear" w:color="auto" w:fill="auto"/>
                  <w:noWrap w:val="0"/>
                  <w:vAlign w:val="center"/>
                </w:tcPr>
                <w:p w14:paraId="321F0E7B">
                  <w:pPr>
                    <w:pStyle w:val="5"/>
                    <w:keepNext w:val="0"/>
                    <w:keepLines w:val="0"/>
                    <w:suppressLineNumbers w:val="0"/>
                    <w:adjustRightInd w:val="0"/>
                    <w:snapToGrid w:val="0"/>
                    <w:spacing w:before="0" w:beforeAutospacing="0" w:after="0" w:afterAutospacing="0"/>
                    <w:ind w:left="0" w:leftChars="0" w:right="0" w:rightChars="0"/>
                    <w:jc w:val="center"/>
                    <w:rPr>
                      <w:rFonts w:hint="eastAsia"/>
                      <w:color w:val="000000"/>
                      <w:sz w:val="21"/>
                      <w:szCs w:val="21"/>
                      <w:lang w:val="en-US" w:eastAsia="zh-CN"/>
                    </w:rPr>
                  </w:pPr>
                </w:p>
              </w:tc>
              <w:tc>
                <w:tcPr>
                  <w:tcW w:w="1141" w:type="dxa"/>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14:paraId="7A6F139C">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79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052AAC3">
                  <w:pPr>
                    <w:pStyle w:val="5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sz w:val="21"/>
                      <w:szCs w:val="21"/>
                      <w:highlight w:val="none"/>
                      <w:lang w:val="en-US" w:eastAsia="zh-CN"/>
                    </w:rPr>
                  </w:pPr>
                  <w:r>
                    <w:rPr>
                      <w:rFonts w:hint="eastAsia"/>
                      <w:sz w:val="21"/>
                      <w:szCs w:val="21"/>
                      <w:vertAlign w:val="baseline"/>
                      <w:lang w:val="en-US" w:eastAsia="zh-CN"/>
                    </w:rPr>
                    <w:t>1200</w:t>
                  </w:r>
                </w:p>
              </w:tc>
              <w:tc>
                <w:tcPr>
                  <w:tcW w:w="192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E0A1EA6">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sz w:val="21"/>
                      <w:szCs w:val="21"/>
                      <w:lang w:val="en-US" w:eastAsia="zh-CN"/>
                    </w:rPr>
                  </w:pPr>
                  <w:r>
                    <w:rPr>
                      <w:rFonts w:hint="default"/>
                      <w:sz w:val="21"/>
                      <w:szCs w:val="21"/>
                    </w:rPr>
                    <w:t>功率</w:t>
                  </w:r>
                  <w:r>
                    <w:rPr>
                      <w:rFonts w:hint="eastAsia"/>
                      <w:sz w:val="21"/>
                      <w:szCs w:val="21"/>
                      <w:lang w:val="en-US" w:eastAsia="zh-CN"/>
                    </w:rPr>
                    <w:t>20</w:t>
                  </w:r>
                  <w:r>
                    <w:rPr>
                      <w:rFonts w:hint="eastAsia"/>
                      <w:sz w:val="21"/>
                      <w:szCs w:val="21"/>
                    </w:rPr>
                    <w:t>kw</w:t>
                  </w:r>
                </w:p>
              </w:tc>
              <w:tc>
                <w:tcPr>
                  <w:tcW w:w="192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1DBE136">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p>
              </w:tc>
              <w:tc>
                <w:tcPr>
                  <w:tcW w:w="1310" w:type="dxa"/>
                  <w:vMerge w:val="continue"/>
                  <w:tcBorders>
                    <w:top w:val="single" w:color="auto" w:sz="4" w:space="0"/>
                    <w:left w:val="single" w:color="auto" w:sz="4" w:space="0"/>
                    <w:bottom w:val="single" w:color="auto" w:sz="4" w:space="0"/>
                  </w:tcBorders>
                  <w:shd w:val="clear" w:color="auto" w:fill="auto"/>
                  <w:noWrap w:val="0"/>
                  <w:vAlign w:val="center"/>
                </w:tcPr>
                <w:p w14:paraId="37DB0626">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000000" w:themeColor="text1"/>
                      <w:sz w:val="21"/>
                      <w:szCs w:val="21"/>
                      <w14:textFill>
                        <w14:solidFill>
                          <w14:schemeClr w14:val="tx1"/>
                        </w14:solidFill>
                      </w14:textFill>
                    </w:rPr>
                  </w:pPr>
                </w:p>
              </w:tc>
            </w:tr>
            <w:tr w14:paraId="2FCB52EA">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00" w:type="dxa"/>
                  <w:vMerge w:val="restart"/>
                  <w:tcBorders>
                    <w:top w:val="single" w:color="auto" w:sz="4" w:space="0"/>
                    <w:left w:val="nil"/>
                    <w:bottom w:val="single" w:color="auto" w:sz="4" w:space="0"/>
                    <w:right w:val="single" w:color="auto" w:sz="4" w:space="0"/>
                  </w:tcBorders>
                  <w:shd w:val="clear" w:color="auto" w:fill="auto"/>
                  <w:noWrap w:val="0"/>
                  <w:vAlign w:val="center"/>
                </w:tcPr>
                <w:p w14:paraId="33A7F097">
                  <w:pPr>
                    <w:pStyle w:val="5"/>
                    <w:keepNext w:val="0"/>
                    <w:keepLines w:val="0"/>
                    <w:suppressLineNumbers w:val="0"/>
                    <w:adjustRightInd w:val="0"/>
                    <w:snapToGrid w:val="0"/>
                    <w:spacing w:before="0" w:beforeAutospacing="0" w:after="0" w:afterAutospacing="0"/>
                    <w:ind w:left="0" w:leftChars="0" w:right="0" w:rightChars="0"/>
                    <w:jc w:val="center"/>
                    <w:rPr>
                      <w:rFonts w:hint="default"/>
                      <w:color w:val="000000"/>
                      <w:sz w:val="21"/>
                      <w:szCs w:val="21"/>
                      <w:lang w:val="en-US" w:eastAsia="zh-CN"/>
                    </w:rPr>
                  </w:pPr>
                  <w:r>
                    <w:rPr>
                      <w:rFonts w:hint="eastAsia"/>
                      <w:color w:val="000000"/>
                      <w:sz w:val="21"/>
                      <w:szCs w:val="21"/>
                      <w:lang w:val="en-US" w:eastAsia="zh-CN"/>
                    </w:rPr>
                    <w:t>4</w:t>
                  </w:r>
                </w:p>
              </w:tc>
              <w:tc>
                <w:tcPr>
                  <w:tcW w:w="1141" w:type="dxa"/>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14:paraId="55AEEF64">
                  <w:pPr>
                    <w:keepNext w:val="0"/>
                    <w:keepLines w:val="0"/>
                    <w:numPr>
                      <w:ilvl w:val="0"/>
                      <w:numId w:val="0"/>
                    </w:numPr>
                    <w:suppressLineNumbers w:val="0"/>
                    <w:spacing w:before="0" w:beforeAutospacing="0" w:after="0" w:afterAutospacing="0"/>
                    <w:ind w:left="0" w:leftChars="0" w:right="0" w:rightChars="0" w:firstLine="0" w:firstLineChars="0"/>
                    <w:jc w:val="center"/>
                    <w:rPr>
                      <w:rFonts w:hint="eastAsia"/>
                      <w:color w:val="auto"/>
                      <w:sz w:val="21"/>
                      <w:szCs w:val="21"/>
                      <w:highlight w:val="none"/>
                      <w:lang w:val="en-US" w:eastAsia="zh-CN"/>
                    </w:rPr>
                  </w:pPr>
                  <w:r>
                    <w:rPr>
                      <w:rFonts w:hint="eastAsia" w:ascii="宋体" w:hAnsi="宋体" w:eastAsia="宋体" w:cs="宋体"/>
                      <w:sz w:val="21"/>
                      <w:szCs w:val="21"/>
                      <w:vertAlign w:val="baseline"/>
                      <w:lang w:val="en-US" w:eastAsia="zh-CN"/>
                    </w:rPr>
                    <w:t>高速平张分切机</w:t>
                  </w:r>
                </w:p>
              </w:tc>
              <w:tc>
                <w:tcPr>
                  <w:tcW w:w="179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9CD676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sz w:val="21"/>
                      <w:szCs w:val="21"/>
                      <w:highlight w:val="none"/>
                      <w:lang w:val="en-US" w:eastAsia="zh-CN"/>
                    </w:rPr>
                  </w:pPr>
                  <w:r>
                    <w:rPr>
                      <w:rFonts w:hint="eastAsia"/>
                      <w:sz w:val="21"/>
                      <w:szCs w:val="21"/>
                      <w:vertAlign w:val="baseline"/>
                      <w:lang w:val="en-US" w:eastAsia="zh-CN"/>
                    </w:rPr>
                    <w:t>1700</w:t>
                  </w:r>
                </w:p>
              </w:tc>
              <w:tc>
                <w:tcPr>
                  <w:tcW w:w="192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4FB61FF">
                  <w:pPr>
                    <w:keepNext w:val="0"/>
                    <w:keepLines w:val="0"/>
                    <w:suppressLineNumbers w:val="0"/>
                    <w:adjustRightInd w:val="0"/>
                    <w:snapToGrid w:val="0"/>
                    <w:spacing w:before="0" w:beforeAutospacing="0" w:after="0" w:afterAutospacing="0"/>
                    <w:ind w:left="0" w:right="0"/>
                    <w:jc w:val="center"/>
                    <w:rPr>
                      <w:rFonts w:hint="default"/>
                      <w:sz w:val="21"/>
                      <w:szCs w:val="21"/>
                      <w:lang w:val="en-US" w:eastAsia="zh-CN"/>
                    </w:rPr>
                  </w:pPr>
                  <w:r>
                    <w:rPr>
                      <w:rFonts w:hint="eastAsia"/>
                      <w:sz w:val="21"/>
                      <w:szCs w:val="21"/>
                    </w:rPr>
                    <w:t>最大切纸长度800mm</w:t>
                  </w:r>
                </w:p>
              </w:tc>
              <w:tc>
                <w:tcPr>
                  <w:tcW w:w="192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F4E7338">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p>
              </w:tc>
              <w:tc>
                <w:tcPr>
                  <w:tcW w:w="1310" w:type="dxa"/>
                  <w:vMerge w:val="restart"/>
                  <w:tcBorders>
                    <w:top w:val="single" w:color="auto" w:sz="4" w:space="0"/>
                    <w:left w:val="single" w:color="auto" w:sz="4" w:space="0"/>
                    <w:bottom w:val="single" w:color="auto" w:sz="4" w:space="0"/>
                  </w:tcBorders>
                  <w:shd w:val="clear" w:color="auto" w:fill="auto"/>
                  <w:noWrap w:val="0"/>
                  <w:vAlign w:val="center"/>
                </w:tcPr>
                <w:p w14:paraId="30E68CF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000000" w:themeColor="text1"/>
                      <w:sz w:val="21"/>
                      <w:szCs w:val="21"/>
                      <w:lang w:val="en-US" w:eastAsia="zh-CN"/>
                      <w14:textFill>
                        <w14:solidFill>
                          <w14:schemeClr w14:val="tx1"/>
                        </w14:solidFill>
                      </w14:textFill>
                    </w:rPr>
                    <w:t>分切工序</w:t>
                  </w:r>
                </w:p>
              </w:tc>
            </w:tr>
            <w:tr w14:paraId="7BF873DD">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00" w:type="dxa"/>
                  <w:vMerge w:val="continue"/>
                  <w:tcBorders>
                    <w:top w:val="single" w:color="auto" w:sz="4" w:space="0"/>
                    <w:left w:val="nil"/>
                    <w:bottom w:val="single" w:color="auto" w:sz="4" w:space="0"/>
                    <w:right w:val="single" w:color="auto" w:sz="4" w:space="0"/>
                  </w:tcBorders>
                  <w:shd w:val="clear" w:color="auto" w:fill="auto"/>
                  <w:noWrap w:val="0"/>
                  <w:vAlign w:val="center"/>
                </w:tcPr>
                <w:p w14:paraId="2614256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000000"/>
                      <w:sz w:val="21"/>
                      <w:szCs w:val="21"/>
                      <w:lang w:val="en-US" w:eastAsia="zh-CN"/>
                    </w:rPr>
                  </w:pPr>
                </w:p>
              </w:tc>
              <w:tc>
                <w:tcPr>
                  <w:tcW w:w="1141" w:type="dxa"/>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14:paraId="183F009A">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p>
              </w:tc>
              <w:tc>
                <w:tcPr>
                  <w:tcW w:w="1799"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446EC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sz w:val="21"/>
                      <w:szCs w:val="21"/>
                      <w:highlight w:val="none"/>
                      <w:lang w:val="en-US" w:eastAsia="zh-CN"/>
                    </w:rPr>
                  </w:pPr>
                  <w:r>
                    <w:rPr>
                      <w:rFonts w:hint="eastAsia"/>
                      <w:sz w:val="21"/>
                      <w:szCs w:val="21"/>
                      <w:vertAlign w:val="baseline"/>
                      <w:lang w:val="en-US" w:eastAsia="zh-CN"/>
                    </w:rPr>
                    <w:t>1400</w:t>
                  </w:r>
                </w:p>
              </w:tc>
              <w:tc>
                <w:tcPr>
                  <w:tcW w:w="1927"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388157C">
                  <w:pPr>
                    <w:keepNext w:val="0"/>
                    <w:keepLines w:val="0"/>
                    <w:suppressLineNumbers w:val="0"/>
                    <w:adjustRightInd w:val="0"/>
                    <w:snapToGrid w:val="0"/>
                    <w:spacing w:before="0" w:beforeAutospacing="0" w:after="0" w:afterAutospacing="0"/>
                    <w:ind w:left="0" w:right="0"/>
                    <w:jc w:val="center"/>
                    <w:rPr>
                      <w:rFonts w:hint="default"/>
                      <w:sz w:val="21"/>
                      <w:szCs w:val="21"/>
                      <w:lang w:val="en-US" w:eastAsia="zh-CN"/>
                    </w:rPr>
                  </w:pPr>
                  <w:r>
                    <w:rPr>
                      <w:rFonts w:hint="eastAsia"/>
                      <w:sz w:val="21"/>
                      <w:szCs w:val="21"/>
                    </w:rPr>
                    <w:t>最大切纸长度800mm</w:t>
                  </w:r>
                </w:p>
              </w:tc>
              <w:tc>
                <w:tcPr>
                  <w:tcW w:w="1928"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6788849">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w:t>
                  </w:r>
                </w:p>
              </w:tc>
              <w:tc>
                <w:tcPr>
                  <w:tcW w:w="1310" w:type="dxa"/>
                  <w:vMerge w:val="continue"/>
                  <w:tcBorders>
                    <w:top w:val="single" w:color="auto" w:sz="4" w:space="0"/>
                    <w:left w:val="single" w:color="auto" w:sz="4" w:space="0"/>
                    <w:bottom w:val="single" w:color="auto" w:sz="4" w:space="0"/>
                  </w:tcBorders>
                  <w:shd w:val="clear" w:color="auto" w:fill="auto"/>
                  <w:noWrap w:val="0"/>
                  <w:vAlign w:val="center"/>
                </w:tcPr>
                <w:p w14:paraId="3E668BE4">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000000" w:themeColor="text1"/>
                      <w:sz w:val="21"/>
                      <w:szCs w:val="21"/>
                      <w14:textFill>
                        <w14:solidFill>
                          <w14:schemeClr w14:val="tx1"/>
                        </w14:solidFill>
                      </w14:textFill>
                    </w:rPr>
                  </w:pPr>
                </w:p>
              </w:tc>
            </w:tr>
            <w:tr w14:paraId="3571AEB3">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00" w:type="dxa"/>
                  <w:tcBorders>
                    <w:top w:val="single" w:color="auto" w:sz="4" w:space="0"/>
                    <w:left w:val="nil"/>
                    <w:bottom w:val="single" w:color="auto" w:sz="8" w:space="0"/>
                    <w:right w:val="single" w:color="auto" w:sz="4" w:space="0"/>
                  </w:tcBorders>
                  <w:shd w:val="clear" w:color="auto" w:fill="auto"/>
                  <w:noWrap w:val="0"/>
                  <w:vAlign w:val="center"/>
                </w:tcPr>
                <w:p w14:paraId="1C59D92F">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lang w:val="en-US" w:eastAsia="zh-CN"/>
                    </w:rPr>
                  </w:pPr>
                  <w:r>
                    <w:rPr>
                      <w:rFonts w:hint="eastAsia"/>
                      <w:color w:val="auto"/>
                      <w:sz w:val="21"/>
                      <w:szCs w:val="21"/>
                      <w:lang w:val="en-US" w:eastAsia="zh-CN"/>
                    </w:rPr>
                    <w:t>5</w:t>
                  </w:r>
                </w:p>
              </w:tc>
              <w:tc>
                <w:tcPr>
                  <w:tcW w:w="1141" w:type="dxa"/>
                  <w:tcBorders>
                    <w:top w:val="single" w:color="auto" w:sz="4" w:space="0"/>
                    <w:left w:val="single" w:color="auto" w:sz="4" w:space="0"/>
                    <w:bottom w:val="single" w:color="auto" w:sz="8" w:space="0"/>
                    <w:right w:val="single" w:color="auto" w:sz="4" w:space="0"/>
                  </w:tcBorders>
                  <w:shd w:val="clear" w:color="auto" w:fill="auto"/>
                  <w:noWrap w:val="0"/>
                  <w:vAlign w:val="center"/>
                </w:tcPr>
                <w:p w14:paraId="727743D5">
                  <w:pPr>
                    <w:keepNext w:val="0"/>
                    <w:keepLines w:val="0"/>
                    <w:numPr>
                      <w:ilvl w:val="0"/>
                      <w:numId w:val="0"/>
                    </w:numPr>
                    <w:suppressLineNumbers w:val="0"/>
                    <w:spacing w:before="0" w:beforeAutospacing="0" w:after="0" w:afterAutospacing="0"/>
                    <w:ind w:left="0" w:leftChars="0" w:right="0" w:rightChars="0" w:firstLine="0" w:firstLineChars="0"/>
                    <w:jc w:val="center"/>
                    <w:rPr>
                      <w:rFonts w:hint="default"/>
                      <w:color w:val="auto"/>
                      <w:sz w:val="21"/>
                      <w:szCs w:val="21"/>
                      <w:lang w:val="en-US" w:eastAsia="zh-CN"/>
                    </w:rPr>
                  </w:pPr>
                  <w:r>
                    <w:rPr>
                      <w:rFonts w:hint="eastAsia" w:ascii="宋体" w:hAnsi="宋体" w:eastAsia="宋体" w:cs="宋体"/>
                      <w:sz w:val="21"/>
                      <w:szCs w:val="21"/>
                      <w:vertAlign w:val="baseline"/>
                      <w:lang w:val="en-US" w:eastAsia="zh-CN"/>
                    </w:rPr>
                    <w:t>高速分切机</w:t>
                  </w:r>
                </w:p>
              </w:tc>
              <w:tc>
                <w:tcPr>
                  <w:tcW w:w="1799" w:type="dxa"/>
                  <w:tcBorders>
                    <w:top w:val="single" w:color="auto" w:sz="4" w:space="0"/>
                    <w:left w:val="single" w:color="auto" w:sz="4" w:space="0"/>
                    <w:bottom w:val="single" w:color="auto" w:sz="8" w:space="0"/>
                    <w:right w:val="single" w:color="auto" w:sz="4" w:space="0"/>
                  </w:tcBorders>
                  <w:shd w:val="clear" w:color="auto" w:fill="auto"/>
                  <w:noWrap w:val="0"/>
                  <w:vAlign w:val="center"/>
                </w:tcPr>
                <w:p w14:paraId="0CC99A03">
                  <w:pPr>
                    <w:pStyle w:val="56"/>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sz w:val="21"/>
                      <w:szCs w:val="21"/>
                    </w:rPr>
                  </w:pPr>
                  <w:r>
                    <w:rPr>
                      <w:rFonts w:hint="eastAsia"/>
                      <w:sz w:val="21"/>
                      <w:szCs w:val="21"/>
                      <w:lang w:val="en-US" w:eastAsia="zh-CN"/>
                    </w:rPr>
                    <w:t>1300</w:t>
                  </w:r>
                </w:p>
              </w:tc>
              <w:tc>
                <w:tcPr>
                  <w:tcW w:w="1927" w:type="dxa"/>
                  <w:tcBorders>
                    <w:top w:val="single" w:color="auto" w:sz="4" w:space="0"/>
                    <w:left w:val="single" w:color="auto" w:sz="4" w:space="0"/>
                    <w:bottom w:val="single" w:color="auto" w:sz="8" w:space="0"/>
                    <w:right w:val="single" w:color="auto" w:sz="4" w:space="0"/>
                  </w:tcBorders>
                  <w:shd w:val="clear" w:color="auto" w:fill="auto"/>
                  <w:noWrap w:val="0"/>
                  <w:vAlign w:val="center"/>
                </w:tcPr>
                <w:p w14:paraId="21621092">
                  <w:pPr>
                    <w:keepNext w:val="0"/>
                    <w:keepLines w:val="0"/>
                    <w:suppressLineNumbers w:val="0"/>
                    <w:adjustRightInd w:val="0"/>
                    <w:snapToGrid w:val="0"/>
                    <w:spacing w:before="0" w:beforeAutospacing="0" w:after="0" w:afterAutospacing="0"/>
                    <w:ind w:left="0" w:right="0"/>
                    <w:jc w:val="center"/>
                    <w:rPr>
                      <w:rFonts w:hint="default"/>
                      <w:sz w:val="21"/>
                      <w:szCs w:val="21"/>
                      <w:highlight w:val="none"/>
                      <w:lang w:val="en-US" w:eastAsia="zh-CN"/>
                    </w:rPr>
                  </w:pPr>
                  <w:r>
                    <w:rPr>
                      <w:rFonts w:hint="eastAsia"/>
                      <w:sz w:val="21"/>
                      <w:szCs w:val="21"/>
                    </w:rPr>
                    <w:t>最大切纸长度800mm</w:t>
                  </w:r>
                </w:p>
              </w:tc>
              <w:tc>
                <w:tcPr>
                  <w:tcW w:w="1928" w:type="dxa"/>
                  <w:tcBorders>
                    <w:top w:val="single" w:color="auto" w:sz="4" w:space="0"/>
                    <w:left w:val="single" w:color="auto" w:sz="4" w:space="0"/>
                    <w:bottom w:val="single" w:color="auto" w:sz="8" w:space="0"/>
                    <w:right w:val="single" w:color="auto" w:sz="4" w:space="0"/>
                  </w:tcBorders>
                  <w:shd w:val="clear" w:color="auto" w:fill="auto"/>
                  <w:noWrap w:val="0"/>
                  <w:vAlign w:val="center"/>
                </w:tcPr>
                <w:p w14:paraId="67466328">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p>
              </w:tc>
              <w:tc>
                <w:tcPr>
                  <w:tcW w:w="1310" w:type="dxa"/>
                  <w:vMerge w:val="continue"/>
                  <w:tcBorders>
                    <w:top w:val="single" w:color="auto" w:sz="4" w:space="0"/>
                    <w:left w:val="single" w:color="auto" w:sz="4" w:space="0"/>
                    <w:bottom w:val="single" w:color="auto" w:sz="8" w:space="0"/>
                  </w:tcBorders>
                  <w:shd w:val="clear" w:color="auto" w:fill="auto"/>
                  <w:noWrap w:val="0"/>
                  <w:vAlign w:val="center"/>
                </w:tcPr>
                <w:p w14:paraId="4F8E3971">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lang w:val="en-US" w:eastAsia="zh-CN"/>
                    </w:rPr>
                  </w:pPr>
                </w:p>
              </w:tc>
            </w:tr>
          </w:tbl>
          <w:p w14:paraId="2F769677">
            <w:pPr>
              <w:keepNext w:val="0"/>
              <w:keepLines w:val="0"/>
              <w:suppressLineNumbers w:val="0"/>
              <w:adjustRightInd w:val="0"/>
              <w:snapToGrid w:val="0"/>
              <w:spacing w:before="0" w:beforeAutospacing="0" w:after="0" w:afterAutospacing="0" w:line="440" w:lineRule="exact"/>
              <w:ind w:left="0" w:right="0" w:firstLine="511" w:firstLineChars="212"/>
              <w:textAlignment w:val="baseline"/>
              <w:rPr>
                <w:rFonts w:hint="default" w:ascii="宋体" w:hAnsi="宋体"/>
                <w:b/>
                <w:sz w:val="24"/>
              </w:rPr>
            </w:pPr>
            <w:r>
              <w:rPr>
                <w:rFonts w:hint="eastAsia" w:cs="Times New Roman"/>
                <w:b/>
                <w:sz w:val="24"/>
                <w:lang w:val="en-US" w:eastAsia="zh-CN"/>
              </w:rPr>
              <w:t>5</w:t>
            </w:r>
            <w:r>
              <w:rPr>
                <w:rFonts w:hint="default" w:ascii="宋体" w:hAnsi="宋体"/>
                <w:b/>
                <w:sz w:val="24"/>
              </w:rPr>
              <w:t>、</w:t>
            </w:r>
            <w:r>
              <w:rPr>
                <w:rFonts w:hint="eastAsia" w:ascii="宋体" w:hAnsi="宋体"/>
                <w:b/>
                <w:sz w:val="24"/>
              </w:rPr>
              <w:t>本项目主要原辅材料消耗量</w:t>
            </w:r>
          </w:p>
          <w:p w14:paraId="69B4B8FA">
            <w:pPr>
              <w:pStyle w:val="56"/>
              <w:keepNext w:val="0"/>
              <w:keepLines w:val="0"/>
              <w:suppressLineNumbers w:val="0"/>
              <w:spacing w:before="0" w:beforeAutospacing="0" w:after="0" w:afterAutospacing="0" w:line="440" w:lineRule="exact"/>
              <w:ind w:left="0" w:leftChars="0" w:right="0" w:firstLine="480" w:firstLineChars="200"/>
              <w:rPr>
                <w:rFonts w:hint="eastAsia"/>
                <w:color w:val="auto"/>
                <w:sz w:val="24"/>
                <w:szCs w:val="24"/>
                <w:highlight w:val="none"/>
              </w:rPr>
            </w:pPr>
            <w:r>
              <w:rPr>
                <w:rFonts w:hint="eastAsia"/>
                <w:color w:val="auto"/>
                <w:sz w:val="24"/>
                <w:szCs w:val="24"/>
                <w:highlight w:val="none"/>
                <w:lang w:val="en-US" w:eastAsia="zh-CN"/>
              </w:rPr>
              <w:t>原辅材料消耗量见下表</w:t>
            </w:r>
            <w:r>
              <w:rPr>
                <w:rFonts w:hint="eastAsia"/>
                <w:color w:val="auto"/>
                <w:sz w:val="24"/>
                <w:szCs w:val="24"/>
                <w:highlight w:val="none"/>
              </w:rPr>
              <w:t>。</w:t>
            </w:r>
          </w:p>
          <w:p w14:paraId="02505132">
            <w:pPr>
              <w:pStyle w:val="56"/>
              <w:keepNext w:val="0"/>
              <w:keepLines w:val="0"/>
              <w:suppressLineNumbers w:val="0"/>
              <w:spacing w:before="0" w:beforeAutospacing="0" w:after="0" w:afterAutospacing="0" w:line="440" w:lineRule="exact"/>
              <w:ind w:left="0" w:leftChars="0" w:right="0" w:firstLine="482" w:firstLineChars="200"/>
              <w:jc w:val="center"/>
              <w:rPr>
                <w:rFonts w:hint="eastAsia" w:ascii="Times New Roman" w:hAnsi="Times New Roman" w:cs="Times New Roman"/>
                <w:b/>
                <w:bCs/>
                <w:color w:val="auto"/>
                <w:sz w:val="24"/>
                <w:szCs w:val="24"/>
                <w:lang w:val="en-US" w:eastAsia="zh-CN"/>
              </w:rPr>
            </w:pPr>
          </w:p>
          <w:p w14:paraId="5454EB8B">
            <w:pPr>
              <w:pStyle w:val="56"/>
              <w:keepNext w:val="0"/>
              <w:keepLines w:val="0"/>
              <w:suppressLineNumbers w:val="0"/>
              <w:spacing w:before="0" w:beforeAutospacing="0" w:after="0" w:afterAutospacing="0" w:line="440" w:lineRule="exact"/>
              <w:ind w:left="0" w:leftChars="0" w:right="0" w:firstLine="482" w:firstLineChars="200"/>
              <w:jc w:val="center"/>
              <w:rPr>
                <w:rFonts w:hint="eastAsia"/>
                <w:color w:val="auto"/>
                <w:sz w:val="24"/>
                <w:szCs w:val="24"/>
                <w:highlight w:val="none"/>
              </w:rPr>
            </w:pPr>
            <w:r>
              <w:rPr>
                <w:rFonts w:hint="eastAsia" w:ascii="Times New Roman" w:hAnsi="Times New Roman" w:cs="Times New Roman"/>
                <w:b/>
                <w:bCs/>
                <w:color w:val="auto"/>
                <w:sz w:val="24"/>
                <w:szCs w:val="24"/>
                <w:lang w:val="en-US" w:eastAsia="zh-CN"/>
              </w:rPr>
              <w:t>表1</w:t>
            </w:r>
            <w:r>
              <w:rPr>
                <w:rFonts w:hint="eastAsia" w:cs="Times New Roman"/>
                <w:b/>
                <w:bCs/>
                <w:color w:val="auto"/>
                <w:sz w:val="24"/>
                <w:szCs w:val="24"/>
                <w:lang w:val="en-US" w:eastAsia="zh-CN"/>
              </w:rPr>
              <w:t>4</w:t>
            </w:r>
            <w:r>
              <w:rPr>
                <w:rFonts w:hint="eastAsia" w:hAnsi="宋体" w:cs="Times New Roman"/>
                <w:b/>
                <w:bCs/>
                <w:color w:val="auto"/>
                <w:sz w:val="24"/>
                <w:szCs w:val="24"/>
                <w:lang w:val="en-US" w:eastAsia="zh-CN"/>
              </w:rPr>
              <w:t xml:space="preserve"> </w:t>
            </w:r>
            <w:r>
              <w:rPr>
                <w:rFonts w:hint="eastAsia" w:hAnsi="宋体" w:cs="Times New Roman"/>
                <w:b/>
                <w:bCs/>
                <w:color w:val="000000"/>
                <w:sz w:val="24"/>
                <w:szCs w:val="24"/>
                <w:lang w:val="en-US" w:eastAsia="zh-CN"/>
              </w:rPr>
              <w:t xml:space="preserve"> 本项目原辅料消耗一览表</w:t>
            </w:r>
          </w:p>
          <w:tbl>
            <w:tblPr>
              <w:tblStyle w:val="22"/>
              <w:tblW w:w="4997" w:type="pct"/>
              <w:jc w:val="center"/>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035"/>
              <w:gridCol w:w="1194"/>
              <w:gridCol w:w="3122"/>
              <w:gridCol w:w="3449"/>
            </w:tblGrid>
            <w:tr w14:paraId="07D99D75">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88" w:type="pct"/>
                  <w:tcBorders>
                    <w:top w:val="single" w:color="000000" w:sz="8" w:space="0"/>
                    <w:bottom w:val="single" w:color="000000" w:sz="8" w:space="0"/>
                    <w:right w:val="single" w:color="000000" w:sz="4" w:space="0"/>
                  </w:tcBorders>
                  <w:noWrap w:val="0"/>
                  <w:vAlign w:val="center"/>
                </w:tcPr>
                <w:p w14:paraId="429D331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b/>
                      <w:bCs/>
                      <w:color w:val="auto"/>
                      <w:sz w:val="21"/>
                      <w:szCs w:val="21"/>
                      <w:highlight w:val="none"/>
                      <w:lang w:val="en-US" w:eastAsia="zh-CN"/>
                    </w:rPr>
                    <w:t>序号</w:t>
                  </w:r>
                </w:p>
              </w:tc>
              <w:tc>
                <w:tcPr>
                  <w:tcW w:w="678" w:type="pct"/>
                  <w:tcBorders>
                    <w:top w:val="single" w:color="000000" w:sz="8" w:space="0"/>
                    <w:left w:val="single" w:color="000000" w:sz="4" w:space="0"/>
                    <w:bottom w:val="single" w:color="000000" w:sz="8" w:space="0"/>
                    <w:right w:val="single" w:color="000000" w:sz="4" w:space="0"/>
                  </w:tcBorders>
                  <w:noWrap w:val="0"/>
                  <w:vAlign w:val="center"/>
                </w:tcPr>
                <w:p w14:paraId="3DF6EC4F">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r>
                    <w:rPr>
                      <w:rFonts w:hint="eastAsia"/>
                      <w:b/>
                      <w:bCs/>
                      <w:color w:val="auto"/>
                      <w:sz w:val="21"/>
                      <w:szCs w:val="21"/>
                      <w:highlight w:val="none"/>
                    </w:rPr>
                    <w:t>名称</w:t>
                  </w:r>
                </w:p>
              </w:tc>
              <w:tc>
                <w:tcPr>
                  <w:tcW w:w="1773" w:type="pct"/>
                  <w:tcBorders>
                    <w:top w:val="single" w:color="000000" w:sz="8" w:space="0"/>
                    <w:left w:val="single" w:color="000000" w:sz="4" w:space="0"/>
                    <w:bottom w:val="single" w:color="000000" w:sz="8" w:space="0"/>
                    <w:right w:val="single" w:color="000000" w:sz="4" w:space="0"/>
                  </w:tcBorders>
                  <w:noWrap w:val="0"/>
                  <w:vAlign w:val="center"/>
                </w:tcPr>
                <w:p w14:paraId="4F9C9BEF">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b/>
                      <w:bCs/>
                      <w:color w:val="auto"/>
                      <w:sz w:val="21"/>
                      <w:szCs w:val="21"/>
                      <w:highlight w:val="none"/>
                      <w:lang w:val="en-US" w:eastAsia="zh-CN"/>
                    </w:rPr>
                  </w:pPr>
                  <w:r>
                    <w:rPr>
                      <w:rFonts w:hint="eastAsia"/>
                      <w:b/>
                      <w:bCs/>
                      <w:color w:val="auto"/>
                      <w:sz w:val="21"/>
                      <w:szCs w:val="21"/>
                      <w:highlight w:val="none"/>
                      <w:lang w:val="en-US" w:eastAsia="zh-CN"/>
                    </w:rPr>
                    <w:t>本项目年用量（t/a）</w:t>
                  </w:r>
                </w:p>
              </w:tc>
              <w:tc>
                <w:tcPr>
                  <w:tcW w:w="1959" w:type="pct"/>
                  <w:tcBorders>
                    <w:top w:val="single" w:color="000000" w:sz="8" w:space="0"/>
                    <w:left w:val="single" w:color="000000" w:sz="4" w:space="0"/>
                    <w:bottom w:val="single" w:color="000000" w:sz="8" w:space="0"/>
                  </w:tcBorders>
                  <w:noWrap w:val="0"/>
                  <w:vAlign w:val="center"/>
                </w:tcPr>
                <w:p w14:paraId="3FD7F52F">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000000" w:themeColor="text1"/>
                      <w:kern w:val="36"/>
                      <w:sz w:val="21"/>
                      <w:szCs w:val="21"/>
                      <w:highlight w:val="none"/>
                      <w14:textFill>
                        <w14:solidFill>
                          <w14:schemeClr w14:val="tx1"/>
                        </w14:solidFill>
                      </w14:textFill>
                    </w:rPr>
                  </w:pPr>
                  <w:r>
                    <w:rPr>
                      <w:rFonts w:hint="eastAsia"/>
                      <w:b/>
                      <w:bCs/>
                      <w:color w:val="auto"/>
                      <w:sz w:val="21"/>
                      <w:szCs w:val="21"/>
                      <w:highlight w:val="none"/>
                    </w:rPr>
                    <w:t>备注</w:t>
                  </w:r>
                </w:p>
              </w:tc>
            </w:tr>
            <w:tr w14:paraId="61D9D9A3">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72" w:hRule="atLeast"/>
                <w:jc w:val="center"/>
              </w:trPr>
              <w:tc>
                <w:tcPr>
                  <w:tcW w:w="588" w:type="pct"/>
                  <w:tcBorders>
                    <w:top w:val="single" w:color="000000" w:sz="8" w:space="0"/>
                    <w:bottom w:val="single" w:color="000000" w:sz="4" w:space="0"/>
                    <w:right w:val="single" w:color="000000" w:sz="4" w:space="0"/>
                  </w:tcBorders>
                  <w:noWrap w:val="0"/>
                  <w:vAlign w:val="center"/>
                </w:tcPr>
                <w:p w14:paraId="04DE1C0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w:t>
                  </w:r>
                </w:p>
              </w:tc>
              <w:tc>
                <w:tcPr>
                  <w:tcW w:w="678" w:type="pct"/>
                  <w:tcBorders>
                    <w:top w:val="single" w:color="000000" w:sz="8" w:space="0"/>
                    <w:left w:val="single" w:color="000000" w:sz="4" w:space="0"/>
                    <w:bottom w:val="single" w:color="000000" w:sz="4" w:space="0"/>
                    <w:right w:val="single" w:color="000000" w:sz="4" w:space="0"/>
                  </w:tcBorders>
                  <w:noWrap w:val="0"/>
                  <w:vAlign w:val="center"/>
                </w:tcPr>
                <w:p w14:paraId="147665E5">
                  <w:pPr>
                    <w:keepNext w:val="0"/>
                    <w:keepLines w:val="0"/>
                    <w:suppressLineNumbers w:val="0"/>
                    <w:spacing w:before="0" w:beforeAutospacing="0" w:after="0" w:afterAutospacing="0"/>
                    <w:ind w:left="0" w:leftChars="0" w:right="0" w:rightChars="0"/>
                    <w:jc w:val="center"/>
                    <w:rPr>
                      <w:rFonts w:hint="eastAsia"/>
                      <w:color w:val="auto"/>
                      <w:sz w:val="21"/>
                      <w:szCs w:val="21"/>
                      <w:highlight w:val="none"/>
                      <w:lang w:val="en-US" w:eastAsia="zh-CN"/>
                    </w:rPr>
                  </w:pPr>
                  <w:r>
                    <w:rPr>
                      <w:rFonts w:hint="eastAsia"/>
                      <w:sz w:val="21"/>
                      <w:szCs w:val="21"/>
                      <w:lang w:val="en-US" w:eastAsia="zh-CN"/>
                    </w:rPr>
                    <w:t>食品级原纸</w:t>
                  </w:r>
                </w:p>
              </w:tc>
              <w:tc>
                <w:tcPr>
                  <w:tcW w:w="1773" w:type="pct"/>
                  <w:tcBorders>
                    <w:top w:val="single" w:color="000000" w:sz="8" w:space="0"/>
                    <w:left w:val="single" w:color="000000" w:sz="4" w:space="0"/>
                    <w:bottom w:val="single" w:color="000000" w:sz="4" w:space="0"/>
                    <w:right w:val="single" w:color="000000" w:sz="4" w:space="0"/>
                  </w:tcBorders>
                  <w:noWrap w:val="0"/>
                  <w:vAlign w:val="center"/>
                </w:tcPr>
                <w:p w14:paraId="36D34E1D">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22310</w:t>
                  </w:r>
                </w:p>
              </w:tc>
              <w:tc>
                <w:tcPr>
                  <w:tcW w:w="1959" w:type="pct"/>
                  <w:tcBorders>
                    <w:top w:val="single" w:color="000000" w:sz="8" w:space="0"/>
                    <w:left w:val="single" w:color="000000" w:sz="4" w:space="0"/>
                    <w:bottom w:val="single" w:color="000000" w:sz="4" w:space="0"/>
                  </w:tcBorders>
                  <w:noWrap w:val="0"/>
                  <w:vAlign w:val="center"/>
                </w:tcPr>
                <w:p w14:paraId="7BCE2EF6">
                  <w:pPr>
                    <w:keepNext w:val="0"/>
                    <w:keepLines w:val="0"/>
                    <w:suppressLineNumbers w:val="0"/>
                    <w:adjustRightInd w:val="0"/>
                    <w:snapToGrid w:val="0"/>
                    <w:spacing w:before="0" w:beforeAutospacing="0" w:after="0" w:afterAutospacing="0"/>
                    <w:ind w:left="0" w:leftChars="0" w:right="0" w:rightChars="0"/>
                    <w:jc w:val="center"/>
                    <w:rPr>
                      <w:rFonts w:hint="eastAsia"/>
                      <w:color w:val="000000"/>
                      <w:kern w:val="36"/>
                      <w:sz w:val="21"/>
                      <w:szCs w:val="21"/>
                      <w:highlight w:val="none"/>
                    </w:rPr>
                  </w:pPr>
                  <w:r>
                    <w:rPr>
                      <w:rFonts w:hint="eastAsia"/>
                      <w:sz w:val="21"/>
                      <w:szCs w:val="21"/>
                      <w:lang w:val="en-US" w:eastAsia="zh-CN"/>
                    </w:rPr>
                    <w:t>圆筒包装</w:t>
                  </w:r>
                </w:p>
              </w:tc>
            </w:tr>
            <w:tr w14:paraId="208F5E53">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88" w:type="pct"/>
                  <w:tcBorders>
                    <w:top w:val="single" w:color="000000" w:sz="4" w:space="0"/>
                    <w:bottom w:val="single" w:color="000000" w:sz="4" w:space="0"/>
                    <w:right w:val="single" w:color="000000" w:sz="4" w:space="0"/>
                  </w:tcBorders>
                  <w:noWrap w:val="0"/>
                  <w:vAlign w:val="center"/>
                </w:tcPr>
                <w:p w14:paraId="265D63C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w:t>
                  </w:r>
                </w:p>
              </w:tc>
              <w:tc>
                <w:tcPr>
                  <w:tcW w:w="678" w:type="pct"/>
                  <w:tcBorders>
                    <w:top w:val="single" w:color="000000" w:sz="4" w:space="0"/>
                    <w:left w:val="single" w:color="000000" w:sz="4" w:space="0"/>
                    <w:bottom w:val="single" w:color="000000" w:sz="4" w:space="0"/>
                    <w:right w:val="single" w:color="000000" w:sz="4" w:space="0"/>
                  </w:tcBorders>
                  <w:noWrap w:val="0"/>
                  <w:vAlign w:val="center"/>
                </w:tcPr>
                <w:p w14:paraId="52731E2A">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sz w:val="21"/>
                      <w:szCs w:val="21"/>
                      <w:lang w:val="en-US" w:eastAsia="zh-CN"/>
                    </w:rPr>
                    <w:t>食品级油墨（水性油墨）</w:t>
                  </w:r>
                </w:p>
              </w:tc>
              <w:tc>
                <w:tcPr>
                  <w:tcW w:w="1773" w:type="pct"/>
                  <w:tcBorders>
                    <w:top w:val="single" w:color="000000" w:sz="4" w:space="0"/>
                    <w:left w:val="single" w:color="000000" w:sz="4" w:space="0"/>
                    <w:bottom w:val="single" w:color="000000" w:sz="4" w:space="0"/>
                    <w:right w:val="single" w:color="000000" w:sz="4" w:space="0"/>
                  </w:tcBorders>
                  <w:noWrap w:val="0"/>
                  <w:vAlign w:val="center"/>
                </w:tcPr>
                <w:p w14:paraId="631FE16B">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15</w:t>
                  </w:r>
                </w:p>
              </w:tc>
              <w:tc>
                <w:tcPr>
                  <w:tcW w:w="1959" w:type="pct"/>
                  <w:tcBorders>
                    <w:top w:val="single" w:color="000000" w:sz="4" w:space="0"/>
                    <w:left w:val="single" w:color="000000" w:sz="4" w:space="0"/>
                    <w:bottom w:val="single" w:color="000000" w:sz="4" w:space="0"/>
                  </w:tcBorders>
                  <w:noWrap w:val="0"/>
                  <w:vAlign w:val="center"/>
                </w:tcPr>
                <w:p w14:paraId="102D95E3">
                  <w:pPr>
                    <w:keepNext w:val="0"/>
                    <w:keepLines w:val="0"/>
                    <w:suppressLineNumbers w:val="0"/>
                    <w:adjustRightInd w:val="0"/>
                    <w:snapToGrid w:val="0"/>
                    <w:spacing w:before="0" w:beforeAutospacing="0" w:after="0" w:afterAutospacing="0"/>
                    <w:ind w:left="0" w:leftChars="0" w:right="0" w:rightChars="0"/>
                    <w:jc w:val="center"/>
                    <w:rPr>
                      <w:rFonts w:hint="default" w:eastAsia="宋体"/>
                      <w:color w:val="000000"/>
                      <w:kern w:val="36"/>
                      <w:sz w:val="21"/>
                      <w:szCs w:val="21"/>
                      <w:highlight w:val="none"/>
                      <w:lang w:val="en-US" w:eastAsia="zh-CN"/>
                    </w:rPr>
                  </w:pPr>
                  <w:r>
                    <w:rPr>
                      <w:rFonts w:hint="eastAsia"/>
                      <w:sz w:val="21"/>
                      <w:szCs w:val="21"/>
                      <w:lang w:val="en-US" w:eastAsia="zh-CN"/>
                    </w:rPr>
                    <w:t>液态，桶</w:t>
                  </w:r>
                  <w:r>
                    <w:rPr>
                      <w:rFonts w:hint="eastAsia"/>
                      <w:sz w:val="21"/>
                      <w:szCs w:val="21"/>
                    </w:rPr>
                    <w:t>装（25kg/</w:t>
                  </w:r>
                  <w:r>
                    <w:rPr>
                      <w:rFonts w:hint="eastAsia"/>
                      <w:sz w:val="21"/>
                      <w:szCs w:val="21"/>
                      <w:lang w:val="en-US" w:eastAsia="zh-CN"/>
                    </w:rPr>
                    <w:t>桶</w:t>
                  </w:r>
                  <w:r>
                    <w:rPr>
                      <w:rFonts w:hint="eastAsia"/>
                      <w:sz w:val="21"/>
                      <w:szCs w:val="21"/>
                    </w:rPr>
                    <w:t>）</w:t>
                  </w:r>
                  <w:r>
                    <w:rPr>
                      <w:rFonts w:hint="eastAsia"/>
                      <w:sz w:val="21"/>
                      <w:szCs w:val="21"/>
                      <w:lang w:eastAsia="zh-CN"/>
                    </w:rPr>
                    <w:t>，</w:t>
                  </w:r>
                  <w:r>
                    <w:rPr>
                      <w:rFonts w:hint="eastAsia"/>
                      <w:sz w:val="21"/>
                      <w:szCs w:val="21"/>
                      <w:lang w:val="en-US" w:eastAsia="zh-CN"/>
                    </w:rPr>
                    <w:t>密闭储存间</w:t>
                  </w:r>
                </w:p>
              </w:tc>
            </w:tr>
            <w:tr w14:paraId="5D758108">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88" w:type="pct"/>
                  <w:tcBorders>
                    <w:top w:val="single" w:color="000000" w:sz="4" w:space="0"/>
                    <w:bottom w:val="single" w:color="000000" w:sz="4" w:space="0"/>
                    <w:right w:val="single" w:color="000000" w:sz="4" w:space="0"/>
                  </w:tcBorders>
                  <w:noWrap w:val="0"/>
                  <w:vAlign w:val="center"/>
                </w:tcPr>
                <w:p w14:paraId="60117CAF">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3</w:t>
                  </w:r>
                </w:p>
              </w:tc>
              <w:tc>
                <w:tcPr>
                  <w:tcW w:w="678" w:type="pct"/>
                  <w:tcBorders>
                    <w:top w:val="single" w:color="000000" w:sz="4" w:space="0"/>
                    <w:left w:val="single" w:color="000000" w:sz="4" w:space="0"/>
                    <w:bottom w:val="single" w:color="000000" w:sz="4" w:space="0"/>
                    <w:right w:val="single" w:color="000000" w:sz="4" w:space="0"/>
                  </w:tcBorders>
                  <w:noWrap w:val="0"/>
                  <w:vAlign w:val="center"/>
                </w:tcPr>
                <w:p w14:paraId="19F785F3">
                  <w:pPr>
                    <w:keepNext w:val="0"/>
                    <w:keepLines w:val="0"/>
                    <w:suppressLineNumbers w:val="0"/>
                    <w:adjustRightInd w:val="0"/>
                    <w:snapToGrid w:val="0"/>
                    <w:spacing w:before="0" w:beforeAutospacing="0" w:after="0" w:afterAutospacing="0"/>
                    <w:ind w:left="0" w:leftChars="0" w:right="0" w:rightChars="0"/>
                    <w:jc w:val="center"/>
                    <w:rPr>
                      <w:rFonts w:hint="default" w:eastAsia="宋体"/>
                      <w:color w:val="auto"/>
                      <w:sz w:val="21"/>
                      <w:szCs w:val="21"/>
                      <w:highlight w:val="none"/>
                      <w:lang w:val="en-US" w:eastAsia="zh-CN"/>
                    </w:rPr>
                  </w:pPr>
                  <w:r>
                    <w:rPr>
                      <w:rFonts w:hint="eastAsia"/>
                      <w:sz w:val="21"/>
                      <w:szCs w:val="21"/>
                      <w:lang w:val="en-US" w:eastAsia="zh-CN"/>
                    </w:rPr>
                    <w:t>中石化食品级PE</w:t>
                  </w:r>
                </w:p>
              </w:tc>
              <w:tc>
                <w:tcPr>
                  <w:tcW w:w="1773" w:type="pct"/>
                  <w:tcBorders>
                    <w:top w:val="single" w:color="000000" w:sz="4" w:space="0"/>
                    <w:left w:val="single" w:color="000000" w:sz="4" w:space="0"/>
                    <w:bottom w:val="single" w:color="000000" w:sz="4" w:space="0"/>
                    <w:right w:val="single" w:color="000000" w:sz="4" w:space="0"/>
                  </w:tcBorders>
                  <w:noWrap w:val="0"/>
                  <w:vAlign w:val="center"/>
                </w:tcPr>
                <w:p w14:paraId="3F214035">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690</w:t>
                  </w:r>
                </w:p>
              </w:tc>
              <w:tc>
                <w:tcPr>
                  <w:tcW w:w="1959" w:type="pct"/>
                  <w:tcBorders>
                    <w:top w:val="single" w:color="000000" w:sz="4" w:space="0"/>
                    <w:left w:val="single" w:color="000000" w:sz="4" w:space="0"/>
                    <w:bottom w:val="single" w:color="000000" w:sz="4" w:space="0"/>
                  </w:tcBorders>
                  <w:noWrap w:val="0"/>
                  <w:vAlign w:val="center"/>
                </w:tcPr>
                <w:p w14:paraId="05A05BFC">
                  <w:pPr>
                    <w:keepNext w:val="0"/>
                    <w:keepLines w:val="0"/>
                    <w:suppressLineNumbers w:val="0"/>
                    <w:adjustRightInd w:val="0"/>
                    <w:snapToGrid w:val="0"/>
                    <w:spacing w:before="0" w:beforeAutospacing="0" w:after="0" w:afterAutospacing="0"/>
                    <w:ind w:left="0" w:leftChars="0" w:right="0" w:rightChars="0"/>
                    <w:jc w:val="center"/>
                    <w:rPr>
                      <w:rFonts w:hint="eastAsia"/>
                      <w:color w:val="000000"/>
                      <w:kern w:val="36"/>
                      <w:sz w:val="21"/>
                      <w:szCs w:val="21"/>
                      <w:highlight w:val="none"/>
                      <w:lang w:val="en-US" w:eastAsia="zh-CN"/>
                    </w:rPr>
                  </w:pPr>
                  <w:r>
                    <w:rPr>
                      <w:rFonts w:hint="eastAsia"/>
                      <w:sz w:val="21"/>
                      <w:szCs w:val="21"/>
                      <w:lang w:val="en-US" w:eastAsia="zh-CN"/>
                    </w:rPr>
                    <w:t>颗粒状，</w:t>
                  </w:r>
                  <w:r>
                    <w:rPr>
                      <w:rFonts w:hint="eastAsia"/>
                      <w:sz w:val="21"/>
                      <w:szCs w:val="21"/>
                    </w:rPr>
                    <w:t>袋装（25kg/袋）</w:t>
                  </w:r>
                </w:p>
              </w:tc>
            </w:tr>
            <w:tr w14:paraId="757CC6AC">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88" w:type="pct"/>
                  <w:tcBorders>
                    <w:top w:val="single" w:color="000000" w:sz="4" w:space="0"/>
                    <w:bottom w:val="single" w:color="000000" w:sz="4" w:space="0"/>
                    <w:right w:val="single" w:color="000000" w:sz="4" w:space="0"/>
                  </w:tcBorders>
                  <w:noWrap w:val="0"/>
                  <w:vAlign w:val="center"/>
                </w:tcPr>
                <w:p w14:paraId="47267ED1">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4</w:t>
                  </w:r>
                </w:p>
              </w:tc>
              <w:tc>
                <w:tcPr>
                  <w:tcW w:w="678" w:type="pct"/>
                  <w:tcBorders>
                    <w:top w:val="single" w:color="000000" w:sz="4" w:space="0"/>
                    <w:left w:val="single" w:color="000000" w:sz="4" w:space="0"/>
                    <w:bottom w:val="single" w:color="000000" w:sz="4" w:space="0"/>
                    <w:right w:val="single" w:color="000000" w:sz="4" w:space="0"/>
                  </w:tcBorders>
                  <w:noWrap w:val="0"/>
                  <w:vAlign w:val="center"/>
                </w:tcPr>
                <w:p w14:paraId="0777C215">
                  <w:pPr>
                    <w:keepNext w:val="0"/>
                    <w:keepLines w:val="0"/>
                    <w:suppressLineNumbers w:val="0"/>
                    <w:adjustRightInd w:val="0"/>
                    <w:snapToGrid w:val="0"/>
                    <w:spacing w:before="0" w:beforeAutospacing="0" w:after="0" w:afterAutospacing="0"/>
                    <w:ind w:left="0" w:right="0"/>
                    <w:jc w:val="center"/>
                    <w:rPr>
                      <w:rFonts w:hint="eastAsia"/>
                      <w:sz w:val="21"/>
                      <w:szCs w:val="21"/>
                      <w:lang w:val="en-US" w:eastAsia="zh-CN"/>
                    </w:rPr>
                  </w:pPr>
                  <w:r>
                    <w:rPr>
                      <w:rFonts w:hint="eastAsia"/>
                      <w:sz w:val="21"/>
                      <w:szCs w:val="21"/>
                    </w:rPr>
                    <w:t>新鲜水</w:t>
                  </w:r>
                </w:p>
              </w:tc>
              <w:tc>
                <w:tcPr>
                  <w:tcW w:w="1773" w:type="pct"/>
                  <w:tcBorders>
                    <w:top w:val="single" w:color="000000" w:sz="4" w:space="0"/>
                    <w:left w:val="single" w:color="000000" w:sz="4" w:space="0"/>
                    <w:bottom w:val="single" w:color="000000" w:sz="4" w:space="0"/>
                    <w:right w:val="single" w:color="000000" w:sz="4" w:space="0"/>
                  </w:tcBorders>
                  <w:noWrap w:val="0"/>
                  <w:vAlign w:val="center"/>
                </w:tcPr>
                <w:p w14:paraId="7B0AA350">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highlight w:val="none"/>
                      <w:lang w:val="en-US" w:eastAsia="zh-CN"/>
                    </w:rPr>
                  </w:pPr>
                  <w:r>
                    <w:rPr>
                      <w:rFonts w:hint="eastAsia"/>
                      <w:sz w:val="21"/>
                      <w:szCs w:val="21"/>
                      <w:lang w:val="en-US" w:eastAsia="zh-CN"/>
                    </w:rPr>
                    <w:t>102</w:t>
                  </w:r>
                </w:p>
              </w:tc>
              <w:tc>
                <w:tcPr>
                  <w:tcW w:w="1959" w:type="pct"/>
                  <w:tcBorders>
                    <w:top w:val="single" w:color="000000" w:sz="4" w:space="0"/>
                    <w:left w:val="single" w:color="000000" w:sz="4" w:space="0"/>
                    <w:bottom w:val="single" w:color="000000" w:sz="4" w:space="0"/>
                  </w:tcBorders>
                  <w:noWrap w:val="0"/>
                  <w:vAlign w:val="center"/>
                </w:tcPr>
                <w:p w14:paraId="67099229">
                  <w:pPr>
                    <w:keepNext w:val="0"/>
                    <w:keepLines w:val="0"/>
                    <w:suppressLineNumbers w:val="0"/>
                    <w:adjustRightInd w:val="0"/>
                    <w:snapToGrid w:val="0"/>
                    <w:spacing w:before="0" w:beforeAutospacing="0" w:after="0" w:afterAutospacing="0"/>
                    <w:ind w:left="0" w:right="0"/>
                    <w:jc w:val="center"/>
                    <w:rPr>
                      <w:rFonts w:hint="default" w:eastAsia="宋体"/>
                      <w:sz w:val="21"/>
                      <w:szCs w:val="21"/>
                      <w:lang w:val="en-US" w:eastAsia="zh-CN"/>
                    </w:rPr>
                  </w:pPr>
                  <w:r>
                    <w:rPr>
                      <w:rFonts w:hint="eastAsia"/>
                      <w:sz w:val="21"/>
                      <w:szCs w:val="21"/>
                    </w:rPr>
                    <w:t>市政供水</w:t>
                  </w:r>
                  <w:r>
                    <w:rPr>
                      <w:rFonts w:hint="eastAsia"/>
                      <w:sz w:val="21"/>
                      <w:szCs w:val="21"/>
                      <w:lang w:eastAsia="zh-CN"/>
                    </w:rPr>
                    <w:t>（</w:t>
                  </w:r>
                  <w:r>
                    <w:rPr>
                      <w:rFonts w:hint="eastAsia"/>
                      <w:sz w:val="21"/>
                      <w:szCs w:val="21"/>
                      <w:lang w:val="en-US" w:eastAsia="zh-CN"/>
                    </w:rPr>
                    <w:t>其中循环冷却水为外购纯水</w:t>
                  </w:r>
                  <w:r>
                    <w:rPr>
                      <w:rFonts w:hint="eastAsia"/>
                      <w:sz w:val="21"/>
                      <w:szCs w:val="21"/>
                      <w:lang w:eastAsia="zh-CN"/>
                    </w:rPr>
                    <w:t>）</w:t>
                  </w:r>
                </w:p>
              </w:tc>
            </w:tr>
            <w:tr w14:paraId="2966D3CC">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588" w:type="pct"/>
                  <w:tcBorders>
                    <w:top w:val="single" w:color="000000" w:sz="4" w:space="0"/>
                    <w:bottom w:val="single" w:color="000000" w:sz="8" w:space="0"/>
                    <w:right w:val="single" w:color="000000" w:sz="4" w:space="0"/>
                  </w:tcBorders>
                  <w:noWrap w:val="0"/>
                  <w:vAlign w:val="center"/>
                </w:tcPr>
                <w:p w14:paraId="752DD484">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5</w:t>
                  </w:r>
                </w:p>
              </w:tc>
              <w:tc>
                <w:tcPr>
                  <w:tcW w:w="678" w:type="pct"/>
                  <w:tcBorders>
                    <w:top w:val="single" w:color="000000" w:sz="4" w:space="0"/>
                    <w:left w:val="single" w:color="000000" w:sz="4" w:space="0"/>
                    <w:bottom w:val="single" w:color="000000" w:sz="8" w:space="0"/>
                    <w:right w:val="single" w:color="000000" w:sz="4" w:space="0"/>
                  </w:tcBorders>
                  <w:noWrap w:val="0"/>
                  <w:vAlign w:val="center"/>
                </w:tcPr>
                <w:p w14:paraId="73AC8CF5">
                  <w:pPr>
                    <w:keepNext w:val="0"/>
                    <w:keepLines w:val="0"/>
                    <w:suppressLineNumbers w:val="0"/>
                    <w:adjustRightInd w:val="0"/>
                    <w:snapToGrid w:val="0"/>
                    <w:spacing w:before="0" w:beforeAutospacing="0" w:after="0" w:afterAutospacing="0"/>
                    <w:ind w:left="0" w:right="0"/>
                    <w:jc w:val="center"/>
                    <w:rPr>
                      <w:rFonts w:hint="eastAsia"/>
                      <w:sz w:val="21"/>
                      <w:szCs w:val="21"/>
                      <w:lang w:val="en-US" w:eastAsia="zh-CN"/>
                    </w:rPr>
                  </w:pPr>
                  <w:r>
                    <w:rPr>
                      <w:rFonts w:hint="eastAsia"/>
                      <w:sz w:val="21"/>
                      <w:szCs w:val="21"/>
                    </w:rPr>
                    <w:t>电</w:t>
                  </w:r>
                </w:p>
              </w:tc>
              <w:tc>
                <w:tcPr>
                  <w:tcW w:w="1773" w:type="pct"/>
                  <w:tcBorders>
                    <w:top w:val="single" w:color="000000" w:sz="4" w:space="0"/>
                    <w:left w:val="single" w:color="000000" w:sz="4" w:space="0"/>
                    <w:bottom w:val="single" w:color="000000" w:sz="8" w:space="0"/>
                    <w:right w:val="single" w:color="000000" w:sz="4" w:space="0"/>
                  </w:tcBorders>
                  <w:noWrap w:val="0"/>
                  <w:vAlign w:val="center"/>
                </w:tcPr>
                <w:p w14:paraId="3E08368F">
                  <w:pPr>
                    <w:keepNext w:val="0"/>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sz w:val="21"/>
                      <w:szCs w:val="21"/>
                      <w:lang w:val="en-US" w:eastAsia="zh-CN"/>
                    </w:rPr>
                    <w:t>40</w:t>
                  </w:r>
                  <w:r>
                    <w:rPr>
                      <w:rFonts w:hint="eastAsia"/>
                      <w:sz w:val="21"/>
                      <w:szCs w:val="21"/>
                    </w:rPr>
                    <w:t>万</w:t>
                  </w:r>
                  <w:r>
                    <w:rPr>
                      <w:rFonts w:hint="default"/>
                      <w:sz w:val="21"/>
                      <w:szCs w:val="21"/>
                    </w:rPr>
                    <w:t>K</w:t>
                  </w:r>
                  <w:r>
                    <w:rPr>
                      <w:rFonts w:hint="eastAsia"/>
                      <w:sz w:val="21"/>
                      <w:szCs w:val="21"/>
                    </w:rPr>
                    <w:t>w/h</w:t>
                  </w:r>
                </w:p>
              </w:tc>
              <w:tc>
                <w:tcPr>
                  <w:tcW w:w="1959" w:type="pct"/>
                  <w:tcBorders>
                    <w:top w:val="single" w:color="000000" w:sz="4" w:space="0"/>
                    <w:left w:val="single" w:color="000000" w:sz="4" w:space="0"/>
                    <w:bottom w:val="single" w:color="000000" w:sz="8" w:space="0"/>
                  </w:tcBorders>
                  <w:noWrap w:val="0"/>
                  <w:vAlign w:val="center"/>
                </w:tcPr>
                <w:p w14:paraId="28548B79">
                  <w:pPr>
                    <w:keepNext w:val="0"/>
                    <w:keepLines w:val="0"/>
                    <w:suppressLineNumbers w:val="0"/>
                    <w:adjustRightInd w:val="0"/>
                    <w:snapToGrid w:val="0"/>
                    <w:spacing w:before="0" w:beforeAutospacing="0" w:after="0" w:afterAutospacing="0"/>
                    <w:ind w:left="0" w:right="0"/>
                    <w:jc w:val="center"/>
                    <w:rPr>
                      <w:rFonts w:hint="eastAsia"/>
                      <w:sz w:val="21"/>
                      <w:szCs w:val="21"/>
                      <w:lang w:val="en-US" w:eastAsia="zh-CN"/>
                    </w:rPr>
                  </w:pPr>
                  <w:r>
                    <w:rPr>
                      <w:rFonts w:hint="eastAsia"/>
                      <w:sz w:val="21"/>
                      <w:szCs w:val="21"/>
                    </w:rPr>
                    <w:t>市政供电</w:t>
                  </w:r>
                </w:p>
              </w:tc>
            </w:tr>
          </w:tbl>
          <w:p w14:paraId="3AFB7A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sz w:val="24"/>
                <w:szCs w:val="24"/>
                <w:lang w:val="en-US" w:eastAsia="zh-CN"/>
              </w:rPr>
            </w:pPr>
            <w:r>
              <w:rPr>
                <w:rFonts w:hint="eastAsia" w:cs="Times New Roman"/>
                <w:sz w:val="24"/>
                <w:szCs w:val="24"/>
                <w:lang w:val="en-US" w:eastAsia="zh-CN"/>
              </w:rPr>
              <w:t>本项目物料平衡图见下表：</w:t>
            </w:r>
          </w:p>
          <w:p w14:paraId="0801F2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object>
                <v:shape id="_x0000_i1025" o:spt="75" type="#_x0000_t75" style="height:225.75pt;width:293.25pt;" o:ole="t" filled="f" o:preferrelative="t" stroked="f" coordsize="21600,21600">
                  <v:path/>
                  <v:fill on="f" focussize="0,0"/>
                  <v:stroke on="f"/>
                  <v:imagedata r:id="rId17" o:title=""/>
                  <o:lock v:ext="edit" aspectratio="f"/>
                  <w10:wrap type="none"/>
                  <w10:anchorlock/>
                </v:shape>
                <o:OLEObject Type="Embed" ProgID="Visio.Drawing.15" ShapeID="_x0000_i1025" DrawAspect="Content" ObjectID="_1468075725" r:id="rId16">
                  <o:LockedField>false</o:LockedField>
                </o:OLEObject>
              </w:object>
            </w:r>
          </w:p>
          <w:p w14:paraId="45468431">
            <w:pPr>
              <w:keepNext/>
              <w:keepLines w:val="0"/>
              <w:pageBreakBefore w:val="0"/>
              <w:widowControl w:val="0"/>
              <w:suppressLineNumbers w:val="0"/>
              <w:tabs>
                <w:tab w:val="left" w:pos="635"/>
              </w:tabs>
              <w:kinsoku/>
              <w:wordWrap/>
              <w:overflowPunct w:val="0"/>
              <w:topLinePunct w:val="0"/>
              <w:autoSpaceDE/>
              <w:autoSpaceDN/>
              <w:bidi w:val="0"/>
              <w:adjustRightInd/>
              <w:snapToGrid w:val="0"/>
              <w:spacing w:before="0" w:beforeAutospacing="0" w:after="0" w:afterAutospacing="0"/>
              <w:ind w:left="0" w:right="0" w:firstLine="0"/>
              <w:jc w:val="center"/>
              <w:textAlignment w:val="auto"/>
              <w:outlineLvl w:val="9"/>
              <w:rPr>
                <w:rFonts w:hint="default"/>
                <w:b/>
                <w:bCs/>
                <w:lang w:val="en-US" w:eastAsia="zh-CN"/>
              </w:rPr>
            </w:pPr>
            <w:r>
              <w:rPr>
                <w:rFonts w:hint="eastAsia"/>
                <w:b/>
                <w:bCs/>
                <w:lang w:val="en-US" w:eastAsia="zh-CN"/>
              </w:rPr>
              <w:t>图3  本项目物料平衡分析图 （t/a）</w:t>
            </w:r>
          </w:p>
          <w:p w14:paraId="2A2033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rPr>
              <w:t>主要原辅材料理化性质</w:t>
            </w:r>
            <w:r>
              <w:rPr>
                <w:rFonts w:hint="eastAsia" w:cs="Times New Roman"/>
                <w:sz w:val="24"/>
                <w:szCs w:val="24"/>
                <w:lang w:eastAsia="zh-CN"/>
              </w:rPr>
              <w:t>：</w:t>
            </w:r>
          </w:p>
          <w:p w14:paraId="5997EF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食品级油墨（水性油墨）</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highlight w:val="none"/>
                <w:lang w:val="en-US" w:eastAsia="zh-CN"/>
              </w:rPr>
              <w:t>水性环保型油墨，外观为有色流体，与水完全互溶</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val="en-US" w:eastAsia="zh-CN"/>
              </w:rPr>
              <w:t>主要成分约为60%丙烯酸树脂、30%颜料</w:t>
            </w:r>
            <w:r>
              <w:rPr>
                <w:rFonts w:hint="eastAsia" w:cs="Times New Roman"/>
                <w:sz w:val="24"/>
                <w:szCs w:val="24"/>
                <w:highlight w:val="none"/>
                <w:lang w:val="en-US" w:eastAsia="zh-CN"/>
              </w:rPr>
              <w:t>（颜料红、颜料黄、酞菁蓝等，不含重金属）</w:t>
            </w:r>
            <w:r>
              <w:rPr>
                <w:rFonts w:hint="default" w:ascii="Times New Roman" w:hAnsi="Times New Roman" w:eastAsia="宋体" w:cs="Times New Roman"/>
                <w:sz w:val="24"/>
                <w:szCs w:val="24"/>
                <w:highlight w:val="none"/>
                <w:lang w:val="en-US" w:eastAsia="zh-CN"/>
              </w:rPr>
              <w:t>、10%水</w:t>
            </w:r>
            <w:r>
              <w:rPr>
                <w:rFonts w:hint="default" w:ascii="Times New Roman" w:hAnsi="Times New Roman" w:eastAsia="宋体" w:cs="Times New Roman"/>
                <w:sz w:val="24"/>
                <w:szCs w:val="24"/>
                <w:lang w:val="en-US" w:eastAsia="zh-CN"/>
              </w:rPr>
              <w:t>。本项目水性油墨可直接使用，不需要调配。本项目</w:t>
            </w:r>
            <w:r>
              <w:rPr>
                <w:rFonts w:hint="eastAsia" w:cs="Times New Roman"/>
                <w:sz w:val="24"/>
                <w:szCs w:val="24"/>
                <w:lang w:val="en-US" w:eastAsia="zh-CN"/>
              </w:rPr>
              <w:t>在未淋膜的纸张面进行印刷</w:t>
            </w:r>
            <w:r>
              <w:rPr>
                <w:rFonts w:hint="default" w:ascii="Times New Roman" w:hAnsi="Times New Roman" w:eastAsia="宋体" w:cs="Times New Roman"/>
                <w:sz w:val="24"/>
                <w:szCs w:val="24"/>
                <w:highlight w:val="none"/>
              </w:rPr>
              <w:t>，</w:t>
            </w:r>
            <w:r>
              <w:rPr>
                <w:rFonts w:hint="eastAsia" w:cs="Times New Roman"/>
                <w:sz w:val="24"/>
                <w:szCs w:val="24"/>
                <w:highlight w:val="none"/>
                <w:lang w:val="en-US" w:eastAsia="zh-CN"/>
              </w:rPr>
              <w:t>纸张</w:t>
            </w:r>
            <w:r>
              <w:rPr>
                <w:rFonts w:hint="default" w:ascii="Times New Roman" w:hAnsi="Times New Roman" w:eastAsia="宋体" w:cs="Times New Roman"/>
                <w:sz w:val="24"/>
                <w:szCs w:val="24"/>
                <w:highlight w:val="none"/>
              </w:rPr>
              <w:t>属于吸收性承印物</w:t>
            </w:r>
            <w:r>
              <w:rPr>
                <w:rFonts w:hint="default" w:ascii="Times New Roman" w:hAnsi="Times New Roman" w:eastAsia="宋体" w:cs="Times New Roman"/>
                <w:sz w:val="24"/>
                <w:szCs w:val="24"/>
              </w:rPr>
              <w:t>。根据</w:t>
            </w:r>
            <w:r>
              <w:rPr>
                <w:rFonts w:hint="default" w:ascii="Times New Roman" w:hAnsi="Times New Roman" w:eastAsia="宋体" w:cs="Times New Roman"/>
                <w:sz w:val="24"/>
                <w:szCs w:val="24"/>
                <w:lang w:val="en-US" w:eastAsia="zh-CN"/>
              </w:rPr>
              <w:t>该水性油墨检测报告（报告编号：DGC250410005BD），水性油墨中VOCs含量未检出，满足</w:t>
            </w:r>
            <w:r>
              <w:rPr>
                <w:rFonts w:hint="default" w:ascii="Times New Roman" w:hAnsi="Times New Roman" w:eastAsia="宋体" w:cs="Times New Roman"/>
                <w:sz w:val="24"/>
                <w:szCs w:val="24"/>
              </w:rPr>
              <w:t>《油墨中可挥发性有机化合物（VOCs）含量的限值》（GB38507-2020）</w:t>
            </w:r>
            <w:r>
              <w:rPr>
                <w:rFonts w:hint="default" w:ascii="Times New Roman" w:hAnsi="Times New Roman" w:eastAsia="宋体" w:cs="Times New Roman"/>
                <w:sz w:val="24"/>
                <w:szCs w:val="24"/>
                <w:lang w:val="en-US" w:eastAsia="zh-CN"/>
              </w:rPr>
              <w:t>柔印油墨-</w:t>
            </w:r>
            <w:r>
              <w:rPr>
                <w:rFonts w:hint="default" w:ascii="Times New Roman" w:hAnsi="Times New Roman" w:eastAsia="宋体" w:cs="Times New Roman"/>
                <w:sz w:val="24"/>
                <w:szCs w:val="24"/>
              </w:rPr>
              <w:t>吸收性承印物挥发性有机化合物含量小于5%</w:t>
            </w:r>
            <w:r>
              <w:rPr>
                <w:rFonts w:hint="default" w:ascii="Times New Roman" w:hAnsi="Times New Roman" w:eastAsia="宋体" w:cs="Times New Roman"/>
                <w:sz w:val="24"/>
                <w:szCs w:val="24"/>
                <w:lang w:val="en-US" w:eastAsia="zh-CN"/>
              </w:rPr>
              <w:t>的限值要求</w:t>
            </w:r>
            <w:r>
              <w:rPr>
                <w:rFonts w:hint="default" w:ascii="Times New Roman" w:hAnsi="Times New Roman" w:eastAsia="宋体" w:cs="Times New Roman"/>
                <w:sz w:val="24"/>
                <w:szCs w:val="24"/>
              </w:rPr>
              <w:t>，属于低VOCs含量油墨。</w:t>
            </w:r>
          </w:p>
          <w:p w14:paraId="69EB16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sz w:val="24"/>
                <w:szCs w:val="24"/>
                <w:highlight w:val="yellow"/>
              </w:rPr>
            </w:pPr>
            <w:r>
              <w:rPr>
                <w:rFonts w:hint="default" w:ascii="Times New Roman" w:hAnsi="Times New Roman" w:eastAsia="宋体" w:cs="Times New Roman"/>
                <w:sz w:val="24"/>
                <w:szCs w:val="24"/>
                <w:lang w:val="en-US" w:eastAsia="zh-CN"/>
              </w:rPr>
              <w:t>中石化食品级PE</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highlight w:val="none"/>
                <w:lang w:val="en-US" w:eastAsia="zh-CN"/>
              </w:rPr>
              <w:t>低密度聚乙烯颗粒，又称高压聚乙烯（LDPE），是聚乙烯树脂中最轻的品种，呈乳白色、无味、无臭、无毒、表面无光泽的蜡状颗粒。具有良好的柔软性、延伸性、电绝缘性、透明性、易加工性和一定的透气性。其化学稳定性能较好，耐碱、耐一般有机溶剂。密度在0.91至0.93g/cm</w:t>
            </w:r>
            <w:r>
              <w:rPr>
                <w:rFonts w:hint="default" w:ascii="Times New Roman" w:hAnsi="Times New Roman" w:eastAsia="宋体" w:cs="Times New Roman"/>
                <w:sz w:val="24"/>
                <w:szCs w:val="24"/>
                <w:highlight w:val="none"/>
                <w:vertAlign w:val="superscript"/>
                <w:lang w:val="en-US" w:eastAsia="zh-CN"/>
              </w:rPr>
              <w:t>3</w:t>
            </w:r>
            <w:r>
              <w:rPr>
                <w:rFonts w:hint="default" w:ascii="Times New Roman" w:hAnsi="Times New Roman" w:eastAsia="宋体" w:cs="Times New Roman"/>
                <w:sz w:val="24"/>
                <w:szCs w:val="24"/>
                <w:highlight w:val="none"/>
                <w:lang w:val="en-US" w:eastAsia="zh-CN"/>
              </w:rPr>
              <w:t>，软化点为105-120℃，结晶度一般在60~80%，熔点一般为108～126℃</w:t>
            </w:r>
            <w:r>
              <w:rPr>
                <w:rFonts w:hint="eastAsia" w:cs="Times New Roman"/>
                <w:sz w:val="24"/>
                <w:szCs w:val="24"/>
                <w:highlight w:val="none"/>
                <w:lang w:val="en-US" w:eastAsia="zh-CN"/>
              </w:rPr>
              <w:t>，热分解温度为300-450</w:t>
            </w:r>
            <w:r>
              <w:rPr>
                <w:rFonts w:hint="default" w:ascii="Times New Roman" w:hAnsi="Times New Roman" w:eastAsia="宋体" w:cs="Times New Roman"/>
                <w:sz w:val="24"/>
                <w:szCs w:val="24"/>
                <w:highlight w:val="none"/>
                <w:lang w:val="en-US" w:eastAsia="zh-CN"/>
              </w:rPr>
              <w:t>℃。</w:t>
            </w:r>
          </w:p>
          <w:p w14:paraId="5B964368">
            <w:pPr>
              <w:keepNext w:val="0"/>
              <w:keepLines w:val="0"/>
              <w:suppressLineNumbers w:val="0"/>
              <w:spacing w:before="0" w:beforeAutospacing="0" w:after="0" w:afterAutospacing="0" w:line="440" w:lineRule="exact"/>
              <w:ind w:left="0" w:right="0" w:firstLine="482" w:firstLineChars="200"/>
              <w:rPr>
                <w:rFonts w:hint="eastAsia" w:eastAsia="宋体"/>
                <w:b/>
                <w:color w:val="000000" w:themeColor="text1"/>
                <w:sz w:val="24"/>
                <w:lang w:eastAsia="zh-CN"/>
                <w14:textFill>
                  <w14:solidFill>
                    <w14:schemeClr w14:val="tx1"/>
                  </w14:solidFill>
                </w14:textFill>
              </w:rPr>
            </w:pPr>
            <w:r>
              <w:rPr>
                <w:rFonts w:hint="eastAsia"/>
                <w:b/>
                <w:color w:val="000000" w:themeColor="text1"/>
                <w:sz w:val="24"/>
                <w:lang w:val="en-US" w:eastAsia="zh-CN"/>
                <w14:textFill>
                  <w14:solidFill>
                    <w14:schemeClr w14:val="tx1"/>
                  </w14:solidFill>
                </w14:textFill>
              </w:rPr>
              <w:t>6</w:t>
            </w:r>
            <w:r>
              <w:rPr>
                <w:rFonts w:hint="default"/>
                <w:b/>
                <w:color w:val="000000" w:themeColor="text1"/>
                <w:sz w:val="24"/>
                <w14:textFill>
                  <w14:solidFill>
                    <w14:schemeClr w14:val="tx1"/>
                  </w14:solidFill>
                </w14:textFill>
              </w:rPr>
              <w:t>、</w:t>
            </w:r>
            <w:r>
              <w:rPr>
                <w:rFonts w:hint="eastAsia"/>
                <w:b/>
                <w:color w:val="000000" w:themeColor="text1"/>
                <w:sz w:val="24"/>
                <w:lang w:val="pt-BR" w:eastAsia="zh-CN"/>
                <w14:textFill>
                  <w14:solidFill>
                    <w14:schemeClr w14:val="tx1"/>
                  </w14:solidFill>
                </w14:textFill>
              </w:rPr>
              <w:t>公用工程情况</w:t>
            </w:r>
          </w:p>
          <w:p w14:paraId="0743F78F">
            <w:pPr>
              <w:keepNext w:val="0"/>
              <w:keepLines w:val="0"/>
              <w:suppressLineNumbers w:val="0"/>
              <w:adjustRightInd w:val="0"/>
              <w:snapToGrid w:val="0"/>
              <w:spacing w:before="0" w:beforeAutospacing="0" w:after="0" w:afterAutospacing="0" w:line="440" w:lineRule="exact"/>
              <w:ind w:left="0" w:right="0" w:firstLine="482" w:firstLineChars="200"/>
              <w:rPr>
                <w:rFonts w:hint="eastAsia"/>
                <w:b/>
                <w:bCs w:val="0"/>
                <w:color w:val="000000" w:themeColor="text1"/>
                <w:lang w:eastAsia="zh-CN"/>
                <w14:textFill>
                  <w14:solidFill>
                    <w14:schemeClr w14:val="tx1"/>
                  </w14:solidFill>
                </w14:textFill>
              </w:rPr>
            </w:pPr>
            <w:r>
              <w:rPr>
                <w:rFonts w:hint="default" w:ascii="Times New Roman" w:hAnsi="Times New Roman" w:cs="Times New Roman"/>
                <w:b/>
                <w:bCs w:val="0"/>
                <w:color w:val="000000" w:themeColor="text1"/>
                <w:sz w:val="24"/>
                <w:highlight w:val="none"/>
                <w14:textFill>
                  <w14:solidFill>
                    <w14:schemeClr w14:val="tx1"/>
                  </w14:solidFill>
                </w14:textFill>
              </w:rPr>
              <w:t>①</w:t>
            </w:r>
            <w:r>
              <w:rPr>
                <w:rFonts w:hint="default" w:ascii="Times New Roman" w:hAnsi="Times New Roman" w:cs="Times New Roman"/>
                <w:b/>
                <w:bCs w:val="0"/>
                <w:color w:val="000000" w:themeColor="text1"/>
                <w:sz w:val="24"/>
                <w:highlight w:val="none"/>
                <w:lang w:eastAsia="zh-CN"/>
                <w14:textFill>
                  <w14:solidFill>
                    <w14:schemeClr w14:val="tx1"/>
                  </w14:solidFill>
                </w14:textFill>
              </w:rPr>
              <w:t>给排水</w:t>
            </w:r>
          </w:p>
          <w:p w14:paraId="47E85678">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40" w:lineRule="exact"/>
              <w:ind w:left="0" w:right="0" w:firstLine="470" w:firstLineChars="196"/>
              <w:jc w:val="both"/>
              <w:rPr>
                <w:rFonts w:hint="eastAsia" w:eastAsia="宋体"/>
                <w:bCs/>
                <w:color w:val="000000" w:themeColor="text1"/>
                <w:sz w:val="24"/>
                <w:highlight w:val="none"/>
                <w:lang w:val="en-US" w:eastAsia="zh-CN"/>
                <w14:textFill>
                  <w14:solidFill>
                    <w14:schemeClr w14:val="tx1"/>
                  </w14:solidFill>
                </w14:textFill>
              </w:rPr>
            </w:pPr>
            <w:r>
              <w:rPr>
                <w:rFonts w:hint="eastAsia"/>
                <w:bCs/>
                <w:color w:val="000000" w:themeColor="text1"/>
                <w:sz w:val="24"/>
                <w:highlight w:val="none"/>
                <w14:textFill>
                  <w14:solidFill>
                    <w14:schemeClr w14:val="tx1"/>
                  </w14:solidFill>
                </w14:textFill>
              </w:rPr>
              <w:t>本项目</w:t>
            </w:r>
            <w:r>
              <w:rPr>
                <w:rFonts w:hint="eastAsia"/>
                <w:bCs/>
                <w:color w:val="000000" w:themeColor="text1"/>
                <w:sz w:val="24"/>
                <w:highlight w:val="none"/>
                <w:lang w:eastAsia="zh-CN"/>
                <w14:textFill>
                  <w14:solidFill>
                    <w14:schemeClr w14:val="tx1"/>
                  </w14:solidFill>
                </w14:textFill>
              </w:rPr>
              <w:t>用水主要有冷却用水和生活用水，</w:t>
            </w:r>
            <w:r>
              <w:rPr>
                <w:rFonts w:hint="eastAsia"/>
                <w:bCs/>
                <w:color w:val="000000" w:themeColor="text1"/>
                <w:sz w:val="24"/>
                <w:highlight w:val="none"/>
                <w:lang w:val="en-US" w:eastAsia="zh-CN"/>
                <w14:textFill>
                  <w14:solidFill>
                    <w14:schemeClr w14:val="tx1"/>
                  </w14:solidFill>
                </w14:textFill>
              </w:rPr>
              <w:t>生活用水由村集体统一供水，冷却循环用水外购纯水</w:t>
            </w:r>
            <w:r>
              <w:rPr>
                <w:rFonts w:hint="eastAsia"/>
                <w:bCs/>
                <w:color w:val="000000" w:themeColor="text1"/>
                <w:sz w:val="24"/>
                <w:highlight w:val="none"/>
                <w:lang w:eastAsia="zh-CN"/>
                <w14:textFill>
                  <w14:solidFill>
                    <w14:schemeClr w14:val="tx1"/>
                  </w14:solidFill>
                </w14:textFill>
              </w:rPr>
              <w:t>。本项目用水量共计</w:t>
            </w:r>
            <w:r>
              <w:rPr>
                <w:rFonts w:hint="eastAsia"/>
                <w:bCs/>
                <w:color w:val="000000" w:themeColor="text1"/>
                <w:sz w:val="24"/>
                <w:highlight w:val="none"/>
                <w:lang w:val="en-US" w:eastAsia="zh-CN"/>
                <w14:textFill>
                  <w14:solidFill>
                    <w14:schemeClr w14:val="tx1"/>
                  </w14:solidFill>
                </w14:textFill>
              </w:rPr>
              <w:t>102</w:t>
            </w:r>
            <w:r>
              <w:rPr>
                <w:rFonts w:hint="eastAsia"/>
                <w:color w:val="000000"/>
                <w:sz w:val="24"/>
                <w:highlight w:val="none"/>
              </w:rPr>
              <w:t>m</w:t>
            </w:r>
            <w:r>
              <w:rPr>
                <w:rFonts w:hint="eastAsia"/>
                <w:color w:val="000000"/>
                <w:sz w:val="24"/>
                <w:highlight w:val="none"/>
                <w:vertAlign w:val="superscript"/>
              </w:rPr>
              <w:t>3</w:t>
            </w:r>
            <w:r>
              <w:rPr>
                <w:rFonts w:hint="default"/>
                <w:color w:val="000000"/>
                <w:sz w:val="24"/>
                <w:highlight w:val="none"/>
              </w:rPr>
              <w:t>/</w:t>
            </w:r>
            <w:r>
              <w:rPr>
                <w:rFonts w:hint="eastAsia"/>
                <w:color w:val="000000"/>
                <w:sz w:val="24"/>
                <w:highlight w:val="none"/>
                <w:lang w:val="en-US" w:eastAsia="zh-CN"/>
              </w:rPr>
              <w:t>a</w:t>
            </w:r>
            <w:r>
              <w:rPr>
                <w:rFonts w:hint="eastAsia"/>
                <w:color w:val="000000" w:themeColor="text1"/>
                <w:sz w:val="24"/>
                <w:highlight w:val="none"/>
                <w:lang w:eastAsia="zh-CN"/>
                <w14:textFill>
                  <w14:solidFill>
                    <w14:schemeClr w14:val="tx1"/>
                  </w14:solidFill>
                </w14:textFill>
              </w:rPr>
              <w:t>。</w:t>
            </w:r>
          </w:p>
          <w:p w14:paraId="663C364A">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440" w:lineRule="exact"/>
              <w:ind w:left="0" w:right="0" w:firstLine="480" w:firstLineChars="200"/>
              <w:jc w:val="both"/>
              <w:textAlignment w:val="auto"/>
              <w:outlineLvl w:val="9"/>
              <w:rPr>
                <w:rFonts w:hint="default" w:eastAsia="宋体"/>
                <w:sz w:val="24"/>
                <w:lang w:val="en-US" w:eastAsia="zh-CN"/>
              </w:rPr>
            </w:pPr>
            <w:r>
              <w:rPr>
                <w:rFonts w:hint="eastAsia"/>
                <w:sz w:val="24"/>
                <w:lang w:val="en-US" w:eastAsia="zh-CN"/>
              </w:rPr>
              <w:t>本项目单个冷却循环水池储水量为0.5t，共设置2个循环水池。循环冷却水需定期补充，单个循环水池补充水量约为1t/a，则冷却循环水用水量为3t/a。</w:t>
            </w:r>
          </w:p>
          <w:p w14:paraId="1E348472">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440" w:lineRule="exact"/>
              <w:ind w:left="0" w:right="0" w:firstLine="480" w:firstLineChars="200"/>
              <w:jc w:val="both"/>
              <w:textAlignment w:val="auto"/>
              <w:outlineLvl w:val="9"/>
              <w:rPr>
                <w:rFonts w:hint="eastAsia"/>
                <w:color w:val="000000"/>
                <w:sz w:val="24"/>
                <w:lang w:val="en-US" w:eastAsia="zh-CN"/>
              </w:rPr>
            </w:pPr>
            <w:r>
              <w:rPr>
                <w:rFonts w:hint="default"/>
                <w:sz w:val="24"/>
              </w:rPr>
              <w:t>本项目</w:t>
            </w:r>
            <w:r>
              <w:rPr>
                <w:rFonts w:hint="eastAsia"/>
                <w:sz w:val="24"/>
                <w:lang w:val="en-US" w:eastAsia="zh-CN"/>
              </w:rPr>
              <w:t>新增</w:t>
            </w:r>
            <w:r>
              <w:rPr>
                <w:rFonts w:hint="default"/>
                <w:sz w:val="24"/>
              </w:rPr>
              <w:t>劳动定员</w:t>
            </w:r>
            <w:r>
              <w:rPr>
                <w:rFonts w:hint="eastAsia"/>
                <w:sz w:val="24"/>
                <w:lang w:val="en-US" w:eastAsia="zh-CN"/>
              </w:rPr>
              <w:t>11</w:t>
            </w:r>
            <w:r>
              <w:rPr>
                <w:rFonts w:hint="default"/>
                <w:sz w:val="24"/>
              </w:rPr>
              <w:t>人</w:t>
            </w:r>
            <w:r>
              <w:rPr>
                <w:rFonts w:hint="eastAsia"/>
                <w:sz w:val="24"/>
                <w:lang w:val="en-US" w:eastAsia="zh-CN"/>
              </w:rPr>
              <w:t>，两班生产，每班8小时，</w:t>
            </w:r>
            <w:r>
              <w:rPr>
                <w:rFonts w:hint="default"/>
                <w:color w:val="000000"/>
                <w:sz w:val="24"/>
              </w:rPr>
              <w:t>年工作</w:t>
            </w:r>
            <w:r>
              <w:rPr>
                <w:rFonts w:hint="eastAsia"/>
                <w:color w:val="000000"/>
                <w:sz w:val="24"/>
                <w:lang w:val="en-US" w:eastAsia="zh-CN"/>
              </w:rPr>
              <w:t>300</w:t>
            </w:r>
            <w:r>
              <w:rPr>
                <w:rFonts w:hint="default"/>
                <w:color w:val="000000"/>
                <w:sz w:val="24"/>
              </w:rPr>
              <w:t>天</w:t>
            </w:r>
            <w:r>
              <w:rPr>
                <w:rFonts w:hint="eastAsia"/>
                <w:color w:val="000000"/>
                <w:sz w:val="24"/>
              </w:rPr>
              <w:t>，员工均不在厂区食宿</w:t>
            </w:r>
            <w:r>
              <w:rPr>
                <w:rFonts w:hint="default"/>
                <w:color w:val="000000"/>
                <w:sz w:val="24"/>
              </w:rPr>
              <w:t>。</w:t>
            </w:r>
            <w:r>
              <w:rPr>
                <w:rFonts w:hint="eastAsia"/>
                <w:sz w:val="24"/>
                <w:lang w:val="en-US" w:eastAsia="zh-CN"/>
              </w:rPr>
              <w:t>项目</w:t>
            </w:r>
            <w:r>
              <w:rPr>
                <w:rFonts w:hint="default"/>
                <w:sz w:val="24"/>
              </w:rPr>
              <w:t>生活用水量为</w:t>
            </w:r>
            <w:r>
              <w:rPr>
                <w:rFonts w:hint="eastAsia"/>
                <w:color w:val="000000"/>
                <w:sz w:val="24"/>
                <w:highlight w:val="none"/>
                <w:lang w:val="en-US" w:eastAsia="zh-CN"/>
              </w:rPr>
              <w:t>0.33</w:t>
            </w:r>
            <w:r>
              <w:rPr>
                <w:rFonts w:hint="eastAsia"/>
                <w:color w:val="000000"/>
                <w:sz w:val="24"/>
                <w:highlight w:val="none"/>
              </w:rPr>
              <w:t>m</w:t>
            </w:r>
            <w:r>
              <w:rPr>
                <w:rFonts w:hint="eastAsia"/>
                <w:color w:val="000000"/>
                <w:sz w:val="24"/>
                <w:highlight w:val="none"/>
                <w:vertAlign w:val="superscript"/>
              </w:rPr>
              <w:t>3</w:t>
            </w:r>
            <w:r>
              <w:rPr>
                <w:rFonts w:hint="default"/>
                <w:color w:val="000000"/>
                <w:sz w:val="24"/>
                <w:highlight w:val="none"/>
              </w:rPr>
              <w:t>/d（</w:t>
            </w:r>
            <w:r>
              <w:rPr>
                <w:rFonts w:hint="eastAsia"/>
                <w:color w:val="000000"/>
                <w:sz w:val="24"/>
                <w:highlight w:val="none"/>
                <w:lang w:val="en-US" w:eastAsia="zh-CN"/>
              </w:rPr>
              <w:t>99</w:t>
            </w:r>
            <w:r>
              <w:rPr>
                <w:rFonts w:hint="eastAsia"/>
                <w:color w:val="000000"/>
                <w:sz w:val="24"/>
                <w:highlight w:val="none"/>
              </w:rPr>
              <w:t>m</w:t>
            </w:r>
            <w:r>
              <w:rPr>
                <w:rFonts w:hint="eastAsia"/>
                <w:color w:val="000000"/>
                <w:sz w:val="24"/>
                <w:highlight w:val="none"/>
                <w:vertAlign w:val="superscript"/>
              </w:rPr>
              <w:t>3</w:t>
            </w:r>
            <w:r>
              <w:rPr>
                <w:rFonts w:hint="default"/>
                <w:color w:val="000000"/>
                <w:sz w:val="24"/>
                <w:highlight w:val="none"/>
              </w:rPr>
              <w:t>/a）</w:t>
            </w:r>
            <w:r>
              <w:rPr>
                <w:rFonts w:hint="default"/>
                <w:sz w:val="24"/>
                <w:highlight w:val="none"/>
              </w:rPr>
              <w:t>，</w:t>
            </w:r>
            <w:r>
              <w:rPr>
                <w:rFonts w:hint="default"/>
                <w:color w:val="000000"/>
                <w:sz w:val="24"/>
                <w:highlight w:val="none"/>
              </w:rPr>
              <w:t>废水排放量按照用水量的80%计算</w:t>
            </w:r>
            <w:r>
              <w:rPr>
                <w:rFonts w:hint="default"/>
                <w:color w:val="000000"/>
                <w:sz w:val="24"/>
              </w:rPr>
              <w:t>，则项目生活污水产生量为</w:t>
            </w:r>
            <w:r>
              <w:rPr>
                <w:rFonts w:hint="eastAsia"/>
                <w:color w:val="000000"/>
                <w:sz w:val="24"/>
                <w:lang w:val="en-US" w:eastAsia="zh-CN"/>
              </w:rPr>
              <w:t>0.264</w:t>
            </w:r>
            <w:r>
              <w:rPr>
                <w:rFonts w:hint="eastAsia"/>
                <w:color w:val="000000"/>
                <w:sz w:val="24"/>
              </w:rPr>
              <w:t>m</w:t>
            </w:r>
            <w:r>
              <w:rPr>
                <w:rFonts w:hint="eastAsia"/>
                <w:color w:val="000000"/>
                <w:sz w:val="24"/>
                <w:vertAlign w:val="superscript"/>
              </w:rPr>
              <w:t>3</w:t>
            </w:r>
            <w:r>
              <w:rPr>
                <w:rFonts w:hint="eastAsia"/>
                <w:color w:val="000000"/>
                <w:sz w:val="24"/>
              </w:rPr>
              <w:t>/d（</w:t>
            </w:r>
            <w:r>
              <w:rPr>
                <w:rFonts w:hint="eastAsia"/>
                <w:color w:val="000000"/>
                <w:sz w:val="24"/>
                <w:lang w:val="en-US" w:eastAsia="zh-CN"/>
              </w:rPr>
              <w:t>79.2</w:t>
            </w:r>
            <w:r>
              <w:rPr>
                <w:rFonts w:hint="eastAsia"/>
                <w:color w:val="000000"/>
                <w:sz w:val="24"/>
              </w:rPr>
              <w:t>m</w:t>
            </w:r>
            <w:r>
              <w:rPr>
                <w:rFonts w:hint="eastAsia"/>
                <w:color w:val="000000"/>
                <w:sz w:val="24"/>
                <w:vertAlign w:val="superscript"/>
              </w:rPr>
              <w:t>3</w:t>
            </w:r>
            <w:r>
              <w:rPr>
                <w:rFonts w:hint="eastAsia"/>
                <w:color w:val="000000"/>
                <w:sz w:val="24"/>
              </w:rPr>
              <w:t>/a）</w:t>
            </w:r>
            <w:r>
              <w:rPr>
                <w:rFonts w:hint="eastAsia"/>
                <w:color w:val="000000"/>
                <w:sz w:val="24"/>
                <w:lang w:eastAsia="zh-CN"/>
              </w:rPr>
              <w:t>。</w:t>
            </w:r>
            <w:r>
              <w:rPr>
                <w:rFonts w:hint="eastAsia"/>
                <w:color w:val="000000"/>
                <w:sz w:val="24"/>
                <w:lang w:val="en-US" w:eastAsia="zh-CN"/>
              </w:rPr>
              <w:t>生活污水经化粪池处理后定期清运不外排。</w:t>
            </w:r>
          </w:p>
          <w:p w14:paraId="07EF6E41">
            <w:pPr>
              <w:keepNext w:val="0"/>
              <w:keepLines w:val="0"/>
              <w:suppressLineNumbers w:val="0"/>
              <w:adjustRightInd w:val="0"/>
              <w:snapToGrid w:val="0"/>
              <w:spacing w:before="0" w:beforeAutospacing="0" w:after="0" w:afterAutospacing="0" w:line="440" w:lineRule="exact"/>
              <w:ind w:left="0" w:right="0" w:firstLine="482" w:firstLineChars="200"/>
              <w:rPr>
                <w:rFonts w:hint="eastAsia" w:ascii="Calibri" w:hAnsi="Calibri" w:cs="Calibri"/>
                <w:b/>
                <w:bCs w:val="0"/>
                <w:color w:val="auto"/>
                <w:sz w:val="24"/>
                <w:highlight w:val="none"/>
                <w:lang w:eastAsia="zh-CN"/>
              </w:rPr>
            </w:pPr>
            <w:r>
              <w:rPr>
                <w:rFonts w:hint="default" w:ascii="Times New Roman" w:hAnsi="Times New Roman" w:cs="Times New Roman"/>
                <w:b/>
                <w:bCs w:val="0"/>
                <w:color w:val="auto"/>
                <w:sz w:val="24"/>
                <w:highlight w:val="none"/>
              </w:rPr>
              <w:t>②</w:t>
            </w:r>
            <w:r>
              <w:rPr>
                <w:rFonts w:hint="default" w:ascii="Times New Roman" w:hAnsi="Times New Roman" w:cs="Times New Roman"/>
                <w:b/>
                <w:bCs w:val="0"/>
                <w:color w:val="auto"/>
                <w:sz w:val="24"/>
                <w:highlight w:val="none"/>
                <w:lang w:eastAsia="zh-CN"/>
              </w:rPr>
              <w:t>供</w:t>
            </w:r>
            <w:r>
              <w:rPr>
                <w:rFonts w:hint="eastAsia" w:ascii="Calibri" w:hAnsi="Calibri" w:cs="Calibri"/>
                <w:b/>
                <w:bCs w:val="0"/>
                <w:color w:val="auto"/>
                <w:sz w:val="24"/>
                <w:highlight w:val="none"/>
                <w:lang w:eastAsia="zh-CN"/>
              </w:rPr>
              <w:t>电</w:t>
            </w:r>
          </w:p>
          <w:p w14:paraId="7D40011C">
            <w:pPr>
              <w:keepNext w:val="0"/>
              <w:keepLines w:val="0"/>
              <w:suppressLineNumbers w:val="0"/>
              <w:adjustRightInd w:val="0"/>
              <w:snapToGrid w:val="0"/>
              <w:spacing w:before="0" w:beforeAutospacing="0" w:after="0" w:afterAutospacing="0" w:line="440" w:lineRule="exact"/>
              <w:ind w:left="0" w:right="0" w:firstLine="480" w:firstLineChars="200"/>
              <w:rPr>
                <w:rFonts w:hint="eastAsia" w:ascii="Calibri" w:hAnsi="Calibri" w:cs="Calibri"/>
                <w:b w:val="0"/>
                <w:bCs/>
                <w:color w:val="auto"/>
                <w:sz w:val="24"/>
                <w:highlight w:val="none"/>
                <w:lang w:val="en-US" w:eastAsia="zh-CN"/>
              </w:rPr>
            </w:pPr>
            <w:r>
              <w:rPr>
                <w:rFonts w:hint="eastAsia" w:ascii="Calibri" w:hAnsi="Calibri" w:cs="Calibri"/>
                <w:b w:val="0"/>
                <w:bCs/>
                <w:color w:val="auto"/>
                <w:sz w:val="24"/>
                <w:highlight w:val="none"/>
                <w:lang w:eastAsia="zh-CN"/>
              </w:rPr>
              <w:t>本项目厂区用电量约</w:t>
            </w:r>
            <w:r>
              <w:rPr>
                <w:rFonts w:hint="default" w:ascii="Times New Roman" w:hAnsi="Times New Roman" w:cs="Times New Roman"/>
                <w:b w:val="0"/>
                <w:bCs/>
                <w:color w:val="auto"/>
                <w:sz w:val="24"/>
                <w:highlight w:val="none"/>
                <w:lang w:eastAsia="zh-CN"/>
              </w:rPr>
              <w:t>为</w:t>
            </w:r>
            <w:r>
              <w:rPr>
                <w:rFonts w:hint="eastAsia" w:cs="Times New Roman"/>
                <w:b w:val="0"/>
                <w:bCs/>
                <w:color w:val="auto"/>
                <w:sz w:val="24"/>
                <w:highlight w:val="none"/>
                <w:lang w:val="en-US" w:eastAsia="zh-CN"/>
              </w:rPr>
              <w:t>40</w:t>
            </w:r>
            <w:r>
              <w:rPr>
                <w:rFonts w:hint="default" w:ascii="Times New Roman" w:hAnsi="Times New Roman" w:cs="Times New Roman"/>
                <w:b w:val="0"/>
                <w:bCs/>
                <w:szCs w:val="21"/>
              </w:rPr>
              <w:t>万kW·h/a</w:t>
            </w:r>
            <w:r>
              <w:rPr>
                <w:rFonts w:hint="eastAsia" w:ascii="Calibri" w:hAnsi="Calibri" w:cs="Calibri"/>
                <w:b w:val="0"/>
                <w:bCs/>
                <w:color w:val="auto"/>
                <w:sz w:val="24"/>
                <w:highlight w:val="none"/>
                <w:lang w:eastAsia="zh-CN"/>
              </w:rPr>
              <w:t>，由市政供电系统提供，可以满足项目用电需求。</w:t>
            </w:r>
          </w:p>
          <w:p w14:paraId="2131849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511" w:firstLineChars="212"/>
              <w:textAlignment w:val="baseline"/>
              <w:rPr>
                <w:rFonts w:hint="default" w:ascii="宋体" w:hAnsi="宋体" w:eastAsia="宋体"/>
                <w:b/>
                <w:color w:val="auto"/>
                <w:sz w:val="24"/>
                <w:highlight w:val="none"/>
                <w:lang w:val="en-US" w:eastAsia="zh-CN"/>
              </w:rPr>
            </w:pPr>
            <w:r>
              <w:rPr>
                <w:rFonts w:hint="eastAsia" w:cs="Times New Roman"/>
                <w:b/>
                <w:color w:val="auto"/>
                <w:sz w:val="24"/>
                <w:highlight w:val="none"/>
                <w:lang w:val="en-US" w:eastAsia="zh-CN"/>
              </w:rPr>
              <w:t>7</w:t>
            </w:r>
            <w:r>
              <w:rPr>
                <w:rFonts w:hint="eastAsia" w:ascii="宋体" w:hAnsi="宋体"/>
                <w:b/>
                <w:color w:val="auto"/>
                <w:sz w:val="24"/>
                <w:highlight w:val="none"/>
              </w:rPr>
              <w:t>、</w:t>
            </w:r>
            <w:r>
              <w:rPr>
                <w:rFonts w:hint="eastAsia" w:ascii="宋体" w:hAnsi="宋体"/>
                <w:b/>
                <w:color w:val="auto"/>
                <w:sz w:val="24"/>
                <w:highlight w:val="none"/>
                <w:lang w:val="en-US" w:eastAsia="zh-CN"/>
              </w:rPr>
              <w:t>项目选址与厂区平面布置</w:t>
            </w:r>
          </w:p>
          <w:p w14:paraId="7AA01AEC">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szCs w:val="24"/>
                <w:highlight w:val="none"/>
                <w:lang w:val="en-US" w:eastAsia="zh-CN"/>
              </w:rPr>
              <w:t>本项目选址位于河南省新乡市新乡县七里营镇南位庄村工业路698号，</w:t>
            </w:r>
            <w:r>
              <w:rPr>
                <w:rFonts w:hint="eastAsia" w:cs="Times New Roman"/>
                <w:color w:val="auto"/>
                <w:sz w:val="24"/>
                <w:szCs w:val="24"/>
                <w:highlight w:val="none"/>
                <w:lang w:val="en-US" w:eastAsia="zh-CN"/>
              </w:rPr>
              <w:t>依托</w:t>
            </w:r>
            <w:r>
              <w:rPr>
                <w:rFonts w:hint="default" w:ascii="Times New Roman" w:hAnsi="Times New Roman" w:cs="Times New Roman"/>
                <w:color w:val="auto"/>
                <w:sz w:val="24"/>
                <w:szCs w:val="24"/>
                <w:highlight w:val="none"/>
                <w:lang w:val="en-US" w:eastAsia="zh-CN"/>
              </w:rPr>
              <w:t>现有厂房进行建设。根据《新乡县</w:t>
            </w:r>
            <w:r>
              <w:rPr>
                <w:rFonts w:hint="eastAsia" w:cs="Times New Roman"/>
                <w:color w:val="auto"/>
                <w:sz w:val="24"/>
                <w:szCs w:val="24"/>
                <w:highlight w:val="none"/>
                <w:lang w:val="en-US" w:eastAsia="zh-CN"/>
              </w:rPr>
              <w:t>“三区三线成果图”</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项目所在地为建设用地。</w:t>
            </w:r>
            <w:r>
              <w:rPr>
                <w:rFonts w:hint="eastAsia" w:cs="Times New Roman"/>
                <w:color w:val="auto"/>
                <w:sz w:val="24"/>
                <w:highlight w:val="none"/>
                <w:lang w:val="en-US" w:eastAsia="zh-CN"/>
              </w:rPr>
              <w:t>项目建设单位</w:t>
            </w:r>
            <w:r>
              <w:rPr>
                <w:rFonts w:hint="default" w:ascii="Times New Roman" w:hAnsi="Times New Roman" w:eastAsia="宋体" w:cs="Times New Roman"/>
                <w:color w:val="auto"/>
                <w:sz w:val="24"/>
                <w:highlight w:val="none"/>
              </w:rPr>
              <w:t>所在地四周环境为：</w:t>
            </w:r>
            <w:r>
              <w:rPr>
                <w:rFonts w:hint="eastAsia" w:cs="Times New Roman"/>
                <w:color w:val="auto"/>
                <w:sz w:val="24"/>
                <w:highlight w:val="none"/>
                <w:lang w:val="en-US" w:eastAsia="zh-CN"/>
              </w:rPr>
              <w:t>北侧为新乡市顺诚服饰有限公司；</w:t>
            </w:r>
            <w:r>
              <w:rPr>
                <w:rFonts w:hint="eastAsia" w:cs="Times New Roman"/>
                <w:color w:val="auto"/>
                <w:sz w:val="24"/>
                <w:highlight w:val="none"/>
                <w:lang w:eastAsia="zh-CN"/>
              </w:rPr>
              <w:t>西侧</w:t>
            </w:r>
            <w:r>
              <w:rPr>
                <w:rFonts w:hint="eastAsia" w:cs="Times New Roman"/>
                <w:color w:val="auto"/>
                <w:sz w:val="24"/>
                <w:highlight w:val="none"/>
                <w:lang w:val="en-US" w:eastAsia="zh-CN"/>
              </w:rPr>
              <w:t>为农田</w:t>
            </w:r>
            <w:r>
              <w:rPr>
                <w:rFonts w:hint="eastAsia" w:cs="Times New Roman"/>
                <w:color w:val="auto"/>
                <w:sz w:val="24"/>
                <w:highlight w:val="none"/>
                <w:lang w:eastAsia="zh-CN"/>
              </w:rPr>
              <w:t>；</w:t>
            </w:r>
            <w:r>
              <w:rPr>
                <w:rFonts w:hint="eastAsia" w:cs="Times New Roman"/>
                <w:color w:val="auto"/>
                <w:sz w:val="24"/>
                <w:highlight w:val="none"/>
                <w:lang w:val="en-US" w:eastAsia="zh-CN"/>
              </w:rPr>
              <w:t>南侧为新乡通达驾校；东</w:t>
            </w:r>
            <w:r>
              <w:rPr>
                <w:rFonts w:hint="eastAsia" w:cs="Times New Roman"/>
                <w:color w:val="000000" w:themeColor="text1"/>
                <w:sz w:val="24"/>
                <w:highlight w:val="none"/>
                <w:shd w:val="clear"/>
                <w:lang w:val="en-US" w:eastAsia="zh-CN"/>
                <w14:textFill>
                  <w14:solidFill>
                    <w14:schemeClr w14:val="tx1"/>
                  </w14:solidFill>
                </w14:textFill>
              </w:rPr>
              <w:t>侧为闲置厂房</w:t>
            </w:r>
            <w:r>
              <w:rPr>
                <w:rFonts w:hint="eastAsia" w:cs="Times New Roman"/>
                <w:color w:val="auto"/>
                <w:sz w:val="24"/>
                <w:highlight w:val="none"/>
                <w:lang w:val="en-US" w:eastAsia="zh-CN"/>
              </w:rPr>
              <w:t>。</w:t>
            </w:r>
            <w:r>
              <w:rPr>
                <w:rFonts w:hint="eastAsia" w:ascii="宋体" w:hAnsi="宋体" w:cs="宋体"/>
                <w:color w:val="auto"/>
                <w:sz w:val="24"/>
                <w:szCs w:val="24"/>
                <w:highlight w:val="none"/>
                <w:lang w:val="en-US" w:eastAsia="zh-CN"/>
              </w:rPr>
              <w:t>本项目最近的敏感点为南侧距</w:t>
            </w:r>
            <w:r>
              <w:rPr>
                <w:rFonts w:hint="default" w:ascii="Times New Roman" w:hAnsi="Times New Roman" w:cs="Times New Roman"/>
                <w:color w:val="auto"/>
                <w:sz w:val="24"/>
                <w:szCs w:val="24"/>
                <w:highlight w:val="none"/>
                <w:lang w:val="en-US" w:eastAsia="zh-CN"/>
              </w:rPr>
              <w:t>离</w:t>
            </w:r>
            <w:r>
              <w:rPr>
                <w:rFonts w:hint="eastAsia" w:cs="Times New Roman"/>
                <w:color w:val="auto"/>
                <w:sz w:val="24"/>
                <w:szCs w:val="24"/>
                <w:highlight w:val="none"/>
                <w:lang w:val="en-US" w:eastAsia="zh-CN"/>
              </w:rPr>
              <w:t>260</w:t>
            </w:r>
            <w:r>
              <w:rPr>
                <w:rFonts w:hint="default" w:ascii="Times New Roman" w:hAnsi="Times New Roman" w:cs="Times New Roman"/>
                <w:color w:val="auto"/>
                <w:sz w:val="24"/>
                <w:szCs w:val="24"/>
                <w:highlight w:val="none"/>
                <w:lang w:val="en-US" w:eastAsia="zh-CN"/>
              </w:rPr>
              <w:t>米处的</w:t>
            </w:r>
            <w:r>
              <w:rPr>
                <w:rFonts w:hint="eastAsia" w:cs="Times New Roman"/>
                <w:color w:val="auto"/>
                <w:sz w:val="24"/>
                <w:szCs w:val="24"/>
                <w:highlight w:val="none"/>
                <w:lang w:val="en-US" w:eastAsia="zh-CN"/>
              </w:rPr>
              <w:t>南位庄村</w:t>
            </w:r>
            <w:r>
              <w:rPr>
                <w:rFonts w:hint="eastAsia" w:cs="Times New Roman"/>
                <w:color w:val="auto"/>
                <w:sz w:val="24"/>
                <w:highlight w:val="none"/>
                <w:lang w:val="en-US" w:eastAsia="zh-CN"/>
              </w:rPr>
              <w:t>。本项目选址较为合理，不会对周边环境造成不利影响。</w:t>
            </w:r>
          </w:p>
          <w:p w14:paraId="40C32D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ascii="宋体" w:hAnsi="宋体" w:eastAsia="宋体" w:cs="宋体"/>
                <w:color w:val="000000"/>
                <w:kern w:val="0"/>
                <w:sz w:val="24"/>
                <w:szCs w:val="24"/>
                <w:highlight w:val="none"/>
                <w:lang w:val="en-US" w:eastAsia="zh-CN" w:bidi="ar"/>
              </w:rPr>
            </w:pPr>
            <w:r>
              <w:rPr>
                <w:rFonts w:hint="eastAsia" w:ascii="宋体" w:hAnsi="宋体" w:cs="宋体"/>
                <w:color w:val="000000"/>
                <w:kern w:val="0"/>
                <w:sz w:val="24"/>
                <w:szCs w:val="24"/>
                <w:highlight w:val="none"/>
                <w:lang w:val="en-US" w:eastAsia="zh-CN" w:bidi="ar"/>
              </w:rPr>
              <w:t>本项目依托闲置生产车间生产。厂房由西向东依次设置淋膜工序、印刷工序、分切模切工序。厂房西侧为办公室。</w:t>
            </w:r>
            <w:r>
              <w:rPr>
                <w:rFonts w:hint="eastAsia" w:ascii="宋体" w:hAnsi="宋体" w:eastAsia="宋体" w:cs="宋体"/>
                <w:color w:val="000000"/>
                <w:kern w:val="0"/>
                <w:sz w:val="24"/>
                <w:szCs w:val="24"/>
                <w:highlight w:val="none"/>
                <w:lang w:val="en-US" w:eastAsia="zh-CN" w:bidi="ar"/>
              </w:rPr>
              <w:t>厂区平面布置图见</w:t>
            </w:r>
            <w:r>
              <w:rPr>
                <w:rFonts w:hint="eastAsia" w:ascii="宋体" w:hAnsi="宋体" w:cs="宋体"/>
                <w:color w:val="000000"/>
                <w:kern w:val="0"/>
                <w:sz w:val="24"/>
                <w:szCs w:val="24"/>
                <w:highlight w:val="none"/>
                <w:lang w:val="en-US" w:eastAsia="zh-CN" w:bidi="ar"/>
              </w:rPr>
              <w:t>附</w:t>
            </w:r>
            <w:r>
              <w:rPr>
                <w:rFonts w:hint="eastAsia" w:ascii="宋体" w:hAnsi="宋体" w:eastAsia="宋体" w:cs="宋体"/>
                <w:color w:val="000000"/>
                <w:kern w:val="0"/>
                <w:sz w:val="24"/>
                <w:szCs w:val="24"/>
                <w:highlight w:val="none"/>
                <w:lang w:val="en-US" w:eastAsia="zh-CN" w:bidi="ar"/>
              </w:rPr>
              <w:t>图。</w:t>
            </w:r>
          </w:p>
          <w:p w14:paraId="0B1B83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ascii="宋体" w:hAnsi="宋体" w:eastAsia="宋体" w:cs="宋体"/>
                <w:color w:val="000000"/>
                <w:kern w:val="0"/>
                <w:sz w:val="24"/>
                <w:szCs w:val="24"/>
                <w:lang w:val="en-US" w:eastAsia="zh-CN" w:bidi="ar"/>
              </w:rPr>
            </w:pPr>
            <w:r>
              <w:rPr>
                <w:rFonts w:hint="eastAsia"/>
                <w:b w:val="0"/>
                <w:bCs/>
                <w:color w:val="auto"/>
                <w:sz w:val="24"/>
                <w:highlight w:val="none"/>
                <w:lang w:val="en-US" w:eastAsia="zh-CN"/>
              </w:rPr>
              <w:t>本项目厂房布置符合设计规范，污染源、治污设施与排污口等布局合理，对环境敏感点距离较远，不会对敏感点产生影响。厂房布局等能够满足项目生产要求和相关环保要求。</w:t>
            </w:r>
          </w:p>
        </w:tc>
      </w:tr>
      <w:tr w14:paraId="4F8DC9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1" w:type="dxa"/>
            <w:noWrap w:val="0"/>
            <w:vAlign w:val="center"/>
          </w:tcPr>
          <w:p w14:paraId="62B0A38B">
            <w:pPr>
              <w:pStyle w:val="1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ascii="Times New Roman" w:hAnsi="Times New Roman"/>
                <w:sz w:val="21"/>
                <w:szCs w:val="21"/>
                <w:lang w:val="en-US" w:eastAsia="zh-CN"/>
              </w:rPr>
            </w:pPr>
            <w:r>
              <w:rPr>
                <w:rFonts w:hint="default" w:ascii="Times New Roman"/>
                <w:sz w:val="24"/>
                <w:szCs w:val="24"/>
                <w:lang w:val="en-US" w:eastAsia="zh-CN"/>
              </w:rPr>
              <w:t>工艺流程和产排污环节</w:t>
            </w:r>
          </w:p>
        </w:tc>
        <w:tc>
          <w:tcPr>
            <w:tcW w:w="9021" w:type="dxa"/>
            <w:noWrap w:val="0"/>
            <w:vAlign w:val="top"/>
          </w:tcPr>
          <w:p w14:paraId="5F72CC93">
            <w:pPr>
              <w:keepNext w:val="0"/>
              <w:keepLines w:val="0"/>
              <w:suppressLineNumbers w:val="0"/>
              <w:spacing w:before="0" w:beforeAutospacing="0" w:after="0" w:afterAutospacing="0" w:line="440" w:lineRule="exact"/>
              <w:ind w:left="0" w:right="0"/>
              <w:jc w:val="left"/>
              <w:rPr>
                <w:rFonts w:hint="eastAsia" w:ascii="宋体" w:hAnsi="宋体"/>
                <w:b/>
                <w:bCs/>
                <w:color w:val="000000" w:themeColor="text1"/>
                <w:sz w:val="24"/>
                <w14:textFill>
                  <w14:solidFill>
                    <w14:schemeClr w14:val="tx1"/>
                  </w14:solidFill>
                </w14:textFill>
              </w:rPr>
            </w:pPr>
            <w:r>
              <w:rPr>
                <w:rFonts w:hint="eastAsia" w:ascii="宋体" w:hAnsi="宋体"/>
                <w:b/>
                <w:bCs/>
                <w:color w:val="000000" w:themeColor="text1"/>
                <w:sz w:val="24"/>
                <w14:textFill>
                  <w14:solidFill>
                    <w14:schemeClr w14:val="tx1"/>
                  </w14:solidFill>
                </w14:textFill>
              </w:rPr>
              <w:t>工艺流程简述（图示）：</w:t>
            </w:r>
          </w:p>
          <w:p w14:paraId="7D85800B">
            <w:pPr>
              <w:keepNext w:val="0"/>
              <w:keepLines w:val="0"/>
              <w:suppressLineNumbers w:val="0"/>
              <w:spacing w:before="0" w:beforeAutospacing="0" w:after="0" w:afterAutospacing="0" w:line="440" w:lineRule="exact"/>
              <w:ind w:left="0" w:right="0" w:firstLine="448"/>
              <w:jc w:val="left"/>
              <w:rPr>
                <w:rFonts w:hint="eastAsia" w:hAnsi="宋体"/>
                <w:b w:val="0"/>
                <w:bCs/>
                <w:color w:val="auto"/>
                <w:spacing w:val="-4"/>
                <w:sz w:val="24"/>
                <w:szCs w:val="24"/>
                <w:lang w:val="en-US" w:eastAsia="zh-CN"/>
              </w:rPr>
            </w:pPr>
            <w:r>
              <w:rPr>
                <w:rFonts w:hint="eastAsia" w:hAnsi="宋体"/>
                <w:b w:val="0"/>
                <w:bCs/>
                <w:color w:val="auto"/>
                <w:spacing w:val="-4"/>
                <w:sz w:val="24"/>
                <w:szCs w:val="24"/>
                <w:lang w:val="en-US" w:eastAsia="zh-CN"/>
              </w:rPr>
              <w:t>本项目生产工艺如下：</w:t>
            </w:r>
          </w:p>
          <w:p w14:paraId="291763CA">
            <w:pPr>
              <w:keepNext w:val="0"/>
              <w:keepLines w:val="0"/>
              <w:suppressLineNumbers w:val="0"/>
              <w:spacing w:before="0" w:beforeAutospacing="0" w:after="0" w:afterAutospacing="0"/>
              <w:ind w:left="0" w:right="0"/>
              <w:jc w:val="center"/>
              <w:rPr>
                <w:rFonts w:hint="eastAsia" w:hAnsi="宋体"/>
                <w:b/>
                <w:bCs w:val="0"/>
                <w:color w:val="auto"/>
                <w:spacing w:val="-4"/>
                <w:sz w:val="24"/>
                <w:szCs w:val="24"/>
                <w:lang w:val="en-US" w:eastAsia="zh-CN"/>
              </w:rPr>
            </w:pPr>
            <w:r>
              <w:rPr>
                <w:rFonts w:hint="eastAsia" w:hAnsi="宋体"/>
                <w:b/>
                <w:bCs w:val="0"/>
                <w:color w:val="auto"/>
                <w:spacing w:val="-4"/>
                <w:sz w:val="24"/>
                <w:szCs w:val="24"/>
                <w:lang w:val="en-US" w:eastAsia="zh-CN"/>
              </w:rPr>
              <w:object>
                <v:shape id="_x0000_i1026" o:spt="75" type="#_x0000_t75" style="height:328.5pt;width:288.75pt;" o:ole="t" filled="f" o:preferrelative="t" stroked="f" coordsize="21600,21600">
                  <v:path/>
                  <v:fill on="f" focussize="0,0"/>
                  <v:stroke on="f"/>
                  <v:imagedata r:id="rId19" o:title=""/>
                  <o:lock v:ext="edit" aspectratio="f"/>
                  <w10:wrap type="none"/>
                  <w10:anchorlock/>
                </v:shape>
                <o:OLEObject Type="Embed" ProgID="Visio.Drawing.15" ShapeID="_x0000_i1026" DrawAspect="Content" ObjectID="_1468075726" r:id="rId18">
                  <o:LockedField>false</o:LockedField>
                </o:OLEObject>
              </w:object>
            </w:r>
          </w:p>
          <w:p w14:paraId="48E1D884">
            <w:pPr>
              <w:keepNext w:val="0"/>
              <w:keepLines w:val="0"/>
              <w:suppressLineNumbers w:val="0"/>
              <w:spacing w:before="0" w:beforeAutospacing="0" w:after="0" w:afterAutospacing="0"/>
              <w:ind w:left="0" w:right="0"/>
              <w:jc w:val="center"/>
              <w:rPr>
                <w:rFonts w:hint="default" w:hAnsi="宋体"/>
                <w:b/>
                <w:sz w:val="24"/>
                <w:highlight w:val="none"/>
              </w:rPr>
            </w:pPr>
            <w:r>
              <w:rPr>
                <w:rFonts w:hint="default" w:ascii="宋体" w:hAnsi="宋体"/>
                <w:b/>
                <w:szCs w:val="21"/>
                <w:highlight w:val="none"/>
              </w:rPr>
              <w:t>图</w:t>
            </w:r>
            <w:r>
              <w:rPr>
                <w:rFonts w:hint="eastAsia" w:cs="Times New Roman"/>
                <w:b/>
                <w:szCs w:val="21"/>
                <w:highlight w:val="none"/>
                <w:lang w:val="en-US" w:eastAsia="zh-CN"/>
              </w:rPr>
              <w:t>5</w:t>
            </w:r>
            <w:r>
              <w:rPr>
                <w:rFonts w:hint="default" w:ascii="宋体" w:hAnsi="宋体"/>
                <w:b/>
                <w:szCs w:val="21"/>
                <w:highlight w:val="none"/>
              </w:rPr>
              <w:t xml:space="preserve"> </w:t>
            </w:r>
            <w:r>
              <w:rPr>
                <w:rFonts w:hint="eastAsia" w:ascii="宋体" w:hAnsi="宋体"/>
                <w:b/>
                <w:szCs w:val="21"/>
                <w:highlight w:val="none"/>
                <w:lang w:val="en-US" w:eastAsia="zh-CN"/>
              </w:rPr>
              <w:t xml:space="preserve"> </w:t>
            </w:r>
            <w:r>
              <w:rPr>
                <w:rFonts w:hint="default" w:ascii="宋体" w:hAnsi="宋体"/>
                <w:b/>
                <w:szCs w:val="21"/>
                <w:highlight w:val="none"/>
              </w:rPr>
              <w:t xml:space="preserve"> </w:t>
            </w:r>
            <w:r>
              <w:rPr>
                <w:rFonts w:hint="eastAsia" w:ascii="宋体" w:hAnsi="宋体"/>
                <w:b/>
                <w:color w:val="000000"/>
                <w:spacing w:val="-4"/>
                <w:szCs w:val="21"/>
                <w:highlight w:val="none"/>
              </w:rPr>
              <w:t>本项目</w:t>
            </w:r>
            <w:r>
              <w:rPr>
                <w:rFonts w:hint="eastAsia" w:ascii="宋体" w:hAnsi="宋体"/>
                <w:b/>
                <w:color w:val="000000"/>
                <w:spacing w:val="-4"/>
                <w:szCs w:val="21"/>
                <w:highlight w:val="none"/>
                <w:lang w:eastAsia="zh-CN"/>
              </w:rPr>
              <w:t>生产</w:t>
            </w:r>
            <w:r>
              <w:rPr>
                <w:rFonts w:hint="default" w:ascii="宋体" w:hAnsi="宋体"/>
                <w:b/>
                <w:szCs w:val="21"/>
                <w:highlight w:val="none"/>
              </w:rPr>
              <w:t>工艺流程及产污环节图</w:t>
            </w:r>
          </w:p>
          <w:p w14:paraId="0FB8D5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jc w:val="left"/>
              <w:textAlignment w:val="auto"/>
              <w:rPr>
                <w:rFonts w:hint="default"/>
                <w:b/>
                <w:sz w:val="24"/>
              </w:rPr>
            </w:pPr>
            <w:r>
              <w:rPr>
                <w:rFonts w:hint="default" w:hAnsi="宋体"/>
                <w:b/>
                <w:sz w:val="24"/>
              </w:rPr>
              <w:t>工艺流程说明：</w:t>
            </w:r>
          </w:p>
          <w:p w14:paraId="5510A058">
            <w:pPr>
              <w:pStyle w:val="74"/>
              <w:keepNext w:val="0"/>
              <w:keepLines w:val="0"/>
              <w:numPr>
                <w:ilvl w:val="0"/>
                <w:numId w:val="1"/>
              </w:numPr>
              <w:suppressLineNumbers w:val="0"/>
              <w:spacing w:before="0" w:beforeAutospacing="0" w:after="0" w:afterAutospacing="0" w:line="440" w:lineRule="atLeast"/>
              <w:ind w:left="0" w:right="0" w:firstLine="480"/>
              <w:jc w:val="both"/>
              <w:rPr>
                <w:rFonts w:hint="eastAsia"/>
                <w:b/>
                <w:bCs w:val="0"/>
              </w:rPr>
            </w:pPr>
            <w:r>
              <w:rPr>
                <w:rFonts w:hint="eastAsia"/>
                <w:b/>
                <w:bCs w:val="0"/>
                <w:lang w:val="en-US" w:eastAsia="zh-CN"/>
              </w:rPr>
              <w:t>淋膜</w:t>
            </w:r>
            <w:r>
              <w:rPr>
                <w:rFonts w:hint="eastAsia"/>
                <w:b/>
                <w:bCs w:val="0"/>
              </w:rPr>
              <w:t>：</w:t>
            </w:r>
          </w:p>
          <w:p w14:paraId="5F5687C8">
            <w:pPr>
              <w:pStyle w:val="74"/>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atLeast"/>
              <w:ind w:left="0" w:leftChars="0" w:right="0" w:rightChars="0" w:firstLine="480" w:firstLineChars="200"/>
              <w:jc w:val="both"/>
              <w:textAlignment w:val="auto"/>
              <w:rPr>
                <w:rFonts w:hint="default" w:eastAsia="宋体"/>
                <w:bCs/>
                <w:lang w:val="en-US" w:eastAsia="zh-CN"/>
              </w:rPr>
            </w:pPr>
            <w:r>
              <w:rPr>
                <w:rFonts w:hint="eastAsia"/>
                <w:bCs/>
                <w:lang w:val="en-US" w:eastAsia="zh-CN"/>
              </w:rPr>
              <w:t>外购成卷原纸经叉车运至生产车间，之后由输送带牵引伸展至淋膜机的淋膜工位。外购的食品级PE颗粒经自动上料机进入淋膜机内，淋膜机将PE颗粒加热融化成液态，采用电加热，加热温度约160-180℃。通过淋膜机挤出装置挤出成一层薄膜淋膜在原纸表面（仅一面纸张淋膜），淋膜厚度约0.01mm-0.1mm。由于热熔在纸张表面，结合牢固，不需要使用粘结剂。加热过程淋膜机内全封闭</w:t>
            </w:r>
            <w:r>
              <w:rPr>
                <w:rFonts w:hint="eastAsia"/>
                <w:bCs/>
              </w:rPr>
              <w:t>。</w:t>
            </w:r>
            <w:r>
              <w:rPr>
                <w:rFonts w:hint="eastAsia"/>
                <w:bCs/>
                <w:lang w:val="en-US" w:eastAsia="zh-CN"/>
              </w:rPr>
              <w:t>淋膜后的纸张经冷却后收卷成筒，冷却采用间接循环冷却方式，即冷却水在封闭的管路内通过热交换形式实施冷却，冷却介质不直接和被冷却物料接触。冷却过程中冷却水经过冷却循环水池循环使用，使水温保持低温。循环冷却水定期补充，少量外排。该过程产生废气、废水、固废和噪声。</w:t>
            </w:r>
          </w:p>
          <w:p w14:paraId="342EF6BA">
            <w:pPr>
              <w:pStyle w:val="74"/>
              <w:keepNext w:val="0"/>
              <w:keepLines w:val="0"/>
              <w:suppressLineNumbers w:val="0"/>
              <w:spacing w:before="0" w:beforeAutospacing="0" w:after="0" w:afterAutospacing="0" w:line="440" w:lineRule="atLeast"/>
              <w:ind w:left="0" w:right="0" w:firstLine="480"/>
              <w:jc w:val="both"/>
              <w:rPr>
                <w:rFonts w:hint="eastAsia"/>
                <w:b/>
                <w:bCs w:val="0"/>
              </w:rPr>
            </w:pPr>
            <w:r>
              <w:rPr>
                <w:rFonts w:hint="eastAsia"/>
                <w:b/>
                <w:bCs w:val="0"/>
              </w:rPr>
              <w:t>2、</w:t>
            </w:r>
            <w:r>
              <w:rPr>
                <w:rFonts w:hint="eastAsia"/>
                <w:b/>
                <w:bCs w:val="0"/>
                <w:lang w:val="en-US" w:eastAsia="zh-CN"/>
              </w:rPr>
              <w:t>印刷</w:t>
            </w:r>
            <w:r>
              <w:rPr>
                <w:rFonts w:hint="eastAsia"/>
                <w:b/>
                <w:bCs w:val="0"/>
              </w:rPr>
              <w:t>：</w:t>
            </w:r>
          </w:p>
          <w:p w14:paraId="720BBE53">
            <w:pPr>
              <w:pStyle w:val="74"/>
              <w:keepNext w:val="0"/>
              <w:keepLines w:val="0"/>
              <w:suppressLineNumbers w:val="0"/>
              <w:spacing w:before="0" w:beforeAutospacing="0" w:after="0" w:afterAutospacing="0" w:line="440" w:lineRule="atLeast"/>
              <w:ind w:left="0" w:right="0" w:firstLine="480"/>
              <w:jc w:val="both"/>
              <w:rPr>
                <w:rFonts w:hint="eastAsia"/>
                <w:bCs/>
                <w:lang w:val="en-US" w:eastAsia="zh-CN"/>
              </w:rPr>
            </w:pPr>
            <w:r>
              <w:rPr>
                <w:rFonts w:hint="eastAsia"/>
                <w:bCs/>
                <w:lang w:val="en-US" w:eastAsia="zh-CN"/>
              </w:rPr>
              <w:t>印前工序：本项目使用的印刷版辊为设备自带版辊，厂内无制版工序，油墨直接使用，不需调配。</w:t>
            </w:r>
          </w:p>
          <w:p w14:paraId="697F367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480" w:firstLineChars="200"/>
              <w:jc w:val="both"/>
              <w:textAlignment w:val="auto"/>
              <w:rPr>
                <w:rFonts w:hint="eastAsia"/>
                <w:b w:val="0"/>
                <w:bCs/>
                <w:color w:val="auto"/>
                <w:sz w:val="24"/>
                <w:szCs w:val="24"/>
                <w:u w:val="none"/>
                <w:lang w:val="en-US" w:eastAsia="zh-CN"/>
              </w:rPr>
            </w:pPr>
            <w:r>
              <w:rPr>
                <w:rFonts w:hint="eastAsia"/>
                <w:bCs/>
                <w:lang w:val="en-US" w:eastAsia="zh-CN"/>
              </w:rPr>
              <w:t>油墨输送：封闭完好的水性油墨转运至印刷车间，通过柔性版印刷机</w:t>
            </w:r>
            <w:r>
              <w:rPr>
                <w:rFonts w:hint="eastAsia"/>
                <w:b w:val="0"/>
                <w:bCs/>
                <w:color w:val="auto"/>
                <w:sz w:val="24"/>
                <w:szCs w:val="24"/>
                <w:u w:val="none"/>
                <w:lang w:val="en-US" w:eastAsia="zh-CN"/>
              </w:rPr>
              <w:t>自动供墨系统，利用软管自动泵至印刷机密闭墨槽。密闭盖留有油墨软管的进出口，软管与进出口的间隙会有少量的有机废气逸出。</w:t>
            </w:r>
          </w:p>
          <w:p w14:paraId="074BAC34">
            <w:pPr>
              <w:pStyle w:val="74"/>
              <w:keepNext w:val="0"/>
              <w:keepLines w:val="0"/>
              <w:suppressLineNumbers w:val="0"/>
              <w:spacing w:before="0" w:beforeAutospacing="0" w:after="0" w:afterAutospacing="0" w:line="440" w:lineRule="atLeast"/>
              <w:ind w:left="0" w:right="0" w:firstLine="480"/>
              <w:jc w:val="both"/>
              <w:rPr>
                <w:rFonts w:hint="eastAsia"/>
                <w:bCs/>
              </w:rPr>
            </w:pPr>
            <w:r>
              <w:rPr>
                <w:rFonts w:hint="eastAsia"/>
                <w:b w:val="0"/>
                <w:bCs/>
                <w:color w:val="auto"/>
                <w:sz w:val="24"/>
                <w:szCs w:val="24"/>
                <w:u w:val="none"/>
                <w:lang w:val="en-US" w:eastAsia="zh-CN"/>
              </w:rPr>
              <w:t>印刷：本项目采用柔性版印刷，柔性版印刷机采用加盖封闭墨槽，柔性印版的图文部分凸起，印刷时网纹辊将一定厚度的油墨均匀地涂布在印版图文部分，然后在压印滚筒压力的作用下，将图文部分的油墨层转移到承印物的表面，形成清晰的图文，完成印刷过程。</w:t>
            </w:r>
            <w:r>
              <w:rPr>
                <w:rFonts w:hint="eastAsia"/>
                <w:b w:val="0"/>
                <w:bCs/>
                <w:color w:val="auto"/>
                <w:sz w:val="24"/>
                <w:szCs w:val="24"/>
                <w:highlight w:val="none"/>
                <w:u w:val="none"/>
                <w:lang w:val="en-US" w:eastAsia="zh-CN"/>
              </w:rPr>
              <w:t>本项目仅在未淋膜的纸张面进行印刷</w:t>
            </w:r>
            <w:r>
              <w:rPr>
                <w:rFonts w:hint="eastAsia"/>
                <w:b w:val="0"/>
                <w:bCs/>
                <w:color w:val="auto"/>
                <w:sz w:val="24"/>
                <w:szCs w:val="24"/>
                <w:u w:val="none"/>
                <w:lang w:val="en-US" w:eastAsia="zh-CN"/>
              </w:rPr>
              <w:t>，</w:t>
            </w:r>
            <w:r>
              <w:rPr>
                <w:rFonts w:hint="eastAsia"/>
                <w:bCs/>
                <w:lang w:val="en-US" w:eastAsia="zh-CN"/>
              </w:rPr>
              <w:t>印刷后的纸张经烘箱烘干后收卷成筒。柔印印刷机在使用过程中需定期清洁，使用抹布擦拭柔印印刷机，擦拭过程不使用清洁剂。该过程会产生废气、固废和噪声。</w:t>
            </w:r>
          </w:p>
          <w:p w14:paraId="484AD530">
            <w:pPr>
              <w:pStyle w:val="74"/>
              <w:keepNext w:val="0"/>
              <w:keepLines w:val="0"/>
              <w:numPr>
                <w:ilvl w:val="0"/>
                <w:numId w:val="0"/>
              </w:numPr>
              <w:suppressLineNumbers w:val="0"/>
              <w:spacing w:before="0" w:beforeAutospacing="0" w:after="0" w:afterAutospacing="0" w:line="440" w:lineRule="exact"/>
              <w:ind w:left="480" w:leftChars="200" w:right="0" w:rightChars="0"/>
              <w:jc w:val="both"/>
              <w:rPr>
                <w:rFonts w:hint="eastAsia"/>
                <w:b/>
                <w:bCs w:val="0"/>
                <w:lang w:val="en-US" w:eastAsia="zh-CN"/>
              </w:rPr>
            </w:pPr>
            <w:r>
              <w:rPr>
                <w:rFonts w:hint="eastAsia"/>
                <w:b/>
                <w:bCs w:val="0"/>
                <w:lang w:val="en-US" w:eastAsia="zh-CN"/>
              </w:rPr>
              <w:t>3、分切/模切：</w:t>
            </w:r>
          </w:p>
          <w:p w14:paraId="7670C653">
            <w:pPr>
              <w:pStyle w:val="74"/>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leftChars="0" w:right="0" w:rightChars="0" w:firstLine="480" w:firstLineChars="200"/>
              <w:jc w:val="both"/>
              <w:textAlignment w:val="auto"/>
              <w:rPr>
                <w:rFonts w:hint="default"/>
                <w:bCs/>
                <w:lang w:val="en-US" w:eastAsia="zh-CN"/>
              </w:rPr>
            </w:pPr>
            <w:r>
              <w:rPr>
                <w:rFonts w:hint="eastAsia"/>
                <w:bCs/>
                <w:lang w:val="en-US" w:eastAsia="zh-CN"/>
              </w:rPr>
              <w:t>印刷后的淋膜纸经分切机或模切机</w:t>
            </w:r>
            <w:r>
              <w:rPr>
                <w:rFonts w:hint="default"/>
                <w:bCs/>
                <w:sz w:val="24"/>
              </w:rPr>
              <w:t>轧切成所需形状或切痕</w:t>
            </w:r>
            <w:r>
              <w:rPr>
                <w:rFonts w:hint="eastAsia"/>
                <w:bCs/>
                <w:sz w:val="24"/>
                <w:lang w:eastAsia="zh-CN"/>
              </w:rPr>
              <w:t>，</w:t>
            </w:r>
            <w:r>
              <w:rPr>
                <w:rFonts w:hint="eastAsia"/>
                <w:bCs/>
                <w:sz w:val="24"/>
                <w:lang w:val="en-US" w:eastAsia="zh-CN"/>
              </w:rPr>
              <w:t>即为成品</w:t>
            </w:r>
            <w:r>
              <w:rPr>
                <w:rFonts w:hint="eastAsia"/>
                <w:bCs/>
                <w:lang w:val="en-US" w:eastAsia="zh-CN"/>
              </w:rPr>
              <w:t>。该过程产生固废和噪声。</w:t>
            </w:r>
          </w:p>
          <w:p w14:paraId="705FAD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default" w:ascii="宋体" w:hAnsi="宋体"/>
                <w:b/>
                <w:bCs/>
                <w:color w:val="000000"/>
                <w:sz w:val="24"/>
              </w:rPr>
            </w:pPr>
            <w:r>
              <w:rPr>
                <w:rFonts w:hint="eastAsia" w:ascii="宋体" w:hAnsi="宋体"/>
                <w:b/>
                <w:bCs/>
                <w:color w:val="000000"/>
                <w:sz w:val="24"/>
              </w:rPr>
              <w:t>主要污染工序：</w:t>
            </w:r>
          </w:p>
          <w:p w14:paraId="478F9C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宋体" w:hAnsi="宋体"/>
                <w:b/>
                <w:color w:val="000000"/>
                <w:sz w:val="24"/>
              </w:rPr>
            </w:pPr>
            <w:r>
              <w:rPr>
                <w:rFonts w:hint="eastAsia"/>
                <w:color w:val="000000"/>
                <w:sz w:val="24"/>
              </w:rPr>
              <w:t>通过工艺流程分析，该项目</w:t>
            </w:r>
            <w:r>
              <w:rPr>
                <w:rFonts w:hint="default"/>
                <w:color w:val="000000"/>
                <w:sz w:val="24"/>
              </w:rPr>
              <w:t>营运期主要产污环节见</w:t>
            </w:r>
            <w:r>
              <w:rPr>
                <w:rFonts w:hint="eastAsia"/>
                <w:color w:val="000000"/>
                <w:sz w:val="24"/>
              </w:rPr>
              <w:t>下表</w:t>
            </w:r>
            <w:r>
              <w:rPr>
                <w:rFonts w:hint="eastAsia" w:ascii="宋体" w:hAnsi="宋体"/>
                <w:color w:val="000000"/>
                <w:sz w:val="24"/>
              </w:rPr>
              <w:t>。</w:t>
            </w:r>
          </w:p>
          <w:p w14:paraId="0405DDFE">
            <w:pPr>
              <w:keepNext w:val="0"/>
              <w:keepLines w:val="0"/>
              <w:suppressLineNumbers w:val="0"/>
              <w:spacing w:before="0" w:beforeAutospacing="0" w:after="0" w:afterAutospacing="0" w:line="440" w:lineRule="exact"/>
              <w:ind w:left="0" w:right="0"/>
              <w:jc w:val="center"/>
              <w:rPr>
                <w:rFonts w:hint="default" w:ascii="宋体" w:hAnsi="宋体"/>
                <w:b/>
                <w:color w:val="000000"/>
                <w:sz w:val="24"/>
              </w:rPr>
            </w:pPr>
            <w:r>
              <w:rPr>
                <w:rFonts w:hint="eastAsia" w:ascii="宋体" w:hAnsi="宋体"/>
                <w:b/>
                <w:color w:val="000000"/>
                <w:sz w:val="24"/>
              </w:rPr>
              <w:t>表</w:t>
            </w:r>
            <w:r>
              <w:rPr>
                <w:rFonts w:hint="eastAsia" w:cs="Times New Roman"/>
                <w:b/>
                <w:color w:val="auto"/>
                <w:sz w:val="24"/>
                <w:lang w:val="en-US" w:eastAsia="zh-CN"/>
              </w:rPr>
              <w:t>15</w:t>
            </w:r>
            <w:r>
              <w:rPr>
                <w:rFonts w:hint="eastAsia" w:ascii="宋体" w:hAnsi="宋体"/>
                <w:b/>
                <w:color w:val="auto"/>
                <w:sz w:val="24"/>
                <w:lang w:val="en-US" w:eastAsia="zh-CN"/>
              </w:rPr>
              <w:t xml:space="preserve">  </w:t>
            </w:r>
            <w:r>
              <w:rPr>
                <w:rFonts w:hint="eastAsia" w:ascii="宋体" w:hAnsi="宋体"/>
                <w:b/>
                <w:color w:val="auto"/>
                <w:sz w:val="24"/>
              </w:rPr>
              <w:t>项</w:t>
            </w:r>
            <w:r>
              <w:rPr>
                <w:rFonts w:hint="eastAsia" w:ascii="宋体" w:hAnsi="宋体"/>
                <w:b/>
                <w:color w:val="000000"/>
                <w:sz w:val="24"/>
              </w:rPr>
              <w:t>目产污环节一览表</w:t>
            </w:r>
          </w:p>
          <w:tbl>
            <w:tblPr>
              <w:tblStyle w:val="2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71"/>
              <w:gridCol w:w="1521"/>
              <w:gridCol w:w="1498"/>
              <w:gridCol w:w="4715"/>
            </w:tblGrid>
            <w:tr w14:paraId="18AACBB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1" w:type="dxa"/>
                  <w:tcBorders>
                    <w:bottom w:val="single" w:color="auto" w:sz="8" w:space="0"/>
                  </w:tcBorders>
                  <w:noWrap w:val="0"/>
                  <w:vAlign w:val="center"/>
                </w:tcPr>
                <w:p w14:paraId="1AAEE9C3">
                  <w:pPr>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hAnsi="宋体"/>
                      <w:b/>
                      <w:color w:val="auto"/>
                      <w:sz w:val="21"/>
                      <w:szCs w:val="21"/>
                    </w:rPr>
                    <w:t>污染因素</w:t>
                  </w:r>
                </w:p>
              </w:tc>
              <w:tc>
                <w:tcPr>
                  <w:tcW w:w="1521" w:type="dxa"/>
                  <w:tcBorders>
                    <w:bottom w:val="single" w:color="auto" w:sz="8" w:space="0"/>
                  </w:tcBorders>
                  <w:noWrap w:val="0"/>
                  <w:vAlign w:val="center"/>
                </w:tcPr>
                <w:p w14:paraId="1527E5B2">
                  <w:pPr>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hAnsi="宋体"/>
                      <w:b/>
                      <w:color w:val="auto"/>
                      <w:sz w:val="21"/>
                      <w:szCs w:val="21"/>
                    </w:rPr>
                    <w:t>产污环节</w:t>
                  </w:r>
                </w:p>
              </w:tc>
              <w:tc>
                <w:tcPr>
                  <w:tcW w:w="1498" w:type="dxa"/>
                  <w:tcBorders>
                    <w:bottom w:val="single" w:color="auto" w:sz="8" w:space="0"/>
                  </w:tcBorders>
                  <w:noWrap w:val="0"/>
                  <w:vAlign w:val="center"/>
                </w:tcPr>
                <w:p w14:paraId="2E892604">
                  <w:pPr>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hAnsi="宋体"/>
                      <w:b/>
                      <w:color w:val="auto"/>
                      <w:sz w:val="21"/>
                      <w:szCs w:val="21"/>
                    </w:rPr>
                    <w:t>污染物</w:t>
                  </w:r>
                </w:p>
              </w:tc>
              <w:tc>
                <w:tcPr>
                  <w:tcW w:w="4715" w:type="dxa"/>
                  <w:tcBorders>
                    <w:bottom w:val="single" w:color="auto" w:sz="8" w:space="0"/>
                  </w:tcBorders>
                  <w:noWrap w:val="0"/>
                  <w:vAlign w:val="center"/>
                </w:tcPr>
                <w:p w14:paraId="3AA2EB09">
                  <w:pPr>
                    <w:keepNext w:val="0"/>
                    <w:keepLines w:val="0"/>
                    <w:suppressLineNumbers w:val="0"/>
                    <w:adjustRightInd w:val="0"/>
                    <w:snapToGrid w:val="0"/>
                    <w:spacing w:before="0" w:beforeAutospacing="0" w:after="0" w:afterAutospacing="0"/>
                    <w:ind w:left="0" w:right="0"/>
                    <w:jc w:val="center"/>
                    <w:rPr>
                      <w:rFonts w:hint="eastAsia" w:hAnsi="宋体" w:eastAsia="宋体"/>
                      <w:b/>
                      <w:color w:val="auto"/>
                      <w:sz w:val="21"/>
                      <w:szCs w:val="21"/>
                      <w:lang w:val="en-US" w:eastAsia="zh-CN"/>
                    </w:rPr>
                  </w:pPr>
                  <w:r>
                    <w:rPr>
                      <w:rFonts w:hint="default" w:hAnsi="宋体"/>
                      <w:b/>
                      <w:color w:val="auto"/>
                      <w:sz w:val="21"/>
                      <w:szCs w:val="21"/>
                    </w:rPr>
                    <w:t>污染防治措施</w:t>
                  </w:r>
                </w:p>
              </w:tc>
            </w:tr>
            <w:tr w14:paraId="1246602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1" w:type="dxa"/>
                  <w:vMerge w:val="restart"/>
                  <w:tcBorders>
                    <w:top w:val="single" w:color="auto" w:sz="8" w:space="0"/>
                    <w:tl2br w:val="nil"/>
                    <w:tr2bl w:val="nil"/>
                  </w:tcBorders>
                  <w:noWrap w:val="0"/>
                  <w:vAlign w:val="center"/>
                </w:tcPr>
                <w:p w14:paraId="0FA5ABFB">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color w:val="auto"/>
                      <w:sz w:val="21"/>
                      <w:szCs w:val="21"/>
                      <w:highlight w:val="none"/>
                    </w:rPr>
                  </w:pPr>
                  <w:r>
                    <w:rPr>
                      <w:rFonts w:hint="eastAsia" w:ascii="宋体" w:hAnsi="宋体"/>
                      <w:color w:val="auto"/>
                      <w:sz w:val="21"/>
                      <w:szCs w:val="21"/>
                      <w:highlight w:val="none"/>
                    </w:rPr>
                    <w:t>废气</w:t>
                  </w:r>
                </w:p>
              </w:tc>
              <w:tc>
                <w:tcPr>
                  <w:tcW w:w="1521" w:type="dxa"/>
                  <w:tcBorders>
                    <w:top w:val="single" w:color="auto" w:sz="8" w:space="0"/>
                    <w:bottom w:val="single" w:color="auto" w:sz="4" w:space="0"/>
                  </w:tcBorders>
                  <w:noWrap w:val="0"/>
                  <w:vAlign w:val="center"/>
                </w:tcPr>
                <w:p w14:paraId="4879B5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宋体" w:hAnsi="宋体" w:eastAsia="宋体"/>
                      <w:color w:val="auto"/>
                      <w:sz w:val="21"/>
                      <w:szCs w:val="21"/>
                      <w:highlight w:val="none"/>
                      <w:lang w:val="en-US" w:eastAsia="zh-CN"/>
                    </w:rPr>
                  </w:pPr>
                  <w:r>
                    <w:rPr>
                      <w:rFonts w:hint="eastAsia" w:ascii="宋体" w:hAnsi="宋体"/>
                      <w:color w:val="auto"/>
                      <w:sz w:val="21"/>
                      <w:szCs w:val="21"/>
                      <w:highlight w:val="none"/>
                      <w:lang w:val="en-US" w:eastAsia="zh-CN"/>
                    </w:rPr>
                    <w:t>淋膜工序</w:t>
                  </w:r>
                </w:p>
              </w:tc>
              <w:tc>
                <w:tcPr>
                  <w:tcW w:w="1498" w:type="dxa"/>
                  <w:tcBorders>
                    <w:top w:val="single" w:color="auto" w:sz="8" w:space="0"/>
                    <w:bottom w:val="single" w:color="auto" w:sz="4" w:space="0"/>
                  </w:tcBorders>
                  <w:noWrap w:val="0"/>
                  <w:vAlign w:val="center"/>
                </w:tcPr>
                <w:p w14:paraId="70A609B5">
                  <w:pPr>
                    <w:keepNext w:val="0"/>
                    <w:keepLines w:val="0"/>
                    <w:suppressLineNumbers w:val="0"/>
                    <w:adjustRightInd w:val="0"/>
                    <w:snapToGrid w:val="0"/>
                    <w:spacing w:before="0" w:beforeAutospacing="0" w:after="0" w:afterAutospacing="0"/>
                    <w:ind w:left="0" w:leftChars="0" w:right="0" w:rightChars="0"/>
                    <w:jc w:val="center"/>
                    <w:rPr>
                      <w:rFonts w:hint="default" w:ascii="宋体" w:hAnsi="宋体"/>
                      <w:color w:val="auto"/>
                      <w:sz w:val="21"/>
                      <w:szCs w:val="21"/>
                      <w:highlight w:val="none"/>
                      <w:vertAlign w:val="baseline"/>
                      <w:lang w:val="en-US" w:eastAsia="zh-CN"/>
                    </w:rPr>
                  </w:pPr>
                  <w:r>
                    <w:rPr>
                      <w:rFonts w:hint="eastAsia" w:ascii="宋体" w:hAnsi="宋体"/>
                      <w:color w:val="auto"/>
                      <w:sz w:val="21"/>
                      <w:szCs w:val="21"/>
                      <w:highlight w:val="none"/>
                      <w:vertAlign w:val="baseline"/>
                      <w:lang w:val="en-US" w:eastAsia="zh-CN"/>
                    </w:rPr>
                    <w:t>非甲烷总烃</w:t>
                  </w:r>
                </w:p>
              </w:tc>
              <w:tc>
                <w:tcPr>
                  <w:tcW w:w="4715" w:type="dxa"/>
                  <w:tcBorders>
                    <w:top w:val="single" w:color="auto" w:sz="8" w:space="0"/>
                    <w:bottom w:val="single" w:color="auto" w:sz="4" w:space="0"/>
                  </w:tcBorders>
                  <w:noWrap w:val="0"/>
                  <w:vAlign w:val="center"/>
                </w:tcPr>
                <w:p w14:paraId="06723013">
                  <w:pPr>
                    <w:keepNext w:val="0"/>
                    <w:keepLines w:val="0"/>
                    <w:suppressLineNumbers w:val="0"/>
                    <w:snapToGrid w:val="0"/>
                    <w:spacing w:before="0" w:beforeAutospacing="0" w:after="0" w:afterAutospacing="0"/>
                    <w:ind w:left="0" w:leftChars="0" w:right="0" w:rightChars="0"/>
                    <w:jc w:val="center"/>
                    <w:rPr>
                      <w:rFonts w:hint="default" w:hAnsi="宋体"/>
                      <w:bCs/>
                      <w:color w:val="auto"/>
                      <w:sz w:val="21"/>
                      <w:szCs w:val="21"/>
                      <w:lang w:val="en-US" w:eastAsia="zh-CN"/>
                    </w:rPr>
                  </w:pPr>
                  <w:r>
                    <w:rPr>
                      <w:rFonts w:hint="eastAsia" w:hAnsi="宋体"/>
                      <w:bCs/>
                      <w:color w:val="auto"/>
                      <w:sz w:val="21"/>
                      <w:szCs w:val="21"/>
                      <w:lang w:val="en-US" w:eastAsia="zh-CN"/>
                    </w:rPr>
                    <w:t>PE颗粒加热装置密闭，淋膜处上方设置集气罩，废气经集气罩收集至活性炭吸附脱附+催化燃烧装置治理（TA001），尾气经一根15米高排气筒（DA001）排放。</w:t>
                  </w:r>
                </w:p>
              </w:tc>
            </w:tr>
            <w:tr w14:paraId="3A39CF6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1" w:type="dxa"/>
                  <w:vMerge w:val="continue"/>
                  <w:tcBorders>
                    <w:tl2br w:val="nil"/>
                    <w:tr2bl w:val="nil"/>
                  </w:tcBorders>
                  <w:noWrap w:val="0"/>
                  <w:vAlign w:val="center"/>
                </w:tcPr>
                <w:p w14:paraId="1E8E6A58">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rPr>
                  </w:pPr>
                </w:p>
              </w:tc>
              <w:tc>
                <w:tcPr>
                  <w:tcW w:w="1521" w:type="dxa"/>
                  <w:tcBorders>
                    <w:top w:val="single" w:color="auto" w:sz="4" w:space="0"/>
                  </w:tcBorders>
                  <w:noWrap w:val="0"/>
                  <w:vAlign w:val="center"/>
                </w:tcPr>
                <w:p w14:paraId="516E52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宋体" w:hAnsi="宋体"/>
                      <w:color w:val="auto"/>
                      <w:sz w:val="21"/>
                      <w:szCs w:val="21"/>
                      <w:highlight w:val="none"/>
                      <w:lang w:val="en-US" w:eastAsia="zh-CN"/>
                    </w:rPr>
                  </w:pPr>
                  <w:r>
                    <w:rPr>
                      <w:rFonts w:hint="eastAsia" w:ascii="宋体" w:hAnsi="宋体"/>
                      <w:color w:val="auto"/>
                      <w:sz w:val="21"/>
                      <w:szCs w:val="21"/>
                      <w:highlight w:val="none"/>
                      <w:lang w:val="en-US" w:eastAsia="zh-CN"/>
                    </w:rPr>
                    <w:t>印刷工序</w:t>
                  </w:r>
                </w:p>
              </w:tc>
              <w:tc>
                <w:tcPr>
                  <w:tcW w:w="1498" w:type="dxa"/>
                  <w:tcBorders>
                    <w:top w:val="single" w:color="auto" w:sz="4" w:space="0"/>
                  </w:tcBorders>
                  <w:noWrap w:val="0"/>
                  <w:vAlign w:val="center"/>
                </w:tcPr>
                <w:p w14:paraId="71668C26">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000000"/>
                      <w:kern w:val="0"/>
                      <w:sz w:val="21"/>
                      <w:szCs w:val="21"/>
                      <w:lang w:val="en-US" w:eastAsia="zh-CN"/>
                    </w:rPr>
                  </w:pPr>
                  <w:r>
                    <w:rPr>
                      <w:rFonts w:hint="eastAsia" w:cs="Times New Roman"/>
                      <w:color w:val="000000"/>
                      <w:kern w:val="0"/>
                      <w:sz w:val="21"/>
                      <w:szCs w:val="21"/>
                      <w:lang w:val="en-US" w:eastAsia="zh-CN"/>
                    </w:rPr>
                    <w:t>非甲烷总烃</w:t>
                  </w:r>
                </w:p>
              </w:tc>
              <w:tc>
                <w:tcPr>
                  <w:tcW w:w="4715" w:type="dxa"/>
                  <w:tcBorders>
                    <w:top w:val="single" w:color="auto" w:sz="4" w:space="0"/>
                  </w:tcBorders>
                  <w:noWrap w:val="0"/>
                  <w:vAlign w:val="center"/>
                </w:tcPr>
                <w:p w14:paraId="691E0BFD">
                  <w:pPr>
                    <w:keepNext w:val="0"/>
                    <w:keepLines w:val="0"/>
                    <w:suppressLineNumbers w:val="0"/>
                    <w:snapToGrid w:val="0"/>
                    <w:spacing w:before="0" w:beforeAutospacing="0" w:after="0" w:afterAutospacing="0"/>
                    <w:ind w:left="0" w:leftChars="0" w:right="0" w:rightChars="0"/>
                    <w:jc w:val="center"/>
                    <w:rPr>
                      <w:rFonts w:hint="eastAsia" w:hAnsi="宋体"/>
                      <w:bCs/>
                      <w:color w:val="auto"/>
                      <w:sz w:val="21"/>
                      <w:szCs w:val="21"/>
                      <w:lang w:val="en-US" w:eastAsia="zh-CN"/>
                    </w:rPr>
                  </w:pPr>
                  <w:r>
                    <w:rPr>
                      <w:rFonts w:hint="eastAsia" w:hAnsi="宋体"/>
                      <w:bCs/>
                      <w:color w:val="auto"/>
                      <w:sz w:val="21"/>
                      <w:szCs w:val="21"/>
                      <w:highlight w:val="none"/>
                      <w:lang w:val="en-US" w:eastAsia="zh-CN"/>
                    </w:rPr>
                    <w:t>印刷机二次密闭</w:t>
                  </w:r>
                  <w:r>
                    <w:rPr>
                      <w:rFonts w:hint="eastAsia" w:hAnsi="宋体"/>
                      <w:bCs/>
                      <w:color w:val="auto"/>
                      <w:sz w:val="21"/>
                      <w:szCs w:val="21"/>
                    </w:rPr>
                    <w:t>，</w:t>
                  </w:r>
                  <w:r>
                    <w:rPr>
                      <w:rFonts w:hint="eastAsia" w:cs="Times New Roman"/>
                      <w:color w:val="auto"/>
                      <w:sz w:val="21"/>
                      <w:szCs w:val="21"/>
                      <w:lang w:val="en-US" w:eastAsia="zh-CN"/>
                    </w:rPr>
                    <w:t>废气通过负压收集，收集后经</w:t>
                  </w:r>
                  <w:r>
                    <w:rPr>
                      <w:rFonts w:hint="eastAsia" w:ascii="Times New Roman" w:hAnsi="Times New Roman" w:eastAsia="宋体" w:cs="Times New Roman"/>
                      <w:b w:val="0"/>
                      <w:bCs w:val="0"/>
                      <w:color w:val="auto"/>
                      <w:kern w:val="2"/>
                      <w:sz w:val="21"/>
                      <w:szCs w:val="21"/>
                      <w:lang w:val="en-US" w:eastAsia="zh-CN" w:bidi="ar-SA"/>
                    </w:rPr>
                    <w:t>活性炭吸附脱附</w:t>
                  </w:r>
                  <w:r>
                    <w:rPr>
                      <w:rFonts w:hint="eastAsia" w:cs="Times New Roman"/>
                      <w:b w:val="0"/>
                      <w:bCs w:val="0"/>
                      <w:color w:val="auto"/>
                      <w:kern w:val="2"/>
                      <w:sz w:val="21"/>
                      <w:szCs w:val="21"/>
                      <w:lang w:val="en-US" w:eastAsia="zh-CN" w:bidi="ar-SA"/>
                    </w:rPr>
                    <w:t>+</w:t>
                  </w:r>
                  <w:r>
                    <w:rPr>
                      <w:rFonts w:hint="eastAsia" w:ascii="Times New Roman" w:hAnsi="Times New Roman" w:eastAsia="宋体" w:cs="Times New Roman"/>
                      <w:b w:val="0"/>
                      <w:bCs w:val="0"/>
                      <w:color w:val="auto"/>
                      <w:kern w:val="2"/>
                      <w:sz w:val="21"/>
                      <w:szCs w:val="21"/>
                      <w:lang w:val="en-US" w:eastAsia="zh-CN" w:bidi="ar-SA"/>
                    </w:rPr>
                    <w:t>催化燃烧装置（TA00</w:t>
                  </w:r>
                  <w:r>
                    <w:rPr>
                      <w:rFonts w:hint="eastAsia" w:cs="Times New Roman"/>
                      <w:b w:val="0"/>
                      <w:bCs w:val="0"/>
                      <w:color w:val="auto"/>
                      <w:kern w:val="2"/>
                      <w:sz w:val="21"/>
                      <w:szCs w:val="21"/>
                      <w:lang w:val="en-US" w:eastAsia="zh-CN" w:bidi="ar-SA"/>
                    </w:rPr>
                    <w:t>1</w:t>
                  </w:r>
                  <w:r>
                    <w:rPr>
                      <w:rFonts w:hint="eastAsia" w:ascii="Times New Roman" w:hAnsi="Times New Roman" w:eastAsia="宋体" w:cs="Times New Roman"/>
                      <w:b w:val="0"/>
                      <w:bCs w:val="0"/>
                      <w:color w:val="auto"/>
                      <w:kern w:val="2"/>
                      <w:sz w:val="21"/>
                      <w:szCs w:val="21"/>
                      <w:lang w:val="en-US" w:eastAsia="zh-CN" w:bidi="ar-SA"/>
                    </w:rPr>
                    <w:t>）处理，尾气经1根</w:t>
                  </w:r>
                  <w:r>
                    <w:rPr>
                      <w:rFonts w:hint="default" w:ascii="Times New Roman" w:hAnsi="Times New Roman" w:cs="Times New Roman"/>
                      <w:color w:val="auto"/>
                      <w:sz w:val="21"/>
                      <w:szCs w:val="21"/>
                    </w:rPr>
                    <w:t>15m高排气筒</w:t>
                  </w:r>
                  <w:r>
                    <w:rPr>
                      <w:rFonts w:hint="eastAsia" w:cs="Times New Roman"/>
                      <w:color w:val="auto"/>
                      <w:sz w:val="21"/>
                      <w:szCs w:val="21"/>
                      <w:lang w:eastAsia="zh-CN"/>
                    </w:rPr>
                    <w:t>（</w:t>
                  </w:r>
                  <w:r>
                    <w:rPr>
                      <w:rFonts w:hint="eastAsia" w:cs="Times New Roman"/>
                      <w:color w:val="auto"/>
                      <w:sz w:val="21"/>
                      <w:szCs w:val="21"/>
                      <w:lang w:val="en-US" w:eastAsia="zh-CN"/>
                    </w:rPr>
                    <w:t>DA001</w:t>
                  </w:r>
                  <w:r>
                    <w:rPr>
                      <w:rFonts w:hint="eastAsia" w:cs="Times New Roman"/>
                      <w:color w:val="auto"/>
                      <w:sz w:val="21"/>
                      <w:szCs w:val="21"/>
                      <w:lang w:eastAsia="zh-CN"/>
                    </w:rPr>
                    <w:t>）</w:t>
                  </w:r>
                  <w:r>
                    <w:rPr>
                      <w:rFonts w:hint="default" w:ascii="Times New Roman" w:hAnsi="Times New Roman" w:cs="Times New Roman"/>
                      <w:color w:val="auto"/>
                      <w:sz w:val="21"/>
                      <w:szCs w:val="21"/>
                    </w:rPr>
                    <w:t>排放</w:t>
                  </w:r>
                  <w:r>
                    <w:rPr>
                      <w:rFonts w:hint="eastAsia" w:cs="Times New Roman"/>
                      <w:color w:val="auto"/>
                      <w:sz w:val="21"/>
                      <w:szCs w:val="21"/>
                      <w:lang w:eastAsia="zh-CN"/>
                    </w:rPr>
                    <w:t>。</w:t>
                  </w:r>
                </w:p>
              </w:tc>
            </w:tr>
            <w:tr w14:paraId="4719C37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1" w:type="dxa"/>
                  <w:vMerge w:val="restart"/>
                  <w:tcBorders>
                    <w:tl2br w:val="nil"/>
                    <w:tr2bl w:val="nil"/>
                  </w:tcBorders>
                  <w:noWrap w:val="0"/>
                  <w:vAlign w:val="center"/>
                </w:tcPr>
                <w:p w14:paraId="31750F66">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eastAsia="宋体"/>
                      <w:color w:val="auto"/>
                      <w:sz w:val="21"/>
                      <w:szCs w:val="21"/>
                      <w:highlight w:val="none"/>
                      <w:lang w:eastAsia="zh-CN"/>
                    </w:rPr>
                  </w:pPr>
                  <w:r>
                    <w:rPr>
                      <w:rFonts w:hint="eastAsia" w:ascii="宋体" w:hAnsi="宋体"/>
                      <w:color w:val="auto"/>
                      <w:sz w:val="21"/>
                      <w:szCs w:val="21"/>
                      <w:highlight w:val="none"/>
                      <w:lang w:eastAsia="zh-CN"/>
                    </w:rPr>
                    <w:t>废水</w:t>
                  </w:r>
                </w:p>
              </w:tc>
              <w:tc>
                <w:tcPr>
                  <w:tcW w:w="1521" w:type="dxa"/>
                  <w:tcBorders>
                    <w:tl2br w:val="nil"/>
                    <w:tr2bl w:val="nil"/>
                  </w:tcBorders>
                  <w:noWrap w:val="0"/>
                  <w:vAlign w:val="center"/>
                </w:tcPr>
                <w:p w14:paraId="74E089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宋体" w:hAnsi="宋体"/>
                      <w:color w:val="auto"/>
                      <w:sz w:val="21"/>
                      <w:szCs w:val="21"/>
                      <w:highlight w:val="none"/>
                      <w:lang w:val="en-US" w:eastAsia="zh-CN"/>
                    </w:rPr>
                  </w:pPr>
                  <w:r>
                    <w:rPr>
                      <w:rFonts w:hint="eastAsia" w:ascii="宋体" w:hAnsi="宋体"/>
                      <w:color w:val="auto"/>
                      <w:sz w:val="21"/>
                      <w:szCs w:val="21"/>
                      <w:highlight w:val="none"/>
                      <w:lang w:val="en-US" w:eastAsia="zh-CN"/>
                    </w:rPr>
                    <w:t>生活污水</w:t>
                  </w:r>
                </w:p>
              </w:tc>
              <w:tc>
                <w:tcPr>
                  <w:tcW w:w="1498" w:type="dxa"/>
                  <w:tcBorders>
                    <w:tl2br w:val="nil"/>
                    <w:tr2bl w:val="nil"/>
                  </w:tcBorders>
                  <w:noWrap w:val="0"/>
                  <w:vAlign w:val="center"/>
                </w:tcPr>
                <w:p w14:paraId="4522408A">
                  <w:pPr>
                    <w:keepNext w:val="0"/>
                    <w:keepLines w:val="0"/>
                    <w:suppressLineNumbers w:val="0"/>
                    <w:adjustRightInd w:val="0"/>
                    <w:snapToGrid w:val="0"/>
                    <w:spacing w:before="0" w:beforeAutospacing="0" w:after="0" w:afterAutospacing="0"/>
                    <w:ind w:left="0" w:leftChars="0" w:right="0" w:rightChars="0"/>
                    <w:jc w:val="center"/>
                    <w:rPr>
                      <w:rFonts w:hint="eastAsia" w:cs="Times New Roman"/>
                      <w:color w:val="000000"/>
                      <w:kern w:val="0"/>
                      <w:sz w:val="21"/>
                      <w:szCs w:val="21"/>
                      <w:lang w:val="en-US" w:eastAsia="zh-CN"/>
                    </w:rPr>
                  </w:pPr>
                  <w:r>
                    <w:rPr>
                      <w:rFonts w:hint="default"/>
                      <w:color w:val="auto"/>
                      <w:sz w:val="21"/>
                      <w:szCs w:val="21"/>
                    </w:rPr>
                    <w:t>COD、SS、NH</w:t>
                  </w:r>
                  <w:r>
                    <w:rPr>
                      <w:rFonts w:hint="default"/>
                      <w:color w:val="auto"/>
                      <w:sz w:val="21"/>
                      <w:szCs w:val="21"/>
                      <w:vertAlign w:val="subscript"/>
                    </w:rPr>
                    <w:t>3</w:t>
                  </w:r>
                  <w:r>
                    <w:rPr>
                      <w:rFonts w:hint="default"/>
                      <w:color w:val="auto"/>
                      <w:sz w:val="21"/>
                      <w:szCs w:val="21"/>
                    </w:rPr>
                    <w:t>-N</w:t>
                  </w:r>
                  <w:r>
                    <w:rPr>
                      <w:rFonts w:hint="eastAsia"/>
                      <w:color w:val="auto"/>
                      <w:sz w:val="21"/>
                      <w:szCs w:val="21"/>
                    </w:rPr>
                    <w:t>、TN、TP</w:t>
                  </w:r>
                </w:p>
              </w:tc>
              <w:tc>
                <w:tcPr>
                  <w:tcW w:w="4715" w:type="dxa"/>
                  <w:tcBorders>
                    <w:tl2br w:val="nil"/>
                    <w:tr2bl w:val="nil"/>
                  </w:tcBorders>
                  <w:noWrap w:val="0"/>
                  <w:vAlign w:val="center"/>
                </w:tcPr>
                <w:p w14:paraId="63B3B7F3">
                  <w:pPr>
                    <w:keepNext w:val="0"/>
                    <w:keepLines w:val="0"/>
                    <w:suppressLineNumbers w:val="0"/>
                    <w:adjustRightInd w:val="0"/>
                    <w:snapToGrid w:val="0"/>
                    <w:spacing w:before="0" w:beforeAutospacing="0" w:after="0" w:afterAutospacing="0"/>
                    <w:ind w:left="0" w:leftChars="0" w:right="0" w:rightChars="0"/>
                    <w:jc w:val="center"/>
                    <w:rPr>
                      <w:rFonts w:hint="default" w:hAnsi="宋体"/>
                      <w:bCs/>
                      <w:color w:val="auto"/>
                      <w:sz w:val="21"/>
                      <w:szCs w:val="21"/>
                      <w:lang w:val="en-US" w:eastAsia="zh-CN"/>
                    </w:rPr>
                  </w:pPr>
                  <w:r>
                    <w:rPr>
                      <w:rFonts w:hint="eastAsia" w:hAnsi="宋体"/>
                      <w:bCs/>
                      <w:color w:val="auto"/>
                      <w:sz w:val="21"/>
                      <w:szCs w:val="21"/>
                      <w:lang w:val="en-US" w:eastAsia="zh-CN"/>
                    </w:rPr>
                    <w:t>生活污水经化粪池处理后定期清运不外排。</w:t>
                  </w:r>
                </w:p>
              </w:tc>
            </w:tr>
            <w:tr w14:paraId="629F9F0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1" w:type="dxa"/>
                  <w:vMerge w:val="continue"/>
                  <w:tcBorders>
                    <w:tl2br w:val="nil"/>
                    <w:tr2bl w:val="nil"/>
                  </w:tcBorders>
                  <w:noWrap w:val="0"/>
                  <w:vAlign w:val="center"/>
                </w:tcPr>
                <w:p w14:paraId="467A4906">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lang w:eastAsia="zh-CN"/>
                    </w:rPr>
                  </w:pPr>
                </w:p>
              </w:tc>
              <w:tc>
                <w:tcPr>
                  <w:tcW w:w="1521" w:type="dxa"/>
                  <w:tcBorders>
                    <w:tl2br w:val="nil"/>
                    <w:tr2bl w:val="nil"/>
                  </w:tcBorders>
                  <w:noWrap w:val="0"/>
                  <w:vAlign w:val="center"/>
                </w:tcPr>
                <w:p w14:paraId="277B14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宋体" w:hAnsi="宋体"/>
                      <w:color w:val="auto"/>
                      <w:sz w:val="21"/>
                      <w:szCs w:val="21"/>
                      <w:highlight w:val="none"/>
                      <w:lang w:val="en-US" w:eastAsia="zh-CN"/>
                    </w:rPr>
                  </w:pPr>
                  <w:r>
                    <w:rPr>
                      <w:rFonts w:hint="eastAsia" w:ascii="宋体" w:hAnsi="宋体"/>
                      <w:color w:val="auto"/>
                      <w:sz w:val="21"/>
                      <w:szCs w:val="21"/>
                      <w:highlight w:val="none"/>
                      <w:lang w:val="en-US" w:eastAsia="zh-CN"/>
                    </w:rPr>
                    <w:t>冷却水</w:t>
                  </w:r>
                </w:p>
              </w:tc>
              <w:tc>
                <w:tcPr>
                  <w:tcW w:w="1498" w:type="dxa"/>
                  <w:tcBorders>
                    <w:tl2br w:val="nil"/>
                    <w:tr2bl w:val="nil"/>
                  </w:tcBorders>
                  <w:noWrap w:val="0"/>
                  <w:vAlign w:val="center"/>
                </w:tcPr>
                <w:p w14:paraId="03871481">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rPr>
                  </w:pPr>
                  <w:r>
                    <w:rPr>
                      <w:rFonts w:hint="default"/>
                      <w:color w:val="auto"/>
                      <w:sz w:val="21"/>
                      <w:szCs w:val="21"/>
                    </w:rPr>
                    <w:t>COD、SS</w:t>
                  </w:r>
                </w:p>
              </w:tc>
              <w:tc>
                <w:tcPr>
                  <w:tcW w:w="4715" w:type="dxa"/>
                  <w:tcBorders>
                    <w:tl2br w:val="nil"/>
                    <w:tr2bl w:val="nil"/>
                  </w:tcBorders>
                  <w:noWrap w:val="0"/>
                  <w:vAlign w:val="center"/>
                </w:tcPr>
                <w:p w14:paraId="47F070BA">
                  <w:pPr>
                    <w:keepNext w:val="0"/>
                    <w:keepLines w:val="0"/>
                    <w:suppressLineNumbers w:val="0"/>
                    <w:adjustRightInd w:val="0"/>
                    <w:snapToGrid w:val="0"/>
                    <w:spacing w:before="0" w:beforeAutospacing="0" w:after="0" w:afterAutospacing="0"/>
                    <w:ind w:left="0" w:leftChars="0" w:right="0" w:rightChars="0"/>
                    <w:jc w:val="center"/>
                    <w:rPr>
                      <w:rFonts w:hint="default" w:hAnsi="宋体"/>
                      <w:bCs/>
                      <w:color w:val="auto"/>
                      <w:sz w:val="21"/>
                      <w:szCs w:val="21"/>
                      <w:lang w:val="en-US" w:eastAsia="zh-CN"/>
                    </w:rPr>
                  </w:pPr>
                  <w:r>
                    <w:rPr>
                      <w:rFonts w:hint="eastAsia" w:hAnsi="宋体"/>
                      <w:bCs/>
                      <w:color w:val="auto"/>
                      <w:sz w:val="21"/>
                      <w:szCs w:val="21"/>
                      <w:lang w:val="en-US" w:eastAsia="zh-CN"/>
                    </w:rPr>
                    <w:t>冷却用水循环使用定期补充不外排</w:t>
                  </w:r>
                </w:p>
              </w:tc>
            </w:tr>
            <w:tr w14:paraId="5B2DCA3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1" w:type="dxa"/>
                  <w:tcBorders>
                    <w:tl2br w:val="nil"/>
                    <w:tr2bl w:val="nil"/>
                  </w:tcBorders>
                  <w:noWrap w:val="0"/>
                  <w:vAlign w:val="center"/>
                </w:tcPr>
                <w:p w14:paraId="6346F42E">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lang w:val="en-US" w:eastAsia="zh-CN"/>
                    </w:rPr>
                  </w:pPr>
                  <w:r>
                    <w:rPr>
                      <w:rFonts w:hint="eastAsia" w:ascii="宋体" w:hAnsi="宋体"/>
                      <w:color w:val="auto"/>
                      <w:sz w:val="21"/>
                      <w:szCs w:val="21"/>
                      <w:highlight w:val="none"/>
                    </w:rPr>
                    <w:t>噪声</w:t>
                  </w:r>
                </w:p>
              </w:tc>
              <w:tc>
                <w:tcPr>
                  <w:tcW w:w="1521" w:type="dxa"/>
                  <w:tcBorders>
                    <w:tl2br w:val="nil"/>
                    <w:tr2bl w:val="nil"/>
                  </w:tcBorders>
                  <w:noWrap w:val="0"/>
                  <w:vAlign w:val="center"/>
                </w:tcPr>
                <w:p w14:paraId="321764BC">
                  <w:pPr>
                    <w:keepNext w:val="0"/>
                    <w:keepLines w:val="0"/>
                    <w:suppressLineNumbers w:val="0"/>
                    <w:adjustRightInd w:val="0"/>
                    <w:snapToGrid w:val="0"/>
                    <w:spacing w:before="0" w:beforeAutospacing="0" w:after="0" w:afterAutospacing="0"/>
                    <w:ind w:left="0" w:leftChars="0" w:right="0" w:rightChars="0"/>
                    <w:jc w:val="center"/>
                    <w:rPr>
                      <w:rFonts w:hint="default"/>
                      <w:b w:val="0"/>
                      <w:bCs/>
                      <w:color w:val="auto"/>
                      <w:sz w:val="21"/>
                      <w:szCs w:val="21"/>
                      <w:lang w:val="en-US" w:eastAsia="zh-CN"/>
                    </w:rPr>
                  </w:pPr>
                  <w:r>
                    <w:rPr>
                      <w:rFonts w:hint="eastAsia" w:cs="Times New Roman" w:eastAsiaTheme="majorEastAsia"/>
                      <w:b w:val="0"/>
                      <w:bCs w:val="0"/>
                      <w:color w:val="auto"/>
                      <w:sz w:val="21"/>
                      <w:szCs w:val="21"/>
                      <w:highlight w:val="none"/>
                      <w:u w:val="none"/>
                      <w:lang w:val="en-US" w:eastAsia="zh-CN"/>
                    </w:rPr>
                    <w:t>生产设备</w:t>
                  </w:r>
                </w:p>
              </w:tc>
              <w:tc>
                <w:tcPr>
                  <w:tcW w:w="1498" w:type="dxa"/>
                  <w:tcBorders>
                    <w:tl2br w:val="nil"/>
                    <w:tr2bl w:val="nil"/>
                  </w:tcBorders>
                  <w:noWrap w:val="0"/>
                  <w:vAlign w:val="center"/>
                </w:tcPr>
                <w:p w14:paraId="743E706E">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000000"/>
                      <w:sz w:val="21"/>
                      <w:szCs w:val="21"/>
                    </w:rPr>
                  </w:pPr>
                  <w:r>
                    <w:rPr>
                      <w:rFonts w:hint="eastAsia"/>
                      <w:color w:val="auto"/>
                      <w:sz w:val="21"/>
                      <w:szCs w:val="21"/>
                      <w:highlight w:val="none"/>
                    </w:rPr>
                    <w:t>噪声</w:t>
                  </w:r>
                </w:p>
              </w:tc>
              <w:tc>
                <w:tcPr>
                  <w:tcW w:w="4715" w:type="dxa"/>
                  <w:tcBorders>
                    <w:tl2br w:val="nil"/>
                    <w:tr2bl w:val="nil"/>
                  </w:tcBorders>
                  <w:noWrap w:val="0"/>
                  <w:vAlign w:val="center"/>
                </w:tcPr>
                <w:p w14:paraId="1B7559D3">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rPr>
                  </w:pPr>
                  <w:r>
                    <w:rPr>
                      <w:rFonts w:hint="eastAsia"/>
                      <w:color w:val="auto"/>
                      <w:sz w:val="21"/>
                      <w:szCs w:val="21"/>
                      <w:highlight w:val="none"/>
                    </w:rPr>
                    <w:t>基础减振、厂房</w:t>
                  </w:r>
                  <w:r>
                    <w:rPr>
                      <w:rFonts w:hint="eastAsia"/>
                      <w:color w:val="auto"/>
                      <w:sz w:val="21"/>
                      <w:szCs w:val="21"/>
                      <w:highlight w:val="none"/>
                      <w:lang w:val="en-US" w:eastAsia="zh-CN"/>
                    </w:rPr>
                    <w:t>封闭</w:t>
                  </w:r>
                  <w:r>
                    <w:rPr>
                      <w:rFonts w:hint="eastAsia"/>
                      <w:color w:val="auto"/>
                      <w:sz w:val="21"/>
                      <w:szCs w:val="21"/>
                      <w:highlight w:val="none"/>
                    </w:rPr>
                    <w:t>隔音等</w:t>
                  </w:r>
                </w:p>
              </w:tc>
            </w:tr>
            <w:tr w14:paraId="721F08E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1" w:type="dxa"/>
                  <w:vMerge w:val="restart"/>
                  <w:tcBorders>
                    <w:tl2br w:val="nil"/>
                    <w:tr2bl w:val="nil"/>
                  </w:tcBorders>
                  <w:noWrap w:val="0"/>
                  <w:vAlign w:val="center"/>
                </w:tcPr>
                <w:p w14:paraId="20E8CA5B">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rPr>
                  </w:pPr>
                  <w:r>
                    <w:rPr>
                      <w:rFonts w:hint="eastAsia" w:ascii="宋体" w:hAnsi="宋体"/>
                      <w:color w:val="auto"/>
                      <w:sz w:val="21"/>
                      <w:szCs w:val="21"/>
                      <w:highlight w:val="none"/>
                    </w:rPr>
                    <w:t>固废</w:t>
                  </w:r>
                </w:p>
              </w:tc>
              <w:tc>
                <w:tcPr>
                  <w:tcW w:w="1521" w:type="dxa"/>
                  <w:tcBorders>
                    <w:tl2br w:val="nil"/>
                    <w:tr2bl w:val="nil"/>
                  </w:tcBorders>
                  <w:noWrap w:val="0"/>
                  <w:vAlign w:val="center"/>
                </w:tcPr>
                <w:p w14:paraId="6FCEB506">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lang w:val="en-US" w:eastAsia="zh-CN"/>
                    </w:rPr>
                    <w:t>投料环节</w:t>
                  </w:r>
                </w:p>
              </w:tc>
              <w:tc>
                <w:tcPr>
                  <w:tcW w:w="1498" w:type="dxa"/>
                  <w:tcBorders>
                    <w:tl2br w:val="nil"/>
                    <w:tr2bl w:val="nil"/>
                  </w:tcBorders>
                  <w:noWrap w:val="0"/>
                  <w:vAlign w:val="center"/>
                </w:tcPr>
                <w:p w14:paraId="76957544">
                  <w:pPr>
                    <w:keepNext w:val="0"/>
                    <w:keepLines w:val="0"/>
                    <w:suppressLineNumbers w:val="0"/>
                    <w:adjustRightInd w:val="0"/>
                    <w:snapToGrid w:val="0"/>
                    <w:spacing w:before="0" w:beforeAutospacing="0" w:after="0" w:afterAutospacing="0"/>
                    <w:ind w:left="0" w:leftChars="0" w:right="0" w:rightChars="0"/>
                    <w:jc w:val="center"/>
                    <w:rPr>
                      <w:rFonts w:hint="eastAsia" w:eastAsia="宋体"/>
                      <w:color w:val="auto"/>
                      <w:sz w:val="21"/>
                      <w:szCs w:val="21"/>
                      <w:highlight w:val="none"/>
                      <w:lang w:val="en-US" w:eastAsia="zh-CN"/>
                    </w:rPr>
                  </w:pPr>
                  <w:r>
                    <w:rPr>
                      <w:rFonts w:hint="eastAsia"/>
                      <w:color w:val="auto"/>
                      <w:sz w:val="21"/>
                      <w:szCs w:val="21"/>
                      <w:lang w:val="en-US" w:eastAsia="zh-CN"/>
                    </w:rPr>
                    <w:t>废包装物</w:t>
                  </w:r>
                </w:p>
              </w:tc>
              <w:tc>
                <w:tcPr>
                  <w:tcW w:w="4715" w:type="dxa"/>
                  <w:vMerge w:val="restart"/>
                  <w:tcBorders>
                    <w:tl2br w:val="nil"/>
                    <w:tr2bl w:val="nil"/>
                  </w:tcBorders>
                  <w:noWrap w:val="0"/>
                  <w:vAlign w:val="center"/>
                </w:tcPr>
                <w:p w14:paraId="540DEB8C">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vertAlign w:val="baseline"/>
                      <w:lang w:val="en-US" w:eastAsia="zh-CN"/>
                    </w:rPr>
                  </w:pPr>
                  <w:r>
                    <w:rPr>
                      <w:rFonts w:hint="eastAsia"/>
                      <w:color w:val="auto"/>
                      <w:sz w:val="21"/>
                      <w:szCs w:val="21"/>
                      <w:vertAlign w:val="baseline"/>
                      <w:lang w:val="en-US" w:eastAsia="zh-CN"/>
                    </w:rPr>
                    <w:t>一座</w:t>
                  </w:r>
                  <w:r>
                    <w:rPr>
                      <w:rFonts w:hint="eastAsia"/>
                      <w:color w:val="auto"/>
                      <w:sz w:val="21"/>
                      <w:szCs w:val="21"/>
                      <w:lang w:val="en-US" w:eastAsia="zh-CN"/>
                    </w:rPr>
                    <w:t>20m</w:t>
                  </w:r>
                  <w:r>
                    <w:rPr>
                      <w:rFonts w:hint="eastAsia"/>
                      <w:color w:val="auto"/>
                      <w:sz w:val="21"/>
                      <w:szCs w:val="21"/>
                      <w:vertAlign w:val="superscript"/>
                      <w:lang w:val="en-US" w:eastAsia="zh-CN"/>
                    </w:rPr>
                    <w:t>2</w:t>
                  </w:r>
                  <w:r>
                    <w:rPr>
                      <w:rFonts w:hint="eastAsia"/>
                      <w:color w:val="auto"/>
                      <w:sz w:val="21"/>
                      <w:szCs w:val="21"/>
                      <w:vertAlign w:val="baseline"/>
                      <w:lang w:val="en-US" w:eastAsia="zh-CN"/>
                    </w:rPr>
                    <w:t>一般固废暂存间</w:t>
                  </w:r>
                  <w:r>
                    <w:rPr>
                      <w:rFonts w:hint="eastAsia"/>
                      <w:color w:val="auto"/>
                      <w:sz w:val="21"/>
                      <w:szCs w:val="21"/>
                    </w:rPr>
                    <w:t>，定期</w:t>
                  </w:r>
                  <w:r>
                    <w:rPr>
                      <w:rFonts w:hint="eastAsia"/>
                      <w:color w:val="auto"/>
                      <w:sz w:val="21"/>
                      <w:szCs w:val="21"/>
                      <w:lang w:val="en-US" w:eastAsia="zh-CN"/>
                    </w:rPr>
                    <w:t>出</w:t>
                  </w:r>
                  <w:r>
                    <w:rPr>
                      <w:rFonts w:hint="eastAsia"/>
                      <w:color w:val="auto"/>
                      <w:sz w:val="21"/>
                      <w:szCs w:val="21"/>
                    </w:rPr>
                    <w:t>售</w:t>
                  </w:r>
                </w:p>
              </w:tc>
            </w:tr>
            <w:tr w14:paraId="6850F7D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1" w:type="dxa"/>
                  <w:vMerge w:val="continue"/>
                  <w:tcBorders>
                    <w:tl2br w:val="nil"/>
                    <w:tr2bl w:val="nil"/>
                  </w:tcBorders>
                  <w:noWrap w:val="0"/>
                  <w:vAlign w:val="center"/>
                </w:tcPr>
                <w:p w14:paraId="4868448C">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rPr>
                  </w:pPr>
                </w:p>
              </w:tc>
              <w:tc>
                <w:tcPr>
                  <w:tcW w:w="1521" w:type="dxa"/>
                  <w:tcBorders>
                    <w:tl2br w:val="nil"/>
                    <w:tr2bl w:val="nil"/>
                  </w:tcBorders>
                  <w:noWrap w:val="0"/>
                  <w:vAlign w:val="center"/>
                </w:tcPr>
                <w:p w14:paraId="368CBD37">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lang w:val="en-US" w:eastAsia="zh-CN"/>
                    </w:rPr>
                  </w:pPr>
                  <w:r>
                    <w:rPr>
                      <w:rFonts w:hint="eastAsia"/>
                      <w:color w:val="auto"/>
                      <w:sz w:val="21"/>
                      <w:szCs w:val="21"/>
                      <w:lang w:val="en-US" w:eastAsia="zh-CN"/>
                    </w:rPr>
                    <w:t>分切/模切</w:t>
                  </w:r>
                </w:p>
              </w:tc>
              <w:tc>
                <w:tcPr>
                  <w:tcW w:w="1498" w:type="dxa"/>
                  <w:tcBorders>
                    <w:tl2br w:val="nil"/>
                    <w:tr2bl w:val="nil"/>
                  </w:tcBorders>
                  <w:noWrap w:val="0"/>
                  <w:vAlign w:val="center"/>
                </w:tcPr>
                <w:p w14:paraId="7C7E4D60">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lang w:val="en-US" w:eastAsia="zh-CN"/>
                    </w:rPr>
                  </w:pPr>
                  <w:r>
                    <w:rPr>
                      <w:rFonts w:hint="eastAsia"/>
                      <w:color w:val="auto"/>
                      <w:sz w:val="21"/>
                      <w:szCs w:val="21"/>
                      <w:lang w:val="en-US" w:eastAsia="zh-CN"/>
                    </w:rPr>
                    <w:t>废边角料</w:t>
                  </w:r>
                </w:p>
              </w:tc>
              <w:tc>
                <w:tcPr>
                  <w:tcW w:w="4715" w:type="dxa"/>
                  <w:vMerge w:val="continue"/>
                  <w:tcBorders>
                    <w:tl2br w:val="nil"/>
                    <w:tr2bl w:val="nil"/>
                  </w:tcBorders>
                  <w:noWrap w:val="0"/>
                  <w:vAlign w:val="center"/>
                </w:tcPr>
                <w:p w14:paraId="3BA0FA50">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vertAlign w:val="baseline"/>
                      <w:lang w:val="en-US" w:eastAsia="zh-CN"/>
                    </w:rPr>
                  </w:pPr>
                </w:p>
              </w:tc>
            </w:tr>
            <w:tr w14:paraId="7E76781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1" w:type="dxa"/>
                  <w:vMerge w:val="continue"/>
                  <w:tcBorders>
                    <w:tl2br w:val="nil"/>
                    <w:tr2bl w:val="nil"/>
                  </w:tcBorders>
                  <w:noWrap w:val="0"/>
                  <w:vAlign w:val="center"/>
                </w:tcPr>
                <w:p w14:paraId="5A46EC9E">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rPr>
                  </w:pPr>
                </w:p>
              </w:tc>
              <w:tc>
                <w:tcPr>
                  <w:tcW w:w="1521" w:type="dxa"/>
                  <w:vMerge w:val="restart"/>
                  <w:tcBorders>
                    <w:tl2br w:val="nil"/>
                    <w:tr2bl w:val="nil"/>
                  </w:tcBorders>
                  <w:noWrap w:val="0"/>
                  <w:vAlign w:val="center"/>
                </w:tcPr>
                <w:p w14:paraId="43C1E664">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lang w:val="en-US" w:eastAsia="zh-CN"/>
                    </w:rPr>
                  </w:pPr>
                  <w:r>
                    <w:rPr>
                      <w:rFonts w:hint="eastAsia"/>
                      <w:color w:val="auto"/>
                      <w:sz w:val="21"/>
                      <w:szCs w:val="21"/>
                      <w:lang w:val="en-US" w:eastAsia="zh-CN"/>
                    </w:rPr>
                    <w:t>印刷工序</w:t>
                  </w:r>
                </w:p>
              </w:tc>
              <w:tc>
                <w:tcPr>
                  <w:tcW w:w="1498" w:type="dxa"/>
                  <w:tcBorders>
                    <w:tl2br w:val="nil"/>
                    <w:tr2bl w:val="nil"/>
                  </w:tcBorders>
                  <w:noWrap w:val="0"/>
                  <w:vAlign w:val="center"/>
                </w:tcPr>
                <w:p w14:paraId="5902785E">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lang w:val="en-US" w:eastAsia="zh-CN"/>
                    </w:rPr>
                  </w:pPr>
                  <w:r>
                    <w:rPr>
                      <w:rFonts w:hint="eastAsia"/>
                      <w:color w:val="auto"/>
                      <w:sz w:val="21"/>
                      <w:szCs w:val="21"/>
                      <w:lang w:val="en-US" w:eastAsia="zh-CN"/>
                    </w:rPr>
                    <w:t>废抹布</w:t>
                  </w:r>
                </w:p>
              </w:tc>
              <w:tc>
                <w:tcPr>
                  <w:tcW w:w="4715" w:type="dxa"/>
                  <w:vMerge w:val="restart"/>
                  <w:tcBorders>
                    <w:tl2br w:val="nil"/>
                    <w:tr2bl w:val="nil"/>
                  </w:tcBorders>
                  <w:noWrap w:val="0"/>
                  <w:vAlign w:val="center"/>
                </w:tcPr>
                <w:p w14:paraId="5A67E4FB">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vertAlign w:val="baseline"/>
                      <w:lang w:val="en-US" w:eastAsia="zh-CN"/>
                    </w:rPr>
                    <w:t>一座</w:t>
                  </w:r>
                  <w:r>
                    <w:rPr>
                      <w:rFonts w:hint="eastAsia"/>
                      <w:color w:val="auto"/>
                      <w:sz w:val="21"/>
                      <w:szCs w:val="21"/>
                      <w:lang w:val="en-US" w:eastAsia="zh-CN"/>
                    </w:rPr>
                    <w:t>10m</w:t>
                  </w:r>
                  <w:r>
                    <w:rPr>
                      <w:rFonts w:hint="eastAsia"/>
                      <w:color w:val="auto"/>
                      <w:sz w:val="21"/>
                      <w:szCs w:val="21"/>
                      <w:vertAlign w:val="superscript"/>
                      <w:lang w:val="en-US" w:eastAsia="zh-CN"/>
                    </w:rPr>
                    <w:t>2</w:t>
                  </w:r>
                  <w:r>
                    <w:rPr>
                      <w:rFonts w:hint="eastAsia"/>
                      <w:color w:val="auto"/>
                      <w:sz w:val="21"/>
                      <w:szCs w:val="21"/>
                      <w:vertAlign w:val="baseline"/>
                      <w:lang w:val="en-US" w:eastAsia="zh-CN"/>
                    </w:rPr>
                    <w:t>危废间暂存</w:t>
                  </w:r>
                  <w:r>
                    <w:rPr>
                      <w:rFonts w:hint="eastAsia"/>
                      <w:color w:val="auto"/>
                      <w:sz w:val="21"/>
                      <w:szCs w:val="21"/>
                    </w:rPr>
                    <w:t>，</w:t>
                  </w:r>
                  <w:r>
                    <w:rPr>
                      <w:rFonts w:hint="eastAsia"/>
                      <w:color w:val="auto"/>
                      <w:sz w:val="21"/>
                      <w:szCs w:val="21"/>
                      <w:lang w:val="en-US" w:eastAsia="zh-CN"/>
                    </w:rPr>
                    <w:t>委托有资质单位处置</w:t>
                  </w:r>
                </w:p>
              </w:tc>
            </w:tr>
            <w:tr w14:paraId="2C17A54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1" w:type="dxa"/>
                  <w:vMerge w:val="continue"/>
                  <w:tcBorders>
                    <w:tl2br w:val="nil"/>
                    <w:tr2bl w:val="nil"/>
                  </w:tcBorders>
                  <w:noWrap w:val="0"/>
                  <w:vAlign w:val="center"/>
                </w:tcPr>
                <w:p w14:paraId="2B5A45BF">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rPr>
                  </w:pPr>
                </w:p>
              </w:tc>
              <w:tc>
                <w:tcPr>
                  <w:tcW w:w="1521" w:type="dxa"/>
                  <w:vMerge w:val="continue"/>
                  <w:tcBorders>
                    <w:tl2br w:val="nil"/>
                    <w:tr2bl w:val="nil"/>
                  </w:tcBorders>
                  <w:noWrap w:val="0"/>
                  <w:vAlign w:val="center"/>
                </w:tcPr>
                <w:p w14:paraId="64262EFC">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lang w:val="en-US" w:eastAsia="zh-CN"/>
                    </w:rPr>
                  </w:pPr>
                </w:p>
              </w:tc>
              <w:tc>
                <w:tcPr>
                  <w:tcW w:w="1498" w:type="dxa"/>
                  <w:tcBorders>
                    <w:tl2br w:val="nil"/>
                    <w:tr2bl w:val="nil"/>
                  </w:tcBorders>
                  <w:noWrap w:val="0"/>
                  <w:vAlign w:val="center"/>
                </w:tcPr>
                <w:p w14:paraId="6F2DA404">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lang w:val="en-US" w:eastAsia="zh-CN"/>
                    </w:rPr>
                  </w:pPr>
                  <w:r>
                    <w:rPr>
                      <w:rFonts w:hint="eastAsia"/>
                      <w:color w:val="auto"/>
                      <w:sz w:val="21"/>
                      <w:szCs w:val="21"/>
                      <w:lang w:val="en-US" w:eastAsia="zh-CN"/>
                    </w:rPr>
                    <w:t>废柔印版</w:t>
                  </w:r>
                </w:p>
              </w:tc>
              <w:tc>
                <w:tcPr>
                  <w:tcW w:w="4715" w:type="dxa"/>
                  <w:vMerge w:val="continue"/>
                  <w:tcBorders>
                    <w:tl2br w:val="nil"/>
                    <w:tr2bl w:val="nil"/>
                  </w:tcBorders>
                  <w:noWrap w:val="0"/>
                  <w:vAlign w:val="center"/>
                </w:tcPr>
                <w:p w14:paraId="64D63A24">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vertAlign w:val="baseline"/>
                      <w:lang w:val="en-US" w:eastAsia="zh-CN"/>
                    </w:rPr>
                  </w:pPr>
                </w:p>
              </w:tc>
            </w:tr>
            <w:tr w14:paraId="3D31247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1" w:type="dxa"/>
                  <w:vMerge w:val="continue"/>
                  <w:tcBorders>
                    <w:tl2br w:val="nil"/>
                    <w:tr2bl w:val="nil"/>
                  </w:tcBorders>
                  <w:noWrap w:val="0"/>
                  <w:vAlign w:val="center"/>
                </w:tcPr>
                <w:p w14:paraId="49D006D4">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rPr>
                  </w:pPr>
                </w:p>
              </w:tc>
              <w:tc>
                <w:tcPr>
                  <w:tcW w:w="1521" w:type="dxa"/>
                  <w:vMerge w:val="continue"/>
                  <w:tcBorders>
                    <w:tl2br w:val="nil"/>
                    <w:tr2bl w:val="nil"/>
                  </w:tcBorders>
                  <w:noWrap w:val="0"/>
                  <w:vAlign w:val="center"/>
                </w:tcPr>
                <w:p w14:paraId="0A013721">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lang w:val="en-US" w:eastAsia="zh-CN"/>
                    </w:rPr>
                  </w:pPr>
                </w:p>
              </w:tc>
              <w:tc>
                <w:tcPr>
                  <w:tcW w:w="1498" w:type="dxa"/>
                  <w:tcBorders>
                    <w:tl2br w:val="nil"/>
                    <w:tr2bl w:val="nil"/>
                  </w:tcBorders>
                  <w:noWrap w:val="0"/>
                  <w:vAlign w:val="center"/>
                </w:tcPr>
                <w:p w14:paraId="14D6A7E8">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lang w:val="en-US" w:eastAsia="zh-CN"/>
                    </w:rPr>
                  </w:pPr>
                  <w:r>
                    <w:rPr>
                      <w:rFonts w:hint="eastAsia"/>
                      <w:color w:val="auto"/>
                      <w:sz w:val="21"/>
                      <w:szCs w:val="21"/>
                      <w:lang w:val="en-US" w:eastAsia="zh-CN"/>
                    </w:rPr>
                    <w:t>废油墨包装桶</w:t>
                  </w:r>
                </w:p>
              </w:tc>
              <w:tc>
                <w:tcPr>
                  <w:tcW w:w="4715" w:type="dxa"/>
                  <w:vMerge w:val="continue"/>
                  <w:tcBorders>
                    <w:tl2br w:val="nil"/>
                    <w:tr2bl w:val="nil"/>
                  </w:tcBorders>
                  <w:noWrap w:val="0"/>
                  <w:vAlign w:val="center"/>
                </w:tcPr>
                <w:p w14:paraId="38CA2E1B">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vertAlign w:val="baseline"/>
                      <w:lang w:val="en-US" w:eastAsia="zh-CN"/>
                    </w:rPr>
                  </w:pPr>
                </w:p>
              </w:tc>
            </w:tr>
            <w:tr w14:paraId="109C64C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90" w:hRule="atLeast"/>
                <w:jc w:val="center"/>
              </w:trPr>
              <w:tc>
                <w:tcPr>
                  <w:tcW w:w="1071" w:type="dxa"/>
                  <w:vMerge w:val="continue"/>
                  <w:tcBorders>
                    <w:tl2br w:val="nil"/>
                    <w:tr2bl w:val="nil"/>
                  </w:tcBorders>
                  <w:noWrap w:val="0"/>
                  <w:vAlign w:val="center"/>
                </w:tcPr>
                <w:p w14:paraId="53EFC085">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rPr>
                  </w:pPr>
                </w:p>
              </w:tc>
              <w:tc>
                <w:tcPr>
                  <w:tcW w:w="1521" w:type="dxa"/>
                  <w:vMerge w:val="restart"/>
                  <w:tcBorders>
                    <w:tl2br w:val="nil"/>
                    <w:tr2bl w:val="nil"/>
                  </w:tcBorders>
                  <w:noWrap w:val="0"/>
                  <w:vAlign w:val="center"/>
                </w:tcPr>
                <w:p w14:paraId="14BDD1E3">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lang w:val="en-US" w:eastAsia="zh-CN"/>
                    </w:rPr>
                    <w:t>废气处理</w:t>
                  </w:r>
                </w:p>
              </w:tc>
              <w:tc>
                <w:tcPr>
                  <w:tcW w:w="1498" w:type="dxa"/>
                  <w:tcBorders>
                    <w:tl2br w:val="nil"/>
                    <w:tr2bl w:val="nil"/>
                  </w:tcBorders>
                  <w:noWrap w:val="0"/>
                  <w:vAlign w:val="center"/>
                </w:tcPr>
                <w:p w14:paraId="1FB7223F">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yellow"/>
                      <w:lang w:val="en-US" w:eastAsia="zh-CN"/>
                    </w:rPr>
                  </w:pPr>
                  <w:r>
                    <w:rPr>
                      <w:rFonts w:hint="eastAsia"/>
                      <w:color w:val="auto"/>
                      <w:sz w:val="21"/>
                      <w:szCs w:val="21"/>
                      <w:lang w:val="en-US" w:eastAsia="zh-CN"/>
                    </w:rPr>
                    <w:t>废活性炭</w:t>
                  </w:r>
                </w:p>
              </w:tc>
              <w:tc>
                <w:tcPr>
                  <w:tcW w:w="4715" w:type="dxa"/>
                  <w:vMerge w:val="continue"/>
                  <w:tcBorders>
                    <w:tl2br w:val="nil"/>
                    <w:tr2bl w:val="nil"/>
                  </w:tcBorders>
                  <w:noWrap w:val="0"/>
                  <w:vAlign w:val="center"/>
                </w:tcPr>
                <w:p w14:paraId="5F7FC4C2">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p>
              </w:tc>
            </w:tr>
            <w:tr w14:paraId="3F2DA4B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71" w:type="dxa"/>
                  <w:vMerge w:val="continue"/>
                  <w:tcBorders>
                    <w:tl2br w:val="nil"/>
                    <w:tr2bl w:val="nil"/>
                  </w:tcBorders>
                  <w:noWrap w:val="0"/>
                  <w:vAlign w:val="center"/>
                </w:tcPr>
                <w:p w14:paraId="0C74EB90">
                  <w:pPr>
                    <w:keepNext w:val="0"/>
                    <w:keepLines w:val="0"/>
                    <w:suppressLineNumbers w:val="0"/>
                    <w:adjustRightInd w:val="0"/>
                    <w:snapToGrid w:val="0"/>
                    <w:spacing w:before="0" w:beforeAutospacing="0" w:after="0" w:afterAutospacing="0"/>
                    <w:ind w:left="0" w:leftChars="0" w:right="0" w:rightChars="0"/>
                    <w:jc w:val="center"/>
                    <w:rPr>
                      <w:rFonts w:hint="eastAsia" w:ascii="宋体" w:hAnsi="宋体"/>
                      <w:color w:val="auto"/>
                      <w:sz w:val="21"/>
                      <w:szCs w:val="21"/>
                      <w:highlight w:val="none"/>
                    </w:rPr>
                  </w:pPr>
                </w:p>
              </w:tc>
              <w:tc>
                <w:tcPr>
                  <w:tcW w:w="1521" w:type="dxa"/>
                  <w:vMerge w:val="continue"/>
                  <w:tcBorders>
                    <w:tl2br w:val="nil"/>
                    <w:tr2bl w:val="nil"/>
                  </w:tcBorders>
                  <w:noWrap w:val="0"/>
                  <w:vAlign w:val="center"/>
                </w:tcPr>
                <w:p w14:paraId="4A44A5BE">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p>
              </w:tc>
              <w:tc>
                <w:tcPr>
                  <w:tcW w:w="1498" w:type="dxa"/>
                  <w:tcBorders>
                    <w:tl2br w:val="nil"/>
                    <w:tr2bl w:val="nil"/>
                  </w:tcBorders>
                  <w:noWrap w:val="0"/>
                  <w:vAlign w:val="center"/>
                </w:tcPr>
                <w:p w14:paraId="5533F854">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lang w:val="en-US" w:eastAsia="zh-CN"/>
                    </w:rPr>
                    <w:t>废催化剂</w:t>
                  </w:r>
                </w:p>
              </w:tc>
              <w:tc>
                <w:tcPr>
                  <w:tcW w:w="4715" w:type="dxa"/>
                  <w:vMerge w:val="continue"/>
                  <w:tcBorders>
                    <w:tl2br w:val="nil"/>
                    <w:tr2bl w:val="nil"/>
                  </w:tcBorders>
                  <w:noWrap w:val="0"/>
                  <w:vAlign w:val="center"/>
                </w:tcPr>
                <w:p w14:paraId="5C6A4783">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lang w:val="en-US" w:eastAsia="zh-CN"/>
                    </w:rPr>
                  </w:pPr>
                </w:p>
              </w:tc>
            </w:tr>
          </w:tbl>
          <w:p w14:paraId="0E99F33C">
            <w:pPr>
              <w:keepNext w:val="0"/>
              <w:keepLines w:val="0"/>
              <w:suppressLineNumbers w:val="0"/>
              <w:adjustRightInd w:val="0"/>
              <w:snapToGrid w:val="0"/>
              <w:spacing w:before="0" w:beforeAutospacing="0" w:after="0" w:afterAutospacing="0"/>
              <w:ind w:left="0" w:right="0"/>
              <w:rPr>
                <w:rFonts w:hint="default"/>
                <w:bCs/>
                <w:szCs w:val="21"/>
              </w:rPr>
            </w:pPr>
          </w:p>
        </w:tc>
      </w:tr>
      <w:tr w14:paraId="0393D5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88" w:hRule="atLeast"/>
          <w:jc w:val="center"/>
        </w:trPr>
        <w:tc>
          <w:tcPr>
            <w:tcW w:w="731" w:type="dxa"/>
            <w:noWrap w:val="0"/>
            <w:vAlign w:val="center"/>
          </w:tcPr>
          <w:p w14:paraId="465E9F3B">
            <w:pPr>
              <w:pStyle w:val="1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ascii="Times New Roman" w:hAnsi="Times New Roman"/>
                <w:color w:val="000000" w:themeColor="text1"/>
                <w:sz w:val="21"/>
                <w:szCs w:val="21"/>
                <w:lang w:val="en-US" w:eastAsia="zh-CN"/>
                <w14:textFill>
                  <w14:solidFill>
                    <w14:schemeClr w14:val="tx1"/>
                  </w14:solidFill>
                </w14:textFill>
              </w:rPr>
            </w:pPr>
            <w:r>
              <w:rPr>
                <w:rFonts w:hint="default" w:ascii="Times New Roman"/>
                <w:bCs/>
                <w:color w:val="auto"/>
                <w:kern w:val="2"/>
                <w:sz w:val="24"/>
                <w:szCs w:val="24"/>
                <w:lang w:val="en-US" w:eastAsia="zh-CN"/>
              </w:rPr>
              <w:t>与项目有关的原有环境污染问题</w:t>
            </w:r>
          </w:p>
        </w:tc>
        <w:tc>
          <w:tcPr>
            <w:tcW w:w="9021" w:type="dxa"/>
            <w:noWrap w:val="0"/>
            <w:vAlign w:val="center"/>
          </w:tcPr>
          <w:p w14:paraId="684EBB7A">
            <w:pPr>
              <w:keepNext w:val="0"/>
              <w:keepLines w:val="0"/>
              <w:suppressLineNumbers w:val="0"/>
              <w:spacing w:before="0" w:beforeAutospacing="0" w:after="0" w:afterAutospacing="0" w:line="440" w:lineRule="exact"/>
              <w:ind w:left="0" w:right="0" w:firstLine="480" w:firstLineChars="200"/>
              <w:jc w:val="both"/>
              <w:rPr>
                <w:rFonts w:hint="eastAsia" w:eastAsia="宋体"/>
                <w:sz w:val="24"/>
                <w:highlight w:val="none"/>
                <w:lang w:val="en-US" w:eastAsia="zh-CN"/>
              </w:rPr>
            </w:pPr>
          </w:p>
          <w:p w14:paraId="23C968BB">
            <w:pPr>
              <w:pStyle w:val="32"/>
              <w:keepNext w:val="0"/>
              <w:keepLines w:val="0"/>
              <w:suppressLineNumbers w:val="0"/>
              <w:spacing w:before="0" w:beforeAutospacing="0" w:after="0" w:afterAutospacing="0"/>
              <w:ind w:left="0" w:leftChars="0" w:right="0" w:firstLine="0" w:firstLineChars="0"/>
              <w:rPr>
                <w:rFonts w:hint="default"/>
                <w:color w:val="auto"/>
                <w:sz w:val="24"/>
              </w:rPr>
            </w:pPr>
          </w:p>
          <w:p w14:paraId="7E9F4E13">
            <w:pPr>
              <w:keepNext w:val="0"/>
              <w:keepLines w:val="0"/>
              <w:suppressLineNumbers w:val="0"/>
              <w:spacing w:before="0" w:beforeAutospacing="0" w:after="0" w:afterAutospacing="0"/>
              <w:ind w:left="0" w:right="0"/>
              <w:rPr>
                <w:rFonts w:hint="default"/>
                <w:color w:val="auto"/>
                <w:sz w:val="24"/>
              </w:rPr>
            </w:pPr>
          </w:p>
          <w:p w14:paraId="64271DC1">
            <w:pPr>
              <w:pStyle w:val="21"/>
              <w:keepNext w:val="0"/>
              <w:keepLines w:val="0"/>
              <w:suppressLineNumbers w:val="0"/>
              <w:spacing w:before="0" w:beforeAutospacing="0" w:afterAutospacing="0"/>
              <w:ind w:right="0"/>
              <w:rPr>
                <w:rFonts w:hint="default"/>
              </w:rPr>
            </w:pPr>
          </w:p>
          <w:p w14:paraId="30C3B8B8">
            <w:pPr>
              <w:pStyle w:val="32"/>
              <w:keepNext w:val="0"/>
              <w:keepLines w:val="0"/>
              <w:suppressLineNumbers w:val="0"/>
              <w:spacing w:before="0" w:beforeAutospacing="0" w:after="0" w:afterAutospacing="0"/>
              <w:ind w:left="0" w:right="0"/>
              <w:rPr>
                <w:rFonts w:hint="default"/>
                <w:color w:val="auto"/>
                <w:sz w:val="24"/>
              </w:rPr>
            </w:pPr>
          </w:p>
          <w:p w14:paraId="109E8049">
            <w:pPr>
              <w:pStyle w:val="32"/>
              <w:keepNext w:val="0"/>
              <w:keepLines w:val="0"/>
              <w:suppressLineNumbers w:val="0"/>
              <w:spacing w:before="0" w:beforeAutospacing="0" w:after="0" w:afterAutospacing="0"/>
              <w:ind w:left="0" w:right="0"/>
              <w:rPr>
                <w:rFonts w:hint="default"/>
                <w:color w:val="auto"/>
                <w:sz w:val="24"/>
              </w:rPr>
            </w:pPr>
          </w:p>
          <w:p w14:paraId="1A7F7CDA">
            <w:pPr>
              <w:pStyle w:val="32"/>
              <w:keepNext w:val="0"/>
              <w:keepLines w:val="0"/>
              <w:suppressLineNumbers w:val="0"/>
              <w:spacing w:before="0" w:beforeAutospacing="0" w:after="0" w:afterAutospacing="0"/>
              <w:ind w:left="0" w:right="0"/>
              <w:rPr>
                <w:rFonts w:hint="default"/>
                <w:color w:val="auto"/>
                <w:sz w:val="24"/>
              </w:rPr>
            </w:pPr>
          </w:p>
          <w:p w14:paraId="1B80DAE4">
            <w:pPr>
              <w:pStyle w:val="32"/>
              <w:keepNext w:val="0"/>
              <w:keepLines w:val="0"/>
              <w:suppressLineNumbers w:val="0"/>
              <w:spacing w:before="0" w:beforeAutospacing="0" w:after="0" w:afterAutospacing="0"/>
              <w:ind w:left="0" w:right="0"/>
              <w:rPr>
                <w:rFonts w:hint="default"/>
                <w:color w:val="auto"/>
                <w:sz w:val="24"/>
              </w:rPr>
            </w:pPr>
          </w:p>
          <w:p w14:paraId="45B2CD85">
            <w:pPr>
              <w:pStyle w:val="32"/>
              <w:keepNext w:val="0"/>
              <w:keepLines w:val="0"/>
              <w:suppressLineNumbers w:val="0"/>
              <w:spacing w:before="0" w:beforeAutospacing="0" w:after="0" w:afterAutospacing="0"/>
              <w:ind w:left="0" w:right="0"/>
              <w:rPr>
                <w:rFonts w:hint="default"/>
                <w:color w:val="auto"/>
                <w:sz w:val="24"/>
              </w:rPr>
            </w:pPr>
            <w:r>
              <w:rPr>
                <w:rFonts w:hint="default"/>
                <w:color w:val="auto"/>
                <w:sz w:val="24"/>
              </w:rPr>
              <w:t>本项目为新建项目，不存在与项目有关的原有环境污染问题。</w:t>
            </w:r>
          </w:p>
          <w:p w14:paraId="35E26B14">
            <w:pPr>
              <w:keepNext w:val="0"/>
              <w:keepLines w:val="0"/>
              <w:suppressLineNumbers w:val="0"/>
              <w:spacing w:before="0" w:beforeAutospacing="0" w:after="0" w:afterAutospacing="0"/>
              <w:ind w:left="0" w:right="0"/>
              <w:rPr>
                <w:rFonts w:hint="default"/>
                <w:color w:val="auto"/>
                <w:sz w:val="24"/>
              </w:rPr>
            </w:pPr>
          </w:p>
          <w:p w14:paraId="6F0897A8">
            <w:pPr>
              <w:pStyle w:val="21"/>
              <w:keepNext w:val="0"/>
              <w:keepLines w:val="0"/>
              <w:suppressLineNumbers w:val="0"/>
              <w:spacing w:before="0" w:beforeAutospacing="0" w:afterAutospacing="0"/>
              <w:ind w:right="0"/>
              <w:rPr>
                <w:rFonts w:hint="default"/>
                <w:color w:val="auto"/>
                <w:sz w:val="24"/>
              </w:rPr>
            </w:pPr>
          </w:p>
          <w:p w14:paraId="586E54EA">
            <w:pPr>
              <w:keepNext w:val="0"/>
              <w:keepLines w:val="0"/>
              <w:suppressLineNumbers w:val="0"/>
              <w:spacing w:before="0" w:beforeAutospacing="0" w:after="0" w:afterAutospacing="0"/>
              <w:ind w:left="0" w:right="0"/>
              <w:rPr>
                <w:rFonts w:hint="default"/>
                <w:color w:val="auto"/>
                <w:sz w:val="24"/>
              </w:rPr>
            </w:pPr>
          </w:p>
          <w:p w14:paraId="2CEA4ECB">
            <w:pPr>
              <w:pStyle w:val="21"/>
              <w:keepNext w:val="0"/>
              <w:keepLines w:val="0"/>
              <w:suppressLineNumbers w:val="0"/>
              <w:spacing w:before="0" w:beforeAutospacing="0" w:afterAutospacing="0"/>
              <w:ind w:right="0"/>
              <w:rPr>
                <w:rFonts w:hint="default"/>
                <w:color w:val="auto"/>
                <w:sz w:val="24"/>
              </w:rPr>
            </w:pPr>
          </w:p>
          <w:p w14:paraId="7DC5EF06">
            <w:pPr>
              <w:keepNext w:val="0"/>
              <w:keepLines w:val="0"/>
              <w:suppressLineNumbers w:val="0"/>
              <w:spacing w:before="0" w:beforeAutospacing="0" w:after="0" w:afterAutospacing="0"/>
              <w:ind w:left="0" w:right="0"/>
              <w:rPr>
                <w:rFonts w:hint="default"/>
                <w:color w:val="auto"/>
                <w:sz w:val="24"/>
              </w:rPr>
            </w:pPr>
          </w:p>
          <w:p w14:paraId="5BFA2C21">
            <w:pPr>
              <w:pStyle w:val="21"/>
              <w:keepNext w:val="0"/>
              <w:keepLines w:val="0"/>
              <w:suppressLineNumbers w:val="0"/>
              <w:spacing w:before="0" w:beforeAutospacing="0" w:afterAutospacing="0"/>
              <w:ind w:right="0"/>
              <w:rPr>
                <w:rFonts w:hint="default"/>
                <w:color w:val="auto"/>
                <w:sz w:val="24"/>
              </w:rPr>
            </w:pPr>
          </w:p>
          <w:p w14:paraId="202FDCC5">
            <w:pPr>
              <w:keepNext w:val="0"/>
              <w:keepLines w:val="0"/>
              <w:suppressLineNumbers w:val="0"/>
              <w:spacing w:before="0" w:beforeAutospacing="0" w:after="0" w:afterAutospacing="0"/>
              <w:ind w:left="0" w:right="0"/>
              <w:rPr>
                <w:rFonts w:hint="default"/>
                <w:color w:val="auto"/>
                <w:sz w:val="24"/>
              </w:rPr>
            </w:pPr>
          </w:p>
          <w:p w14:paraId="34B9B871">
            <w:pPr>
              <w:pStyle w:val="21"/>
              <w:keepNext w:val="0"/>
              <w:keepLines w:val="0"/>
              <w:suppressLineNumbers w:val="0"/>
              <w:spacing w:before="0" w:beforeAutospacing="0" w:afterAutospacing="0"/>
              <w:ind w:right="0"/>
              <w:rPr>
                <w:rFonts w:hint="default"/>
                <w:color w:val="auto"/>
                <w:sz w:val="24"/>
              </w:rPr>
            </w:pPr>
          </w:p>
          <w:p w14:paraId="08A24C6D">
            <w:pPr>
              <w:keepNext w:val="0"/>
              <w:keepLines w:val="0"/>
              <w:suppressLineNumbers w:val="0"/>
              <w:spacing w:before="0" w:beforeAutospacing="0" w:after="0" w:afterAutospacing="0"/>
              <w:ind w:left="0" w:right="0"/>
              <w:rPr>
                <w:rFonts w:hint="default"/>
                <w:color w:val="auto"/>
                <w:sz w:val="24"/>
              </w:rPr>
            </w:pPr>
          </w:p>
          <w:p w14:paraId="023675B0">
            <w:pPr>
              <w:pStyle w:val="21"/>
              <w:keepNext w:val="0"/>
              <w:keepLines w:val="0"/>
              <w:suppressLineNumbers w:val="0"/>
              <w:spacing w:before="0" w:beforeAutospacing="0" w:afterAutospacing="0"/>
              <w:ind w:right="0"/>
              <w:rPr>
                <w:rFonts w:hint="default"/>
                <w:color w:val="auto"/>
                <w:sz w:val="24"/>
              </w:rPr>
            </w:pPr>
          </w:p>
          <w:p w14:paraId="30C0885D">
            <w:pPr>
              <w:keepNext w:val="0"/>
              <w:keepLines w:val="0"/>
              <w:suppressLineNumbers w:val="0"/>
              <w:spacing w:before="0" w:beforeAutospacing="0" w:after="0" w:afterAutospacing="0"/>
              <w:ind w:left="0" w:right="0"/>
              <w:rPr>
                <w:rFonts w:hint="default"/>
              </w:rPr>
            </w:pPr>
          </w:p>
          <w:p w14:paraId="0213BC1E">
            <w:pPr>
              <w:keepNext w:val="0"/>
              <w:keepLines w:val="0"/>
              <w:suppressLineNumbers w:val="0"/>
              <w:spacing w:before="0" w:beforeAutospacing="0" w:after="0" w:afterAutospacing="0"/>
              <w:ind w:left="0" w:right="0"/>
              <w:rPr>
                <w:rFonts w:hint="default"/>
                <w:color w:val="auto"/>
                <w:sz w:val="24"/>
              </w:rPr>
            </w:pPr>
          </w:p>
          <w:p w14:paraId="31A220F4">
            <w:pPr>
              <w:keepNext w:val="0"/>
              <w:keepLines w:val="0"/>
              <w:suppressLineNumbers w:val="0"/>
              <w:spacing w:before="0" w:beforeAutospacing="0" w:after="0" w:afterAutospacing="0"/>
              <w:ind w:left="0" w:right="0"/>
              <w:rPr>
                <w:rFonts w:hint="default"/>
                <w:color w:val="auto"/>
                <w:sz w:val="24"/>
              </w:rPr>
            </w:pPr>
          </w:p>
          <w:p w14:paraId="3F234FE9">
            <w:pPr>
              <w:pStyle w:val="21"/>
              <w:keepNext w:val="0"/>
              <w:keepLines w:val="0"/>
              <w:suppressLineNumbers w:val="0"/>
              <w:spacing w:before="0" w:beforeAutospacing="0" w:afterAutospacing="0"/>
              <w:ind w:right="0"/>
              <w:rPr>
                <w:rFonts w:hint="default"/>
                <w:color w:val="auto"/>
                <w:sz w:val="24"/>
              </w:rPr>
            </w:pPr>
          </w:p>
          <w:p w14:paraId="15EDEA47">
            <w:pPr>
              <w:keepNext w:val="0"/>
              <w:keepLines w:val="0"/>
              <w:suppressLineNumbers w:val="0"/>
              <w:spacing w:before="0" w:beforeAutospacing="0" w:after="0" w:afterAutospacing="0"/>
              <w:ind w:left="0" w:right="0"/>
              <w:rPr>
                <w:rFonts w:hint="default"/>
                <w:color w:val="auto"/>
                <w:sz w:val="24"/>
              </w:rPr>
            </w:pPr>
          </w:p>
          <w:p w14:paraId="03AFBE4B">
            <w:pPr>
              <w:pStyle w:val="21"/>
              <w:keepNext w:val="0"/>
              <w:keepLines w:val="0"/>
              <w:suppressLineNumbers w:val="0"/>
              <w:spacing w:before="0" w:beforeAutospacing="0" w:afterAutospacing="0"/>
              <w:ind w:right="0"/>
              <w:rPr>
                <w:rFonts w:hint="default"/>
                <w:color w:val="auto"/>
                <w:sz w:val="24"/>
              </w:rPr>
            </w:pPr>
          </w:p>
          <w:p w14:paraId="2743A346">
            <w:pPr>
              <w:keepNext w:val="0"/>
              <w:keepLines w:val="0"/>
              <w:suppressLineNumbers w:val="0"/>
              <w:spacing w:before="0" w:beforeAutospacing="0" w:after="0" w:afterAutospacing="0"/>
              <w:ind w:left="0" w:right="0"/>
              <w:rPr>
                <w:rFonts w:hint="default"/>
                <w:color w:val="auto"/>
                <w:sz w:val="24"/>
              </w:rPr>
            </w:pPr>
          </w:p>
          <w:p w14:paraId="63EC08CF">
            <w:pPr>
              <w:pStyle w:val="21"/>
              <w:keepNext w:val="0"/>
              <w:keepLines w:val="0"/>
              <w:suppressLineNumbers w:val="0"/>
              <w:spacing w:before="0" w:beforeAutospacing="0" w:afterAutospacing="0"/>
              <w:ind w:right="0"/>
              <w:rPr>
                <w:rFonts w:hint="default"/>
                <w:color w:val="auto"/>
                <w:sz w:val="24"/>
              </w:rPr>
            </w:pPr>
          </w:p>
          <w:p w14:paraId="20F115CC">
            <w:pPr>
              <w:keepNext w:val="0"/>
              <w:keepLines w:val="0"/>
              <w:suppressLineNumbers w:val="0"/>
              <w:spacing w:before="0" w:beforeAutospacing="0" w:after="0" w:afterAutospacing="0"/>
              <w:ind w:left="0" w:right="0"/>
              <w:rPr>
                <w:rFonts w:hint="default"/>
                <w:color w:val="auto"/>
                <w:sz w:val="24"/>
              </w:rPr>
            </w:pPr>
          </w:p>
          <w:p w14:paraId="4ACAEBC3">
            <w:pPr>
              <w:pStyle w:val="21"/>
              <w:keepNext w:val="0"/>
              <w:keepLines w:val="0"/>
              <w:suppressLineNumbers w:val="0"/>
              <w:spacing w:before="0" w:beforeAutospacing="0" w:afterAutospacing="0"/>
              <w:ind w:right="0"/>
              <w:rPr>
                <w:rFonts w:hint="default"/>
              </w:rPr>
            </w:pPr>
          </w:p>
          <w:p w14:paraId="1513E91C">
            <w:pPr>
              <w:keepNext w:val="0"/>
              <w:keepLines w:val="0"/>
              <w:suppressLineNumbers w:val="0"/>
              <w:spacing w:before="0" w:beforeAutospacing="0" w:after="0" w:afterAutospacing="0"/>
              <w:ind w:left="0" w:right="0"/>
              <w:rPr>
                <w:rFonts w:hint="default"/>
              </w:rPr>
            </w:pPr>
          </w:p>
          <w:p w14:paraId="6F3A8762">
            <w:pPr>
              <w:pStyle w:val="21"/>
              <w:keepNext w:val="0"/>
              <w:keepLines w:val="0"/>
              <w:suppressLineNumbers w:val="0"/>
              <w:spacing w:before="0" w:beforeAutospacing="0" w:afterAutospacing="0"/>
              <w:ind w:right="0"/>
              <w:rPr>
                <w:rFonts w:hint="default"/>
              </w:rPr>
            </w:pPr>
          </w:p>
          <w:p w14:paraId="31C85E81">
            <w:pPr>
              <w:keepNext w:val="0"/>
              <w:keepLines w:val="0"/>
              <w:suppressLineNumbers w:val="0"/>
              <w:spacing w:before="0" w:beforeAutospacing="0" w:after="0" w:afterAutospacing="0"/>
              <w:ind w:left="0" w:right="0"/>
              <w:rPr>
                <w:rFonts w:hint="default"/>
              </w:rPr>
            </w:pPr>
          </w:p>
          <w:p w14:paraId="31DCF29B">
            <w:pPr>
              <w:pStyle w:val="21"/>
              <w:keepNext w:val="0"/>
              <w:keepLines w:val="0"/>
              <w:suppressLineNumbers w:val="0"/>
              <w:spacing w:before="0" w:beforeAutospacing="0" w:afterAutospacing="0"/>
              <w:ind w:right="0"/>
              <w:rPr>
                <w:rFonts w:hint="default"/>
              </w:rPr>
            </w:pPr>
          </w:p>
          <w:p w14:paraId="71913826">
            <w:pPr>
              <w:keepNext w:val="0"/>
              <w:keepLines w:val="0"/>
              <w:suppressLineNumbers w:val="0"/>
              <w:spacing w:before="0" w:beforeAutospacing="0" w:after="0" w:afterAutospacing="0"/>
              <w:ind w:left="0" w:right="0"/>
              <w:rPr>
                <w:rFonts w:hint="default"/>
              </w:rPr>
            </w:pPr>
          </w:p>
          <w:p w14:paraId="6646A656">
            <w:pPr>
              <w:pStyle w:val="21"/>
              <w:keepNext w:val="0"/>
              <w:keepLines w:val="0"/>
              <w:suppressLineNumbers w:val="0"/>
              <w:spacing w:before="0" w:beforeAutospacing="0" w:afterAutospacing="0"/>
              <w:ind w:right="0"/>
              <w:rPr>
                <w:rFonts w:hint="default"/>
              </w:rPr>
            </w:pPr>
          </w:p>
          <w:p w14:paraId="7BA08FA4">
            <w:pPr>
              <w:keepNext w:val="0"/>
              <w:keepLines w:val="0"/>
              <w:suppressLineNumbers w:val="0"/>
              <w:spacing w:before="0" w:beforeAutospacing="0" w:after="0" w:afterAutospacing="0"/>
              <w:ind w:left="0" w:right="0"/>
              <w:rPr>
                <w:rFonts w:hint="default"/>
              </w:rPr>
            </w:pPr>
          </w:p>
          <w:p w14:paraId="2A62C39F">
            <w:pPr>
              <w:pStyle w:val="21"/>
              <w:keepNext w:val="0"/>
              <w:keepLines w:val="0"/>
              <w:suppressLineNumbers w:val="0"/>
              <w:spacing w:before="0" w:beforeAutospacing="0" w:afterAutospacing="0"/>
              <w:ind w:right="0"/>
              <w:rPr>
                <w:rFonts w:hint="default"/>
              </w:rPr>
            </w:pPr>
          </w:p>
          <w:p w14:paraId="2A6C9497">
            <w:pPr>
              <w:pStyle w:val="30"/>
              <w:keepNext w:val="0"/>
              <w:keepLines w:val="0"/>
              <w:suppressLineNumbers w:val="0"/>
              <w:spacing w:before="0" w:beforeAutospacing="0" w:after="0" w:afterAutospacing="0"/>
              <w:ind w:left="0" w:right="0"/>
              <w:rPr>
                <w:rFonts w:hint="default"/>
                <w:lang w:val="en-US" w:eastAsia="zh-CN"/>
              </w:rPr>
            </w:pPr>
          </w:p>
        </w:tc>
      </w:tr>
    </w:tbl>
    <w:p w14:paraId="1C5FD001">
      <w:pPr>
        <w:pStyle w:val="18"/>
        <w:jc w:val="center"/>
        <w:outlineLvl w:val="0"/>
        <w:rPr>
          <w:rFonts w:hint="eastAsia" w:ascii="黑体" w:hAnsi="黑体" w:eastAsia="黑体" w:cs="黑体"/>
          <w:b w:val="0"/>
          <w:bCs w:val="0"/>
          <w:snapToGrid w:val="0"/>
          <w:sz w:val="30"/>
          <w:szCs w:val="30"/>
        </w:rPr>
      </w:pPr>
      <w:r>
        <w:rPr>
          <w:rFonts w:hint="eastAsia" w:ascii="黑体" w:hAnsi="黑体" w:eastAsia="黑体" w:cs="黑体"/>
          <w:b w:val="0"/>
          <w:bCs w:val="0"/>
          <w:snapToGrid w:val="0"/>
          <w:sz w:val="30"/>
          <w:szCs w:val="30"/>
        </w:rPr>
        <w:t>三、区域环境质量现状、环境保护目标及评价标准</w:t>
      </w:r>
    </w:p>
    <w:tbl>
      <w:tblPr>
        <w:tblStyle w:val="22"/>
        <w:tblW w:w="96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58"/>
        <w:gridCol w:w="8781"/>
      </w:tblGrid>
      <w:tr w14:paraId="41272E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858" w:type="dxa"/>
            <w:noWrap w:val="0"/>
            <w:vAlign w:val="center"/>
          </w:tcPr>
          <w:p w14:paraId="3329DC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eastAsia" w:ascii="Times New Roman" w:hAnsi="宋体" w:eastAsia="宋体" w:cs="Times New Roman"/>
                <w:bCs/>
                <w:kern w:val="2"/>
                <w:sz w:val="24"/>
                <w:szCs w:val="24"/>
                <w:lang w:val="en-US" w:eastAsia="zh-CN" w:bidi="ar-SA"/>
              </w:rPr>
            </w:pPr>
            <w:r>
              <w:rPr>
                <w:rFonts w:hint="eastAsia" w:ascii="Times New Roman" w:hAnsi="宋体" w:eastAsia="宋体" w:cs="Times New Roman"/>
                <w:bCs/>
                <w:kern w:val="2"/>
                <w:sz w:val="24"/>
                <w:szCs w:val="24"/>
                <w:lang w:val="en-US" w:eastAsia="zh-CN" w:bidi="ar-SA"/>
              </w:rPr>
              <w:t>区域</w:t>
            </w:r>
          </w:p>
          <w:p w14:paraId="5A52BB8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eastAsia" w:ascii="Times New Roman" w:hAnsi="宋体" w:eastAsia="宋体" w:cs="Times New Roman"/>
                <w:bCs/>
                <w:kern w:val="2"/>
                <w:sz w:val="24"/>
                <w:szCs w:val="24"/>
                <w:lang w:val="en-US" w:eastAsia="zh-CN" w:bidi="ar-SA"/>
              </w:rPr>
            </w:pPr>
            <w:r>
              <w:rPr>
                <w:rFonts w:hint="eastAsia" w:ascii="Times New Roman" w:hAnsi="宋体" w:eastAsia="宋体" w:cs="Times New Roman"/>
                <w:bCs/>
                <w:kern w:val="2"/>
                <w:sz w:val="24"/>
                <w:szCs w:val="24"/>
                <w:lang w:val="en-US" w:eastAsia="zh-CN" w:bidi="ar-SA"/>
              </w:rPr>
              <w:t>环境</w:t>
            </w:r>
          </w:p>
          <w:p w14:paraId="5A72825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eastAsia" w:ascii="Times New Roman" w:hAnsi="宋体" w:eastAsia="宋体" w:cs="Times New Roman"/>
                <w:bCs/>
                <w:kern w:val="2"/>
                <w:sz w:val="24"/>
                <w:szCs w:val="24"/>
                <w:lang w:val="en-US" w:eastAsia="zh-CN" w:bidi="ar-SA"/>
              </w:rPr>
            </w:pPr>
            <w:r>
              <w:rPr>
                <w:rFonts w:hint="eastAsia" w:ascii="Times New Roman" w:hAnsi="宋体" w:eastAsia="宋体" w:cs="Times New Roman"/>
                <w:bCs/>
                <w:kern w:val="2"/>
                <w:sz w:val="24"/>
                <w:szCs w:val="24"/>
                <w:lang w:val="en-US" w:eastAsia="zh-CN" w:bidi="ar-SA"/>
              </w:rPr>
              <w:t>质量</w:t>
            </w:r>
          </w:p>
          <w:p w14:paraId="69390E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Cs w:val="21"/>
              </w:rPr>
            </w:pPr>
            <w:r>
              <w:rPr>
                <w:rFonts w:hint="eastAsia" w:ascii="Times New Roman" w:hAnsi="宋体" w:eastAsia="宋体" w:cs="Times New Roman"/>
                <w:bCs/>
                <w:kern w:val="2"/>
                <w:sz w:val="24"/>
                <w:szCs w:val="24"/>
                <w:lang w:val="en-US" w:eastAsia="zh-CN" w:bidi="ar-SA"/>
              </w:rPr>
              <w:t>现状</w:t>
            </w:r>
          </w:p>
        </w:tc>
        <w:tc>
          <w:tcPr>
            <w:tcW w:w="8781" w:type="dxa"/>
            <w:noWrap w:val="0"/>
            <w:vAlign w:val="center"/>
          </w:tcPr>
          <w:p w14:paraId="739AF388">
            <w:pPr>
              <w:keepNext w:val="0"/>
              <w:keepLines w:val="0"/>
              <w:suppressLineNumbers w:val="0"/>
              <w:spacing w:before="0" w:beforeAutospacing="0" w:after="0" w:afterAutospacing="0" w:line="440" w:lineRule="exact"/>
              <w:ind w:left="0" w:right="0" w:firstLine="482" w:firstLineChars="200"/>
              <w:jc w:val="left"/>
              <w:rPr>
                <w:rFonts w:hint="default"/>
                <w:b/>
                <w:bCs/>
                <w:color w:val="000000"/>
                <w:sz w:val="24"/>
              </w:rPr>
            </w:pPr>
            <w:r>
              <w:rPr>
                <w:rFonts w:hint="default"/>
                <w:b/>
                <w:bCs/>
                <w:color w:val="000000"/>
                <w:sz w:val="24"/>
              </w:rPr>
              <w:t>1</w:t>
            </w:r>
            <w:r>
              <w:rPr>
                <w:rFonts w:hint="eastAsia" w:ascii="宋体" w:hAnsi="宋体"/>
                <w:b/>
                <w:bCs/>
                <w:color w:val="000000"/>
                <w:sz w:val="24"/>
              </w:rPr>
              <w:t>、环境空气</w:t>
            </w:r>
            <w:r>
              <w:rPr>
                <w:rFonts w:hint="default"/>
                <w:b/>
                <w:bCs/>
                <w:color w:val="000000"/>
                <w:sz w:val="24"/>
              </w:rPr>
              <w:t>质量现状</w:t>
            </w:r>
          </w:p>
          <w:p w14:paraId="5366A0A2">
            <w:pPr>
              <w:keepNext w:val="0"/>
              <w:keepLines w:val="0"/>
              <w:widowControl/>
              <w:suppressLineNumbers w:val="0"/>
              <w:adjustRightInd w:val="0"/>
              <w:snapToGrid w:val="0"/>
              <w:spacing w:before="0" w:beforeAutospacing="0" w:after="0" w:afterAutospacing="0" w:line="440" w:lineRule="exact"/>
              <w:ind w:left="0" w:right="0" w:firstLine="480" w:firstLineChars="200"/>
              <w:rPr>
                <w:rFonts w:hint="default"/>
                <w:color w:val="000000" w:themeColor="text1"/>
                <w:kern w:val="0"/>
                <w:sz w:val="24"/>
                <w14:textFill>
                  <w14:solidFill>
                    <w14:schemeClr w14:val="tx1"/>
                  </w14:solidFill>
                </w14:textFill>
              </w:rPr>
            </w:pPr>
            <w:r>
              <w:rPr>
                <w:rFonts w:hint="eastAsia" w:ascii="宋体" w:hAnsi="宋体"/>
                <w:color w:val="000000" w:themeColor="text1"/>
                <w:sz w:val="24"/>
                <w14:textFill>
                  <w14:solidFill>
                    <w14:schemeClr w14:val="tx1"/>
                  </w14:solidFill>
                </w14:textFill>
              </w:rPr>
              <w:t>根据大气功能区划分原则，项目所在区域为二类功能区，环境空气质量应执行《环境空气质量标准》（</w:t>
            </w:r>
            <w:r>
              <w:rPr>
                <w:rFonts w:hint="default"/>
                <w:color w:val="000000" w:themeColor="text1"/>
                <w:sz w:val="24"/>
                <w14:textFill>
                  <w14:solidFill>
                    <w14:schemeClr w14:val="tx1"/>
                  </w14:solidFill>
                </w14:textFill>
              </w:rPr>
              <w:t>GB3095-2012</w:t>
            </w:r>
            <w:r>
              <w:rPr>
                <w:rFonts w:hint="eastAsia" w:ascii="宋体" w:hAnsi="宋体"/>
                <w:color w:val="000000" w:themeColor="text1"/>
                <w:sz w:val="24"/>
                <w14:textFill>
                  <w14:solidFill>
                    <w14:schemeClr w14:val="tx1"/>
                  </w14:solidFill>
                </w14:textFill>
              </w:rPr>
              <w:t>）二级标准</w:t>
            </w:r>
            <w:r>
              <w:rPr>
                <w:rFonts w:hint="eastAsia"/>
                <w:color w:val="000000" w:themeColor="text1"/>
                <w:sz w:val="24"/>
                <w:szCs w:val="24"/>
                <w:lang w:val="en-US" w:eastAsia="zh-CN"/>
                <w14:textFill>
                  <w14:solidFill>
                    <w14:schemeClr w14:val="tx1"/>
                  </w14:solidFill>
                </w14:textFill>
              </w:rPr>
              <w:t>及其2018年修改单</w:t>
            </w:r>
            <w:r>
              <w:rPr>
                <w:rFonts w:hint="eastAsia" w:ascii="宋体" w:hAnsi="宋体"/>
                <w:color w:val="000000" w:themeColor="text1"/>
                <w:sz w:val="24"/>
                <w14:textFill>
                  <w14:solidFill>
                    <w14:schemeClr w14:val="tx1"/>
                  </w14:solidFill>
                </w14:textFill>
              </w:rPr>
              <w:t>。</w:t>
            </w:r>
            <w:r>
              <w:rPr>
                <w:rFonts w:hint="eastAsia" w:ascii="宋体" w:hAnsi="宋体"/>
                <w:color w:val="000000" w:themeColor="text1"/>
                <w:kern w:val="0"/>
                <w:sz w:val="24"/>
                <w14:textFill>
                  <w14:solidFill>
                    <w14:schemeClr w14:val="tx1"/>
                  </w14:solidFill>
                </w14:textFill>
              </w:rPr>
              <w:t>根据新乡市生态环境局发布的《</w:t>
            </w:r>
            <w:r>
              <w:rPr>
                <w:rFonts w:hint="default" w:ascii="宋体" w:hAnsi="宋体"/>
                <w:color w:val="000000" w:themeColor="text1"/>
                <w:kern w:val="0"/>
                <w:sz w:val="24"/>
                <w14:textFill>
                  <w14:solidFill>
                    <w14:schemeClr w14:val="tx1"/>
                  </w14:solidFill>
                </w14:textFill>
              </w:rPr>
              <w:t>新乡市</w:t>
            </w:r>
            <w:r>
              <w:rPr>
                <w:rFonts w:hint="default" w:ascii="Times New Roman" w:hAnsi="Times New Roman" w:cs="Times New Roman"/>
                <w:color w:val="000000" w:themeColor="text1"/>
                <w:kern w:val="0"/>
                <w:sz w:val="24"/>
                <w14:textFill>
                  <w14:solidFill>
                    <w14:schemeClr w14:val="tx1"/>
                  </w14:solidFill>
                </w14:textFill>
              </w:rPr>
              <w:t>202</w:t>
            </w:r>
            <w:r>
              <w:rPr>
                <w:rFonts w:hint="eastAsia" w:cs="Times New Roman"/>
                <w:color w:val="000000" w:themeColor="text1"/>
                <w:kern w:val="0"/>
                <w:sz w:val="24"/>
                <w:lang w:val="en-US" w:eastAsia="zh-CN"/>
                <w14:textFill>
                  <w14:solidFill>
                    <w14:schemeClr w14:val="tx1"/>
                  </w14:solidFill>
                </w14:textFill>
              </w:rPr>
              <w:t>3</w:t>
            </w:r>
            <w:r>
              <w:rPr>
                <w:rFonts w:hint="default" w:ascii="宋体" w:hAnsi="宋体"/>
                <w:color w:val="000000" w:themeColor="text1"/>
                <w:kern w:val="0"/>
                <w:sz w:val="24"/>
                <w14:textFill>
                  <w14:solidFill>
                    <w14:schemeClr w14:val="tx1"/>
                  </w14:solidFill>
                </w14:textFill>
              </w:rPr>
              <w:t>年环境质量年报</w:t>
            </w:r>
            <w:r>
              <w:rPr>
                <w:rFonts w:hint="eastAsia" w:ascii="宋体" w:hAnsi="宋体"/>
                <w:color w:val="000000" w:themeColor="text1"/>
                <w:kern w:val="0"/>
                <w:sz w:val="24"/>
                <w14:textFill>
                  <w14:solidFill>
                    <w14:schemeClr w14:val="tx1"/>
                  </w14:solidFill>
                </w14:textFill>
              </w:rPr>
              <w:t>》，区域空气质量现状数据如下表所示。</w:t>
            </w:r>
          </w:p>
          <w:p w14:paraId="7B7BFE2C">
            <w:pPr>
              <w:keepNext w:val="0"/>
              <w:keepLines w:val="0"/>
              <w:suppressLineNumbers w:val="0"/>
              <w:spacing w:before="0" w:beforeAutospacing="0" w:after="0" w:afterAutospacing="0" w:line="440" w:lineRule="exact"/>
              <w:ind w:left="0" w:right="0"/>
              <w:jc w:val="center"/>
              <w:rPr>
                <w:rFonts w:hint="default" w:ascii="宋体" w:hAnsi="宋体"/>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表</w:t>
            </w:r>
            <w:r>
              <w:rPr>
                <w:rFonts w:hint="eastAsia" w:cs="Times New Roman"/>
                <w:b/>
                <w:color w:val="000000" w:themeColor="text1"/>
                <w:sz w:val="24"/>
                <w:lang w:val="en-US" w:eastAsia="zh-CN"/>
                <w14:textFill>
                  <w14:solidFill>
                    <w14:schemeClr w14:val="tx1"/>
                  </w14:solidFill>
                </w14:textFill>
              </w:rPr>
              <w:t>16</w:t>
            </w:r>
            <w:r>
              <w:rPr>
                <w:rFonts w:hint="eastAsia" w:ascii="宋体" w:hAnsi="宋体"/>
                <w:b/>
                <w:color w:val="000000" w:themeColor="text1"/>
                <w:sz w:val="24"/>
                <w:lang w:val="en-US" w:eastAsia="zh-CN"/>
                <w14:textFill>
                  <w14:solidFill>
                    <w14:schemeClr w14:val="tx1"/>
                  </w14:solidFill>
                </w14:textFill>
              </w:rPr>
              <w:t xml:space="preserve">  </w:t>
            </w:r>
            <w:r>
              <w:rPr>
                <w:rFonts w:hint="eastAsia" w:ascii="宋体" w:hAnsi="宋体"/>
                <w:b/>
                <w:color w:val="000000" w:themeColor="text1"/>
                <w:sz w:val="24"/>
                <w14:textFill>
                  <w14:solidFill>
                    <w14:schemeClr w14:val="tx1"/>
                  </w14:solidFill>
                </w14:textFill>
              </w:rPr>
              <w:t>区域空气质量现状评价表</w:t>
            </w:r>
          </w:p>
          <w:tbl>
            <w:tblPr>
              <w:tblStyle w:val="2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57" w:type="dxa"/>
                <w:left w:w="108" w:type="dxa"/>
                <w:bottom w:w="57" w:type="dxa"/>
                <w:right w:w="108" w:type="dxa"/>
              </w:tblCellMar>
            </w:tblPr>
            <w:tblGrid>
              <w:gridCol w:w="834"/>
              <w:gridCol w:w="1710"/>
              <w:gridCol w:w="1920"/>
              <w:gridCol w:w="1695"/>
              <w:gridCol w:w="1203"/>
              <w:gridCol w:w="1203"/>
            </w:tblGrid>
            <w:tr w14:paraId="320F187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8" w:space="0"/>
                    <w:left w:val="nil"/>
                    <w:bottom w:val="single" w:color="auto" w:sz="8" w:space="0"/>
                    <w:right w:val="single" w:color="auto" w:sz="4" w:space="0"/>
                  </w:tcBorders>
                  <w:noWrap w:val="0"/>
                  <w:tcMar>
                    <w:top w:w="57" w:type="dxa"/>
                    <w:left w:w="85" w:type="dxa"/>
                    <w:bottom w:w="57" w:type="dxa"/>
                    <w:right w:w="85" w:type="dxa"/>
                  </w:tcMar>
                  <w:vAlign w:val="center"/>
                </w:tcPr>
                <w:p w14:paraId="4B5F839F">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污染物</w:t>
                  </w:r>
                </w:p>
              </w:tc>
              <w:tc>
                <w:tcPr>
                  <w:tcW w:w="1710" w:type="dxa"/>
                  <w:tcBorders>
                    <w:top w:val="single" w:color="auto" w:sz="8"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1D2DD0CE">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年评价指标</w:t>
                  </w:r>
                </w:p>
              </w:tc>
              <w:tc>
                <w:tcPr>
                  <w:tcW w:w="1920" w:type="dxa"/>
                  <w:tcBorders>
                    <w:top w:val="single" w:color="auto" w:sz="8"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3E878372">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现状浓度</w:t>
                  </w:r>
                  <w:r>
                    <w:rPr>
                      <w:rFonts w:hint="default"/>
                      <w:b/>
                      <w:bCs/>
                      <w:color w:val="000000" w:themeColor="text1"/>
                      <w:sz w:val="21"/>
                      <w:szCs w:val="21"/>
                      <w14:textFill>
                        <w14:solidFill>
                          <w14:schemeClr w14:val="tx1"/>
                        </w14:solidFill>
                      </w14:textFill>
                    </w:rPr>
                    <w:t>/</w:t>
                  </w:r>
                  <w:r>
                    <w:rPr>
                      <w:rFonts w:hint="eastAsia" w:hAnsi="宋体"/>
                      <w:b/>
                      <w:bCs/>
                      <w:color w:val="000000" w:themeColor="text1"/>
                      <w:sz w:val="21"/>
                      <w:szCs w:val="21"/>
                      <w14:textFill>
                        <w14:solidFill>
                          <w14:schemeClr w14:val="tx1"/>
                        </w14:solidFill>
                      </w14:textFill>
                    </w:rPr>
                    <w:t>（</w:t>
                  </w:r>
                  <w:r>
                    <w:rPr>
                      <w:rFonts w:hint="default" w:ascii="Times New Roman" w:hAnsi="Times New Roman" w:cs="Times New Roman"/>
                      <w:b/>
                      <w:bCs/>
                      <w:color w:val="000000" w:themeColor="text1"/>
                      <w:sz w:val="21"/>
                      <w:szCs w:val="21"/>
                      <w:lang w:val="en-US" w:eastAsia="zh-CN"/>
                      <w14:textFill>
                        <w14:solidFill>
                          <w14:schemeClr w14:val="tx1"/>
                        </w14:solidFill>
                      </w14:textFill>
                    </w:rPr>
                    <w:t>μ</w:t>
                  </w:r>
                  <w:r>
                    <w:rPr>
                      <w:rFonts w:hint="eastAsia"/>
                      <w:b/>
                      <w:bCs/>
                      <w:color w:val="000000" w:themeColor="text1"/>
                      <w:sz w:val="21"/>
                      <w:szCs w:val="21"/>
                      <w:lang w:val="en-US" w:eastAsia="zh-CN"/>
                      <w14:textFill>
                        <w14:solidFill>
                          <w14:schemeClr w14:val="tx1"/>
                        </w14:solidFill>
                      </w14:textFill>
                    </w:rPr>
                    <w:t>g</w:t>
                  </w:r>
                  <w:r>
                    <w:rPr>
                      <w:rFonts w:hint="default"/>
                      <w:b/>
                      <w:bCs/>
                      <w:color w:val="000000" w:themeColor="text1"/>
                      <w:sz w:val="21"/>
                      <w:szCs w:val="21"/>
                      <w14:textFill>
                        <w14:solidFill>
                          <w14:schemeClr w14:val="tx1"/>
                        </w14:solidFill>
                      </w14:textFill>
                    </w:rPr>
                    <w:t>/m</w:t>
                  </w:r>
                  <w:r>
                    <w:rPr>
                      <w:rFonts w:hint="default"/>
                      <w:b/>
                      <w:bCs/>
                      <w:color w:val="000000" w:themeColor="text1"/>
                      <w:sz w:val="21"/>
                      <w:szCs w:val="21"/>
                      <w:vertAlign w:val="superscript"/>
                      <w14:textFill>
                        <w14:solidFill>
                          <w14:schemeClr w14:val="tx1"/>
                        </w14:solidFill>
                      </w14:textFill>
                    </w:rPr>
                    <w:t>3</w:t>
                  </w:r>
                  <w:r>
                    <w:rPr>
                      <w:rFonts w:hint="eastAsia" w:hAnsi="宋体"/>
                      <w:b/>
                      <w:bCs/>
                      <w:color w:val="000000" w:themeColor="text1"/>
                      <w:sz w:val="21"/>
                      <w:szCs w:val="21"/>
                      <w14:textFill>
                        <w14:solidFill>
                          <w14:schemeClr w14:val="tx1"/>
                        </w14:solidFill>
                      </w14:textFill>
                    </w:rPr>
                    <w:t>）</w:t>
                  </w:r>
                </w:p>
              </w:tc>
              <w:tc>
                <w:tcPr>
                  <w:tcW w:w="1695" w:type="dxa"/>
                  <w:tcBorders>
                    <w:top w:val="single" w:color="auto" w:sz="8"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309AC230">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标准值</w:t>
                  </w:r>
                  <w:r>
                    <w:rPr>
                      <w:rFonts w:hint="default"/>
                      <w:b/>
                      <w:bCs/>
                      <w:color w:val="000000" w:themeColor="text1"/>
                      <w:sz w:val="21"/>
                      <w:szCs w:val="21"/>
                      <w14:textFill>
                        <w14:solidFill>
                          <w14:schemeClr w14:val="tx1"/>
                        </w14:solidFill>
                      </w14:textFill>
                    </w:rPr>
                    <w:t>/</w:t>
                  </w:r>
                  <w:r>
                    <w:rPr>
                      <w:rFonts w:hint="eastAsia" w:hAnsi="宋体"/>
                      <w:b/>
                      <w:bCs/>
                      <w:color w:val="000000" w:themeColor="text1"/>
                      <w:sz w:val="21"/>
                      <w:szCs w:val="21"/>
                      <w14:textFill>
                        <w14:solidFill>
                          <w14:schemeClr w14:val="tx1"/>
                        </w14:solidFill>
                      </w14:textFill>
                    </w:rPr>
                    <w:t>（</w:t>
                  </w:r>
                  <w:r>
                    <w:rPr>
                      <w:rFonts w:hint="default"/>
                      <w:b/>
                      <w:bCs/>
                      <w:color w:val="000000" w:themeColor="text1"/>
                      <w:sz w:val="21"/>
                      <w:szCs w:val="21"/>
                      <w14:textFill>
                        <w14:solidFill>
                          <w14:schemeClr w14:val="tx1"/>
                        </w14:solidFill>
                      </w14:textFill>
                    </w:rPr>
                    <w:t>μg/m</w:t>
                  </w:r>
                  <w:r>
                    <w:rPr>
                      <w:rFonts w:hint="default"/>
                      <w:b/>
                      <w:bCs/>
                      <w:color w:val="000000" w:themeColor="text1"/>
                      <w:sz w:val="21"/>
                      <w:szCs w:val="21"/>
                      <w:vertAlign w:val="superscript"/>
                      <w14:textFill>
                        <w14:solidFill>
                          <w14:schemeClr w14:val="tx1"/>
                        </w14:solidFill>
                      </w14:textFill>
                    </w:rPr>
                    <w:t>3</w:t>
                  </w:r>
                  <w:r>
                    <w:rPr>
                      <w:rFonts w:hint="eastAsia" w:hAnsi="宋体"/>
                      <w:b/>
                      <w:bCs/>
                      <w:color w:val="000000" w:themeColor="text1"/>
                      <w:sz w:val="21"/>
                      <w:szCs w:val="21"/>
                      <w14:textFill>
                        <w14:solidFill>
                          <w14:schemeClr w14:val="tx1"/>
                        </w14:solidFill>
                      </w14:textFill>
                    </w:rPr>
                    <w:t>）</w:t>
                  </w:r>
                </w:p>
              </w:tc>
              <w:tc>
                <w:tcPr>
                  <w:tcW w:w="1203" w:type="dxa"/>
                  <w:tcBorders>
                    <w:top w:val="single" w:color="auto" w:sz="8"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1AF60978">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占标率</w:t>
                  </w:r>
                  <w:r>
                    <w:rPr>
                      <w:rFonts w:hint="default"/>
                      <w:b/>
                      <w:bCs/>
                      <w:color w:val="000000" w:themeColor="text1"/>
                      <w:sz w:val="21"/>
                      <w:szCs w:val="21"/>
                      <w14:textFill>
                        <w14:solidFill>
                          <w14:schemeClr w14:val="tx1"/>
                        </w14:solidFill>
                      </w14:textFill>
                    </w:rPr>
                    <w:t>%</w:t>
                  </w:r>
                </w:p>
              </w:tc>
              <w:tc>
                <w:tcPr>
                  <w:tcW w:w="1203" w:type="dxa"/>
                  <w:tcBorders>
                    <w:top w:val="single" w:color="auto" w:sz="8" w:space="0"/>
                    <w:left w:val="single" w:color="auto" w:sz="4" w:space="0"/>
                    <w:bottom w:val="single" w:color="auto" w:sz="8" w:space="0"/>
                    <w:right w:val="nil"/>
                  </w:tcBorders>
                  <w:noWrap w:val="0"/>
                  <w:tcMar>
                    <w:top w:w="57" w:type="dxa"/>
                    <w:left w:w="85" w:type="dxa"/>
                    <w:bottom w:w="57" w:type="dxa"/>
                    <w:right w:w="85" w:type="dxa"/>
                  </w:tcMar>
                  <w:vAlign w:val="center"/>
                </w:tcPr>
                <w:p w14:paraId="033DA432">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达标情况</w:t>
                  </w:r>
                </w:p>
              </w:tc>
            </w:tr>
            <w:tr w14:paraId="798A398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8" w:space="0"/>
                    <w:left w:val="nil"/>
                    <w:bottom w:val="single" w:color="auto" w:sz="4" w:space="0"/>
                    <w:right w:val="single" w:color="auto" w:sz="4" w:space="0"/>
                  </w:tcBorders>
                  <w:noWrap w:val="0"/>
                  <w:tcMar>
                    <w:top w:w="57" w:type="dxa"/>
                    <w:left w:w="85" w:type="dxa"/>
                    <w:bottom w:w="57" w:type="dxa"/>
                    <w:right w:w="85" w:type="dxa"/>
                  </w:tcMar>
                  <w:vAlign w:val="center"/>
                </w:tcPr>
                <w:p w14:paraId="079B0873">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PM</w:t>
                  </w:r>
                  <w:r>
                    <w:rPr>
                      <w:rFonts w:hint="default"/>
                      <w:color w:val="000000" w:themeColor="text1"/>
                      <w:sz w:val="21"/>
                      <w:szCs w:val="21"/>
                      <w:vertAlign w:val="subscript"/>
                      <w14:textFill>
                        <w14:solidFill>
                          <w14:schemeClr w14:val="tx1"/>
                        </w14:solidFill>
                      </w14:textFill>
                    </w:rPr>
                    <w:t>10</w:t>
                  </w:r>
                </w:p>
              </w:tc>
              <w:tc>
                <w:tcPr>
                  <w:tcW w:w="1710" w:type="dxa"/>
                  <w:tcBorders>
                    <w:top w:val="single" w:color="auto" w:sz="8"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305E008A">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年平</w:t>
                  </w:r>
                  <w:r>
                    <w:rPr>
                      <w:rFonts w:hint="eastAsia"/>
                      <w:color w:val="000000" w:themeColor="text1"/>
                      <w:sz w:val="21"/>
                      <w:szCs w:val="21"/>
                      <w14:textFill>
                        <w14:solidFill>
                          <w14:schemeClr w14:val="tx1"/>
                        </w14:solidFill>
                      </w14:textFill>
                    </w:rPr>
                    <w:t>均质量浓度</w:t>
                  </w:r>
                </w:p>
              </w:tc>
              <w:tc>
                <w:tcPr>
                  <w:tcW w:w="1920" w:type="dxa"/>
                  <w:tcBorders>
                    <w:top w:val="single" w:color="auto" w:sz="8"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026D18F5">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eastAsia="宋体" w:cs="Times New Roman"/>
                      <w:b w:val="0"/>
                      <w:bCs w:val="0"/>
                      <w:color w:val="auto"/>
                      <w:sz w:val="21"/>
                      <w:szCs w:val="21"/>
                      <w:highlight w:val="none"/>
                      <w:u w:val="none"/>
                      <w:lang w:val="en-US" w:eastAsia="zh-CN"/>
                    </w:rPr>
                    <w:t>80</w:t>
                  </w:r>
                </w:p>
              </w:tc>
              <w:tc>
                <w:tcPr>
                  <w:tcW w:w="1695" w:type="dxa"/>
                  <w:tcBorders>
                    <w:top w:val="single" w:color="auto" w:sz="8"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621B6B8B">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ascii="Times New Roman" w:hAnsi="Times New Roman" w:cs="Times New Roman" w:eastAsiaTheme="minorEastAsia"/>
                      <w:b w:val="0"/>
                      <w:bCs w:val="0"/>
                      <w:color w:val="auto"/>
                      <w:kern w:val="2"/>
                      <w:sz w:val="21"/>
                      <w:szCs w:val="21"/>
                      <w:highlight w:val="none"/>
                      <w:u w:val="none"/>
                      <w:lang w:val="en-US" w:eastAsia="zh-CN" w:bidi="ar-SA"/>
                    </w:rPr>
                    <w:t>70</w:t>
                  </w:r>
                </w:p>
              </w:tc>
              <w:tc>
                <w:tcPr>
                  <w:tcW w:w="1203" w:type="dxa"/>
                  <w:tcBorders>
                    <w:top w:val="single" w:color="auto" w:sz="8"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65AB68D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eastAsia="宋体" w:cs="Times New Roman"/>
                      <w:b w:val="0"/>
                      <w:bCs w:val="0"/>
                      <w:color w:val="auto"/>
                      <w:sz w:val="21"/>
                      <w:szCs w:val="21"/>
                      <w:highlight w:val="none"/>
                      <w:u w:val="none"/>
                      <w:lang w:val="en-US" w:eastAsia="zh-CN"/>
                    </w:rPr>
                    <w:t>114</w:t>
                  </w:r>
                </w:p>
              </w:tc>
              <w:tc>
                <w:tcPr>
                  <w:tcW w:w="1203" w:type="dxa"/>
                  <w:tcBorders>
                    <w:top w:val="single" w:color="auto" w:sz="8" w:space="0"/>
                    <w:left w:val="single" w:color="auto" w:sz="4" w:space="0"/>
                    <w:bottom w:val="single" w:color="auto" w:sz="4" w:space="0"/>
                    <w:right w:val="nil"/>
                  </w:tcBorders>
                  <w:noWrap w:val="0"/>
                  <w:tcMar>
                    <w:top w:w="57" w:type="dxa"/>
                    <w:left w:w="85" w:type="dxa"/>
                    <w:bottom w:w="57" w:type="dxa"/>
                    <w:right w:w="85" w:type="dxa"/>
                  </w:tcMar>
                  <w:vAlign w:val="center"/>
                </w:tcPr>
                <w:p w14:paraId="3BF1CD43">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ascii="Times New Roman" w:hAnsi="Times New Roman" w:cs="Times New Roman" w:eastAsiaTheme="minorEastAsia"/>
                      <w:b w:val="0"/>
                      <w:bCs w:val="0"/>
                      <w:color w:val="auto"/>
                      <w:kern w:val="2"/>
                      <w:sz w:val="21"/>
                      <w:szCs w:val="21"/>
                      <w:highlight w:val="none"/>
                      <w:u w:val="none"/>
                      <w:lang w:val="en-US" w:eastAsia="zh-CN" w:bidi="ar-SA"/>
                    </w:rPr>
                    <w:t>超标</w:t>
                  </w:r>
                </w:p>
              </w:tc>
            </w:tr>
            <w:tr w14:paraId="63A1C06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4" w:space="0"/>
                    <w:left w:val="nil"/>
                    <w:bottom w:val="single" w:color="auto" w:sz="4" w:space="0"/>
                    <w:right w:val="single" w:color="auto" w:sz="4" w:space="0"/>
                  </w:tcBorders>
                  <w:noWrap w:val="0"/>
                  <w:tcMar>
                    <w:top w:w="57" w:type="dxa"/>
                    <w:left w:w="85" w:type="dxa"/>
                    <w:bottom w:w="57" w:type="dxa"/>
                    <w:right w:w="85" w:type="dxa"/>
                  </w:tcMar>
                  <w:vAlign w:val="center"/>
                </w:tcPr>
                <w:p w14:paraId="0099F331">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PM</w:t>
                  </w:r>
                  <w:r>
                    <w:rPr>
                      <w:rFonts w:hint="default"/>
                      <w:color w:val="000000" w:themeColor="text1"/>
                      <w:sz w:val="21"/>
                      <w:szCs w:val="21"/>
                      <w:vertAlign w:val="subscript"/>
                      <w14:textFill>
                        <w14:solidFill>
                          <w14:schemeClr w14:val="tx1"/>
                        </w14:solidFill>
                      </w14:textFill>
                    </w:rPr>
                    <w:t>2.5</w:t>
                  </w:r>
                </w:p>
              </w:tc>
              <w:tc>
                <w:tcPr>
                  <w:tcW w:w="171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3493FB86">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年平均质量浓度</w:t>
                  </w:r>
                </w:p>
              </w:tc>
              <w:tc>
                <w:tcPr>
                  <w:tcW w:w="192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1CFD831E">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eastAsia="宋体" w:cs="Times New Roman"/>
                      <w:b w:val="0"/>
                      <w:bCs w:val="0"/>
                      <w:color w:val="auto"/>
                      <w:sz w:val="21"/>
                      <w:szCs w:val="21"/>
                      <w:highlight w:val="none"/>
                      <w:u w:val="none"/>
                      <w:lang w:val="en-US" w:eastAsia="zh-CN"/>
                    </w:rPr>
                    <w:t>47</w:t>
                  </w:r>
                </w:p>
              </w:tc>
              <w:tc>
                <w:tcPr>
                  <w:tcW w:w="1695"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21E97468">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ascii="Times New Roman" w:hAnsi="Times New Roman" w:cs="Times New Roman" w:eastAsiaTheme="minorEastAsia"/>
                      <w:b w:val="0"/>
                      <w:bCs w:val="0"/>
                      <w:color w:val="auto"/>
                      <w:kern w:val="2"/>
                      <w:sz w:val="21"/>
                      <w:szCs w:val="21"/>
                      <w:highlight w:val="none"/>
                      <w:u w:val="none"/>
                      <w:lang w:val="en-US" w:eastAsia="zh-CN" w:bidi="ar-SA"/>
                    </w:rPr>
                    <w:t>35</w:t>
                  </w:r>
                </w:p>
              </w:tc>
              <w:tc>
                <w:tcPr>
                  <w:tcW w:w="1203"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39F8222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cs="Times New Roman" w:eastAsiaTheme="minorEastAsia"/>
                      <w:b w:val="0"/>
                      <w:bCs w:val="0"/>
                      <w:color w:val="auto"/>
                      <w:sz w:val="21"/>
                      <w:szCs w:val="21"/>
                      <w:highlight w:val="none"/>
                      <w:u w:val="none"/>
                      <w:lang w:val="en-US" w:eastAsia="zh-CN"/>
                    </w:rPr>
                    <w:t>134</w:t>
                  </w:r>
                </w:p>
              </w:tc>
              <w:tc>
                <w:tcPr>
                  <w:tcW w:w="1203" w:type="dxa"/>
                  <w:tcBorders>
                    <w:top w:val="single" w:color="auto" w:sz="4" w:space="0"/>
                    <w:left w:val="single" w:color="auto" w:sz="4" w:space="0"/>
                    <w:bottom w:val="single" w:color="auto" w:sz="4" w:space="0"/>
                    <w:right w:val="nil"/>
                  </w:tcBorders>
                  <w:noWrap w:val="0"/>
                  <w:tcMar>
                    <w:top w:w="57" w:type="dxa"/>
                    <w:left w:w="85" w:type="dxa"/>
                    <w:bottom w:w="57" w:type="dxa"/>
                    <w:right w:w="85" w:type="dxa"/>
                  </w:tcMar>
                  <w:vAlign w:val="center"/>
                </w:tcPr>
                <w:p w14:paraId="3BE7BFFD">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ascii="Times New Roman" w:hAnsi="Times New Roman" w:cs="Times New Roman" w:eastAsiaTheme="minorEastAsia"/>
                      <w:b w:val="0"/>
                      <w:bCs w:val="0"/>
                      <w:color w:val="auto"/>
                      <w:kern w:val="2"/>
                      <w:sz w:val="21"/>
                      <w:szCs w:val="21"/>
                      <w:highlight w:val="none"/>
                      <w:u w:val="none"/>
                      <w:lang w:val="en-US" w:eastAsia="zh-CN" w:bidi="ar-SA"/>
                    </w:rPr>
                    <w:t>超标</w:t>
                  </w:r>
                </w:p>
              </w:tc>
            </w:tr>
            <w:tr w14:paraId="5090FBB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4" w:space="0"/>
                    <w:left w:val="nil"/>
                    <w:bottom w:val="single" w:color="auto" w:sz="4" w:space="0"/>
                    <w:right w:val="single" w:color="auto" w:sz="4" w:space="0"/>
                  </w:tcBorders>
                  <w:noWrap w:val="0"/>
                  <w:tcMar>
                    <w:top w:w="57" w:type="dxa"/>
                    <w:left w:w="85" w:type="dxa"/>
                    <w:bottom w:w="57" w:type="dxa"/>
                    <w:right w:w="85" w:type="dxa"/>
                  </w:tcMar>
                  <w:vAlign w:val="center"/>
                </w:tcPr>
                <w:p w14:paraId="7D62D237">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SO</w:t>
                  </w:r>
                  <w:r>
                    <w:rPr>
                      <w:rFonts w:hint="default"/>
                      <w:color w:val="000000" w:themeColor="text1"/>
                      <w:sz w:val="21"/>
                      <w:szCs w:val="21"/>
                      <w:vertAlign w:val="subscript"/>
                      <w14:textFill>
                        <w14:solidFill>
                          <w14:schemeClr w14:val="tx1"/>
                        </w14:solidFill>
                      </w14:textFill>
                    </w:rPr>
                    <w:t>2</w:t>
                  </w:r>
                </w:p>
              </w:tc>
              <w:tc>
                <w:tcPr>
                  <w:tcW w:w="171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394B6DF7">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年平均质量浓度</w:t>
                  </w:r>
                </w:p>
              </w:tc>
              <w:tc>
                <w:tcPr>
                  <w:tcW w:w="192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295D9FE6">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eastAsia="宋体" w:cs="Times New Roman"/>
                      <w:b w:val="0"/>
                      <w:bCs w:val="0"/>
                      <w:color w:val="auto"/>
                      <w:sz w:val="21"/>
                      <w:szCs w:val="21"/>
                      <w:highlight w:val="none"/>
                      <w:u w:val="none"/>
                      <w:lang w:val="en-US" w:eastAsia="zh-CN"/>
                    </w:rPr>
                    <w:t>9</w:t>
                  </w:r>
                </w:p>
              </w:tc>
              <w:tc>
                <w:tcPr>
                  <w:tcW w:w="1695"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2E5EF6CB">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ascii="Times New Roman" w:hAnsi="Times New Roman" w:cs="Times New Roman" w:eastAsiaTheme="minorEastAsia"/>
                      <w:b w:val="0"/>
                      <w:bCs w:val="0"/>
                      <w:color w:val="auto"/>
                      <w:kern w:val="2"/>
                      <w:sz w:val="21"/>
                      <w:szCs w:val="21"/>
                      <w:highlight w:val="none"/>
                      <w:u w:val="none"/>
                      <w:lang w:val="en-US" w:eastAsia="zh-CN" w:bidi="ar-SA"/>
                    </w:rPr>
                    <w:t>60</w:t>
                  </w:r>
                </w:p>
              </w:tc>
              <w:tc>
                <w:tcPr>
                  <w:tcW w:w="1203"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192D0530">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eastAsia="宋体" w:cs="Times New Roman"/>
                      <w:b w:val="0"/>
                      <w:bCs w:val="0"/>
                      <w:color w:val="auto"/>
                      <w:sz w:val="21"/>
                      <w:szCs w:val="21"/>
                      <w:highlight w:val="none"/>
                      <w:u w:val="none"/>
                      <w:lang w:val="en-US" w:eastAsia="zh-CN"/>
                    </w:rPr>
                    <w:t>15</w:t>
                  </w:r>
                </w:p>
              </w:tc>
              <w:tc>
                <w:tcPr>
                  <w:tcW w:w="1203" w:type="dxa"/>
                  <w:tcBorders>
                    <w:top w:val="single" w:color="auto" w:sz="4" w:space="0"/>
                    <w:left w:val="single" w:color="auto" w:sz="4" w:space="0"/>
                    <w:bottom w:val="single" w:color="auto" w:sz="4" w:space="0"/>
                    <w:right w:val="nil"/>
                  </w:tcBorders>
                  <w:noWrap w:val="0"/>
                  <w:tcMar>
                    <w:top w:w="57" w:type="dxa"/>
                    <w:left w:w="85" w:type="dxa"/>
                    <w:bottom w:w="57" w:type="dxa"/>
                    <w:right w:w="85" w:type="dxa"/>
                  </w:tcMar>
                  <w:vAlign w:val="center"/>
                </w:tcPr>
                <w:p w14:paraId="7EDFB25C">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cs="Times New Roman" w:eastAsiaTheme="minorEastAsia"/>
                      <w:b w:val="0"/>
                      <w:bCs w:val="0"/>
                      <w:color w:val="auto"/>
                      <w:sz w:val="21"/>
                      <w:szCs w:val="21"/>
                      <w:highlight w:val="none"/>
                      <w:u w:val="none"/>
                      <w:lang w:val="en-US" w:eastAsia="zh-CN"/>
                    </w:rPr>
                    <w:t>达标</w:t>
                  </w:r>
                </w:p>
              </w:tc>
            </w:tr>
            <w:tr w14:paraId="46E1322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4" w:space="0"/>
                    <w:left w:val="nil"/>
                    <w:bottom w:val="single" w:color="auto" w:sz="4" w:space="0"/>
                    <w:right w:val="single" w:color="auto" w:sz="4" w:space="0"/>
                  </w:tcBorders>
                  <w:noWrap w:val="0"/>
                  <w:tcMar>
                    <w:top w:w="57" w:type="dxa"/>
                    <w:left w:w="85" w:type="dxa"/>
                    <w:bottom w:w="57" w:type="dxa"/>
                    <w:right w:w="85" w:type="dxa"/>
                  </w:tcMar>
                  <w:vAlign w:val="center"/>
                </w:tcPr>
                <w:p w14:paraId="66D70749">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NO</w:t>
                  </w:r>
                  <w:r>
                    <w:rPr>
                      <w:rFonts w:hint="default"/>
                      <w:color w:val="000000" w:themeColor="text1"/>
                      <w:sz w:val="21"/>
                      <w:szCs w:val="21"/>
                      <w:vertAlign w:val="subscript"/>
                      <w14:textFill>
                        <w14:solidFill>
                          <w14:schemeClr w14:val="tx1"/>
                        </w14:solidFill>
                      </w14:textFill>
                    </w:rPr>
                    <w:t>2</w:t>
                  </w:r>
                </w:p>
              </w:tc>
              <w:tc>
                <w:tcPr>
                  <w:tcW w:w="171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5BEDA721">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年平均质量浓度</w:t>
                  </w:r>
                </w:p>
              </w:tc>
              <w:tc>
                <w:tcPr>
                  <w:tcW w:w="192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11D270AA">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lang w:val="en-US"/>
                      <w14:textFill>
                        <w14:solidFill>
                          <w14:schemeClr w14:val="tx1"/>
                        </w14:solidFill>
                      </w14:textFill>
                    </w:rPr>
                  </w:pPr>
                  <w:r>
                    <w:rPr>
                      <w:rFonts w:hint="eastAsia" w:cs="Times New Roman"/>
                      <w:b w:val="0"/>
                      <w:bCs w:val="0"/>
                      <w:color w:val="auto"/>
                      <w:sz w:val="21"/>
                      <w:szCs w:val="21"/>
                      <w:highlight w:val="none"/>
                      <w:u w:val="none"/>
                      <w:lang w:val="en-US" w:eastAsia="zh-CN"/>
                    </w:rPr>
                    <w:t>30</w:t>
                  </w:r>
                </w:p>
              </w:tc>
              <w:tc>
                <w:tcPr>
                  <w:tcW w:w="1695"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09DA837B">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ascii="Times New Roman" w:hAnsi="Times New Roman" w:cs="Times New Roman" w:eastAsiaTheme="minorEastAsia"/>
                      <w:b w:val="0"/>
                      <w:bCs w:val="0"/>
                      <w:color w:val="auto"/>
                      <w:kern w:val="2"/>
                      <w:sz w:val="21"/>
                      <w:szCs w:val="21"/>
                      <w:highlight w:val="none"/>
                      <w:u w:val="none"/>
                      <w:lang w:val="en-US" w:eastAsia="zh-CN" w:bidi="ar-SA"/>
                    </w:rPr>
                    <w:t>40</w:t>
                  </w:r>
                </w:p>
              </w:tc>
              <w:tc>
                <w:tcPr>
                  <w:tcW w:w="1203"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464BE521">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eastAsia="宋体" w:cs="Times New Roman"/>
                      <w:b w:val="0"/>
                      <w:bCs w:val="0"/>
                      <w:color w:val="auto"/>
                      <w:sz w:val="21"/>
                      <w:szCs w:val="21"/>
                      <w:highlight w:val="none"/>
                      <w:u w:val="none"/>
                      <w:lang w:val="en-US" w:eastAsia="zh-CN"/>
                    </w:rPr>
                    <w:t>75</w:t>
                  </w:r>
                </w:p>
              </w:tc>
              <w:tc>
                <w:tcPr>
                  <w:tcW w:w="1203" w:type="dxa"/>
                  <w:tcBorders>
                    <w:top w:val="single" w:color="auto" w:sz="4" w:space="0"/>
                    <w:left w:val="single" w:color="auto" w:sz="4" w:space="0"/>
                    <w:bottom w:val="single" w:color="auto" w:sz="4" w:space="0"/>
                    <w:right w:val="nil"/>
                  </w:tcBorders>
                  <w:noWrap w:val="0"/>
                  <w:tcMar>
                    <w:top w:w="57" w:type="dxa"/>
                    <w:left w:w="85" w:type="dxa"/>
                    <w:bottom w:w="57" w:type="dxa"/>
                    <w:right w:w="85" w:type="dxa"/>
                  </w:tcMar>
                  <w:vAlign w:val="center"/>
                </w:tcPr>
                <w:p w14:paraId="64330B4A">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cs="Times New Roman" w:eastAsiaTheme="minorEastAsia"/>
                      <w:b w:val="0"/>
                      <w:bCs w:val="0"/>
                      <w:color w:val="auto"/>
                      <w:sz w:val="21"/>
                      <w:szCs w:val="21"/>
                      <w:highlight w:val="none"/>
                      <w:u w:val="none"/>
                      <w:lang w:val="en-US" w:eastAsia="zh-CN"/>
                    </w:rPr>
                    <w:t>达标</w:t>
                  </w:r>
                </w:p>
              </w:tc>
            </w:tr>
            <w:tr w14:paraId="513D2E3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4" w:space="0"/>
                    <w:left w:val="nil"/>
                    <w:bottom w:val="single" w:color="auto" w:sz="4" w:space="0"/>
                    <w:right w:val="single" w:color="auto" w:sz="4" w:space="0"/>
                  </w:tcBorders>
                  <w:noWrap w:val="0"/>
                  <w:tcMar>
                    <w:top w:w="57" w:type="dxa"/>
                    <w:left w:w="85" w:type="dxa"/>
                    <w:bottom w:w="57" w:type="dxa"/>
                    <w:right w:w="85" w:type="dxa"/>
                  </w:tcMar>
                  <w:vAlign w:val="center"/>
                </w:tcPr>
                <w:p w14:paraId="0E57675B">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CO</w:t>
                  </w:r>
                </w:p>
              </w:tc>
              <w:tc>
                <w:tcPr>
                  <w:tcW w:w="171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668AB978">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第</w:t>
                  </w:r>
                  <w:r>
                    <w:rPr>
                      <w:rFonts w:hint="default"/>
                      <w:color w:val="000000" w:themeColor="text1"/>
                      <w:sz w:val="21"/>
                      <w:szCs w:val="21"/>
                      <w14:textFill>
                        <w14:solidFill>
                          <w14:schemeClr w14:val="tx1"/>
                        </w14:solidFill>
                      </w14:textFill>
                    </w:rPr>
                    <w:t>95</w:t>
                  </w:r>
                  <w:r>
                    <w:rPr>
                      <w:rFonts w:hint="eastAsia" w:hAnsi="宋体"/>
                      <w:color w:val="000000" w:themeColor="text1"/>
                      <w:sz w:val="21"/>
                      <w:szCs w:val="21"/>
                      <w14:textFill>
                        <w14:solidFill>
                          <w14:schemeClr w14:val="tx1"/>
                        </w14:solidFill>
                      </w14:textFill>
                    </w:rPr>
                    <w:t>百分位浓度</w:t>
                  </w:r>
                </w:p>
              </w:tc>
              <w:tc>
                <w:tcPr>
                  <w:tcW w:w="1920"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380B2374">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ascii="Times New Roman" w:hAnsi="Times New Roman" w:eastAsia="宋体" w:cs="Times New Roman"/>
                      <w:b w:val="0"/>
                      <w:bCs w:val="0"/>
                      <w:color w:val="auto"/>
                      <w:kern w:val="2"/>
                      <w:sz w:val="21"/>
                      <w:szCs w:val="21"/>
                      <w:highlight w:val="none"/>
                      <w:u w:val="none"/>
                      <w:lang w:val="en-US" w:eastAsia="zh-CN" w:bidi="ar-SA"/>
                    </w:rPr>
                    <w:t>1.4mg/m</w:t>
                  </w:r>
                  <w:r>
                    <w:rPr>
                      <w:rFonts w:hint="eastAsia" w:ascii="Times New Roman" w:hAnsi="Times New Roman" w:eastAsia="宋体" w:cs="Times New Roman"/>
                      <w:b w:val="0"/>
                      <w:bCs w:val="0"/>
                      <w:color w:val="auto"/>
                      <w:kern w:val="2"/>
                      <w:sz w:val="21"/>
                      <w:szCs w:val="21"/>
                      <w:highlight w:val="none"/>
                      <w:u w:val="none"/>
                      <w:vertAlign w:val="superscript"/>
                      <w:lang w:val="en-US" w:eastAsia="zh-CN" w:bidi="ar-SA"/>
                    </w:rPr>
                    <w:t>3</w:t>
                  </w:r>
                </w:p>
              </w:tc>
              <w:tc>
                <w:tcPr>
                  <w:tcW w:w="1695"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75D82532">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ascii="Times New Roman" w:hAnsi="Times New Roman" w:eastAsia="宋体" w:cs="Times New Roman"/>
                      <w:b w:val="0"/>
                      <w:bCs w:val="0"/>
                      <w:color w:val="auto"/>
                      <w:kern w:val="2"/>
                      <w:sz w:val="21"/>
                      <w:szCs w:val="21"/>
                      <w:highlight w:val="none"/>
                      <w:u w:val="none"/>
                      <w:lang w:val="en-US" w:eastAsia="zh-CN" w:bidi="ar-SA"/>
                    </w:rPr>
                    <w:t>4mg/m</w:t>
                  </w:r>
                  <w:r>
                    <w:rPr>
                      <w:rFonts w:hint="eastAsia" w:ascii="Times New Roman" w:hAnsi="Times New Roman" w:eastAsia="宋体" w:cs="Times New Roman"/>
                      <w:b w:val="0"/>
                      <w:bCs w:val="0"/>
                      <w:color w:val="auto"/>
                      <w:kern w:val="2"/>
                      <w:sz w:val="21"/>
                      <w:szCs w:val="21"/>
                      <w:highlight w:val="none"/>
                      <w:u w:val="none"/>
                      <w:vertAlign w:val="superscript"/>
                      <w:lang w:val="en-US" w:eastAsia="zh-CN" w:bidi="ar-SA"/>
                    </w:rPr>
                    <w:t>3</w:t>
                  </w:r>
                </w:p>
              </w:tc>
              <w:tc>
                <w:tcPr>
                  <w:tcW w:w="1203" w:type="dxa"/>
                  <w:tcBorders>
                    <w:top w:val="single" w:color="auto" w:sz="4" w:space="0"/>
                    <w:left w:val="single" w:color="auto" w:sz="4" w:space="0"/>
                    <w:bottom w:val="single" w:color="auto" w:sz="4" w:space="0"/>
                    <w:right w:val="single" w:color="auto" w:sz="4" w:space="0"/>
                  </w:tcBorders>
                  <w:noWrap w:val="0"/>
                  <w:tcMar>
                    <w:top w:w="57" w:type="dxa"/>
                    <w:left w:w="85" w:type="dxa"/>
                    <w:bottom w:w="57" w:type="dxa"/>
                    <w:right w:w="85" w:type="dxa"/>
                  </w:tcMar>
                  <w:vAlign w:val="center"/>
                </w:tcPr>
                <w:p w14:paraId="43ED94E7">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eastAsia="宋体" w:cs="Times New Roman"/>
                      <w:b w:val="0"/>
                      <w:bCs w:val="0"/>
                      <w:color w:val="auto"/>
                      <w:sz w:val="21"/>
                      <w:szCs w:val="21"/>
                      <w:highlight w:val="none"/>
                      <w:u w:val="none"/>
                      <w:lang w:val="en-US" w:eastAsia="zh-CN"/>
                    </w:rPr>
                    <w:t>35</w:t>
                  </w:r>
                </w:p>
              </w:tc>
              <w:tc>
                <w:tcPr>
                  <w:tcW w:w="1203" w:type="dxa"/>
                  <w:tcBorders>
                    <w:top w:val="single" w:color="auto" w:sz="4" w:space="0"/>
                    <w:left w:val="single" w:color="auto" w:sz="4" w:space="0"/>
                    <w:bottom w:val="single" w:color="auto" w:sz="4" w:space="0"/>
                    <w:right w:val="nil"/>
                  </w:tcBorders>
                  <w:noWrap w:val="0"/>
                  <w:tcMar>
                    <w:top w:w="57" w:type="dxa"/>
                    <w:left w:w="85" w:type="dxa"/>
                    <w:bottom w:w="57" w:type="dxa"/>
                    <w:right w:w="85" w:type="dxa"/>
                  </w:tcMar>
                  <w:vAlign w:val="center"/>
                </w:tcPr>
                <w:p w14:paraId="4E59513D">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cs="Times New Roman" w:eastAsiaTheme="minorEastAsia"/>
                      <w:b w:val="0"/>
                      <w:bCs w:val="0"/>
                      <w:color w:val="auto"/>
                      <w:sz w:val="21"/>
                      <w:szCs w:val="21"/>
                      <w:highlight w:val="none"/>
                      <w:u w:val="none"/>
                      <w:lang w:val="en-US" w:eastAsia="zh-CN"/>
                    </w:rPr>
                    <w:t>达标</w:t>
                  </w:r>
                </w:p>
              </w:tc>
            </w:tr>
            <w:tr w14:paraId="08AF2DF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57" w:type="dxa"/>
                  <w:left w:w="108" w:type="dxa"/>
                  <w:bottom w:w="57" w:type="dxa"/>
                  <w:right w:w="108" w:type="dxa"/>
                </w:tblCellMar>
              </w:tblPrEx>
              <w:trPr>
                <w:cantSplit/>
                <w:trHeight w:val="397" w:hRule="atLeast"/>
                <w:jc w:val="center"/>
              </w:trPr>
              <w:tc>
                <w:tcPr>
                  <w:tcW w:w="835" w:type="dxa"/>
                  <w:tcBorders>
                    <w:top w:val="single" w:color="auto" w:sz="4" w:space="0"/>
                    <w:left w:val="nil"/>
                    <w:bottom w:val="single" w:color="auto" w:sz="8" w:space="0"/>
                    <w:right w:val="single" w:color="auto" w:sz="4" w:space="0"/>
                  </w:tcBorders>
                  <w:noWrap w:val="0"/>
                  <w:tcMar>
                    <w:top w:w="57" w:type="dxa"/>
                    <w:left w:w="85" w:type="dxa"/>
                    <w:bottom w:w="57" w:type="dxa"/>
                    <w:right w:w="85" w:type="dxa"/>
                  </w:tcMar>
                  <w:vAlign w:val="center"/>
                </w:tcPr>
                <w:p w14:paraId="1A95E5E6">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default"/>
                      <w:color w:val="000000" w:themeColor="text1"/>
                      <w:sz w:val="21"/>
                      <w:szCs w:val="21"/>
                      <w14:textFill>
                        <w14:solidFill>
                          <w14:schemeClr w14:val="tx1"/>
                        </w14:solidFill>
                      </w14:textFill>
                    </w:rPr>
                    <w:t>O</w:t>
                  </w:r>
                  <w:r>
                    <w:rPr>
                      <w:rFonts w:hint="default"/>
                      <w:color w:val="000000" w:themeColor="text1"/>
                      <w:sz w:val="21"/>
                      <w:szCs w:val="21"/>
                      <w:vertAlign w:val="subscript"/>
                      <w14:textFill>
                        <w14:solidFill>
                          <w14:schemeClr w14:val="tx1"/>
                        </w14:solidFill>
                      </w14:textFill>
                    </w:rPr>
                    <w:t>3</w:t>
                  </w:r>
                </w:p>
              </w:tc>
              <w:tc>
                <w:tcPr>
                  <w:tcW w:w="1710" w:type="dxa"/>
                  <w:tcBorders>
                    <w:top w:val="single" w:color="auto" w:sz="4"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550A1069">
                  <w:pPr>
                    <w:keepNext w:val="0"/>
                    <w:keepLines w:val="0"/>
                    <w:suppressLineNumbers w:val="0"/>
                    <w:autoSpaceDE w:val="0"/>
                    <w:autoSpaceDN w:val="0"/>
                    <w:adjustRightInd w:val="0"/>
                    <w:snapToGrid w:val="0"/>
                    <w:spacing w:before="0" w:beforeAutospacing="0" w:after="0" w:afterAutospacing="0" w:line="240" w:lineRule="auto"/>
                    <w:ind w:left="0" w:right="0"/>
                    <w:jc w:val="center"/>
                    <w:rPr>
                      <w:rFonts w:hint="default"/>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第</w:t>
                  </w:r>
                  <w:r>
                    <w:rPr>
                      <w:rFonts w:hint="default"/>
                      <w:color w:val="000000" w:themeColor="text1"/>
                      <w:sz w:val="21"/>
                      <w:szCs w:val="21"/>
                      <w14:textFill>
                        <w14:solidFill>
                          <w14:schemeClr w14:val="tx1"/>
                        </w14:solidFill>
                      </w14:textFill>
                    </w:rPr>
                    <w:t>90</w:t>
                  </w:r>
                  <w:r>
                    <w:rPr>
                      <w:rFonts w:hint="eastAsia" w:hAnsi="宋体"/>
                      <w:color w:val="000000" w:themeColor="text1"/>
                      <w:sz w:val="21"/>
                      <w:szCs w:val="21"/>
                      <w14:textFill>
                        <w14:solidFill>
                          <w14:schemeClr w14:val="tx1"/>
                        </w14:solidFill>
                      </w14:textFill>
                    </w:rPr>
                    <w:t>百分位浓度</w:t>
                  </w:r>
                </w:p>
              </w:tc>
              <w:tc>
                <w:tcPr>
                  <w:tcW w:w="1920" w:type="dxa"/>
                  <w:tcBorders>
                    <w:top w:val="single" w:color="auto" w:sz="4"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6BEB2C95">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ascii="Times New Roman" w:hAnsi="Times New Roman" w:eastAsia="宋体" w:cs="Times New Roman"/>
                      <w:b w:val="0"/>
                      <w:bCs w:val="0"/>
                      <w:color w:val="auto"/>
                      <w:kern w:val="2"/>
                      <w:sz w:val="21"/>
                      <w:szCs w:val="21"/>
                      <w:highlight w:val="none"/>
                      <w:u w:val="none"/>
                      <w:lang w:val="en-US" w:eastAsia="zh-CN" w:bidi="ar-SA"/>
                    </w:rPr>
                    <w:t>183</w:t>
                  </w:r>
                </w:p>
              </w:tc>
              <w:tc>
                <w:tcPr>
                  <w:tcW w:w="1695" w:type="dxa"/>
                  <w:tcBorders>
                    <w:top w:val="single" w:color="auto" w:sz="4"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6F5C201F">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ascii="Times New Roman" w:hAnsi="Times New Roman" w:cs="Times New Roman" w:eastAsiaTheme="minorEastAsia"/>
                      <w:b w:val="0"/>
                      <w:bCs w:val="0"/>
                      <w:color w:val="auto"/>
                      <w:kern w:val="2"/>
                      <w:sz w:val="21"/>
                      <w:szCs w:val="21"/>
                      <w:highlight w:val="none"/>
                      <w:u w:val="none"/>
                      <w:lang w:val="en-US" w:eastAsia="zh-CN" w:bidi="ar-SA"/>
                    </w:rPr>
                    <w:t>160</w:t>
                  </w:r>
                </w:p>
              </w:tc>
              <w:tc>
                <w:tcPr>
                  <w:tcW w:w="1203" w:type="dxa"/>
                  <w:tcBorders>
                    <w:top w:val="single" w:color="auto" w:sz="4" w:space="0"/>
                    <w:left w:val="single" w:color="auto" w:sz="4" w:space="0"/>
                    <w:bottom w:val="single" w:color="auto" w:sz="8" w:space="0"/>
                    <w:right w:val="single" w:color="auto" w:sz="4" w:space="0"/>
                  </w:tcBorders>
                  <w:noWrap w:val="0"/>
                  <w:tcMar>
                    <w:top w:w="57" w:type="dxa"/>
                    <w:left w:w="85" w:type="dxa"/>
                    <w:bottom w:w="57" w:type="dxa"/>
                    <w:right w:w="85" w:type="dxa"/>
                  </w:tcMar>
                  <w:vAlign w:val="center"/>
                </w:tcPr>
                <w:p w14:paraId="236AE2F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contextualSpacing/>
                    <w:jc w:val="center"/>
                    <w:textAlignment w:val="auto"/>
                    <w:rPr>
                      <w:rFonts w:hint="default" w:eastAsia="宋体"/>
                      <w:color w:val="000000" w:themeColor="text1"/>
                      <w:sz w:val="21"/>
                      <w:szCs w:val="21"/>
                      <w:lang w:val="en-US" w:eastAsia="zh-CN"/>
                      <w14:textFill>
                        <w14:solidFill>
                          <w14:schemeClr w14:val="tx1"/>
                        </w14:solidFill>
                      </w14:textFill>
                    </w:rPr>
                  </w:pPr>
                  <w:r>
                    <w:rPr>
                      <w:rFonts w:hint="eastAsia" w:eastAsia="宋体" w:cs="Times New Roman"/>
                      <w:b w:val="0"/>
                      <w:bCs w:val="0"/>
                      <w:color w:val="auto"/>
                      <w:sz w:val="21"/>
                      <w:szCs w:val="21"/>
                      <w:highlight w:val="none"/>
                      <w:u w:val="none"/>
                      <w:lang w:val="en-US" w:eastAsia="zh-CN"/>
                    </w:rPr>
                    <w:t>114</w:t>
                  </w:r>
                </w:p>
              </w:tc>
              <w:tc>
                <w:tcPr>
                  <w:tcW w:w="1203" w:type="dxa"/>
                  <w:tcBorders>
                    <w:top w:val="single" w:color="auto" w:sz="4" w:space="0"/>
                    <w:left w:val="single" w:color="auto" w:sz="4" w:space="0"/>
                    <w:bottom w:val="single" w:color="auto" w:sz="8" w:space="0"/>
                    <w:right w:val="nil"/>
                  </w:tcBorders>
                  <w:noWrap w:val="0"/>
                  <w:tcMar>
                    <w:top w:w="57" w:type="dxa"/>
                    <w:left w:w="85" w:type="dxa"/>
                    <w:bottom w:w="57" w:type="dxa"/>
                    <w:right w:w="85" w:type="dxa"/>
                  </w:tcMar>
                  <w:vAlign w:val="center"/>
                </w:tcPr>
                <w:p w14:paraId="5465FB54">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firstLine="0" w:firstLineChars="0"/>
                    <w:jc w:val="center"/>
                    <w:textAlignment w:val="auto"/>
                    <w:rPr>
                      <w:rFonts w:hint="default"/>
                      <w:color w:val="000000" w:themeColor="text1"/>
                      <w:sz w:val="21"/>
                      <w:szCs w:val="21"/>
                      <w14:textFill>
                        <w14:solidFill>
                          <w14:schemeClr w14:val="tx1"/>
                        </w14:solidFill>
                      </w14:textFill>
                    </w:rPr>
                  </w:pPr>
                  <w:r>
                    <w:rPr>
                      <w:rFonts w:hint="eastAsia" w:ascii="Times New Roman" w:hAnsi="Times New Roman" w:cs="Times New Roman" w:eastAsiaTheme="minorEastAsia"/>
                      <w:b w:val="0"/>
                      <w:bCs w:val="0"/>
                      <w:color w:val="auto"/>
                      <w:kern w:val="2"/>
                      <w:sz w:val="21"/>
                      <w:szCs w:val="21"/>
                      <w:highlight w:val="none"/>
                      <w:u w:val="none"/>
                      <w:lang w:val="en-US" w:eastAsia="zh-CN" w:bidi="ar-SA"/>
                    </w:rPr>
                    <w:t>超标</w:t>
                  </w:r>
                </w:p>
              </w:tc>
            </w:tr>
          </w:tbl>
          <w:p w14:paraId="18164C9D">
            <w:pPr>
              <w:keepNext w:val="0"/>
              <w:keepLines w:val="0"/>
              <w:widowControl/>
              <w:suppressLineNumbers w:val="0"/>
              <w:adjustRightInd w:val="0"/>
              <w:snapToGrid w:val="0"/>
              <w:spacing w:before="0" w:beforeAutospacing="0" w:after="0" w:afterAutospacing="0" w:line="440" w:lineRule="exact"/>
              <w:ind w:left="0" w:right="0" w:firstLine="480" w:firstLineChars="200"/>
              <w:jc w:val="both"/>
              <w:rPr>
                <w:rFonts w:hint="default"/>
                <w:color w:val="000000" w:themeColor="text1"/>
                <w:kern w:val="0"/>
                <w:sz w:val="24"/>
                <w14:textFill>
                  <w14:solidFill>
                    <w14:schemeClr w14:val="tx1"/>
                  </w14:solidFill>
                </w14:textFill>
              </w:rPr>
            </w:pPr>
            <w:r>
              <w:rPr>
                <w:rFonts w:hint="default" w:hAnsi="宋体"/>
                <w:color w:val="000000" w:themeColor="text1"/>
                <w:kern w:val="0"/>
                <w:sz w:val="24"/>
                <w14:textFill>
                  <w14:solidFill>
                    <w14:schemeClr w14:val="tx1"/>
                  </w14:solidFill>
                </w14:textFill>
              </w:rPr>
              <w:t>由上表可知，其中</w:t>
            </w:r>
            <w:r>
              <w:rPr>
                <w:rFonts w:hint="default"/>
                <w:color w:val="000000" w:themeColor="text1"/>
                <w:kern w:val="0"/>
                <w:sz w:val="24"/>
                <w14:textFill>
                  <w14:solidFill>
                    <w14:schemeClr w14:val="tx1"/>
                  </w14:solidFill>
                </w14:textFill>
              </w:rPr>
              <w:t>PM</w:t>
            </w:r>
            <w:r>
              <w:rPr>
                <w:rFonts w:hint="default"/>
                <w:color w:val="000000" w:themeColor="text1"/>
                <w:kern w:val="0"/>
                <w:sz w:val="24"/>
                <w:vertAlign w:val="subscript"/>
                <w14:textFill>
                  <w14:solidFill>
                    <w14:schemeClr w14:val="tx1"/>
                  </w14:solidFill>
                </w14:textFill>
              </w:rPr>
              <w:t>10</w:t>
            </w:r>
            <w:r>
              <w:rPr>
                <w:rFonts w:hint="default" w:hAnsi="宋体"/>
                <w:color w:val="000000" w:themeColor="text1"/>
                <w:kern w:val="0"/>
                <w:sz w:val="24"/>
                <w14:textFill>
                  <w14:solidFill>
                    <w14:schemeClr w14:val="tx1"/>
                  </w14:solidFill>
                </w14:textFill>
              </w:rPr>
              <w:t>、</w:t>
            </w:r>
            <w:r>
              <w:rPr>
                <w:rFonts w:hint="default"/>
                <w:color w:val="000000" w:themeColor="text1"/>
                <w:kern w:val="0"/>
                <w:sz w:val="24"/>
                <w14:textFill>
                  <w14:solidFill>
                    <w14:schemeClr w14:val="tx1"/>
                  </w14:solidFill>
                </w14:textFill>
              </w:rPr>
              <w:t>PM</w:t>
            </w:r>
            <w:r>
              <w:rPr>
                <w:rFonts w:hint="default"/>
                <w:color w:val="000000" w:themeColor="text1"/>
                <w:kern w:val="0"/>
                <w:sz w:val="24"/>
                <w:vertAlign w:val="subscript"/>
                <w14:textFill>
                  <w14:solidFill>
                    <w14:schemeClr w14:val="tx1"/>
                  </w14:solidFill>
                </w14:textFill>
              </w:rPr>
              <w:t>2.5</w:t>
            </w:r>
            <w:r>
              <w:rPr>
                <w:rFonts w:hint="default" w:hAnsi="宋体"/>
                <w:color w:val="000000" w:themeColor="text1"/>
                <w:kern w:val="0"/>
                <w:sz w:val="24"/>
                <w14:textFill>
                  <w14:solidFill>
                    <w14:schemeClr w14:val="tx1"/>
                  </w14:solidFill>
                </w14:textFill>
              </w:rPr>
              <w:t>、</w:t>
            </w:r>
            <w:r>
              <w:rPr>
                <w:rFonts w:hint="default"/>
                <w:color w:val="000000" w:themeColor="text1"/>
                <w:kern w:val="0"/>
                <w:sz w:val="24"/>
                <w14:textFill>
                  <w14:solidFill>
                    <w14:schemeClr w14:val="tx1"/>
                  </w14:solidFill>
                </w14:textFill>
              </w:rPr>
              <w:t>O</w:t>
            </w:r>
            <w:r>
              <w:rPr>
                <w:rFonts w:hint="default"/>
                <w:color w:val="000000" w:themeColor="text1"/>
                <w:kern w:val="0"/>
                <w:sz w:val="24"/>
                <w:vertAlign w:val="subscript"/>
                <w14:textFill>
                  <w14:solidFill>
                    <w14:schemeClr w14:val="tx1"/>
                  </w14:solidFill>
                </w14:textFill>
              </w:rPr>
              <w:t>3</w:t>
            </w:r>
            <w:r>
              <w:rPr>
                <w:rFonts w:hint="default" w:hAnsi="宋体"/>
                <w:color w:val="000000" w:themeColor="text1"/>
                <w:kern w:val="0"/>
                <w:sz w:val="24"/>
                <w14:textFill>
                  <w14:solidFill>
                    <w14:schemeClr w14:val="tx1"/>
                  </w14:solidFill>
                </w14:textFill>
              </w:rPr>
              <w:t>均不能够满足《环境空气质量标准》（</w:t>
            </w:r>
            <w:r>
              <w:rPr>
                <w:rFonts w:hint="default"/>
                <w:color w:val="000000" w:themeColor="text1"/>
                <w:kern w:val="0"/>
                <w:sz w:val="24"/>
                <w14:textFill>
                  <w14:solidFill>
                    <w14:schemeClr w14:val="tx1"/>
                  </w14:solidFill>
                </w14:textFill>
              </w:rPr>
              <w:t>GB3095-2012</w:t>
            </w:r>
            <w:r>
              <w:rPr>
                <w:rFonts w:hint="default" w:hAnsi="宋体"/>
                <w:color w:val="000000" w:themeColor="text1"/>
                <w:kern w:val="0"/>
                <w:sz w:val="24"/>
                <w14:textFill>
                  <w14:solidFill>
                    <w14:schemeClr w14:val="tx1"/>
                  </w14:solidFill>
                </w14:textFill>
              </w:rPr>
              <w:t>）二级标准</w:t>
            </w:r>
            <w:r>
              <w:rPr>
                <w:rFonts w:hint="eastAsia"/>
                <w:color w:val="000000" w:themeColor="text1"/>
                <w:sz w:val="24"/>
                <w:szCs w:val="24"/>
                <w:lang w:val="en-US" w:eastAsia="zh-CN"/>
                <w14:textFill>
                  <w14:solidFill>
                    <w14:schemeClr w14:val="tx1"/>
                  </w14:solidFill>
                </w14:textFill>
              </w:rPr>
              <w:t>及其2018年修改单</w:t>
            </w:r>
            <w:r>
              <w:rPr>
                <w:rFonts w:hint="default" w:hAnsi="宋体"/>
                <w:color w:val="000000" w:themeColor="text1"/>
                <w:kern w:val="0"/>
                <w:sz w:val="24"/>
                <w14:textFill>
                  <w14:solidFill>
                    <w14:schemeClr w14:val="tx1"/>
                  </w14:solidFill>
                </w14:textFill>
              </w:rPr>
              <w:t>要求。根据《环境影响评价技术导则</w:t>
            </w:r>
            <w:r>
              <w:rPr>
                <w:rFonts w:hint="default"/>
                <w:color w:val="000000" w:themeColor="text1"/>
                <w:kern w:val="0"/>
                <w:sz w:val="24"/>
                <w14:textFill>
                  <w14:solidFill>
                    <w14:schemeClr w14:val="tx1"/>
                  </w14:solidFill>
                </w14:textFill>
              </w:rPr>
              <w:t xml:space="preserve"> </w:t>
            </w:r>
            <w:r>
              <w:rPr>
                <w:rFonts w:hint="default" w:hAnsi="宋体"/>
                <w:color w:val="000000" w:themeColor="text1"/>
                <w:kern w:val="0"/>
                <w:sz w:val="24"/>
                <w14:textFill>
                  <w14:solidFill>
                    <w14:schemeClr w14:val="tx1"/>
                  </w14:solidFill>
                </w14:textFill>
              </w:rPr>
              <w:t>大气环境》</w:t>
            </w:r>
            <w:r>
              <w:rPr>
                <w:rFonts w:hint="default"/>
                <w:color w:val="000000" w:themeColor="text1"/>
                <w:kern w:val="0"/>
                <w:sz w:val="24"/>
                <w14:textFill>
                  <w14:solidFill>
                    <w14:schemeClr w14:val="tx1"/>
                  </w14:solidFill>
                </w14:textFill>
              </w:rPr>
              <w:t>(HJ2.2-2018)</w:t>
            </w:r>
            <w:r>
              <w:rPr>
                <w:rFonts w:hint="default" w:hAnsi="宋体"/>
                <w:color w:val="000000" w:themeColor="text1"/>
                <w:kern w:val="0"/>
                <w:sz w:val="24"/>
                <w14:textFill>
                  <w14:solidFill>
                    <w14:schemeClr w14:val="tx1"/>
                  </w14:solidFill>
                </w14:textFill>
              </w:rPr>
              <w:t>，本项目所在区域属于不达标区。</w:t>
            </w:r>
          </w:p>
          <w:p w14:paraId="02E551C9">
            <w:pPr>
              <w:keepNext w:val="0"/>
              <w:keepLines w:val="0"/>
              <w:suppressLineNumbers w:val="0"/>
              <w:adjustRightInd w:val="0"/>
              <w:snapToGrid w:val="0"/>
              <w:spacing w:before="0" w:beforeAutospacing="0" w:after="0" w:afterAutospacing="0" w:line="440" w:lineRule="exact"/>
              <w:ind w:left="0" w:right="0" w:firstLine="480" w:firstLineChars="200"/>
              <w:rPr>
                <w:rFonts w:hint="default"/>
                <w:color w:val="000000" w:themeColor="text1"/>
                <w:kern w:val="0"/>
                <w:sz w:val="24"/>
                <w14:textFill>
                  <w14:solidFill>
                    <w14:schemeClr w14:val="tx1"/>
                  </w14:solidFill>
                </w14:textFill>
              </w:rPr>
            </w:pPr>
            <w:r>
              <w:rPr>
                <w:rFonts w:hint="default" w:hAnsi="宋体"/>
                <w:color w:val="000000" w:themeColor="text1"/>
                <w:kern w:val="0"/>
                <w:sz w:val="24"/>
                <w14:textFill>
                  <w14:solidFill>
                    <w14:schemeClr w14:val="tx1"/>
                  </w14:solidFill>
                </w14:textFill>
              </w:rPr>
              <w:t>目前，新乡市正在实施《新乡市生态环境保护委员会办公室关于印发&lt;新乡市202</w:t>
            </w:r>
            <w:r>
              <w:rPr>
                <w:rFonts w:hint="eastAsia" w:hAnsi="宋体"/>
                <w:color w:val="000000" w:themeColor="text1"/>
                <w:kern w:val="0"/>
                <w:sz w:val="24"/>
                <w:lang w:val="en-US" w:eastAsia="zh-CN"/>
                <w14:textFill>
                  <w14:solidFill>
                    <w14:schemeClr w14:val="tx1"/>
                  </w14:solidFill>
                </w14:textFill>
              </w:rPr>
              <w:t>5</w:t>
            </w:r>
            <w:r>
              <w:rPr>
                <w:rFonts w:hint="default" w:hAnsi="宋体"/>
                <w:color w:val="000000" w:themeColor="text1"/>
                <w:kern w:val="0"/>
                <w:sz w:val="24"/>
                <w14:textFill>
                  <w14:solidFill>
                    <w14:schemeClr w14:val="tx1"/>
                  </w14:solidFill>
                </w14:textFill>
              </w:rPr>
              <w:t>年蓝天保卫战实施方案&gt;的通知》（新环委办〔202</w:t>
            </w:r>
            <w:r>
              <w:rPr>
                <w:rFonts w:hint="eastAsia" w:hAnsi="宋体"/>
                <w:color w:val="000000" w:themeColor="text1"/>
                <w:kern w:val="0"/>
                <w:sz w:val="24"/>
                <w:lang w:val="en-US" w:eastAsia="zh-CN"/>
                <w14:textFill>
                  <w14:solidFill>
                    <w14:schemeClr w14:val="tx1"/>
                  </w14:solidFill>
                </w14:textFill>
              </w:rPr>
              <w:t>5</w:t>
            </w:r>
            <w:r>
              <w:rPr>
                <w:rFonts w:hint="default" w:hAnsi="宋体"/>
                <w:color w:val="000000" w:themeColor="text1"/>
                <w:kern w:val="0"/>
                <w:sz w:val="24"/>
                <w14:textFill>
                  <w14:solidFill>
                    <w14:schemeClr w14:val="tx1"/>
                  </w14:solidFill>
                </w14:textFill>
              </w:rPr>
              <w:t>〕</w:t>
            </w:r>
            <w:r>
              <w:rPr>
                <w:rFonts w:hint="eastAsia" w:hAnsi="宋体"/>
                <w:color w:val="000000" w:themeColor="text1"/>
                <w:kern w:val="0"/>
                <w:sz w:val="24"/>
                <w:lang w:val="en-US" w:eastAsia="zh-CN"/>
                <w14:textFill>
                  <w14:solidFill>
                    <w14:schemeClr w14:val="tx1"/>
                  </w14:solidFill>
                </w14:textFill>
              </w:rPr>
              <w:t>38</w:t>
            </w:r>
            <w:r>
              <w:rPr>
                <w:rFonts w:hint="default" w:hAnsi="宋体"/>
                <w:color w:val="000000" w:themeColor="text1"/>
                <w:kern w:val="0"/>
                <w:sz w:val="24"/>
                <w14:textFill>
                  <w14:solidFill>
                    <w14:schemeClr w14:val="tx1"/>
                  </w14:solidFill>
                </w14:textFill>
              </w:rPr>
              <w:t>号）等一系列措施</w:t>
            </w:r>
            <w:r>
              <w:rPr>
                <w:rFonts w:hint="eastAsia" w:hAnsi="宋体"/>
                <w:color w:val="000000" w:themeColor="text1"/>
                <w:kern w:val="0"/>
                <w:sz w:val="24"/>
                <w:lang w:eastAsia="zh-CN"/>
                <w14:textFill>
                  <w14:solidFill>
                    <w14:schemeClr w14:val="tx1"/>
                  </w14:solidFill>
                </w14:textFill>
              </w:rPr>
              <w:t>，</w:t>
            </w:r>
            <w:r>
              <w:rPr>
                <w:rFonts w:hint="default" w:hAnsi="宋体"/>
                <w:color w:val="000000" w:themeColor="text1"/>
                <w:kern w:val="0"/>
                <w:sz w:val="24"/>
                <w14:textFill>
                  <w14:solidFill>
                    <w14:schemeClr w14:val="tx1"/>
                  </w14:solidFill>
                </w14:textFill>
              </w:rPr>
              <w:t>将不断改善区域大气环境质量。</w:t>
            </w:r>
          </w:p>
          <w:p w14:paraId="77069540">
            <w:pPr>
              <w:keepNext w:val="0"/>
              <w:keepLines w:val="0"/>
              <w:suppressLineNumbers w:val="0"/>
              <w:spacing w:before="0" w:beforeAutospacing="0" w:after="0" w:afterAutospacing="0" w:line="440" w:lineRule="exact"/>
              <w:ind w:left="0" w:right="0" w:firstLine="482" w:firstLineChars="200"/>
              <w:jc w:val="left"/>
              <w:rPr>
                <w:rFonts w:hint="default"/>
                <w:b/>
                <w:bCs/>
                <w:sz w:val="24"/>
              </w:rPr>
            </w:pPr>
            <w:r>
              <w:rPr>
                <w:rFonts w:hint="default"/>
                <w:b/>
                <w:bCs/>
                <w:sz w:val="24"/>
              </w:rPr>
              <w:t>2</w:t>
            </w:r>
            <w:r>
              <w:rPr>
                <w:rFonts w:hint="default" w:hAnsi="宋体"/>
                <w:b/>
                <w:bCs/>
                <w:sz w:val="24"/>
              </w:rPr>
              <w:t>、地表水</w:t>
            </w:r>
            <w:r>
              <w:rPr>
                <w:rFonts w:hint="default"/>
                <w:b/>
                <w:bCs/>
                <w:sz w:val="24"/>
              </w:rPr>
              <w:t>质量现状</w:t>
            </w:r>
          </w:p>
          <w:p w14:paraId="38713E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sz w:val="24"/>
                <w:highlight w:val="none"/>
              </w:rPr>
            </w:pPr>
            <w:r>
              <w:rPr>
                <w:rFonts w:hint="eastAsia"/>
                <w:color w:val="auto"/>
                <w:sz w:val="24"/>
                <w:highlight w:val="none"/>
                <w:lang w:val="en-US" w:eastAsia="zh-CN"/>
              </w:rPr>
              <w:t>本项目不产生生产废水，生活污水定期清运不外排。附近地表水体为东孟姜女河</w:t>
            </w:r>
            <w:r>
              <w:rPr>
                <w:rFonts w:hint="eastAsia"/>
                <w:color w:val="auto"/>
                <w:sz w:val="24"/>
                <w:highlight w:val="none"/>
              </w:rPr>
              <w:t>。依据新乡市生态环境关于</w:t>
            </w:r>
            <w:r>
              <w:rPr>
                <w:rFonts w:hint="eastAsia" w:cs="Times New Roman"/>
                <w:color w:val="auto"/>
                <w:sz w:val="24"/>
                <w:szCs w:val="24"/>
                <w:highlight w:val="none"/>
                <w:lang w:val="en-US" w:eastAsia="zh-CN"/>
              </w:rPr>
              <w:t>下达</w:t>
            </w:r>
            <w:r>
              <w:rPr>
                <w:rFonts w:hint="default" w:ascii="Times New Roman" w:hAnsi="Times New Roman" w:eastAsia="宋体" w:cs="Times New Roman"/>
                <w:color w:val="auto"/>
                <w:sz w:val="24"/>
                <w:szCs w:val="24"/>
                <w:highlight w:val="none"/>
                <w:lang w:val="en-US" w:eastAsia="zh-CN"/>
              </w:rPr>
              <w:t>《202</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年地表水环境质量目标》的函</w:t>
            </w:r>
            <w:r>
              <w:rPr>
                <w:rFonts w:hint="eastAsia"/>
                <w:color w:val="auto"/>
                <w:sz w:val="24"/>
                <w:highlight w:val="none"/>
              </w:rPr>
              <w:t>，</w:t>
            </w:r>
            <w:r>
              <w:rPr>
                <w:rFonts w:hint="eastAsia"/>
                <w:color w:val="auto"/>
                <w:sz w:val="24"/>
                <w:highlight w:val="none"/>
                <w:lang w:val="en-US" w:eastAsia="zh-CN"/>
              </w:rPr>
              <w:t>东孟姜女河</w:t>
            </w:r>
            <w:r>
              <w:rPr>
                <w:rFonts w:hint="eastAsia"/>
                <w:color w:val="auto"/>
                <w:sz w:val="24"/>
                <w:highlight w:val="none"/>
              </w:rPr>
              <w:t>202</w:t>
            </w:r>
            <w:r>
              <w:rPr>
                <w:rFonts w:hint="eastAsia"/>
                <w:color w:val="auto"/>
                <w:sz w:val="24"/>
                <w:highlight w:val="none"/>
                <w:lang w:val="en-US" w:eastAsia="zh-CN"/>
              </w:rPr>
              <w:t>4</w:t>
            </w:r>
            <w:r>
              <w:rPr>
                <w:rFonts w:hint="eastAsia"/>
                <w:color w:val="auto"/>
                <w:sz w:val="24"/>
                <w:highlight w:val="none"/>
              </w:rPr>
              <w:t>年地表水环境质量目标为</w:t>
            </w:r>
            <w:r>
              <w:rPr>
                <w:rFonts w:hint="default" w:ascii="Times New Roman" w:hAnsi="Times New Roman" w:eastAsia="宋体" w:cs="Times New Roman"/>
                <w:color w:val="auto"/>
                <w:sz w:val="24"/>
                <w:highlight w:val="none"/>
              </w:rPr>
              <w:t>Ⅳ</w:t>
            </w:r>
            <w:r>
              <w:rPr>
                <w:rFonts w:hint="eastAsia"/>
                <w:color w:val="auto"/>
                <w:sz w:val="24"/>
                <w:highlight w:val="none"/>
              </w:rPr>
              <w:t>类。本评价引用新乡市环境监测站对</w:t>
            </w:r>
            <w:r>
              <w:rPr>
                <w:rFonts w:hint="eastAsia"/>
                <w:color w:val="auto"/>
                <w:sz w:val="24"/>
                <w:highlight w:val="none"/>
                <w:lang w:val="en-US" w:eastAsia="zh-CN"/>
              </w:rPr>
              <w:t>东孟姜女河南环桥</w:t>
            </w:r>
            <w:r>
              <w:rPr>
                <w:rFonts w:hint="eastAsia"/>
                <w:color w:val="auto"/>
                <w:sz w:val="24"/>
                <w:highlight w:val="none"/>
              </w:rPr>
              <w:t>断面202</w:t>
            </w:r>
            <w:r>
              <w:rPr>
                <w:rFonts w:hint="eastAsia"/>
                <w:color w:val="auto"/>
                <w:sz w:val="24"/>
                <w:highlight w:val="none"/>
                <w:lang w:val="en-US" w:eastAsia="zh-CN"/>
              </w:rPr>
              <w:t>4</w:t>
            </w:r>
            <w:r>
              <w:rPr>
                <w:rFonts w:hint="eastAsia"/>
                <w:color w:val="auto"/>
                <w:sz w:val="24"/>
                <w:highlight w:val="none"/>
              </w:rPr>
              <w:t>年</w:t>
            </w:r>
            <w:r>
              <w:rPr>
                <w:rFonts w:hint="eastAsia"/>
                <w:color w:val="auto"/>
                <w:sz w:val="24"/>
                <w:highlight w:val="none"/>
                <w:lang w:val="en-US" w:eastAsia="zh-CN"/>
              </w:rPr>
              <w:t>1-12</w:t>
            </w:r>
            <w:r>
              <w:rPr>
                <w:rFonts w:hint="eastAsia"/>
                <w:color w:val="auto"/>
                <w:sz w:val="24"/>
                <w:highlight w:val="none"/>
              </w:rPr>
              <w:t>月的监测数据</w:t>
            </w:r>
            <w:r>
              <w:rPr>
                <w:rFonts w:hint="eastAsia"/>
                <w:color w:val="auto"/>
                <w:sz w:val="24"/>
                <w:highlight w:val="none"/>
                <w:lang w:val="en-US" w:eastAsia="zh-CN"/>
              </w:rPr>
              <w:t>均值</w:t>
            </w:r>
            <w:r>
              <w:rPr>
                <w:rFonts w:hint="eastAsia"/>
                <w:color w:val="auto"/>
                <w:sz w:val="24"/>
                <w:highlight w:val="none"/>
              </w:rPr>
              <w:t>，数据见下表。</w:t>
            </w:r>
          </w:p>
          <w:p w14:paraId="05239601">
            <w:pPr>
              <w:keepNext w:val="0"/>
              <w:keepLines w:val="0"/>
              <w:suppressLineNumbers w:val="0"/>
              <w:spacing w:before="0" w:beforeAutospacing="0" w:after="0" w:afterAutospacing="0" w:line="440" w:lineRule="exact"/>
              <w:ind w:left="0" w:right="0"/>
              <w:jc w:val="center"/>
              <w:rPr>
                <w:rFonts w:hint="default" w:eastAsia="黑体"/>
                <w:color w:val="FF0000"/>
                <w:sz w:val="24"/>
                <w:highlight w:val="none"/>
              </w:rPr>
            </w:pPr>
            <w:r>
              <w:rPr>
                <w:rFonts w:hint="default" w:ascii="宋体" w:hAnsi="宋体"/>
                <w:b/>
                <w:bCs w:val="0"/>
                <w:color w:val="000000" w:themeColor="text1"/>
                <w:sz w:val="24"/>
                <w:highlight w:val="none"/>
                <w14:textFill>
                  <w14:solidFill>
                    <w14:schemeClr w14:val="tx1"/>
                  </w14:solidFill>
                </w14:textFill>
              </w:rPr>
              <w:t>表</w:t>
            </w:r>
            <w:r>
              <w:rPr>
                <w:rFonts w:hint="eastAsia" w:cs="Times New Roman"/>
                <w:b/>
                <w:bCs w:val="0"/>
                <w:color w:val="000000" w:themeColor="text1"/>
                <w:sz w:val="24"/>
                <w:highlight w:val="none"/>
                <w:lang w:val="en-US" w:eastAsia="zh-CN"/>
                <w14:textFill>
                  <w14:solidFill>
                    <w14:schemeClr w14:val="tx1"/>
                  </w14:solidFill>
                </w14:textFill>
              </w:rPr>
              <w:t>17</w:t>
            </w:r>
            <w:r>
              <w:rPr>
                <w:rFonts w:hint="eastAsia" w:ascii="宋体" w:hAnsi="宋体"/>
                <w:b/>
                <w:bCs w:val="0"/>
                <w:color w:val="000000" w:themeColor="text1"/>
                <w:sz w:val="24"/>
                <w:highlight w:val="none"/>
                <w:lang w:val="en-US" w:eastAsia="zh-CN"/>
                <w14:textFill>
                  <w14:solidFill>
                    <w14:schemeClr w14:val="tx1"/>
                  </w14:solidFill>
                </w14:textFill>
              </w:rPr>
              <w:t xml:space="preserve">  </w:t>
            </w:r>
            <w:r>
              <w:rPr>
                <w:rFonts w:hint="eastAsia"/>
                <w:b/>
                <w:bCs w:val="0"/>
                <w:color w:val="auto"/>
                <w:sz w:val="24"/>
                <w:highlight w:val="none"/>
                <w:lang w:val="en-US" w:eastAsia="zh-CN"/>
              </w:rPr>
              <w:t>东孟姜女河南环桥</w:t>
            </w:r>
            <w:r>
              <w:rPr>
                <w:rFonts w:hint="eastAsia" w:ascii="宋体" w:hAnsi="宋体"/>
                <w:b/>
                <w:bCs w:val="0"/>
                <w:color w:val="auto"/>
                <w:sz w:val="24"/>
                <w:highlight w:val="none"/>
                <w:lang w:val="en-US" w:eastAsia="zh-CN"/>
              </w:rPr>
              <w:t>断面监测</w:t>
            </w:r>
            <w:r>
              <w:rPr>
                <w:rFonts w:hint="eastAsia" w:ascii="宋体" w:hAnsi="宋体"/>
                <w:b/>
                <w:bCs/>
                <w:color w:val="auto"/>
                <w:sz w:val="24"/>
                <w:highlight w:val="none"/>
                <w:lang w:val="en-US" w:eastAsia="zh-CN"/>
              </w:rPr>
              <w:t>数据</w:t>
            </w:r>
            <w:r>
              <w:rPr>
                <w:rFonts w:hint="default" w:ascii="Times New Roman" w:hAnsi="Times New Roman" w:eastAsia="宋体" w:cs="Times New Roman"/>
                <w:b/>
                <w:bCs/>
                <w:color w:val="000000" w:themeColor="text1"/>
                <w:sz w:val="24"/>
                <w:highlight w:val="none"/>
                <w14:textFill>
                  <w14:solidFill>
                    <w14:schemeClr w14:val="tx1"/>
                  </w14:solidFill>
                </w14:textFill>
              </w:rPr>
              <w:t>（202</w:t>
            </w:r>
            <w:r>
              <w:rPr>
                <w:rFonts w:hint="eastAsia" w:cs="Times New Roman"/>
                <w:b/>
                <w:bCs/>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b/>
                <w:bCs/>
                <w:color w:val="000000" w:themeColor="text1"/>
                <w:sz w:val="24"/>
                <w:highlight w:val="none"/>
                <w14:textFill>
                  <w14:solidFill>
                    <w14:schemeClr w14:val="tx1"/>
                  </w14:solidFill>
                </w14:textFill>
              </w:rPr>
              <w:t>年</w:t>
            </w:r>
            <w:r>
              <w:rPr>
                <w:rFonts w:hint="eastAsia" w:cs="Times New Roman"/>
                <w:b/>
                <w:bCs/>
                <w:color w:val="000000" w:themeColor="text1"/>
                <w:sz w:val="24"/>
                <w:highlight w:val="none"/>
                <w:lang w:val="en-US" w:eastAsia="zh-CN"/>
                <w14:textFill>
                  <w14:solidFill>
                    <w14:schemeClr w14:val="tx1"/>
                  </w14:solidFill>
                </w14:textFill>
              </w:rPr>
              <w:t>1-12</w:t>
            </w:r>
            <w:r>
              <w:rPr>
                <w:rFonts w:hint="default" w:ascii="Times New Roman" w:hAnsi="Times New Roman" w:eastAsia="宋体" w:cs="Times New Roman"/>
                <w:b/>
                <w:bCs/>
                <w:color w:val="000000" w:themeColor="text1"/>
                <w:sz w:val="24"/>
                <w:highlight w:val="none"/>
                <w14:textFill>
                  <w14:solidFill>
                    <w14:schemeClr w14:val="tx1"/>
                  </w14:solidFill>
                </w14:textFill>
              </w:rPr>
              <w:t>月</w:t>
            </w:r>
            <w:r>
              <w:rPr>
                <w:rFonts w:hint="eastAsia" w:cs="Times New Roman"/>
                <w:b/>
                <w:bCs/>
                <w:color w:val="000000" w:themeColor="text1"/>
                <w:sz w:val="24"/>
                <w:highlight w:val="none"/>
                <w:lang w:eastAsia="zh-CN"/>
                <w14:textFill>
                  <w14:solidFill>
                    <w14:schemeClr w14:val="tx1"/>
                  </w14:solidFill>
                </w14:textFill>
              </w:rPr>
              <w:t>均值</w:t>
            </w:r>
            <w:r>
              <w:rPr>
                <w:rFonts w:hint="default" w:ascii="Times New Roman" w:hAnsi="Times New Roman" w:eastAsia="宋体" w:cs="Times New Roman"/>
                <w:b/>
                <w:bCs/>
                <w:color w:val="000000" w:themeColor="text1"/>
                <w:sz w:val="24"/>
                <w:highlight w:val="none"/>
                <w14:textFill>
                  <w14:solidFill>
                    <w14:schemeClr w14:val="tx1"/>
                  </w14:solidFill>
                </w14:textFill>
              </w:rPr>
              <w:t>）  单位（mg/L）</w:t>
            </w:r>
          </w:p>
          <w:tbl>
            <w:tblPr>
              <w:tblStyle w:val="2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9"/>
              <w:gridCol w:w="2142"/>
              <w:gridCol w:w="2142"/>
              <w:gridCol w:w="2142"/>
            </w:tblGrid>
            <w:tr w14:paraId="4B87A31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39" w:type="dxa"/>
                  <w:tcBorders>
                    <w:top w:val="single" w:color="auto" w:sz="8" w:space="0"/>
                    <w:bottom w:val="single" w:color="auto" w:sz="8" w:space="0"/>
                    <w:right w:val="single" w:color="auto" w:sz="4" w:space="0"/>
                  </w:tcBorders>
                  <w:noWrap/>
                  <w:vAlign w:val="center"/>
                </w:tcPr>
                <w:p w14:paraId="096B3BC4">
                  <w:pPr>
                    <w:keepNext w:val="0"/>
                    <w:keepLines w:val="0"/>
                    <w:suppressLineNumbers w:val="0"/>
                    <w:adjustRightInd w:val="0"/>
                    <w:snapToGrid w:val="0"/>
                    <w:spacing w:before="0" w:beforeAutospacing="0" w:after="0" w:afterAutospacing="0"/>
                    <w:ind w:left="0" w:right="0"/>
                    <w:jc w:val="center"/>
                    <w:rPr>
                      <w:rFonts w:hint="default"/>
                      <w:b/>
                      <w:sz w:val="21"/>
                      <w:szCs w:val="21"/>
                      <w:highlight w:val="none"/>
                    </w:rPr>
                  </w:pPr>
                  <w:r>
                    <w:rPr>
                      <w:rFonts w:hint="default" w:hAnsi="宋体"/>
                      <w:b/>
                      <w:sz w:val="21"/>
                      <w:szCs w:val="21"/>
                      <w:highlight w:val="none"/>
                    </w:rPr>
                    <w:t>监测因子</w:t>
                  </w:r>
                </w:p>
              </w:tc>
              <w:tc>
                <w:tcPr>
                  <w:tcW w:w="2142" w:type="dxa"/>
                  <w:tcBorders>
                    <w:top w:val="single" w:color="auto" w:sz="8" w:space="0"/>
                    <w:left w:val="single" w:color="auto" w:sz="4" w:space="0"/>
                    <w:bottom w:val="single" w:color="auto" w:sz="8" w:space="0"/>
                    <w:right w:val="single" w:color="auto" w:sz="4" w:space="0"/>
                  </w:tcBorders>
                  <w:noWrap/>
                  <w:vAlign w:val="center"/>
                </w:tcPr>
                <w:p w14:paraId="0C7150CB">
                  <w:pPr>
                    <w:keepNext w:val="0"/>
                    <w:keepLines w:val="0"/>
                    <w:suppressLineNumbers w:val="0"/>
                    <w:adjustRightInd w:val="0"/>
                    <w:snapToGrid w:val="0"/>
                    <w:spacing w:before="0" w:beforeAutospacing="0" w:after="0" w:afterAutospacing="0"/>
                    <w:ind w:left="0" w:right="0"/>
                    <w:jc w:val="center"/>
                    <w:rPr>
                      <w:rFonts w:hint="default"/>
                      <w:b/>
                      <w:sz w:val="21"/>
                      <w:szCs w:val="21"/>
                      <w:highlight w:val="none"/>
                    </w:rPr>
                  </w:pPr>
                  <w:r>
                    <w:rPr>
                      <w:rFonts w:hint="default"/>
                      <w:b/>
                      <w:sz w:val="21"/>
                      <w:szCs w:val="21"/>
                      <w:highlight w:val="none"/>
                    </w:rPr>
                    <w:t>COD</w:t>
                  </w:r>
                </w:p>
              </w:tc>
              <w:tc>
                <w:tcPr>
                  <w:tcW w:w="2142" w:type="dxa"/>
                  <w:tcBorders>
                    <w:top w:val="single" w:color="auto" w:sz="8" w:space="0"/>
                    <w:left w:val="single" w:color="auto" w:sz="4" w:space="0"/>
                    <w:bottom w:val="single" w:color="auto" w:sz="8" w:space="0"/>
                    <w:right w:val="single" w:color="auto" w:sz="4" w:space="0"/>
                  </w:tcBorders>
                  <w:noWrap/>
                  <w:vAlign w:val="center"/>
                </w:tcPr>
                <w:p w14:paraId="6F846A87">
                  <w:pPr>
                    <w:keepNext w:val="0"/>
                    <w:keepLines w:val="0"/>
                    <w:suppressLineNumbers w:val="0"/>
                    <w:adjustRightInd w:val="0"/>
                    <w:snapToGrid w:val="0"/>
                    <w:spacing w:before="0" w:beforeAutospacing="0" w:after="0" w:afterAutospacing="0"/>
                    <w:ind w:left="0" w:right="0"/>
                    <w:jc w:val="center"/>
                    <w:rPr>
                      <w:rFonts w:hint="default"/>
                      <w:b/>
                      <w:sz w:val="21"/>
                      <w:szCs w:val="21"/>
                      <w:highlight w:val="none"/>
                    </w:rPr>
                  </w:pPr>
                  <w:r>
                    <w:rPr>
                      <w:rFonts w:hint="default"/>
                      <w:b/>
                      <w:sz w:val="21"/>
                      <w:szCs w:val="21"/>
                      <w:highlight w:val="none"/>
                    </w:rPr>
                    <w:t>NH</w:t>
                  </w:r>
                  <w:r>
                    <w:rPr>
                      <w:rFonts w:hint="default"/>
                      <w:b/>
                      <w:sz w:val="21"/>
                      <w:szCs w:val="21"/>
                      <w:highlight w:val="none"/>
                      <w:vertAlign w:val="subscript"/>
                    </w:rPr>
                    <w:t>3</w:t>
                  </w:r>
                  <w:r>
                    <w:rPr>
                      <w:rFonts w:hint="default"/>
                      <w:b/>
                      <w:sz w:val="21"/>
                      <w:szCs w:val="21"/>
                      <w:highlight w:val="none"/>
                    </w:rPr>
                    <w:t>-N</w:t>
                  </w:r>
                </w:p>
              </w:tc>
              <w:tc>
                <w:tcPr>
                  <w:tcW w:w="2142" w:type="dxa"/>
                  <w:tcBorders>
                    <w:top w:val="single" w:color="auto" w:sz="8" w:space="0"/>
                    <w:left w:val="single" w:color="auto" w:sz="4" w:space="0"/>
                    <w:bottom w:val="single" w:color="auto" w:sz="8" w:space="0"/>
                  </w:tcBorders>
                  <w:noWrap/>
                  <w:vAlign w:val="center"/>
                </w:tcPr>
                <w:p w14:paraId="2FF632BD">
                  <w:pPr>
                    <w:keepNext w:val="0"/>
                    <w:keepLines w:val="0"/>
                    <w:suppressLineNumbers w:val="0"/>
                    <w:adjustRightInd w:val="0"/>
                    <w:snapToGrid w:val="0"/>
                    <w:spacing w:before="0" w:beforeAutospacing="0" w:after="0" w:afterAutospacing="0"/>
                    <w:ind w:left="0" w:right="0"/>
                    <w:jc w:val="center"/>
                    <w:rPr>
                      <w:rFonts w:hint="default"/>
                      <w:b/>
                      <w:sz w:val="21"/>
                      <w:szCs w:val="21"/>
                      <w:highlight w:val="none"/>
                    </w:rPr>
                  </w:pPr>
                  <w:r>
                    <w:rPr>
                      <w:rFonts w:hint="default"/>
                      <w:b/>
                      <w:sz w:val="21"/>
                      <w:szCs w:val="21"/>
                      <w:highlight w:val="none"/>
                    </w:rPr>
                    <w:t>TP</w:t>
                  </w:r>
                </w:p>
              </w:tc>
            </w:tr>
            <w:tr w14:paraId="047B60F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39" w:type="dxa"/>
                  <w:tcBorders>
                    <w:top w:val="single" w:color="auto" w:sz="8" w:space="0"/>
                  </w:tcBorders>
                  <w:noWrap/>
                  <w:vAlign w:val="center"/>
                </w:tcPr>
                <w:p w14:paraId="56DEF7EF">
                  <w:pPr>
                    <w:keepNext w:val="0"/>
                    <w:keepLines w:val="0"/>
                    <w:suppressLineNumbers w:val="0"/>
                    <w:adjustRightInd w:val="0"/>
                    <w:snapToGrid w:val="0"/>
                    <w:spacing w:before="0" w:beforeAutospacing="0" w:after="0" w:afterAutospacing="0"/>
                    <w:ind w:left="0" w:right="0"/>
                    <w:jc w:val="center"/>
                    <w:rPr>
                      <w:rFonts w:hint="default"/>
                      <w:sz w:val="21"/>
                      <w:szCs w:val="21"/>
                      <w:highlight w:val="none"/>
                    </w:rPr>
                  </w:pPr>
                  <w:r>
                    <w:rPr>
                      <w:rFonts w:hint="default" w:hAnsi="宋体"/>
                      <w:sz w:val="21"/>
                      <w:szCs w:val="21"/>
                      <w:highlight w:val="none"/>
                    </w:rPr>
                    <w:t>监测数据</w:t>
                  </w:r>
                </w:p>
              </w:tc>
              <w:tc>
                <w:tcPr>
                  <w:tcW w:w="2142" w:type="dxa"/>
                  <w:tcBorders>
                    <w:top w:val="single" w:color="auto" w:sz="8" w:space="0"/>
                  </w:tcBorders>
                  <w:noWrap/>
                  <w:vAlign w:val="center"/>
                </w:tcPr>
                <w:p w14:paraId="7340C903">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z w:val="21"/>
                      <w:szCs w:val="21"/>
                      <w:highlight w:val="none"/>
                      <w:lang w:val="en-US" w:eastAsia="zh-CN"/>
                    </w:rPr>
                  </w:pPr>
                  <w:r>
                    <w:rPr>
                      <w:rFonts w:hint="eastAsia" w:cs="Times New Roman"/>
                      <w:i w:val="0"/>
                      <w:color w:val="000000"/>
                      <w:kern w:val="0"/>
                      <w:sz w:val="21"/>
                      <w:szCs w:val="21"/>
                      <w:highlight w:val="none"/>
                      <w:u w:val="none"/>
                      <w:lang w:val="en-US" w:eastAsia="zh-CN" w:bidi="ar"/>
                    </w:rPr>
                    <w:t>25.4</w:t>
                  </w:r>
                </w:p>
              </w:tc>
              <w:tc>
                <w:tcPr>
                  <w:tcW w:w="2142" w:type="dxa"/>
                  <w:tcBorders>
                    <w:top w:val="single" w:color="auto" w:sz="8" w:space="0"/>
                    <w:right w:val="single" w:color="auto" w:sz="4" w:space="0"/>
                  </w:tcBorders>
                  <w:noWrap/>
                  <w:vAlign w:val="center"/>
                </w:tcPr>
                <w:p w14:paraId="62F37ACF">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z w:val="21"/>
                      <w:szCs w:val="21"/>
                      <w:highlight w:val="none"/>
                      <w:lang w:val="en-US" w:eastAsia="zh-CN"/>
                    </w:rPr>
                  </w:pPr>
                  <w:r>
                    <w:rPr>
                      <w:rFonts w:hint="eastAsia" w:cs="Times New Roman"/>
                      <w:i w:val="0"/>
                      <w:color w:val="000000"/>
                      <w:kern w:val="0"/>
                      <w:sz w:val="21"/>
                      <w:szCs w:val="21"/>
                      <w:highlight w:val="none"/>
                      <w:u w:val="none"/>
                      <w:lang w:val="en-US" w:eastAsia="zh-CN" w:bidi="ar"/>
                    </w:rPr>
                    <w:t>0.5</w:t>
                  </w:r>
                </w:p>
              </w:tc>
              <w:tc>
                <w:tcPr>
                  <w:tcW w:w="2142" w:type="dxa"/>
                  <w:tcBorders>
                    <w:top w:val="single" w:color="auto" w:sz="8" w:space="0"/>
                  </w:tcBorders>
                  <w:noWrap/>
                  <w:vAlign w:val="center"/>
                </w:tcPr>
                <w:p w14:paraId="3CA256FC">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eastAsia="宋体" w:cs="Times New Roman"/>
                      <w:sz w:val="21"/>
                      <w:szCs w:val="21"/>
                      <w:highlight w:val="none"/>
                      <w:lang w:val="en-US" w:eastAsia="zh-CN"/>
                    </w:rPr>
                  </w:pPr>
                  <w:r>
                    <w:rPr>
                      <w:rFonts w:hint="eastAsia" w:cs="Times New Roman"/>
                      <w:i w:val="0"/>
                      <w:color w:val="000000"/>
                      <w:kern w:val="0"/>
                      <w:sz w:val="21"/>
                      <w:szCs w:val="21"/>
                      <w:highlight w:val="none"/>
                      <w:u w:val="none"/>
                      <w:lang w:val="en-US" w:eastAsia="zh-CN" w:bidi="ar"/>
                    </w:rPr>
                    <w:t>0.15</w:t>
                  </w:r>
                </w:p>
              </w:tc>
            </w:tr>
            <w:tr w14:paraId="62325E8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39" w:type="dxa"/>
                  <w:noWrap/>
                  <w:vAlign w:val="center"/>
                </w:tcPr>
                <w:p w14:paraId="13C302D3">
                  <w:pPr>
                    <w:keepNext w:val="0"/>
                    <w:keepLines w:val="0"/>
                    <w:suppressLineNumbers w:val="0"/>
                    <w:adjustRightInd w:val="0"/>
                    <w:snapToGrid w:val="0"/>
                    <w:spacing w:before="0" w:beforeAutospacing="0" w:after="0" w:afterAutospacing="0"/>
                    <w:ind w:left="0" w:right="0"/>
                    <w:jc w:val="center"/>
                    <w:rPr>
                      <w:rFonts w:hint="default"/>
                      <w:sz w:val="21"/>
                      <w:szCs w:val="21"/>
                      <w:highlight w:val="none"/>
                    </w:rPr>
                  </w:pPr>
                  <w:r>
                    <w:rPr>
                      <w:rFonts w:hint="default" w:hAnsi="宋体"/>
                      <w:sz w:val="21"/>
                      <w:szCs w:val="21"/>
                      <w:highlight w:val="none"/>
                    </w:rPr>
                    <w:t>执行标准</w:t>
                  </w:r>
                </w:p>
              </w:tc>
              <w:tc>
                <w:tcPr>
                  <w:tcW w:w="2142" w:type="dxa"/>
                  <w:noWrap/>
                  <w:vAlign w:val="center"/>
                </w:tcPr>
                <w:p w14:paraId="17F252BD">
                  <w:pPr>
                    <w:keepNext w:val="0"/>
                    <w:keepLines w:val="0"/>
                    <w:suppressLineNumbers w:val="0"/>
                    <w:adjustRightInd w:val="0"/>
                    <w:snapToGrid w:val="0"/>
                    <w:spacing w:before="0" w:beforeAutospacing="0" w:after="0" w:afterAutospacing="0"/>
                    <w:ind w:left="0" w:leftChars="0" w:right="0" w:rightChars="0"/>
                    <w:jc w:val="center"/>
                    <w:rPr>
                      <w:rFonts w:hint="default" w:eastAsia="宋体"/>
                      <w:sz w:val="21"/>
                      <w:szCs w:val="21"/>
                      <w:highlight w:val="none"/>
                      <w:lang w:val="en-US" w:eastAsia="zh-CN"/>
                    </w:rPr>
                  </w:pPr>
                  <w:r>
                    <w:rPr>
                      <w:rFonts w:hint="eastAsia"/>
                      <w:sz w:val="21"/>
                      <w:szCs w:val="21"/>
                      <w:lang w:val="en-US" w:eastAsia="zh-CN"/>
                    </w:rPr>
                    <w:t>30</w:t>
                  </w:r>
                </w:p>
              </w:tc>
              <w:tc>
                <w:tcPr>
                  <w:tcW w:w="2142" w:type="dxa"/>
                  <w:tcBorders>
                    <w:right w:val="single" w:color="auto" w:sz="4" w:space="0"/>
                  </w:tcBorders>
                  <w:noWrap/>
                  <w:vAlign w:val="center"/>
                </w:tcPr>
                <w:p w14:paraId="0D2FE7C4">
                  <w:pPr>
                    <w:keepNext w:val="0"/>
                    <w:keepLines w:val="0"/>
                    <w:suppressLineNumbers w:val="0"/>
                    <w:adjustRightInd w:val="0"/>
                    <w:snapToGrid w:val="0"/>
                    <w:spacing w:before="0" w:beforeAutospacing="0" w:after="0" w:afterAutospacing="0"/>
                    <w:ind w:left="0" w:leftChars="0" w:right="0" w:rightChars="0"/>
                    <w:jc w:val="center"/>
                    <w:rPr>
                      <w:rFonts w:hint="default" w:eastAsia="宋体"/>
                      <w:sz w:val="21"/>
                      <w:szCs w:val="21"/>
                      <w:highlight w:val="none"/>
                      <w:lang w:val="en-US" w:eastAsia="zh-CN"/>
                    </w:rPr>
                  </w:pPr>
                  <w:r>
                    <w:rPr>
                      <w:rFonts w:hint="eastAsia"/>
                      <w:sz w:val="21"/>
                      <w:szCs w:val="21"/>
                      <w:lang w:val="en-US" w:eastAsia="zh-CN"/>
                    </w:rPr>
                    <w:t>1.5</w:t>
                  </w:r>
                </w:p>
              </w:tc>
              <w:tc>
                <w:tcPr>
                  <w:tcW w:w="2142" w:type="dxa"/>
                  <w:noWrap/>
                  <w:vAlign w:val="center"/>
                </w:tcPr>
                <w:p w14:paraId="731B2154">
                  <w:pPr>
                    <w:keepNext w:val="0"/>
                    <w:keepLines w:val="0"/>
                    <w:suppressLineNumbers w:val="0"/>
                    <w:adjustRightInd w:val="0"/>
                    <w:snapToGrid w:val="0"/>
                    <w:spacing w:before="0" w:beforeAutospacing="0" w:after="0" w:afterAutospacing="0"/>
                    <w:ind w:left="0" w:leftChars="0" w:right="0" w:rightChars="0"/>
                    <w:jc w:val="center"/>
                    <w:rPr>
                      <w:rFonts w:hint="default" w:eastAsia="宋体"/>
                      <w:sz w:val="21"/>
                      <w:szCs w:val="21"/>
                      <w:highlight w:val="none"/>
                      <w:lang w:val="en-US" w:eastAsia="zh-CN"/>
                    </w:rPr>
                  </w:pPr>
                  <w:r>
                    <w:rPr>
                      <w:rFonts w:hint="eastAsia"/>
                      <w:sz w:val="21"/>
                      <w:szCs w:val="21"/>
                      <w:lang w:val="en-US" w:eastAsia="zh-CN"/>
                    </w:rPr>
                    <w:t>0.3</w:t>
                  </w:r>
                </w:p>
              </w:tc>
            </w:tr>
            <w:tr w14:paraId="796BECA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39" w:type="dxa"/>
                  <w:tcBorders>
                    <w:bottom w:val="single" w:color="auto" w:sz="8" w:space="0"/>
                  </w:tcBorders>
                  <w:noWrap/>
                  <w:vAlign w:val="center"/>
                </w:tcPr>
                <w:p w14:paraId="3BDFC387">
                  <w:pPr>
                    <w:keepNext w:val="0"/>
                    <w:keepLines w:val="0"/>
                    <w:suppressLineNumbers w:val="0"/>
                    <w:adjustRightInd w:val="0"/>
                    <w:snapToGrid w:val="0"/>
                    <w:spacing w:before="0" w:beforeAutospacing="0" w:after="0" w:afterAutospacing="0"/>
                    <w:ind w:left="0" w:right="0"/>
                    <w:jc w:val="center"/>
                    <w:rPr>
                      <w:rFonts w:hint="default"/>
                      <w:sz w:val="21"/>
                      <w:szCs w:val="21"/>
                      <w:highlight w:val="none"/>
                    </w:rPr>
                  </w:pPr>
                  <w:r>
                    <w:rPr>
                      <w:rFonts w:hint="default" w:hAnsi="宋体"/>
                      <w:sz w:val="21"/>
                      <w:szCs w:val="21"/>
                      <w:highlight w:val="none"/>
                    </w:rPr>
                    <w:t>达标情况</w:t>
                  </w:r>
                </w:p>
              </w:tc>
              <w:tc>
                <w:tcPr>
                  <w:tcW w:w="2142" w:type="dxa"/>
                  <w:tcBorders>
                    <w:bottom w:val="single" w:color="auto" w:sz="8" w:space="0"/>
                  </w:tcBorders>
                  <w:noWrap/>
                  <w:vAlign w:val="center"/>
                </w:tcPr>
                <w:p w14:paraId="24EC0B51">
                  <w:pPr>
                    <w:keepNext w:val="0"/>
                    <w:keepLines w:val="0"/>
                    <w:suppressLineNumbers w:val="0"/>
                    <w:adjustRightInd w:val="0"/>
                    <w:snapToGrid w:val="0"/>
                    <w:spacing w:before="0" w:beforeAutospacing="0" w:after="0" w:afterAutospacing="0"/>
                    <w:ind w:left="0" w:right="0"/>
                    <w:jc w:val="center"/>
                    <w:rPr>
                      <w:rFonts w:hint="default" w:eastAsia="宋体"/>
                      <w:sz w:val="21"/>
                      <w:szCs w:val="21"/>
                      <w:highlight w:val="none"/>
                      <w:lang w:val="en-US" w:eastAsia="zh-CN"/>
                    </w:rPr>
                  </w:pPr>
                  <w:r>
                    <w:rPr>
                      <w:rFonts w:hint="eastAsia" w:hAnsi="宋体"/>
                      <w:sz w:val="21"/>
                      <w:szCs w:val="21"/>
                      <w:highlight w:val="none"/>
                      <w:lang w:val="en-US" w:eastAsia="zh-CN"/>
                    </w:rPr>
                    <w:t>达标</w:t>
                  </w:r>
                </w:p>
              </w:tc>
              <w:tc>
                <w:tcPr>
                  <w:tcW w:w="2142" w:type="dxa"/>
                  <w:tcBorders>
                    <w:bottom w:val="single" w:color="auto" w:sz="8" w:space="0"/>
                    <w:right w:val="single" w:color="auto" w:sz="4" w:space="0"/>
                  </w:tcBorders>
                  <w:noWrap/>
                  <w:vAlign w:val="center"/>
                </w:tcPr>
                <w:p w14:paraId="39A21E1E">
                  <w:pPr>
                    <w:keepNext w:val="0"/>
                    <w:keepLines w:val="0"/>
                    <w:suppressLineNumbers w:val="0"/>
                    <w:adjustRightInd w:val="0"/>
                    <w:snapToGrid w:val="0"/>
                    <w:spacing w:before="0" w:beforeAutospacing="0" w:after="0" w:afterAutospacing="0"/>
                    <w:ind w:left="0" w:right="0"/>
                    <w:jc w:val="center"/>
                    <w:rPr>
                      <w:rFonts w:hint="eastAsia" w:eastAsia="宋体"/>
                      <w:sz w:val="21"/>
                      <w:szCs w:val="21"/>
                      <w:highlight w:val="none"/>
                      <w:lang w:eastAsia="zh-CN"/>
                    </w:rPr>
                  </w:pPr>
                  <w:r>
                    <w:rPr>
                      <w:rFonts w:hint="eastAsia" w:hAnsi="宋体"/>
                      <w:sz w:val="21"/>
                      <w:szCs w:val="21"/>
                      <w:highlight w:val="none"/>
                      <w:lang w:val="en-US" w:eastAsia="zh-CN"/>
                    </w:rPr>
                    <w:t>达标</w:t>
                  </w:r>
                </w:p>
              </w:tc>
              <w:tc>
                <w:tcPr>
                  <w:tcW w:w="2142" w:type="dxa"/>
                  <w:tcBorders>
                    <w:bottom w:val="single" w:color="auto" w:sz="8" w:space="0"/>
                  </w:tcBorders>
                  <w:noWrap/>
                  <w:vAlign w:val="center"/>
                </w:tcPr>
                <w:p w14:paraId="075C9CBC">
                  <w:pPr>
                    <w:keepNext w:val="0"/>
                    <w:keepLines w:val="0"/>
                    <w:suppressLineNumbers w:val="0"/>
                    <w:adjustRightInd w:val="0"/>
                    <w:snapToGrid w:val="0"/>
                    <w:spacing w:before="0" w:beforeAutospacing="0" w:after="0" w:afterAutospacing="0"/>
                    <w:ind w:left="0" w:right="0"/>
                    <w:jc w:val="center"/>
                    <w:rPr>
                      <w:rFonts w:hint="eastAsia" w:eastAsia="宋体"/>
                      <w:sz w:val="21"/>
                      <w:szCs w:val="21"/>
                      <w:highlight w:val="none"/>
                      <w:lang w:eastAsia="zh-CN"/>
                    </w:rPr>
                  </w:pPr>
                  <w:r>
                    <w:rPr>
                      <w:rFonts w:hint="eastAsia" w:hAnsi="宋体"/>
                      <w:sz w:val="21"/>
                      <w:szCs w:val="21"/>
                      <w:highlight w:val="none"/>
                      <w:lang w:val="en-US" w:eastAsia="zh-CN"/>
                    </w:rPr>
                    <w:t>达标</w:t>
                  </w:r>
                </w:p>
              </w:tc>
            </w:tr>
          </w:tbl>
          <w:p w14:paraId="37B6375E">
            <w:pPr>
              <w:keepNext w:val="0"/>
              <w:keepLines w:val="0"/>
              <w:suppressLineNumbers w:val="0"/>
              <w:adjustRightInd w:val="0"/>
              <w:snapToGrid w:val="0"/>
              <w:spacing w:before="0" w:beforeAutospacing="0" w:after="0" w:afterAutospacing="0" w:line="440" w:lineRule="exact"/>
              <w:ind w:left="0" w:right="0" w:firstLine="480" w:firstLineChars="200"/>
              <w:jc w:val="both"/>
              <w:rPr>
                <w:rFonts w:hint="default" w:ascii="Times New Roman" w:hAnsi="Times New Roman" w:eastAsia="宋体" w:cs="Times New Roman"/>
                <w:color w:val="000000"/>
                <w:sz w:val="24"/>
                <w:highlight w:val="none"/>
              </w:rPr>
            </w:pPr>
            <w:r>
              <w:rPr>
                <w:rFonts w:hint="default" w:ascii="Times New Roman" w:hAnsi="Times New Roman" w:eastAsia="宋体" w:cs="Times New Roman"/>
                <w:color w:val="000000"/>
                <w:sz w:val="24"/>
              </w:rPr>
              <w:t>由上</w:t>
            </w:r>
            <w:r>
              <w:rPr>
                <w:rFonts w:hint="default" w:ascii="Times New Roman" w:hAnsi="Times New Roman" w:eastAsia="宋体" w:cs="Times New Roman"/>
                <w:color w:val="auto"/>
                <w:sz w:val="24"/>
              </w:rPr>
              <w:t>表可知，202</w:t>
            </w:r>
            <w:r>
              <w:rPr>
                <w:rFonts w:hint="eastAsia" w:cs="Times New Roman"/>
                <w:color w:val="auto"/>
                <w:sz w:val="24"/>
                <w:lang w:val="en-US" w:eastAsia="zh-CN"/>
              </w:rPr>
              <w:t>4</w:t>
            </w:r>
            <w:r>
              <w:rPr>
                <w:rFonts w:hint="default" w:ascii="Times New Roman" w:hAnsi="Times New Roman" w:eastAsia="宋体" w:cs="Times New Roman"/>
                <w:color w:val="auto"/>
                <w:sz w:val="24"/>
              </w:rPr>
              <w:t>年</w:t>
            </w:r>
            <w:r>
              <w:rPr>
                <w:rFonts w:hint="eastAsia" w:cs="Times New Roman"/>
                <w:color w:val="auto"/>
                <w:sz w:val="24"/>
                <w:lang w:val="en-US" w:eastAsia="zh-CN"/>
              </w:rPr>
              <w:t>1-12</w:t>
            </w:r>
            <w:r>
              <w:rPr>
                <w:rFonts w:hint="default" w:ascii="Times New Roman" w:hAnsi="Times New Roman" w:eastAsia="宋体" w:cs="Times New Roman"/>
                <w:color w:val="auto"/>
                <w:sz w:val="24"/>
              </w:rPr>
              <w:t>月</w:t>
            </w:r>
            <w:r>
              <w:rPr>
                <w:rFonts w:hint="eastAsia" w:cs="Times New Roman"/>
                <w:color w:val="auto"/>
                <w:sz w:val="24"/>
                <w:lang w:val="en-US" w:eastAsia="zh-CN"/>
              </w:rPr>
              <w:t>东</w:t>
            </w:r>
            <w:r>
              <w:rPr>
                <w:rFonts w:hint="eastAsia"/>
                <w:color w:val="auto"/>
                <w:sz w:val="24"/>
                <w:highlight w:val="none"/>
                <w:lang w:val="en-US" w:eastAsia="zh-CN"/>
              </w:rPr>
              <w:t>孟姜女河南环桥</w:t>
            </w:r>
            <w:r>
              <w:rPr>
                <w:rFonts w:hint="default" w:ascii="Times New Roman" w:hAnsi="Times New Roman" w:eastAsia="宋体" w:cs="Times New Roman"/>
                <w:color w:val="auto"/>
                <w:sz w:val="24"/>
              </w:rPr>
              <w:t>断面</w:t>
            </w:r>
            <w:r>
              <w:rPr>
                <w:rFonts w:hint="eastAsia" w:cs="Times New Roman"/>
                <w:color w:val="auto"/>
                <w:sz w:val="24"/>
                <w:lang w:val="en-US" w:eastAsia="zh-CN"/>
              </w:rPr>
              <w:t>监测</w:t>
            </w:r>
            <w:r>
              <w:rPr>
                <w:rFonts w:hint="default" w:ascii="Times New Roman" w:hAnsi="Times New Roman" w:eastAsia="宋体" w:cs="Times New Roman"/>
                <w:color w:val="auto"/>
                <w:sz w:val="24"/>
              </w:rPr>
              <w:t>数据COD</w:t>
            </w:r>
            <w:r>
              <w:rPr>
                <w:rFonts w:hint="eastAsia" w:cs="Times New Roman"/>
                <w:color w:val="auto"/>
                <w:sz w:val="24"/>
                <w:lang w:eastAsia="zh-CN"/>
              </w:rPr>
              <w:t>、</w:t>
            </w:r>
            <w:r>
              <w:rPr>
                <w:rFonts w:hint="default" w:ascii="Times New Roman" w:hAnsi="Times New Roman" w:eastAsia="宋体" w:cs="Times New Roman"/>
                <w:color w:val="auto"/>
                <w:sz w:val="24"/>
              </w:rPr>
              <w:t>NH</w:t>
            </w:r>
            <w:r>
              <w:rPr>
                <w:rFonts w:hint="default" w:ascii="Times New Roman" w:hAnsi="Times New Roman" w:eastAsia="宋体" w:cs="Times New Roman"/>
                <w:color w:val="auto"/>
                <w:sz w:val="24"/>
                <w:vertAlign w:val="subscript"/>
              </w:rPr>
              <w:t>3</w:t>
            </w:r>
            <w:r>
              <w:rPr>
                <w:rFonts w:hint="default" w:ascii="Times New Roman" w:hAnsi="Times New Roman" w:eastAsia="宋体" w:cs="Times New Roman"/>
                <w:color w:val="auto"/>
                <w:sz w:val="24"/>
              </w:rPr>
              <w:t>-N、TP均</w:t>
            </w:r>
            <w:r>
              <w:rPr>
                <w:rFonts w:hint="eastAsia" w:cs="Times New Roman"/>
                <w:color w:val="auto"/>
                <w:sz w:val="24"/>
                <w:lang w:val="en-US" w:eastAsia="zh-CN"/>
              </w:rPr>
              <w:t>达标</w:t>
            </w:r>
            <w:r>
              <w:rPr>
                <w:rFonts w:hint="default" w:ascii="Times New Roman" w:hAnsi="Times New Roman" w:eastAsia="宋体" w:cs="Times New Roman"/>
                <w:color w:val="auto"/>
                <w:sz w:val="24"/>
              </w:rPr>
              <w:t>。</w:t>
            </w:r>
            <w:r>
              <w:rPr>
                <w:rFonts w:hint="eastAsia"/>
                <w:color w:val="auto"/>
                <w:sz w:val="24"/>
                <w:highlight w:val="none"/>
              </w:rPr>
              <w:t>依据新乡市生态环境</w:t>
            </w:r>
            <w:r>
              <w:rPr>
                <w:rFonts w:hint="eastAsia"/>
                <w:color w:val="auto"/>
                <w:sz w:val="24"/>
                <w:highlight w:val="none"/>
                <w:lang w:val="en-US" w:eastAsia="zh-CN"/>
              </w:rPr>
              <w:t>局</w:t>
            </w:r>
            <w:r>
              <w:rPr>
                <w:rFonts w:hint="eastAsia"/>
                <w:color w:val="auto"/>
                <w:sz w:val="24"/>
                <w:highlight w:val="none"/>
              </w:rPr>
              <w:t>关于</w:t>
            </w:r>
            <w:r>
              <w:rPr>
                <w:rFonts w:hint="eastAsia" w:cs="Times New Roman"/>
                <w:color w:val="auto"/>
                <w:sz w:val="24"/>
                <w:szCs w:val="24"/>
                <w:highlight w:val="none"/>
                <w:lang w:val="en-US" w:eastAsia="zh-CN"/>
              </w:rPr>
              <w:t>印发</w:t>
            </w:r>
            <w:r>
              <w:rPr>
                <w:rFonts w:hint="default" w:ascii="Times New Roman" w:hAnsi="Times New Roman" w:eastAsia="宋体" w:cs="Times New Roman"/>
                <w:color w:val="auto"/>
                <w:sz w:val="24"/>
                <w:szCs w:val="24"/>
                <w:highlight w:val="none"/>
                <w:lang w:val="en-US" w:eastAsia="zh-CN"/>
              </w:rPr>
              <w:t>《202</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年地表水环境质量目标》的函</w:t>
            </w:r>
            <w:r>
              <w:rPr>
                <w:rFonts w:hint="eastAsia"/>
                <w:color w:val="auto"/>
                <w:sz w:val="24"/>
                <w:highlight w:val="none"/>
              </w:rPr>
              <w:t>，</w:t>
            </w:r>
            <w:r>
              <w:rPr>
                <w:rFonts w:hint="eastAsia"/>
                <w:color w:val="auto"/>
                <w:sz w:val="24"/>
                <w:highlight w:val="none"/>
                <w:lang w:val="en-US" w:eastAsia="zh-CN"/>
              </w:rPr>
              <w:t>目前</w:t>
            </w:r>
            <w:r>
              <w:rPr>
                <w:rFonts w:hint="eastAsia"/>
                <w:color w:val="auto"/>
                <w:sz w:val="24"/>
                <w:highlight w:val="none"/>
                <w:lang w:eastAsia="zh-CN"/>
              </w:rPr>
              <w:t>东孟姜女河</w:t>
            </w:r>
            <w:r>
              <w:rPr>
                <w:rFonts w:hint="eastAsia"/>
                <w:color w:val="auto"/>
                <w:sz w:val="24"/>
                <w:highlight w:val="none"/>
                <w:lang w:val="en-US" w:eastAsia="zh-CN"/>
              </w:rPr>
              <w:t>水体功能类别为</w:t>
            </w:r>
            <w:r>
              <w:rPr>
                <w:rFonts w:hint="default" w:ascii="Times New Roman" w:hAnsi="Times New Roman" w:eastAsia="微软雅黑" w:cs="Times New Roman"/>
                <w:color w:val="auto"/>
                <w:sz w:val="24"/>
                <w:highlight w:val="none"/>
                <w:lang w:val="en-US" w:eastAsia="zh-CN"/>
              </w:rPr>
              <w:t>Ⅲ</w:t>
            </w:r>
            <w:r>
              <w:rPr>
                <w:rFonts w:hint="eastAsia"/>
                <w:color w:val="auto"/>
                <w:sz w:val="24"/>
                <w:highlight w:val="none"/>
              </w:rPr>
              <w:t>类</w:t>
            </w:r>
            <w:r>
              <w:rPr>
                <w:rFonts w:hint="eastAsia"/>
                <w:color w:val="auto"/>
                <w:sz w:val="24"/>
                <w:highlight w:val="none"/>
                <w:lang w:eastAsia="zh-CN"/>
              </w:rPr>
              <w:t>。</w:t>
            </w:r>
            <w:r>
              <w:rPr>
                <w:rFonts w:hint="default" w:ascii="Times New Roman" w:hAnsi="Times New Roman" w:eastAsia="宋体" w:cs="Times New Roman"/>
                <w:color w:val="auto"/>
                <w:sz w:val="24"/>
              </w:rPr>
              <w:t>目前新乡市正在推</w:t>
            </w:r>
            <w:r>
              <w:rPr>
                <w:rFonts w:hint="default" w:ascii="Times New Roman" w:hAnsi="Times New Roman" w:eastAsia="宋体" w:cs="Times New Roman"/>
                <w:color w:val="000000" w:themeColor="text1"/>
                <w:sz w:val="24"/>
                <w14:textFill>
                  <w14:solidFill>
                    <w14:schemeClr w14:val="tx1"/>
                  </w14:solidFill>
                </w14:textFill>
              </w:rPr>
              <w:t>进实施</w:t>
            </w:r>
            <w:r>
              <w:rPr>
                <w:rFonts w:hint="default" w:hAnsi="宋体"/>
                <w:color w:val="000000" w:themeColor="text1"/>
                <w:kern w:val="0"/>
                <w:sz w:val="24"/>
                <w14:textFill>
                  <w14:solidFill>
                    <w14:schemeClr w14:val="tx1"/>
                  </w14:solidFill>
                </w14:textFill>
              </w:rPr>
              <w:t>《新乡市</w:t>
            </w:r>
            <w:r>
              <w:rPr>
                <w:rFonts w:hint="default" w:hAnsi="宋体"/>
                <w:color w:val="000000" w:themeColor="text1"/>
                <w:kern w:val="0"/>
                <w:sz w:val="24"/>
                <w:lang w:val="en-US" w:eastAsia="zh-CN"/>
                <w14:textFill>
                  <w14:solidFill>
                    <w14:schemeClr w14:val="tx1"/>
                  </w14:solidFill>
                </w14:textFill>
              </w:rPr>
              <w:t>202</w:t>
            </w:r>
            <w:r>
              <w:rPr>
                <w:rFonts w:hint="eastAsia" w:hAnsi="宋体"/>
                <w:color w:val="000000" w:themeColor="text1"/>
                <w:kern w:val="0"/>
                <w:sz w:val="24"/>
                <w:lang w:val="en-US" w:eastAsia="zh-CN"/>
                <w14:textFill>
                  <w14:solidFill>
                    <w14:schemeClr w14:val="tx1"/>
                  </w14:solidFill>
                </w14:textFill>
              </w:rPr>
              <w:t>5</w:t>
            </w:r>
            <w:r>
              <w:rPr>
                <w:rFonts w:hint="default" w:hAnsi="宋体"/>
                <w:color w:val="000000" w:themeColor="text1"/>
                <w:kern w:val="0"/>
                <w:sz w:val="24"/>
                <w14:textFill>
                  <w14:solidFill>
                    <w14:schemeClr w14:val="tx1"/>
                  </w14:solidFill>
                </w14:textFill>
              </w:rPr>
              <w:t>年碧水保卫战实施方案》</w:t>
            </w:r>
            <w:r>
              <w:rPr>
                <w:rFonts w:hint="default" w:ascii="Times New Roman" w:hAnsi="Times New Roman" w:eastAsia="宋体" w:cs="Times New Roman"/>
                <w:color w:val="000000" w:themeColor="text1"/>
                <w:sz w:val="24"/>
                <w14:textFill>
                  <w14:solidFill>
                    <w14:schemeClr w14:val="tx1"/>
                  </w14:solidFill>
                </w14:textFill>
              </w:rPr>
              <w:t>，将继续改善新乡市水环境质量</w:t>
            </w:r>
            <w:r>
              <w:rPr>
                <w:rFonts w:hint="default" w:ascii="Times New Roman" w:hAnsi="Times New Roman" w:eastAsia="宋体" w:cs="Times New Roman"/>
                <w:color w:val="000000" w:themeColor="text1"/>
                <w:sz w:val="24"/>
                <w:highlight w:val="none"/>
                <w14:textFill>
                  <w14:solidFill>
                    <w14:schemeClr w14:val="tx1"/>
                  </w14:solidFill>
                </w14:textFill>
              </w:rPr>
              <w:t>。</w:t>
            </w:r>
          </w:p>
          <w:p w14:paraId="43EC13BC">
            <w:pPr>
              <w:keepNext w:val="0"/>
              <w:keepLines w:val="0"/>
              <w:suppressLineNumbers w:val="0"/>
              <w:adjustRightInd w:val="0"/>
              <w:snapToGrid w:val="0"/>
              <w:spacing w:before="0" w:beforeAutospacing="0" w:after="0" w:afterAutospacing="0" w:line="440" w:lineRule="exact"/>
              <w:ind w:left="0" w:right="0" w:firstLine="479" w:firstLineChars="199"/>
              <w:jc w:val="left"/>
              <w:rPr>
                <w:rFonts w:hint="eastAsia" w:eastAsia="宋体"/>
                <w:b/>
                <w:color w:val="auto"/>
                <w:sz w:val="24"/>
                <w:lang w:val="en-US" w:eastAsia="zh-CN"/>
              </w:rPr>
            </w:pPr>
            <w:r>
              <w:rPr>
                <w:rFonts w:hint="eastAsia"/>
                <w:b/>
                <w:color w:val="auto"/>
                <w:sz w:val="24"/>
              </w:rPr>
              <w:t>3</w:t>
            </w:r>
            <w:r>
              <w:rPr>
                <w:rFonts w:hint="default"/>
                <w:b/>
                <w:color w:val="auto"/>
                <w:sz w:val="24"/>
              </w:rPr>
              <w:t>、声环境</w:t>
            </w:r>
            <w:r>
              <w:rPr>
                <w:rFonts w:hint="eastAsia"/>
                <w:b/>
                <w:color w:val="auto"/>
                <w:sz w:val="24"/>
                <w:lang w:val="en-US" w:eastAsia="zh-CN"/>
              </w:rPr>
              <w:t>现状</w:t>
            </w:r>
          </w:p>
          <w:p w14:paraId="0BE5E9C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ascii="Times New Roman" w:hAnsi="Times New Roman" w:eastAsia="宋体" w:cs="Times New Roman"/>
                <w:color w:val="000000"/>
                <w:sz w:val="24"/>
                <w:highlight w:val="none"/>
                <w:lang w:val="pt-BR" w:eastAsia="zh-CN"/>
              </w:rPr>
            </w:pPr>
            <w:r>
              <w:rPr>
                <w:rFonts w:hint="eastAsia" w:ascii="Times New Roman" w:hAnsi="Times New Roman" w:eastAsia="宋体" w:cs="Times New Roman"/>
                <w:color w:val="000000"/>
                <w:sz w:val="24"/>
                <w:highlight w:val="none"/>
                <w:lang w:val="pt-BR"/>
              </w:rPr>
              <w:t>根据《建设项目环境影响报告表编制技术指南（污染影响类）（试行）》，本项目厂界外周边50米范围内不存在声环境保护目标，因此不进行声环境质量现状调查</w:t>
            </w:r>
            <w:r>
              <w:rPr>
                <w:rFonts w:hint="eastAsia" w:ascii="Times New Roman" w:hAnsi="Times New Roman" w:eastAsia="宋体" w:cs="Times New Roman"/>
                <w:color w:val="000000"/>
                <w:sz w:val="24"/>
                <w:highlight w:val="none"/>
                <w:lang w:val="pt-BR" w:eastAsia="zh-CN"/>
              </w:rPr>
              <w:t>。</w:t>
            </w:r>
          </w:p>
          <w:p w14:paraId="33C3D7B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eastAsia"/>
                <w:lang w:val="en-US" w:eastAsia="zh-CN"/>
              </w:rPr>
            </w:pPr>
            <w:r>
              <w:rPr>
                <w:rFonts w:hint="default" w:ascii="Times New Roman" w:hAnsi="Times New Roman" w:eastAsia="宋体" w:cs="Times New Roman"/>
                <w:b/>
                <w:bCs/>
                <w:sz w:val="24"/>
                <w:szCs w:val="24"/>
                <w:lang w:val="en-US" w:eastAsia="zh-CN"/>
              </w:rPr>
              <w:t>4</w:t>
            </w:r>
            <w:r>
              <w:rPr>
                <w:rFonts w:hint="eastAsia" w:ascii="宋体" w:hAnsi="宋体" w:eastAsia="宋体" w:cs="宋体"/>
                <w:b/>
                <w:bCs/>
                <w:sz w:val="24"/>
                <w:szCs w:val="24"/>
                <w:lang w:val="en-US" w:eastAsia="zh-CN"/>
              </w:rPr>
              <w:t>、生态环境</w:t>
            </w:r>
          </w:p>
          <w:p w14:paraId="4E6AAFE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eastAsia="宋体"/>
                <w:color w:val="000000" w:themeColor="text1"/>
                <w:sz w:val="24"/>
                <w:lang w:eastAsia="zh-CN"/>
                <w14:textFill>
                  <w14:solidFill>
                    <w14:schemeClr w14:val="tx1"/>
                  </w14:solidFill>
                </w14:textFill>
              </w:rPr>
            </w:pPr>
            <w:r>
              <w:rPr>
                <w:rFonts w:hint="default"/>
                <w:color w:val="000000" w:themeColor="text1"/>
                <w:sz w:val="24"/>
                <w14:textFill>
                  <w14:solidFill>
                    <w14:schemeClr w14:val="tx1"/>
                  </w14:solidFill>
                </w14:textFill>
              </w:rPr>
              <w:t>根据现场调查，本项目位于</w:t>
            </w:r>
            <w:r>
              <w:rPr>
                <w:rFonts w:hint="eastAsia" w:ascii="宋体" w:hAnsi="宋体" w:cs="宋体"/>
                <w:color w:val="auto"/>
                <w:sz w:val="24"/>
                <w:szCs w:val="24"/>
                <w:lang w:val="en-US" w:eastAsia="zh-CN"/>
              </w:rPr>
              <w:t>河南省新乡市新乡县七里营镇南位</w:t>
            </w:r>
            <w:r>
              <w:rPr>
                <w:rFonts w:hint="default" w:ascii="Times New Roman" w:hAnsi="Times New Roman" w:cs="Times New Roman"/>
                <w:color w:val="auto"/>
                <w:sz w:val="24"/>
                <w:szCs w:val="24"/>
                <w:lang w:val="en-US" w:eastAsia="zh-CN"/>
              </w:rPr>
              <w:t>庄村工业路698号</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bCs/>
                <w:color w:val="000000" w:themeColor="text1"/>
                <w:sz w:val="24"/>
                <w14:textFill>
                  <w14:solidFill>
                    <w14:schemeClr w14:val="tx1"/>
                  </w14:solidFill>
                </w14:textFill>
              </w:rPr>
              <w:t>项目</w:t>
            </w:r>
            <w:r>
              <w:rPr>
                <w:rFonts w:hint="default" w:ascii="Times New Roman" w:hAnsi="Times New Roman" w:cs="Times New Roman"/>
                <w:color w:val="000000" w:themeColor="text1"/>
                <w:sz w:val="24"/>
                <w14:textFill>
                  <w14:solidFill>
                    <w14:schemeClr w14:val="tx1"/>
                  </w14:solidFill>
                </w14:textFill>
              </w:rPr>
              <w:t>周围500m范围内无重点保护的野生动植物、风景名胜区、自然保</w:t>
            </w:r>
            <w:r>
              <w:rPr>
                <w:rFonts w:hint="default"/>
                <w:color w:val="000000" w:themeColor="text1"/>
                <w:sz w:val="24"/>
                <w14:textFill>
                  <w14:solidFill>
                    <w14:schemeClr w14:val="tx1"/>
                  </w14:solidFill>
                </w14:textFill>
              </w:rPr>
              <w:t>护区及文化遗产等特殊保护目标</w:t>
            </w:r>
            <w:r>
              <w:rPr>
                <w:rFonts w:hint="eastAsia"/>
                <w:color w:val="000000" w:themeColor="text1"/>
                <w:sz w:val="24"/>
                <w:lang w:eastAsia="zh-CN"/>
                <w14:textFill>
                  <w14:solidFill>
                    <w14:schemeClr w14:val="tx1"/>
                  </w14:solidFill>
                </w14:textFill>
              </w:rPr>
              <w:t>。</w:t>
            </w:r>
          </w:p>
          <w:p w14:paraId="04F69175">
            <w:pPr>
              <w:keepNext w:val="0"/>
              <w:keepLines w:val="0"/>
              <w:suppressLineNumbers w:val="0"/>
              <w:spacing w:before="0" w:beforeAutospacing="0" w:after="0" w:afterAutospacing="0" w:line="440" w:lineRule="exact"/>
              <w:ind w:left="0" w:right="0" w:firstLine="482" w:firstLineChars="200"/>
              <w:rPr>
                <w:rFonts w:hint="eastAsia"/>
                <w:b/>
                <w:bCs/>
                <w:color w:val="auto"/>
                <w:sz w:val="24"/>
                <w:lang w:val="en-US" w:eastAsia="zh-CN"/>
              </w:rPr>
            </w:pPr>
            <w:r>
              <w:rPr>
                <w:rFonts w:hint="eastAsia"/>
                <w:b/>
                <w:bCs/>
                <w:color w:val="auto"/>
                <w:sz w:val="24"/>
                <w:lang w:val="en-US" w:eastAsia="zh-CN"/>
              </w:rPr>
              <w:t>5、地下水、土壤质量现状</w:t>
            </w:r>
          </w:p>
          <w:p w14:paraId="63CEDE6A">
            <w:pPr>
              <w:keepNext w:val="0"/>
              <w:keepLines w:val="0"/>
              <w:suppressLineNumbers w:val="0"/>
              <w:spacing w:before="0" w:beforeAutospacing="0" w:after="0" w:afterAutospacing="0" w:line="440" w:lineRule="exact"/>
              <w:ind w:left="0" w:right="0"/>
              <w:rPr>
                <w:rFonts w:hint="default"/>
                <w:lang w:val="en-US" w:eastAsia="zh-CN"/>
              </w:rPr>
            </w:pPr>
            <w:r>
              <w:rPr>
                <w:rFonts w:hint="eastAsia"/>
                <w:lang w:val="en-US" w:eastAsia="zh-CN"/>
              </w:rPr>
              <w:t xml:space="preserve">    </w:t>
            </w:r>
            <w:r>
              <w:rPr>
                <w:rFonts w:hint="default"/>
                <w:color w:val="auto"/>
                <w:sz w:val="24"/>
              </w:rPr>
              <w:t>根据《建设项目环境影响报告表编制技术指南（污染影响类）》（试行）中要求：</w:t>
            </w:r>
            <w:r>
              <w:rPr>
                <w:rFonts w:hint="eastAsia" w:ascii="宋体" w:hAnsi="宋体" w:eastAsia="宋体" w:cs="宋体"/>
                <w:color w:val="auto"/>
                <w:sz w:val="24"/>
              </w:rPr>
              <w:t>“</w:t>
            </w:r>
            <w:r>
              <w:rPr>
                <w:rFonts w:hint="default"/>
                <w:color w:val="auto"/>
                <w:sz w:val="24"/>
              </w:rPr>
              <w:t>原则上不开展地下水、土壤环境质量现状调查</w:t>
            </w:r>
            <w:r>
              <w:rPr>
                <w:rFonts w:hint="eastAsia" w:ascii="宋体" w:hAnsi="宋体" w:eastAsia="宋体" w:cs="宋体"/>
                <w:color w:val="auto"/>
                <w:sz w:val="24"/>
              </w:rPr>
              <w:t>”</w:t>
            </w:r>
            <w:r>
              <w:rPr>
                <w:rFonts w:hint="default"/>
                <w:color w:val="auto"/>
                <w:sz w:val="24"/>
              </w:rPr>
              <w:t>，结合本项目厂址所在区域，经调查周边无饮用水井，且项目用地范围内均进行硬化，不存在土壤污染途径，因此，本次评价不对地下水、土壤环境进行现状调查</w:t>
            </w:r>
            <w:r>
              <w:rPr>
                <w:rFonts w:hint="eastAsia"/>
                <w:lang w:val="en-US" w:eastAsia="zh-CN"/>
              </w:rPr>
              <w:t>。</w:t>
            </w:r>
          </w:p>
        </w:tc>
      </w:tr>
      <w:tr w14:paraId="20CC73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858" w:type="dxa"/>
            <w:noWrap w:val="0"/>
            <w:vAlign w:val="center"/>
          </w:tcPr>
          <w:p w14:paraId="743F29E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环境</w:t>
            </w:r>
          </w:p>
          <w:p w14:paraId="25A7F2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保护</w:t>
            </w:r>
          </w:p>
          <w:p w14:paraId="5EFD91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目标</w:t>
            </w:r>
          </w:p>
        </w:tc>
        <w:tc>
          <w:tcPr>
            <w:tcW w:w="8781" w:type="dxa"/>
            <w:noWrap w:val="0"/>
            <w:vAlign w:val="top"/>
          </w:tcPr>
          <w:p w14:paraId="3DC5DB55">
            <w:pPr>
              <w:keepNext w:val="0"/>
              <w:keepLines w:val="0"/>
              <w:pageBreakBefore w:val="0"/>
              <w:widowControl w:val="0"/>
              <w:suppressLineNumbers w:val="0"/>
              <w:tabs>
                <w:tab w:val="left" w:pos="3230"/>
              </w:tabs>
              <w:kinsoku/>
              <w:wordWrap/>
              <w:overflowPunct/>
              <w:topLinePunct w:val="0"/>
              <w:autoSpaceDE/>
              <w:autoSpaceDN/>
              <w:bidi w:val="0"/>
              <w:adjustRightInd w:val="0"/>
              <w:snapToGrid w:val="0"/>
              <w:spacing w:before="0" w:beforeAutospacing="0" w:after="0" w:afterAutospacing="0" w:line="320" w:lineRule="exact"/>
              <w:ind w:left="0" w:right="0"/>
              <w:textAlignment w:val="auto"/>
              <w:rPr>
                <w:rFonts w:hint="default"/>
                <w:sz w:val="24"/>
              </w:rPr>
            </w:pPr>
            <w:r>
              <w:rPr>
                <w:rFonts w:hint="eastAsia"/>
                <w:sz w:val="24"/>
              </w:rPr>
              <w:t>本项目周围主要环境保护目标见下表。</w:t>
            </w:r>
          </w:p>
          <w:p w14:paraId="1991EFE8">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jc w:val="center"/>
              <w:textAlignment w:val="auto"/>
              <w:rPr>
                <w:rFonts w:hint="default" w:ascii="宋体" w:hAnsi="宋体"/>
                <w:b/>
                <w:color w:val="000000" w:themeColor="text1"/>
                <w:sz w:val="24"/>
                <w14:textFill>
                  <w14:solidFill>
                    <w14:schemeClr w14:val="tx1"/>
                  </w14:solidFill>
                </w14:textFill>
              </w:rPr>
            </w:pPr>
            <w:r>
              <w:rPr>
                <w:rFonts w:hint="default" w:ascii="Times New Roman" w:hAnsi="Times New Roman" w:cs="Times New Roman"/>
                <w:b/>
                <w:color w:val="000000" w:themeColor="text1"/>
                <w:sz w:val="24"/>
                <w14:textFill>
                  <w14:solidFill>
                    <w14:schemeClr w14:val="tx1"/>
                  </w14:solidFill>
                </w14:textFill>
              </w:rPr>
              <w:t>表</w:t>
            </w:r>
            <w:r>
              <w:rPr>
                <w:rFonts w:hint="eastAsia" w:cs="Times New Roman"/>
                <w:b/>
                <w:color w:val="000000" w:themeColor="text1"/>
                <w:sz w:val="24"/>
                <w:lang w:val="en-US" w:eastAsia="zh-CN"/>
                <w14:textFill>
                  <w14:solidFill>
                    <w14:schemeClr w14:val="tx1"/>
                  </w14:solidFill>
                </w14:textFill>
              </w:rPr>
              <w:t>18</w:t>
            </w:r>
            <w:r>
              <w:rPr>
                <w:rFonts w:hint="default" w:ascii="Times New Roman" w:hAnsi="Times New Roman" w:cs="Times New Roman"/>
                <w:b/>
                <w:color w:val="000000" w:themeColor="text1"/>
                <w:sz w:val="24"/>
                <w:lang w:val="en-US" w:eastAsia="zh-CN"/>
                <w14:textFill>
                  <w14:solidFill>
                    <w14:schemeClr w14:val="tx1"/>
                  </w14:solidFill>
                </w14:textFill>
              </w:rPr>
              <w:t xml:space="preserve">  </w:t>
            </w:r>
            <w:r>
              <w:rPr>
                <w:rFonts w:hint="default" w:ascii="宋体" w:hAnsi="宋体"/>
                <w:b/>
                <w:color w:val="000000" w:themeColor="text1"/>
                <w:sz w:val="24"/>
                <w14:textFill>
                  <w14:solidFill>
                    <w14:schemeClr w14:val="tx1"/>
                  </w14:solidFill>
                </w14:textFill>
              </w:rPr>
              <w:t>本项目周围环境保护目标概况</w:t>
            </w:r>
          </w:p>
          <w:tbl>
            <w:tblPr>
              <w:tblStyle w:val="22"/>
              <w:tblW w:w="4999"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266"/>
              <w:gridCol w:w="1574"/>
              <w:gridCol w:w="975"/>
              <w:gridCol w:w="2175"/>
              <w:gridCol w:w="2573"/>
            </w:tblGrid>
            <w:tr w14:paraId="20163220">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7" w:type="dxa"/>
                  <w:tcBorders>
                    <w:right w:val="single" w:color="auto" w:sz="4" w:space="0"/>
                  </w:tcBorders>
                  <w:noWrap w:val="0"/>
                  <w:vAlign w:val="center"/>
                </w:tcPr>
                <w:p w14:paraId="3ABBA618">
                  <w:pPr>
                    <w:keepNext w:val="0"/>
                    <w:keepLines w:val="0"/>
                    <w:suppressLineNumbers w:val="0"/>
                    <w:tabs>
                      <w:tab w:val="left" w:pos="323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环境要素</w:t>
                  </w:r>
                </w:p>
              </w:tc>
              <w:tc>
                <w:tcPr>
                  <w:tcW w:w="1574" w:type="dxa"/>
                  <w:tcBorders>
                    <w:left w:val="single" w:color="auto" w:sz="4" w:space="0"/>
                    <w:right w:val="single" w:color="auto" w:sz="4" w:space="0"/>
                  </w:tcBorders>
                  <w:noWrap w:val="0"/>
                  <w:vAlign w:val="center"/>
                </w:tcPr>
                <w:p w14:paraId="348BA5F3">
                  <w:pPr>
                    <w:keepNext w:val="0"/>
                    <w:keepLines w:val="0"/>
                    <w:suppressLineNumbers w:val="0"/>
                    <w:tabs>
                      <w:tab w:val="left" w:pos="323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环境保护目标</w:t>
                  </w:r>
                </w:p>
              </w:tc>
              <w:tc>
                <w:tcPr>
                  <w:tcW w:w="975" w:type="dxa"/>
                  <w:tcBorders>
                    <w:left w:val="single" w:color="auto" w:sz="4" w:space="0"/>
                    <w:right w:val="single" w:color="auto" w:sz="4" w:space="0"/>
                  </w:tcBorders>
                  <w:noWrap w:val="0"/>
                  <w:vAlign w:val="center"/>
                </w:tcPr>
                <w:p w14:paraId="57E06959">
                  <w:pPr>
                    <w:keepNext w:val="0"/>
                    <w:keepLines w:val="0"/>
                    <w:suppressLineNumbers w:val="0"/>
                    <w:tabs>
                      <w:tab w:val="left" w:pos="323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方向</w:t>
                  </w:r>
                </w:p>
              </w:tc>
              <w:tc>
                <w:tcPr>
                  <w:tcW w:w="2175" w:type="dxa"/>
                  <w:tcBorders>
                    <w:left w:val="single" w:color="auto" w:sz="4" w:space="0"/>
                    <w:right w:val="single" w:color="auto" w:sz="4" w:space="0"/>
                  </w:tcBorders>
                  <w:noWrap w:val="0"/>
                  <w:vAlign w:val="center"/>
                </w:tcPr>
                <w:p w14:paraId="4750F66D">
                  <w:pPr>
                    <w:keepNext w:val="0"/>
                    <w:keepLines w:val="0"/>
                    <w:suppressLineNumbers w:val="0"/>
                    <w:tabs>
                      <w:tab w:val="left" w:pos="323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距</w:t>
                  </w:r>
                  <w:r>
                    <w:rPr>
                      <w:rFonts w:hint="default"/>
                      <w:b/>
                      <w:color w:val="000000" w:themeColor="text1"/>
                      <w:sz w:val="21"/>
                      <w:szCs w:val="21"/>
                      <w14:textFill>
                        <w14:solidFill>
                          <w14:schemeClr w14:val="tx1"/>
                        </w14:solidFill>
                      </w14:textFill>
                    </w:rPr>
                    <w:t xml:space="preserve"> </w:t>
                  </w:r>
                  <w:r>
                    <w:rPr>
                      <w:rFonts w:hint="default" w:hAnsi="宋体"/>
                      <w:b/>
                      <w:color w:val="000000" w:themeColor="text1"/>
                      <w:sz w:val="21"/>
                      <w:szCs w:val="21"/>
                      <w14:textFill>
                        <w14:solidFill>
                          <w14:schemeClr w14:val="tx1"/>
                        </w14:solidFill>
                      </w14:textFill>
                    </w:rPr>
                    <w:t>离</w:t>
                  </w:r>
                </w:p>
              </w:tc>
              <w:tc>
                <w:tcPr>
                  <w:tcW w:w="2573" w:type="dxa"/>
                  <w:tcBorders>
                    <w:left w:val="single" w:color="auto" w:sz="4" w:space="0"/>
                  </w:tcBorders>
                  <w:noWrap w:val="0"/>
                  <w:vAlign w:val="center"/>
                </w:tcPr>
                <w:p w14:paraId="1B78260E">
                  <w:pPr>
                    <w:keepNext w:val="0"/>
                    <w:keepLines w:val="0"/>
                    <w:suppressLineNumbers w:val="0"/>
                    <w:tabs>
                      <w:tab w:val="left" w:pos="323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保护级别</w:t>
                  </w:r>
                </w:p>
              </w:tc>
            </w:tr>
            <w:tr w14:paraId="68C77B79">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7" w:type="dxa"/>
                  <w:tcBorders>
                    <w:bottom w:val="single" w:color="auto" w:sz="4" w:space="0"/>
                    <w:right w:val="single" w:color="auto" w:sz="4" w:space="0"/>
                  </w:tcBorders>
                  <w:noWrap w:val="0"/>
                  <w:vAlign w:val="center"/>
                </w:tcPr>
                <w:p w14:paraId="7784BE6F">
                  <w:pPr>
                    <w:keepNext w:val="0"/>
                    <w:keepLines w:val="0"/>
                    <w:suppressLineNumbers w:val="0"/>
                    <w:tabs>
                      <w:tab w:val="left" w:pos="3230"/>
                    </w:tabs>
                    <w:adjustRightInd w:val="0"/>
                    <w:snapToGrid w:val="0"/>
                    <w:spacing w:before="0" w:beforeAutospacing="0" w:after="0" w:afterAutospacing="0"/>
                    <w:ind w:left="0" w:right="0"/>
                    <w:jc w:val="center"/>
                    <w:rPr>
                      <w:rFonts w:hint="eastAsia"/>
                      <w:color w:val="000000" w:themeColor="text1"/>
                      <w:sz w:val="21"/>
                      <w:szCs w:val="21"/>
                      <w14:textFill>
                        <w14:solidFill>
                          <w14:schemeClr w14:val="tx1"/>
                        </w14:solidFill>
                      </w14:textFill>
                    </w:rPr>
                  </w:pPr>
                  <w:r>
                    <w:rPr>
                      <w:rFonts w:hint="default" w:hAnsi="宋体"/>
                      <w:color w:val="000000" w:themeColor="text1"/>
                      <w:sz w:val="21"/>
                      <w:szCs w:val="21"/>
                      <w14:textFill>
                        <w14:solidFill>
                          <w14:schemeClr w14:val="tx1"/>
                        </w14:solidFill>
                      </w14:textFill>
                    </w:rPr>
                    <w:t>环境空气</w:t>
                  </w:r>
                </w:p>
              </w:tc>
              <w:tc>
                <w:tcPr>
                  <w:tcW w:w="1574" w:type="dxa"/>
                  <w:tcBorders>
                    <w:left w:val="single" w:color="auto" w:sz="4" w:space="0"/>
                    <w:bottom w:val="single" w:color="auto" w:sz="4" w:space="0"/>
                    <w:right w:val="single" w:color="auto" w:sz="4" w:space="0"/>
                  </w:tcBorders>
                  <w:noWrap w:val="0"/>
                  <w:vAlign w:val="center"/>
                </w:tcPr>
                <w:p w14:paraId="57541ECF">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南位庄村</w:t>
                  </w:r>
                </w:p>
              </w:tc>
              <w:tc>
                <w:tcPr>
                  <w:tcW w:w="975" w:type="dxa"/>
                  <w:tcBorders>
                    <w:left w:val="single" w:color="auto" w:sz="4" w:space="0"/>
                    <w:bottom w:val="single" w:color="auto" w:sz="4" w:space="0"/>
                    <w:right w:val="single" w:color="auto" w:sz="4" w:space="0"/>
                  </w:tcBorders>
                  <w:noWrap w:val="0"/>
                  <w:vAlign w:val="center"/>
                </w:tcPr>
                <w:p w14:paraId="53901EF1">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南</w:t>
                  </w:r>
                </w:p>
              </w:tc>
              <w:tc>
                <w:tcPr>
                  <w:tcW w:w="2175" w:type="dxa"/>
                  <w:tcBorders>
                    <w:left w:val="single" w:color="auto" w:sz="4" w:space="0"/>
                    <w:bottom w:val="single" w:color="auto" w:sz="4" w:space="0"/>
                    <w:right w:val="single" w:color="auto" w:sz="4" w:space="0"/>
                  </w:tcBorders>
                  <w:noWrap w:val="0"/>
                  <w:vAlign w:val="center"/>
                </w:tcPr>
                <w:p w14:paraId="4795BB46">
                  <w:pPr>
                    <w:keepNext w:val="0"/>
                    <w:keepLines w:val="0"/>
                    <w:suppressLineNumbers w:val="0"/>
                    <w:adjustRightInd w:val="0"/>
                    <w:snapToGrid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260m</w:t>
                  </w:r>
                </w:p>
              </w:tc>
              <w:tc>
                <w:tcPr>
                  <w:tcW w:w="2573" w:type="dxa"/>
                  <w:tcBorders>
                    <w:left w:val="single" w:color="auto" w:sz="4" w:space="0"/>
                    <w:bottom w:val="single" w:color="auto" w:sz="4" w:space="0"/>
                  </w:tcBorders>
                  <w:noWrap w:val="0"/>
                  <w:vAlign w:val="center"/>
                </w:tcPr>
                <w:p w14:paraId="18825A60">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default"/>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环境空气质量标准</w:t>
                  </w:r>
                  <w:r>
                    <w:rPr>
                      <w:rFonts w:hint="default"/>
                      <w:color w:val="000000" w:themeColor="text1"/>
                      <w:sz w:val="21"/>
                      <w:szCs w:val="21"/>
                      <w14:textFill>
                        <w14:solidFill>
                          <w14:schemeClr w14:val="tx1"/>
                        </w14:solidFill>
                      </w14:textFill>
                    </w:rPr>
                    <w:t>》（GB</w:t>
                  </w:r>
                  <w:r>
                    <w:rPr>
                      <w:rFonts w:hint="eastAsia"/>
                      <w:color w:val="000000" w:themeColor="text1"/>
                      <w:sz w:val="21"/>
                      <w:szCs w:val="21"/>
                      <w:lang w:val="en-US" w:eastAsia="zh-CN"/>
                      <w14:textFill>
                        <w14:solidFill>
                          <w14:schemeClr w14:val="tx1"/>
                        </w14:solidFill>
                      </w14:textFill>
                    </w:rPr>
                    <w:t>3096</w:t>
                  </w:r>
                  <w:r>
                    <w:rPr>
                      <w:rFonts w:hint="default"/>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2012</w:t>
                  </w:r>
                  <w:r>
                    <w:rPr>
                      <w:rFonts w:hint="default"/>
                      <w:color w:val="000000" w:themeColor="text1"/>
                      <w:sz w:val="21"/>
                      <w:szCs w:val="21"/>
                      <w14:textFill>
                        <w14:solidFill>
                          <w14:schemeClr w14:val="tx1"/>
                        </w14:solidFill>
                      </w14:textFill>
                    </w:rPr>
                    <w:t>）</w:t>
                  </w:r>
                  <w:r>
                    <w:rPr>
                      <w:rFonts w:hint="eastAsia"/>
                      <w:color w:val="000000" w:themeColor="text1"/>
                      <w:sz w:val="21"/>
                      <w:szCs w:val="21"/>
                      <w:lang w:val="en-US" w:eastAsia="zh-CN"/>
                      <w14:textFill>
                        <w14:solidFill>
                          <w14:schemeClr w14:val="tx1"/>
                        </w14:solidFill>
                      </w14:textFill>
                    </w:rPr>
                    <w:t>二级及其2018年修改单</w:t>
                  </w:r>
                </w:p>
              </w:tc>
            </w:tr>
            <w:tr w14:paraId="33409E68">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7" w:type="dxa"/>
                  <w:tcBorders>
                    <w:top w:val="single" w:color="auto" w:sz="4" w:space="0"/>
                    <w:bottom w:val="single" w:color="auto" w:sz="4" w:space="0"/>
                    <w:right w:val="single" w:color="auto" w:sz="4" w:space="0"/>
                  </w:tcBorders>
                  <w:noWrap w:val="0"/>
                  <w:vAlign w:val="center"/>
                </w:tcPr>
                <w:p w14:paraId="02E72B22">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环境噪声</w:t>
                  </w:r>
                </w:p>
              </w:tc>
              <w:tc>
                <w:tcPr>
                  <w:tcW w:w="4724" w:type="dxa"/>
                  <w:gridSpan w:val="3"/>
                  <w:tcBorders>
                    <w:top w:val="single" w:color="auto" w:sz="4" w:space="0"/>
                    <w:left w:val="single" w:color="auto" w:sz="4" w:space="0"/>
                    <w:bottom w:val="single" w:color="auto" w:sz="4" w:space="0"/>
                    <w:right w:val="single" w:color="auto" w:sz="4" w:space="0"/>
                  </w:tcBorders>
                  <w:noWrap w:val="0"/>
                  <w:vAlign w:val="center"/>
                </w:tcPr>
                <w:p w14:paraId="3BD2BF35">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eastAsia"/>
                      <w:color w:val="auto"/>
                      <w:sz w:val="21"/>
                      <w:szCs w:val="21"/>
                      <w:lang w:val="en-US" w:eastAsia="zh-CN"/>
                    </w:rPr>
                    <w:t>本项目</w:t>
                  </w:r>
                  <w:r>
                    <w:rPr>
                      <w:rFonts w:hint="eastAsia"/>
                      <w:color w:val="auto"/>
                      <w:sz w:val="21"/>
                      <w:szCs w:val="21"/>
                    </w:rPr>
                    <w:t>周边50米范围内</w:t>
                  </w:r>
                  <w:r>
                    <w:rPr>
                      <w:rFonts w:hint="eastAsia"/>
                      <w:color w:val="auto"/>
                      <w:sz w:val="21"/>
                      <w:szCs w:val="21"/>
                      <w:lang w:val="en-US" w:eastAsia="zh-CN"/>
                    </w:rPr>
                    <w:t>无</w:t>
                  </w:r>
                  <w:r>
                    <w:rPr>
                      <w:rFonts w:hint="eastAsia"/>
                      <w:color w:val="auto"/>
                      <w:sz w:val="21"/>
                      <w:szCs w:val="21"/>
                    </w:rPr>
                    <w:t>声环境保护目标</w:t>
                  </w:r>
                </w:p>
              </w:tc>
              <w:tc>
                <w:tcPr>
                  <w:tcW w:w="2573" w:type="dxa"/>
                  <w:tcBorders>
                    <w:top w:val="single" w:color="auto" w:sz="4" w:space="0"/>
                    <w:left w:val="single" w:color="auto" w:sz="4" w:space="0"/>
                    <w:bottom w:val="single" w:color="auto" w:sz="4" w:space="0"/>
                  </w:tcBorders>
                  <w:noWrap w:val="0"/>
                  <w:vAlign w:val="center"/>
                </w:tcPr>
                <w:p w14:paraId="02BB6521">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auto"/>
                      <w:sz w:val="21"/>
                      <w:szCs w:val="21"/>
                      <w:lang w:val="en-US" w:eastAsia="zh-CN"/>
                    </w:rPr>
                    <w:t>/</w:t>
                  </w:r>
                </w:p>
              </w:tc>
            </w:tr>
            <w:tr w14:paraId="52CDFE97">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7" w:type="dxa"/>
                  <w:tcBorders>
                    <w:top w:val="single" w:color="auto" w:sz="4" w:space="0"/>
                    <w:bottom w:val="single" w:color="auto" w:sz="4" w:space="0"/>
                    <w:right w:val="single" w:color="auto" w:sz="4" w:space="0"/>
                  </w:tcBorders>
                  <w:noWrap w:val="0"/>
                  <w:vAlign w:val="center"/>
                </w:tcPr>
                <w:p w14:paraId="3A081477">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default" w:hAnsi="宋体"/>
                      <w:color w:val="000000" w:themeColor="text1"/>
                      <w:sz w:val="21"/>
                      <w:szCs w:val="21"/>
                      <w14:textFill>
                        <w14:solidFill>
                          <w14:schemeClr w14:val="tx1"/>
                        </w14:solidFill>
                      </w14:textFill>
                    </w:rPr>
                    <w:t>生态环境</w:t>
                  </w:r>
                </w:p>
              </w:tc>
              <w:tc>
                <w:tcPr>
                  <w:tcW w:w="4724" w:type="dxa"/>
                  <w:gridSpan w:val="3"/>
                  <w:tcBorders>
                    <w:top w:val="single" w:color="auto" w:sz="4" w:space="0"/>
                    <w:left w:val="single" w:color="auto" w:sz="4" w:space="0"/>
                    <w:bottom w:val="single" w:color="auto" w:sz="4" w:space="0"/>
                    <w:right w:val="single" w:color="auto" w:sz="4" w:space="0"/>
                  </w:tcBorders>
                  <w:noWrap w:val="0"/>
                  <w:vAlign w:val="center"/>
                </w:tcPr>
                <w:p w14:paraId="690D9304">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本项目</w:t>
                  </w:r>
                  <w:r>
                    <w:rPr>
                      <w:rFonts w:hint="eastAsia"/>
                      <w:color w:val="000000" w:themeColor="text1"/>
                      <w:sz w:val="21"/>
                      <w:szCs w:val="21"/>
                      <w14:textFill>
                        <w14:solidFill>
                          <w14:schemeClr w14:val="tx1"/>
                        </w14:solidFill>
                      </w14:textFill>
                    </w:rPr>
                    <w:t>周边50</w:t>
                  </w:r>
                  <w:r>
                    <w:rPr>
                      <w:rFonts w:hint="eastAsia"/>
                      <w:color w:val="000000" w:themeColor="text1"/>
                      <w:sz w:val="21"/>
                      <w:szCs w:val="21"/>
                      <w:lang w:val="en-US" w:eastAsia="zh-CN"/>
                      <w14:textFill>
                        <w14:solidFill>
                          <w14:schemeClr w14:val="tx1"/>
                        </w14:solidFill>
                      </w14:textFill>
                    </w:rPr>
                    <w:t>0</w:t>
                  </w:r>
                  <w:r>
                    <w:rPr>
                      <w:rFonts w:hint="eastAsia"/>
                      <w:color w:val="000000" w:themeColor="text1"/>
                      <w:sz w:val="21"/>
                      <w:szCs w:val="21"/>
                      <w14:textFill>
                        <w14:solidFill>
                          <w14:schemeClr w14:val="tx1"/>
                        </w14:solidFill>
                      </w14:textFill>
                    </w:rPr>
                    <w:t>米范围内</w:t>
                  </w:r>
                  <w:r>
                    <w:rPr>
                      <w:rFonts w:hint="eastAsia"/>
                      <w:color w:val="000000" w:themeColor="text1"/>
                      <w:sz w:val="21"/>
                      <w:szCs w:val="21"/>
                      <w:lang w:val="en-US" w:eastAsia="zh-CN"/>
                      <w14:textFill>
                        <w14:solidFill>
                          <w14:schemeClr w14:val="tx1"/>
                        </w14:solidFill>
                      </w14:textFill>
                    </w:rPr>
                    <w:t>无生态</w:t>
                  </w:r>
                  <w:r>
                    <w:rPr>
                      <w:rFonts w:hint="eastAsia"/>
                      <w:color w:val="000000" w:themeColor="text1"/>
                      <w:sz w:val="21"/>
                      <w:szCs w:val="21"/>
                      <w14:textFill>
                        <w14:solidFill>
                          <w14:schemeClr w14:val="tx1"/>
                        </w14:solidFill>
                      </w14:textFill>
                    </w:rPr>
                    <w:t>保护目标</w:t>
                  </w:r>
                </w:p>
              </w:tc>
              <w:tc>
                <w:tcPr>
                  <w:tcW w:w="2573" w:type="dxa"/>
                  <w:tcBorders>
                    <w:top w:val="single" w:color="auto" w:sz="4" w:space="0"/>
                    <w:left w:val="single" w:color="auto" w:sz="4" w:space="0"/>
                    <w:bottom w:val="single" w:color="auto" w:sz="4" w:space="0"/>
                  </w:tcBorders>
                  <w:noWrap w:val="0"/>
                  <w:vAlign w:val="center"/>
                </w:tcPr>
                <w:p w14:paraId="1A221C4C">
                  <w:pPr>
                    <w:keepNext w:val="0"/>
                    <w:keepLines w:val="0"/>
                    <w:suppressLineNumbers w:val="0"/>
                    <w:tabs>
                      <w:tab w:val="left" w:pos="3230"/>
                    </w:tabs>
                    <w:adjustRightInd w:val="0"/>
                    <w:snapToGrid w:val="0"/>
                    <w:spacing w:before="0" w:beforeAutospacing="0" w:after="0" w:afterAutospacing="0"/>
                    <w:ind w:left="0" w:right="0"/>
                    <w:jc w:val="center"/>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p>
              </w:tc>
            </w:tr>
            <w:tr w14:paraId="4F194BB7">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267" w:type="dxa"/>
                  <w:tcBorders>
                    <w:top w:val="single" w:color="auto" w:sz="4" w:space="0"/>
                    <w:bottom w:val="single" w:color="auto" w:sz="8" w:space="0"/>
                    <w:right w:val="single" w:color="auto" w:sz="4" w:space="0"/>
                  </w:tcBorders>
                  <w:noWrap w:val="0"/>
                  <w:vAlign w:val="center"/>
                </w:tcPr>
                <w:p w14:paraId="74DC5B05">
                  <w:pPr>
                    <w:keepNext w:val="0"/>
                    <w:keepLines w:val="0"/>
                    <w:suppressLineNumbers w:val="0"/>
                    <w:tabs>
                      <w:tab w:val="left" w:pos="3230"/>
                    </w:tabs>
                    <w:adjustRightInd w:val="0"/>
                    <w:snapToGrid w:val="0"/>
                    <w:spacing w:before="0" w:beforeAutospacing="0" w:after="0" w:afterAutospacing="0"/>
                    <w:ind w:left="0" w:leftChars="0" w:right="0" w:rightChars="0"/>
                    <w:jc w:val="center"/>
                    <w:rPr>
                      <w:rFonts w:hint="default" w:hAnsi="宋体"/>
                      <w:color w:val="000000" w:themeColor="text1"/>
                      <w:sz w:val="21"/>
                      <w:szCs w:val="21"/>
                      <w14:textFill>
                        <w14:solidFill>
                          <w14:schemeClr w14:val="tx1"/>
                        </w14:solidFill>
                      </w14:textFill>
                    </w:rPr>
                  </w:pPr>
                  <w:r>
                    <w:rPr>
                      <w:rFonts w:hint="eastAsia" w:hAnsi="宋体"/>
                      <w:color w:val="auto"/>
                      <w:sz w:val="21"/>
                      <w:szCs w:val="21"/>
                      <w:lang w:val="en-US" w:eastAsia="zh-CN"/>
                    </w:rPr>
                    <w:t>地下水环境</w:t>
                  </w:r>
                </w:p>
              </w:tc>
              <w:tc>
                <w:tcPr>
                  <w:tcW w:w="4724" w:type="dxa"/>
                  <w:gridSpan w:val="3"/>
                  <w:tcBorders>
                    <w:top w:val="single" w:color="auto" w:sz="4" w:space="0"/>
                    <w:left w:val="single" w:color="auto" w:sz="4" w:space="0"/>
                    <w:bottom w:val="single" w:color="auto" w:sz="8" w:space="0"/>
                    <w:right w:val="single" w:color="auto" w:sz="4" w:space="0"/>
                  </w:tcBorders>
                  <w:noWrap w:val="0"/>
                  <w:vAlign w:val="center"/>
                </w:tcPr>
                <w:p w14:paraId="41BD6218">
                  <w:pPr>
                    <w:keepNext w:val="0"/>
                    <w:keepLines w:val="0"/>
                    <w:suppressLineNumbers w:val="0"/>
                    <w:tabs>
                      <w:tab w:val="left" w:pos="3230"/>
                    </w:tabs>
                    <w:adjustRightInd w:val="0"/>
                    <w:snapToGrid w:val="0"/>
                    <w:spacing w:before="0" w:beforeAutospacing="0" w:after="0" w:afterAutospacing="0"/>
                    <w:ind w:left="0" w:right="0"/>
                    <w:jc w:val="center"/>
                    <w:rPr>
                      <w:rFonts w:hint="eastAsia"/>
                      <w:sz w:val="21"/>
                      <w:szCs w:val="21"/>
                      <w:lang w:val="en-US" w:eastAsia="zh-CN"/>
                    </w:rPr>
                  </w:pPr>
                  <w:r>
                    <w:rPr>
                      <w:rFonts w:hint="eastAsia"/>
                      <w:sz w:val="21"/>
                      <w:szCs w:val="21"/>
                      <w:lang w:val="en-US" w:eastAsia="zh-CN"/>
                    </w:rPr>
                    <w:t>本项目周边500米范围内无地下水集中式饮用水</w:t>
                  </w:r>
                </w:p>
                <w:p w14:paraId="4685A794">
                  <w:pPr>
                    <w:keepNext w:val="0"/>
                    <w:keepLines w:val="0"/>
                    <w:suppressLineNumbers w:val="0"/>
                    <w:tabs>
                      <w:tab w:val="left" w:pos="3230"/>
                    </w:tabs>
                    <w:adjustRightInd w:val="0"/>
                    <w:snapToGrid w:val="0"/>
                    <w:spacing w:before="0" w:beforeAutospacing="0" w:after="0" w:afterAutospacing="0"/>
                    <w:ind w:left="0" w:right="0"/>
                    <w:jc w:val="center"/>
                    <w:rPr>
                      <w:rFonts w:hint="eastAsia"/>
                      <w:color w:val="000000" w:themeColor="text1"/>
                      <w:sz w:val="21"/>
                      <w:szCs w:val="21"/>
                      <w:lang w:val="en-US" w:eastAsia="zh-CN"/>
                      <w14:textFill>
                        <w14:solidFill>
                          <w14:schemeClr w14:val="tx1"/>
                        </w14:solidFill>
                      </w14:textFill>
                    </w:rPr>
                  </w:pPr>
                  <w:r>
                    <w:rPr>
                      <w:rFonts w:hint="eastAsia"/>
                      <w:sz w:val="21"/>
                      <w:szCs w:val="21"/>
                      <w:lang w:val="en-US" w:eastAsia="zh-CN"/>
                    </w:rPr>
                    <w:t>水源和热水、矿泉水、温泉等特殊地下水资源</w:t>
                  </w:r>
                </w:p>
              </w:tc>
              <w:tc>
                <w:tcPr>
                  <w:tcW w:w="2573" w:type="dxa"/>
                  <w:tcBorders>
                    <w:top w:val="single" w:color="auto" w:sz="4" w:space="0"/>
                    <w:left w:val="single" w:color="auto" w:sz="4" w:space="0"/>
                    <w:bottom w:val="single" w:color="auto" w:sz="8" w:space="0"/>
                  </w:tcBorders>
                  <w:noWrap w:val="0"/>
                  <w:vAlign w:val="center"/>
                </w:tcPr>
                <w:p w14:paraId="6A66D31F">
                  <w:pPr>
                    <w:keepNext w:val="0"/>
                    <w:keepLines w:val="0"/>
                    <w:suppressLineNumbers w:val="0"/>
                    <w:tabs>
                      <w:tab w:val="left" w:pos="3230"/>
                    </w:tabs>
                    <w:adjustRightInd w:val="0"/>
                    <w:snapToGrid w:val="0"/>
                    <w:spacing w:before="0" w:beforeAutospacing="0" w:after="0" w:afterAutospacing="0"/>
                    <w:ind w:left="0" w:leftChars="0" w:right="0" w:rightChars="0"/>
                    <w:jc w:val="center"/>
                    <w:rPr>
                      <w:rFonts w:hint="eastAsia"/>
                      <w:color w:val="000000" w:themeColor="text1"/>
                      <w:sz w:val="21"/>
                      <w:szCs w:val="21"/>
                      <w:lang w:val="en-US" w:eastAsia="zh-CN"/>
                      <w14:textFill>
                        <w14:solidFill>
                          <w14:schemeClr w14:val="tx1"/>
                        </w14:solidFill>
                      </w14:textFill>
                    </w:rPr>
                  </w:pPr>
                  <w:r>
                    <w:rPr>
                      <w:rFonts w:hint="eastAsia"/>
                      <w:color w:val="auto"/>
                      <w:sz w:val="21"/>
                      <w:szCs w:val="21"/>
                      <w:lang w:val="en-US" w:eastAsia="zh-CN"/>
                    </w:rPr>
                    <w:t>/</w:t>
                  </w:r>
                </w:p>
              </w:tc>
            </w:tr>
          </w:tbl>
          <w:p w14:paraId="2084BA2D">
            <w:pPr>
              <w:keepNext w:val="0"/>
              <w:keepLines w:val="0"/>
              <w:suppressLineNumbers w:val="0"/>
              <w:tabs>
                <w:tab w:val="left" w:pos="3230"/>
              </w:tabs>
              <w:adjustRightInd w:val="0"/>
              <w:snapToGrid w:val="0"/>
              <w:spacing w:before="0" w:beforeAutospacing="0" w:after="0" w:afterAutospacing="0" w:line="440" w:lineRule="exact"/>
              <w:ind w:left="0" w:right="0"/>
              <w:rPr>
                <w:rFonts w:hint="eastAsia" w:eastAsia="宋体"/>
                <w:sz w:val="24"/>
                <w:lang w:val="en-US" w:eastAsia="zh-CN"/>
              </w:rPr>
            </w:pPr>
          </w:p>
        </w:tc>
      </w:tr>
      <w:tr w14:paraId="37B9E0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858" w:type="dxa"/>
            <w:noWrap w:val="0"/>
            <w:vAlign w:val="center"/>
          </w:tcPr>
          <w:p w14:paraId="0EE4018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污染</w:t>
            </w:r>
          </w:p>
          <w:p w14:paraId="38229A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物排</w:t>
            </w:r>
          </w:p>
          <w:p w14:paraId="3901C3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放控</w:t>
            </w:r>
          </w:p>
          <w:p w14:paraId="654FC4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制标</w:t>
            </w:r>
          </w:p>
          <w:p w14:paraId="471E4E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hAnsi="宋体"/>
                <w:kern w:val="0"/>
                <w:sz w:val="24"/>
                <w:szCs w:val="24"/>
              </w:rPr>
            </w:pPr>
            <w:r>
              <w:rPr>
                <w:rFonts w:hint="default" w:hAnsi="宋体"/>
                <w:kern w:val="0"/>
                <w:sz w:val="24"/>
                <w:szCs w:val="24"/>
              </w:rPr>
              <w:t>准</w:t>
            </w:r>
          </w:p>
        </w:tc>
        <w:tc>
          <w:tcPr>
            <w:tcW w:w="8781" w:type="dxa"/>
            <w:noWrap w:val="0"/>
            <w:vAlign w:val="top"/>
          </w:tcPr>
          <w:p w14:paraId="3AE44D85">
            <w:pPr>
              <w:keepNext w:val="0"/>
              <w:keepLines w:val="0"/>
              <w:suppressLineNumbers w:val="0"/>
              <w:adjustRightInd w:val="0"/>
              <w:snapToGrid w:val="0"/>
              <w:spacing w:before="0" w:beforeAutospacing="0" w:after="0" w:afterAutospacing="0" w:line="440" w:lineRule="exact"/>
              <w:ind w:left="0" w:right="0" w:firstLine="482" w:firstLineChars="200"/>
              <w:textAlignment w:val="baseline"/>
              <w:rPr>
                <w:rFonts w:hint="default"/>
                <w:b/>
                <w:color w:val="000000" w:themeColor="text1"/>
                <w:sz w:val="24"/>
                <w:highlight w:val="none"/>
                <w14:textFill>
                  <w14:solidFill>
                    <w14:schemeClr w14:val="tx1"/>
                  </w14:solidFill>
                </w14:textFill>
              </w:rPr>
            </w:pPr>
            <w:r>
              <w:rPr>
                <w:rFonts w:hint="eastAsia"/>
                <w:b/>
                <w:color w:val="000000" w:themeColor="text1"/>
                <w:sz w:val="24"/>
                <w14:textFill>
                  <w14:solidFill>
                    <w14:schemeClr w14:val="tx1"/>
                  </w14:solidFill>
                </w14:textFill>
              </w:rPr>
              <w:t>1、废气</w:t>
            </w:r>
          </w:p>
          <w:p w14:paraId="140003AF">
            <w:pPr>
              <w:keepNext w:val="0"/>
              <w:keepLines w:val="0"/>
              <w:suppressLineNumbers w:val="0"/>
              <w:spacing w:before="0" w:beforeAutospacing="0" w:after="0" w:afterAutospacing="0" w:line="440" w:lineRule="exact"/>
              <w:ind w:left="0" w:right="0"/>
              <w:jc w:val="center"/>
              <w:rPr>
                <w:rFonts w:hint="default" w:ascii="宋体" w:hAnsi="宋体"/>
                <w:b/>
                <w:color w:val="FF0000"/>
                <w:sz w:val="24"/>
                <w:highlight w:val="none"/>
              </w:rPr>
            </w:pPr>
            <w:r>
              <w:rPr>
                <w:rFonts w:hint="default" w:ascii="宋体" w:hAnsi="宋体"/>
                <w:b/>
                <w:color w:val="000000" w:themeColor="text1"/>
                <w:sz w:val="24"/>
                <w:highlight w:val="none"/>
                <w14:textFill>
                  <w14:solidFill>
                    <w14:schemeClr w14:val="tx1"/>
                  </w14:solidFill>
                </w14:textFill>
              </w:rPr>
              <w:t>表</w:t>
            </w:r>
            <w:r>
              <w:rPr>
                <w:rFonts w:hint="eastAsia" w:cs="Times New Roman"/>
                <w:b/>
                <w:color w:val="000000" w:themeColor="text1"/>
                <w:sz w:val="24"/>
                <w:highlight w:val="none"/>
                <w:lang w:val="en-US" w:eastAsia="zh-CN"/>
                <w14:textFill>
                  <w14:solidFill>
                    <w14:schemeClr w14:val="tx1"/>
                  </w14:solidFill>
                </w14:textFill>
              </w:rPr>
              <w:t>19</w:t>
            </w:r>
            <w:r>
              <w:rPr>
                <w:rFonts w:hint="eastAsia" w:ascii="宋体" w:hAnsi="宋体"/>
                <w:b/>
                <w:color w:val="000000" w:themeColor="text1"/>
                <w:sz w:val="24"/>
                <w:highlight w:val="none"/>
                <w:lang w:val="en-US" w:eastAsia="zh-CN"/>
                <w14:textFill>
                  <w14:solidFill>
                    <w14:schemeClr w14:val="tx1"/>
                  </w14:solidFill>
                </w14:textFill>
              </w:rPr>
              <w:t xml:space="preserve"> </w:t>
            </w:r>
            <w:r>
              <w:rPr>
                <w:rFonts w:hint="default" w:ascii="宋体" w:hAnsi="宋体"/>
                <w:b/>
                <w:color w:val="000000" w:themeColor="text1"/>
                <w:sz w:val="24"/>
                <w:highlight w:val="none"/>
                <w14:textFill>
                  <w14:solidFill>
                    <w14:schemeClr w14:val="tx1"/>
                  </w14:solidFill>
                </w14:textFill>
              </w:rPr>
              <w:t>废气排放限值一览表</w:t>
            </w:r>
          </w:p>
          <w:tbl>
            <w:tblPr>
              <w:tblStyle w:val="2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1"/>
              <w:gridCol w:w="3465"/>
              <w:gridCol w:w="930"/>
              <w:gridCol w:w="3489"/>
            </w:tblGrid>
            <w:tr w14:paraId="2ECA2A0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tcBorders>
                    <w:bottom w:val="single" w:color="auto" w:sz="8" w:space="0"/>
                  </w:tcBorders>
                  <w:noWrap w:val="0"/>
                  <w:vAlign w:val="center"/>
                </w:tcPr>
                <w:p w14:paraId="301BA6CE">
                  <w:pPr>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hAnsi="宋体"/>
                      <w:b/>
                      <w:color w:val="auto"/>
                      <w:sz w:val="21"/>
                      <w:szCs w:val="21"/>
                    </w:rPr>
                    <w:t>污染类别</w:t>
                  </w:r>
                </w:p>
              </w:tc>
              <w:tc>
                <w:tcPr>
                  <w:tcW w:w="3465" w:type="dxa"/>
                  <w:tcBorders>
                    <w:bottom w:val="single" w:color="auto" w:sz="8" w:space="0"/>
                  </w:tcBorders>
                  <w:noWrap w:val="0"/>
                  <w:vAlign w:val="center"/>
                </w:tcPr>
                <w:p w14:paraId="0BCC1533">
                  <w:pPr>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hAnsi="宋体"/>
                      <w:b/>
                      <w:color w:val="auto"/>
                      <w:sz w:val="21"/>
                      <w:szCs w:val="21"/>
                    </w:rPr>
                    <w:t>标准名称及级（类）别</w:t>
                  </w:r>
                </w:p>
              </w:tc>
              <w:tc>
                <w:tcPr>
                  <w:tcW w:w="930" w:type="dxa"/>
                  <w:tcBorders>
                    <w:bottom w:val="single" w:color="auto" w:sz="8" w:space="0"/>
                  </w:tcBorders>
                  <w:noWrap w:val="0"/>
                  <w:vAlign w:val="center"/>
                </w:tcPr>
                <w:p w14:paraId="632F74AD">
                  <w:pPr>
                    <w:keepNext w:val="0"/>
                    <w:keepLines w:val="0"/>
                    <w:suppressLineNumbers w:val="0"/>
                    <w:adjustRightInd w:val="0"/>
                    <w:snapToGrid w:val="0"/>
                    <w:spacing w:before="0" w:beforeAutospacing="0" w:after="0" w:afterAutospacing="0"/>
                    <w:ind w:left="0" w:right="0"/>
                    <w:jc w:val="center"/>
                    <w:rPr>
                      <w:rFonts w:hint="default" w:hAnsi="宋体"/>
                      <w:b/>
                      <w:color w:val="auto"/>
                      <w:sz w:val="21"/>
                      <w:szCs w:val="21"/>
                    </w:rPr>
                  </w:pPr>
                  <w:r>
                    <w:rPr>
                      <w:rFonts w:hint="default" w:hAnsi="宋体"/>
                      <w:b/>
                      <w:color w:val="auto"/>
                      <w:sz w:val="21"/>
                      <w:szCs w:val="21"/>
                    </w:rPr>
                    <w:t>污染</w:t>
                  </w:r>
                </w:p>
                <w:p w14:paraId="401F81A4">
                  <w:pPr>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hAnsi="宋体"/>
                      <w:b/>
                      <w:color w:val="auto"/>
                      <w:sz w:val="21"/>
                      <w:szCs w:val="21"/>
                    </w:rPr>
                    <w:t>因子</w:t>
                  </w:r>
                </w:p>
              </w:tc>
              <w:tc>
                <w:tcPr>
                  <w:tcW w:w="3489" w:type="dxa"/>
                  <w:tcBorders>
                    <w:bottom w:val="single" w:color="auto" w:sz="8" w:space="0"/>
                  </w:tcBorders>
                  <w:noWrap w:val="0"/>
                  <w:vAlign w:val="center"/>
                </w:tcPr>
                <w:p w14:paraId="198D5765">
                  <w:pPr>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hAnsi="宋体"/>
                      <w:b/>
                      <w:color w:val="auto"/>
                      <w:sz w:val="21"/>
                      <w:szCs w:val="21"/>
                    </w:rPr>
                    <w:t>标准限值</w:t>
                  </w:r>
                </w:p>
              </w:tc>
            </w:tr>
            <w:tr w14:paraId="6634B9A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restart"/>
                  <w:tcBorders>
                    <w:top w:val="single" w:color="auto" w:sz="8" w:space="0"/>
                    <w:tl2br w:val="nil"/>
                    <w:tr2bl w:val="nil"/>
                  </w:tcBorders>
                  <w:noWrap w:val="0"/>
                  <w:vAlign w:val="center"/>
                </w:tcPr>
                <w:p w14:paraId="170B3A6A">
                  <w:pPr>
                    <w:keepNext w:val="0"/>
                    <w:keepLines w:val="0"/>
                    <w:suppressLineNumbers w:val="0"/>
                    <w:adjustRightInd w:val="0"/>
                    <w:snapToGrid w:val="0"/>
                    <w:spacing w:before="0" w:beforeAutospacing="0" w:after="0" w:afterAutospacing="0"/>
                    <w:ind w:left="0" w:right="0"/>
                    <w:jc w:val="center"/>
                    <w:rPr>
                      <w:rFonts w:hint="default" w:hAnsi="宋体"/>
                      <w:color w:val="auto"/>
                      <w:sz w:val="21"/>
                      <w:szCs w:val="21"/>
                      <w:lang w:val="en-US" w:eastAsia="zh-CN"/>
                    </w:rPr>
                  </w:pPr>
                  <w:r>
                    <w:rPr>
                      <w:rFonts w:hint="eastAsia" w:hAnsi="宋体"/>
                      <w:color w:val="auto"/>
                      <w:sz w:val="21"/>
                      <w:szCs w:val="21"/>
                      <w:lang w:val="en-US" w:eastAsia="zh-CN"/>
                    </w:rPr>
                    <w:t>废气</w:t>
                  </w:r>
                </w:p>
              </w:tc>
              <w:tc>
                <w:tcPr>
                  <w:tcW w:w="3465" w:type="dxa"/>
                  <w:vMerge w:val="restart"/>
                  <w:tcBorders>
                    <w:top w:val="single" w:color="auto" w:sz="8" w:space="0"/>
                    <w:tl2br w:val="nil"/>
                    <w:tr2bl w:val="nil"/>
                  </w:tcBorders>
                  <w:shd w:val="clear" w:color="auto" w:fill="auto"/>
                  <w:noWrap w:val="0"/>
                  <w:vAlign w:val="center"/>
                </w:tcPr>
                <w:p w14:paraId="4BD5BAF4">
                  <w:pPr>
                    <w:keepNext w:val="0"/>
                    <w:keepLines w:val="0"/>
                    <w:suppressLineNumbers w:val="0"/>
                    <w:adjustRightInd w:val="0"/>
                    <w:snapToGrid w:val="0"/>
                    <w:spacing w:before="0" w:beforeAutospacing="0" w:after="0" w:afterAutospacing="0" w:line="240" w:lineRule="auto"/>
                    <w:ind w:left="0" w:leftChars="0" w:right="0" w:rightChars="0"/>
                    <w:jc w:val="both"/>
                    <w:rPr>
                      <w:rFonts w:hint="default" w:ascii="Times New Roman" w:hAnsi="Times New Roman" w:eastAsia="宋体" w:cs="Times New Roman"/>
                      <w:color w:val="000000"/>
                      <w:kern w:val="2"/>
                      <w:sz w:val="21"/>
                      <w:szCs w:val="21"/>
                      <w:highlight w:val="none"/>
                      <w:lang w:val="en-US" w:eastAsia="zh-CN" w:bidi="ar-SA"/>
                    </w:rPr>
                  </w:pPr>
                  <w:r>
                    <w:rPr>
                      <w:rFonts w:hint="default" w:hAnsi="宋体"/>
                      <w:color w:val="000000"/>
                      <w:kern w:val="0"/>
                      <w:sz w:val="21"/>
                      <w:szCs w:val="21"/>
                      <w:highlight w:val="none"/>
                      <w:vertAlign w:val="baseline"/>
                      <w:lang w:val="en-US" w:eastAsia="zh-CN"/>
                    </w:rPr>
                    <w:t>《</w:t>
                  </w:r>
                  <w:r>
                    <w:rPr>
                      <w:rFonts w:hint="eastAsia" w:hAnsi="宋体"/>
                      <w:color w:val="000000"/>
                      <w:kern w:val="0"/>
                      <w:sz w:val="21"/>
                      <w:szCs w:val="21"/>
                      <w:highlight w:val="none"/>
                      <w:vertAlign w:val="baseline"/>
                      <w:lang w:val="en-US" w:eastAsia="zh-CN"/>
                    </w:rPr>
                    <w:t>印刷工业挥发性有机物排放标准</w:t>
                  </w:r>
                  <w:r>
                    <w:rPr>
                      <w:rFonts w:hint="default" w:hAnsi="宋体"/>
                      <w:color w:val="000000"/>
                      <w:kern w:val="0"/>
                      <w:sz w:val="21"/>
                      <w:szCs w:val="21"/>
                      <w:highlight w:val="none"/>
                      <w:vertAlign w:val="baseline"/>
                      <w:lang w:val="en-US" w:eastAsia="zh-CN"/>
                    </w:rPr>
                    <w:t>》</w:t>
                  </w:r>
                  <w:r>
                    <w:rPr>
                      <w:rFonts w:hint="eastAsia"/>
                      <w:color w:val="auto"/>
                      <w:sz w:val="21"/>
                      <w:szCs w:val="21"/>
                      <w:highlight w:val="none"/>
                      <w:lang w:val="en-US" w:eastAsia="zh-CN"/>
                    </w:rPr>
                    <w:t>（DB41/1956-2020）</w:t>
                  </w:r>
                </w:p>
              </w:tc>
              <w:tc>
                <w:tcPr>
                  <w:tcW w:w="930" w:type="dxa"/>
                  <w:vMerge w:val="restart"/>
                  <w:tcBorders>
                    <w:top w:val="single" w:color="auto" w:sz="8" w:space="0"/>
                    <w:tl2br w:val="nil"/>
                    <w:tr2bl w:val="nil"/>
                  </w:tcBorders>
                  <w:noWrap w:val="0"/>
                  <w:vAlign w:val="center"/>
                </w:tcPr>
                <w:p w14:paraId="28FC9A7F">
                  <w:pPr>
                    <w:keepNext w:val="0"/>
                    <w:keepLines w:val="0"/>
                    <w:suppressLineNumbers w:val="0"/>
                    <w:adjustRightInd w:val="0"/>
                    <w:snapToGrid w:val="0"/>
                    <w:spacing w:before="0" w:beforeAutospacing="0" w:after="0" w:afterAutospacing="0"/>
                    <w:ind w:left="0" w:right="0"/>
                    <w:jc w:val="center"/>
                    <w:rPr>
                      <w:rFonts w:hint="default" w:hAnsi="宋体"/>
                      <w:b w:val="0"/>
                      <w:bCs/>
                      <w:color w:val="auto"/>
                      <w:sz w:val="21"/>
                      <w:szCs w:val="21"/>
                      <w:lang w:val="en-US" w:eastAsia="zh-CN"/>
                    </w:rPr>
                  </w:pPr>
                  <w:r>
                    <w:rPr>
                      <w:rFonts w:hint="eastAsia" w:hAnsi="宋体"/>
                      <w:b w:val="0"/>
                      <w:bCs/>
                      <w:color w:val="auto"/>
                      <w:sz w:val="21"/>
                      <w:szCs w:val="21"/>
                      <w:lang w:val="en-US" w:eastAsia="zh-CN"/>
                    </w:rPr>
                    <w:t>非甲烷总烃</w:t>
                  </w:r>
                </w:p>
              </w:tc>
              <w:tc>
                <w:tcPr>
                  <w:tcW w:w="3489" w:type="dxa"/>
                  <w:tcBorders>
                    <w:top w:val="single" w:color="auto" w:sz="8" w:space="0"/>
                    <w:tl2br w:val="nil"/>
                    <w:tr2bl w:val="nil"/>
                  </w:tcBorders>
                  <w:noWrap w:val="0"/>
                  <w:vAlign w:val="center"/>
                </w:tcPr>
                <w:p w14:paraId="7BBA7427">
                  <w:pPr>
                    <w:keepNext w:val="0"/>
                    <w:keepLines w:val="0"/>
                    <w:suppressLineNumbers w:val="0"/>
                    <w:spacing w:before="0" w:beforeAutospacing="0" w:after="0" w:afterAutospacing="0"/>
                    <w:ind w:left="0" w:leftChars="0" w:right="0" w:rightChars="0"/>
                    <w:jc w:val="center"/>
                    <w:rPr>
                      <w:rFonts w:hint="default"/>
                      <w:sz w:val="21"/>
                      <w:szCs w:val="21"/>
                      <w:vertAlign w:val="baseline"/>
                      <w:lang w:val="en-US" w:eastAsia="zh-CN"/>
                    </w:rPr>
                  </w:pPr>
                  <w:r>
                    <w:rPr>
                      <w:rFonts w:hint="eastAsia" w:cs="宋体"/>
                      <w:color w:val="000000"/>
                      <w:sz w:val="21"/>
                      <w:szCs w:val="21"/>
                      <w:lang w:bidi="ar"/>
                    </w:rPr>
                    <w:t>非甲烷总烃：最高允许排放浓度</w:t>
                  </w:r>
                  <w:r>
                    <w:rPr>
                      <w:rFonts w:hint="default"/>
                      <w:color w:val="000000"/>
                      <w:sz w:val="21"/>
                      <w:szCs w:val="21"/>
                      <w:lang w:bidi="ar"/>
                    </w:rPr>
                    <w:t>40 mg/m</w:t>
                  </w:r>
                  <w:r>
                    <w:rPr>
                      <w:rFonts w:hint="default"/>
                      <w:color w:val="000000"/>
                      <w:sz w:val="21"/>
                      <w:szCs w:val="21"/>
                      <w:vertAlign w:val="superscript"/>
                      <w:lang w:bidi="ar"/>
                    </w:rPr>
                    <w:t>3</w:t>
                  </w:r>
                  <w:r>
                    <w:rPr>
                      <w:rFonts w:hint="eastAsia" w:cs="宋体"/>
                      <w:color w:val="000000"/>
                      <w:sz w:val="21"/>
                      <w:szCs w:val="21"/>
                      <w:lang w:bidi="ar"/>
                    </w:rPr>
                    <w:t>；最高允许排放速率</w:t>
                  </w:r>
                  <w:r>
                    <w:rPr>
                      <w:rFonts w:hint="default"/>
                      <w:color w:val="000000"/>
                      <w:sz w:val="21"/>
                      <w:szCs w:val="21"/>
                      <w:lang w:bidi="ar"/>
                    </w:rPr>
                    <w:t>1.0kg/h</w:t>
                  </w:r>
                </w:p>
              </w:tc>
            </w:tr>
            <w:tr w14:paraId="48573E5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continue"/>
                  <w:tcBorders>
                    <w:tl2br w:val="nil"/>
                    <w:tr2bl w:val="nil"/>
                  </w:tcBorders>
                  <w:noWrap w:val="0"/>
                  <w:vAlign w:val="center"/>
                </w:tcPr>
                <w:p w14:paraId="79DC168C">
                  <w:pPr>
                    <w:keepNext w:val="0"/>
                    <w:keepLines w:val="0"/>
                    <w:suppressLineNumbers w:val="0"/>
                    <w:adjustRightInd w:val="0"/>
                    <w:snapToGrid w:val="0"/>
                    <w:spacing w:before="0" w:beforeAutospacing="0" w:after="0" w:afterAutospacing="0"/>
                    <w:ind w:left="0" w:right="0"/>
                    <w:jc w:val="center"/>
                    <w:rPr>
                      <w:rFonts w:hint="eastAsia" w:hAnsi="宋体"/>
                      <w:color w:val="auto"/>
                      <w:sz w:val="21"/>
                      <w:szCs w:val="21"/>
                      <w:lang w:val="en-US" w:eastAsia="zh-CN"/>
                    </w:rPr>
                  </w:pPr>
                </w:p>
              </w:tc>
              <w:tc>
                <w:tcPr>
                  <w:tcW w:w="3465" w:type="dxa"/>
                  <w:vMerge w:val="continue"/>
                  <w:tcBorders>
                    <w:tl2br w:val="nil"/>
                    <w:tr2bl w:val="nil"/>
                  </w:tcBorders>
                  <w:shd w:val="clear" w:color="auto" w:fill="auto"/>
                  <w:noWrap w:val="0"/>
                  <w:vAlign w:val="center"/>
                </w:tcPr>
                <w:p w14:paraId="1F6B5456">
                  <w:pPr>
                    <w:keepNext w:val="0"/>
                    <w:keepLines w:val="0"/>
                    <w:suppressLineNumbers w:val="0"/>
                    <w:adjustRightInd w:val="0"/>
                    <w:snapToGrid w:val="0"/>
                    <w:spacing w:before="0" w:beforeAutospacing="0" w:after="0" w:afterAutospacing="0" w:line="240" w:lineRule="auto"/>
                    <w:ind w:left="0" w:leftChars="0" w:right="0" w:rightChars="0"/>
                    <w:jc w:val="both"/>
                    <w:rPr>
                      <w:rFonts w:hint="default" w:hAnsi="宋体"/>
                      <w:color w:val="000000"/>
                      <w:kern w:val="0"/>
                      <w:sz w:val="21"/>
                      <w:szCs w:val="21"/>
                      <w:highlight w:val="none"/>
                      <w:vertAlign w:val="baseline"/>
                      <w:lang w:val="en-US" w:eastAsia="zh-CN"/>
                    </w:rPr>
                  </w:pPr>
                </w:p>
              </w:tc>
              <w:tc>
                <w:tcPr>
                  <w:tcW w:w="930" w:type="dxa"/>
                  <w:vMerge w:val="continue"/>
                  <w:tcBorders>
                    <w:tl2br w:val="nil"/>
                    <w:tr2bl w:val="nil"/>
                  </w:tcBorders>
                  <w:noWrap w:val="0"/>
                  <w:vAlign w:val="center"/>
                </w:tcPr>
                <w:p w14:paraId="5D085BBF">
                  <w:pPr>
                    <w:keepNext w:val="0"/>
                    <w:keepLines w:val="0"/>
                    <w:suppressLineNumbers w:val="0"/>
                    <w:adjustRightInd w:val="0"/>
                    <w:snapToGrid w:val="0"/>
                    <w:spacing w:before="0" w:beforeAutospacing="0" w:after="0" w:afterAutospacing="0"/>
                    <w:ind w:left="0" w:right="0"/>
                    <w:jc w:val="center"/>
                    <w:rPr>
                      <w:rFonts w:hint="eastAsia" w:hAnsi="宋体"/>
                      <w:b w:val="0"/>
                      <w:bCs/>
                      <w:color w:val="auto"/>
                      <w:sz w:val="21"/>
                      <w:szCs w:val="21"/>
                      <w:lang w:val="en-US" w:eastAsia="zh-CN"/>
                    </w:rPr>
                  </w:pPr>
                </w:p>
              </w:tc>
              <w:tc>
                <w:tcPr>
                  <w:tcW w:w="3489" w:type="dxa"/>
                  <w:tcBorders>
                    <w:tl2br w:val="nil"/>
                    <w:tr2bl w:val="nil"/>
                  </w:tcBorders>
                  <w:noWrap w:val="0"/>
                  <w:vAlign w:val="center"/>
                </w:tcPr>
                <w:p w14:paraId="7CCDA6CF">
                  <w:pPr>
                    <w:keepNext w:val="0"/>
                    <w:keepLines w:val="0"/>
                    <w:suppressLineNumbers w:val="0"/>
                    <w:spacing w:before="0" w:beforeAutospacing="0" w:after="0" w:afterAutospacing="0"/>
                    <w:ind w:left="0" w:leftChars="0" w:right="0" w:rightChars="0"/>
                    <w:jc w:val="center"/>
                    <w:rPr>
                      <w:rFonts w:hint="eastAsia"/>
                      <w:sz w:val="21"/>
                      <w:szCs w:val="21"/>
                      <w:lang w:val="en-US" w:eastAsia="zh-CN"/>
                    </w:rPr>
                  </w:pPr>
                  <w:r>
                    <w:rPr>
                      <w:rFonts w:hint="eastAsia" w:cs="宋体"/>
                      <w:color w:val="000000"/>
                      <w:sz w:val="21"/>
                      <w:szCs w:val="21"/>
                      <w:lang w:bidi="ar"/>
                    </w:rPr>
                    <w:t>企业厂区内</w:t>
                  </w:r>
                  <w:r>
                    <w:rPr>
                      <w:rFonts w:hint="default"/>
                      <w:color w:val="000000"/>
                      <w:sz w:val="21"/>
                      <w:szCs w:val="21"/>
                      <w:lang w:bidi="ar"/>
                    </w:rPr>
                    <w:t>VOCs</w:t>
                  </w:r>
                  <w:r>
                    <w:rPr>
                      <w:rFonts w:hint="eastAsia" w:cs="宋体"/>
                      <w:color w:val="000000"/>
                      <w:sz w:val="21"/>
                      <w:szCs w:val="21"/>
                      <w:lang w:bidi="ar"/>
                    </w:rPr>
                    <w:t>无组织排放限值：</w:t>
                  </w:r>
                  <w:r>
                    <w:rPr>
                      <w:rFonts w:hint="default"/>
                      <w:color w:val="000000"/>
                      <w:sz w:val="21"/>
                      <w:szCs w:val="21"/>
                      <w:lang w:bidi="ar"/>
                    </w:rPr>
                    <w:t>6mg/m</w:t>
                  </w:r>
                  <w:r>
                    <w:rPr>
                      <w:rFonts w:hint="default"/>
                      <w:color w:val="000000"/>
                      <w:sz w:val="21"/>
                      <w:szCs w:val="21"/>
                      <w:vertAlign w:val="superscript"/>
                      <w:lang w:bidi="ar"/>
                    </w:rPr>
                    <w:t>3</w:t>
                  </w:r>
                  <w:r>
                    <w:rPr>
                      <w:rFonts w:hint="eastAsia" w:cs="宋体"/>
                      <w:color w:val="000000"/>
                      <w:sz w:val="21"/>
                      <w:szCs w:val="21"/>
                      <w:lang w:bidi="ar"/>
                    </w:rPr>
                    <w:t>（监控点处</w:t>
                  </w:r>
                  <w:r>
                    <w:rPr>
                      <w:rFonts w:hint="default"/>
                      <w:color w:val="000000"/>
                      <w:sz w:val="21"/>
                      <w:szCs w:val="21"/>
                      <w:lang w:bidi="ar"/>
                    </w:rPr>
                    <w:t>1h</w:t>
                  </w:r>
                  <w:r>
                    <w:rPr>
                      <w:rFonts w:hint="eastAsia" w:cs="宋体"/>
                      <w:color w:val="000000"/>
                      <w:sz w:val="21"/>
                      <w:szCs w:val="21"/>
                      <w:lang w:bidi="ar"/>
                    </w:rPr>
                    <w:t>平均浓度值）</w:t>
                  </w:r>
                </w:p>
              </w:tc>
            </w:tr>
            <w:tr w14:paraId="5A4A5C5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continue"/>
                  <w:tcBorders>
                    <w:tl2br w:val="nil"/>
                    <w:tr2bl w:val="nil"/>
                  </w:tcBorders>
                  <w:noWrap w:val="0"/>
                  <w:vAlign w:val="center"/>
                </w:tcPr>
                <w:p w14:paraId="11D18266">
                  <w:pPr>
                    <w:keepNext w:val="0"/>
                    <w:keepLines w:val="0"/>
                    <w:suppressLineNumbers w:val="0"/>
                    <w:adjustRightInd w:val="0"/>
                    <w:snapToGrid w:val="0"/>
                    <w:spacing w:before="0" w:beforeAutospacing="0" w:after="0" w:afterAutospacing="0"/>
                    <w:ind w:left="0" w:right="0"/>
                    <w:jc w:val="center"/>
                    <w:rPr>
                      <w:rFonts w:hint="eastAsia" w:hAnsi="宋体"/>
                      <w:color w:val="auto"/>
                      <w:sz w:val="21"/>
                      <w:szCs w:val="21"/>
                      <w:lang w:val="en-US" w:eastAsia="zh-CN"/>
                    </w:rPr>
                  </w:pPr>
                </w:p>
              </w:tc>
              <w:tc>
                <w:tcPr>
                  <w:tcW w:w="3465" w:type="dxa"/>
                  <w:tcBorders>
                    <w:tl2br w:val="nil"/>
                    <w:tr2bl w:val="nil"/>
                  </w:tcBorders>
                  <w:shd w:val="clear" w:color="auto" w:fill="auto"/>
                  <w:noWrap w:val="0"/>
                  <w:vAlign w:val="center"/>
                </w:tcPr>
                <w:p w14:paraId="2637C6E6">
                  <w:pPr>
                    <w:keepNext w:val="0"/>
                    <w:keepLines w:val="0"/>
                    <w:suppressLineNumbers w:val="0"/>
                    <w:adjustRightInd w:val="0"/>
                    <w:snapToGrid w:val="0"/>
                    <w:spacing w:before="0" w:beforeAutospacing="0" w:after="0" w:afterAutospacing="0"/>
                    <w:ind w:left="0" w:leftChars="0" w:right="0" w:rightChars="0"/>
                    <w:jc w:val="center"/>
                    <w:rPr>
                      <w:rFonts w:hint="eastAsia"/>
                      <w:color w:val="000000" w:themeColor="text1"/>
                      <w:sz w:val="21"/>
                      <w:szCs w:val="21"/>
                      <w:highlight w:val="none"/>
                      <w14:textFill>
                        <w14:solidFill>
                          <w14:schemeClr w14:val="tx1"/>
                        </w14:solidFill>
                      </w14:textFill>
                    </w:rPr>
                  </w:pPr>
                  <w:r>
                    <w:rPr>
                      <w:rFonts w:hint="eastAsia"/>
                      <w:sz w:val="21"/>
                      <w:szCs w:val="21"/>
                      <w:lang w:val="en-US" w:eastAsia="zh-CN"/>
                    </w:rPr>
                    <w:t>《重污染天气重点行业应急减排措施制定技术指南》（2020年修订版）包装装潢及其他印刷A级要求</w:t>
                  </w:r>
                </w:p>
              </w:tc>
              <w:tc>
                <w:tcPr>
                  <w:tcW w:w="930" w:type="dxa"/>
                  <w:tcBorders>
                    <w:tl2br w:val="nil"/>
                    <w:tr2bl w:val="nil"/>
                  </w:tcBorders>
                  <w:noWrap w:val="0"/>
                  <w:vAlign w:val="center"/>
                </w:tcPr>
                <w:p w14:paraId="079D7958">
                  <w:pPr>
                    <w:keepNext w:val="0"/>
                    <w:keepLines w:val="0"/>
                    <w:suppressLineNumbers w:val="0"/>
                    <w:adjustRightInd w:val="0"/>
                    <w:snapToGrid w:val="0"/>
                    <w:spacing w:before="0" w:beforeAutospacing="0" w:after="0" w:afterAutospacing="0"/>
                    <w:ind w:left="0" w:leftChars="0" w:right="0" w:rightChars="0"/>
                    <w:jc w:val="center"/>
                    <w:rPr>
                      <w:rFonts w:hint="default" w:hAnsi="宋体"/>
                      <w:b w:val="0"/>
                      <w:bCs/>
                      <w:color w:val="auto"/>
                      <w:sz w:val="21"/>
                      <w:szCs w:val="21"/>
                      <w:lang w:val="en-US" w:eastAsia="zh-CN"/>
                    </w:rPr>
                  </w:pPr>
                  <w:r>
                    <w:rPr>
                      <w:rFonts w:hint="eastAsia"/>
                      <w:color w:val="auto"/>
                      <w:sz w:val="21"/>
                      <w:szCs w:val="21"/>
                      <w:highlight w:val="none"/>
                      <w:shd w:val="clear" w:color="auto" w:fill="FFFFFF"/>
                      <w:lang w:val="en-US" w:eastAsia="zh-CN"/>
                    </w:rPr>
                    <w:t>非甲烷总烃</w:t>
                  </w:r>
                </w:p>
              </w:tc>
              <w:tc>
                <w:tcPr>
                  <w:tcW w:w="3489" w:type="dxa"/>
                  <w:tcBorders>
                    <w:tl2br w:val="nil"/>
                    <w:tr2bl w:val="nil"/>
                  </w:tcBorders>
                  <w:noWrap w:val="0"/>
                  <w:vAlign w:val="center"/>
                </w:tcPr>
                <w:p w14:paraId="766197C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sz w:val="21"/>
                      <w:szCs w:val="21"/>
                      <w:vertAlign w:val="baseline"/>
                      <w:lang w:val="en-US" w:eastAsia="zh-CN"/>
                    </w:rPr>
                  </w:pPr>
                  <w:r>
                    <w:rPr>
                      <w:rFonts w:hint="default" w:ascii="Times New Roman" w:hAnsi="Times New Roman" w:eastAsia="宋体" w:cs="Times New Roman"/>
                      <w:sz w:val="21"/>
                      <w:szCs w:val="21"/>
                    </w:rPr>
                    <w:t>车间或生产设施排气筒排放的NMHC为</w:t>
                  </w:r>
                  <w:r>
                    <w:rPr>
                      <w:rFonts w:hint="eastAsia" w:cs="Times New Roman"/>
                      <w:sz w:val="21"/>
                      <w:szCs w:val="21"/>
                      <w:lang w:val="en-US" w:eastAsia="zh-CN"/>
                    </w:rPr>
                    <w:t>20</w:t>
                  </w:r>
                  <w:r>
                    <w:rPr>
                      <w:rFonts w:hint="default" w:ascii="Times New Roman" w:hAnsi="Times New Roman" w:eastAsia="宋体" w:cs="Times New Roman"/>
                      <w:sz w:val="21"/>
                      <w:szCs w:val="21"/>
                    </w:rPr>
                    <w:t>-</w:t>
                  </w:r>
                  <w:r>
                    <w:rPr>
                      <w:rFonts w:hint="eastAsia" w:cs="Times New Roman"/>
                      <w:sz w:val="21"/>
                      <w:szCs w:val="21"/>
                      <w:lang w:val="en-US" w:eastAsia="zh-CN"/>
                    </w:rPr>
                    <w:t>3</w:t>
                  </w:r>
                  <w:r>
                    <w:rPr>
                      <w:rFonts w:hint="default" w:ascii="Times New Roman" w:hAnsi="Times New Roman" w:eastAsia="宋体" w:cs="Times New Roman"/>
                      <w:sz w:val="21"/>
                      <w:szCs w:val="21"/>
                    </w:rPr>
                    <w:t>0 mg/m</w:t>
                  </w:r>
                  <w:r>
                    <w:rPr>
                      <w:rFonts w:hint="default" w:ascii="Times New Roman" w:hAnsi="Times New Roman" w:eastAsia="宋体" w:cs="Times New Roman"/>
                      <w:sz w:val="21"/>
                      <w:szCs w:val="21"/>
                      <w:vertAlign w:val="superscript"/>
                    </w:rPr>
                    <w:t>3</w:t>
                  </w:r>
                  <w:r>
                    <w:rPr>
                      <w:rFonts w:hint="eastAsia" w:cs="Times New Roman"/>
                      <w:sz w:val="21"/>
                      <w:szCs w:val="21"/>
                      <w:vertAlign w:val="baseline"/>
                      <w:lang w:eastAsia="zh-CN"/>
                    </w:rPr>
                    <w:t>；</w:t>
                  </w:r>
                  <w:r>
                    <w:rPr>
                      <w:rFonts w:hint="default" w:ascii="Times New Roman" w:hAnsi="Times New Roman" w:eastAsia="宋体" w:cs="Times New Roman"/>
                      <w:sz w:val="21"/>
                      <w:szCs w:val="21"/>
                    </w:rPr>
                    <w:t>厂区内无组织排放监控点NMHC的1h平均浓度值不高于6 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、任意一次浓度值不高于20mg/m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w:t>
                  </w:r>
                </w:p>
              </w:tc>
            </w:tr>
            <w:tr w14:paraId="03F508D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continue"/>
                  <w:tcBorders>
                    <w:tl2br w:val="nil"/>
                    <w:tr2bl w:val="nil"/>
                  </w:tcBorders>
                  <w:noWrap w:val="0"/>
                  <w:vAlign w:val="center"/>
                </w:tcPr>
                <w:p w14:paraId="71ADEE5F">
                  <w:pPr>
                    <w:keepNext w:val="0"/>
                    <w:keepLines w:val="0"/>
                    <w:suppressLineNumbers w:val="0"/>
                    <w:adjustRightInd w:val="0"/>
                    <w:snapToGrid w:val="0"/>
                    <w:spacing w:before="0" w:beforeAutospacing="0" w:after="0" w:afterAutospacing="0"/>
                    <w:ind w:left="0" w:right="0"/>
                    <w:jc w:val="center"/>
                    <w:rPr>
                      <w:rFonts w:hint="eastAsia" w:hAnsi="宋体"/>
                      <w:color w:val="auto"/>
                      <w:sz w:val="21"/>
                      <w:szCs w:val="21"/>
                      <w:lang w:val="en-US" w:eastAsia="zh-CN"/>
                    </w:rPr>
                  </w:pPr>
                </w:p>
              </w:tc>
              <w:tc>
                <w:tcPr>
                  <w:tcW w:w="3465" w:type="dxa"/>
                  <w:tcBorders>
                    <w:tl2br w:val="nil"/>
                    <w:tr2bl w:val="nil"/>
                  </w:tcBorders>
                  <w:shd w:val="clear" w:color="auto" w:fill="auto"/>
                  <w:noWrap w:val="0"/>
                  <w:vAlign w:val="center"/>
                </w:tcPr>
                <w:p w14:paraId="19E187D0">
                  <w:pPr>
                    <w:keepNext w:val="0"/>
                    <w:keepLines w:val="0"/>
                    <w:suppressLineNumbers w:val="0"/>
                    <w:adjustRightInd w:val="0"/>
                    <w:snapToGrid w:val="0"/>
                    <w:spacing w:before="0" w:beforeAutospacing="0" w:after="0" w:afterAutospacing="0"/>
                    <w:ind w:left="0" w:leftChars="0" w:right="0" w:rightChars="0"/>
                    <w:jc w:val="center"/>
                    <w:rPr>
                      <w:rFonts w:hint="eastAsia"/>
                      <w:sz w:val="21"/>
                      <w:szCs w:val="21"/>
                      <w:lang w:val="en-US" w:eastAsia="zh-CN"/>
                    </w:rPr>
                  </w:pPr>
                  <w:r>
                    <w:rPr>
                      <w:rFonts w:hint="eastAsia"/>
                      <w:sz w:val="21"/>
                      <w:szCs w:val="21"/>
                      <w:lang w:val="en-US" w:eastAsia="zh-CN"/>
                    </w:rPr>
                    <w:t>《河南省重污染天气通用行业应急减排措施制定技术指南》（2024年修订版）通用涉VOCs企业绩效引领性指标</w:t>
                  </w:r>
                </w:p>
              </w:tc>
              <w:tc>
                <w:tcPr>
                  <w:tcW w:w="930" w:type="dxa"/>
                  <w:tcBorders>
                    <w:tl2br w:val="nil"/>
                    <w:tr2bl w:val="nil"/>
                  </w:tcBorders>
                  <w:noWrap w:val="0"/>
                  <w:vAlign w:val="center"/>
                </w:tcPr>
                <w:p w14:paraId="48F8CBE7">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shd w:val="clear" w:color="auto" w:fill="FFFFFF"/>
                      <w:lang w:val="en-US" w:eastAsia="zh-CN"/>
                    </w:rPr>
                  </w:pPr>
                  <w:r>
                    <w:rPr>
                      <w:rFonts w:hint="eastAsia"/>
                      <w:color w:val="auto"/>
                      <w:sz w:val="21"/>
                      <w:szCs w:val="21"/>
                      <w:highlight w:val="none"/>
                      <w:shd w:val="clear" w:color="auto" w:fill="FFFFFF"/>
                      <w:lang w:val="en-US" w:eastAsia="zh-CN"/>
                    </w:rPr>
                    <w:t>非甲烷总烃</w:t>
                  </w:r>
                </w:p>
              </w:tc>
              <w:tc>
                <w:tcPr>
                  <w:tcW w:w="3489" w:type="dxa"/>
                  <w:tcBorders>
                    <w:tl2br w:val="nil"/>
                    <w:tr2bl w:val="nil"/>
                  </w:tcBorders>
                  <w:noWrap w:val="0"/>
                  <w:vAlign w:val="center"/>
                </w:tcPr>
                <w:p w14:paraId="0281B55B">
                  <w:pPr>
                    <w:keepNext w:val="0"/>
                    <w:keepLines w:val="0"/>
                    <w:widowControl/>
                    <w:suppressLineNumbers w:val="0"/>
                    <w:spacing w:before="0" w:beforeAutospacing="0" w:after="0" w:afterAutospacing="0"/>
                    <w:ind w:left="0" w:right="0"/>
                    <w:jc w:val="left"/>
                    <w:rPr>
                      <w:rFonts w:hint="default" w:ascii="Times New Roman" w:hAnsi="Times New Roman" w:eastAsia="宋体" w:cs="Times New Roman"/>
                      <w:sz w:val="21"/>
                      <w:szCs w:val="21"/>
                    </w:rPr>
                  </w:pPr>
                  <w:r>
                    <w:rPr>
                      <w:rFonts w:hint="default" w:ascii="Times New Roman" w:hAnsi="Times New Roman" w:eastAsia="宋体" w:cs="Times New Roman"/>
                      <w:b w:val="0"/>
                      <w:bCs w:val="0"/>
                      <w:color w:val="000000"/>
                      <w:kern w:val="0"/>
                      <w:sz w:val="21"/>
                      <w:szCs w:val="21"/>
                      <w:lang w:val="en-US" w:eastAsia="zh-CN" w:bidi="ar"/>
                    </w:rPr>
                    <w:t>NMHC排放限值不高于30mg/m</w:t>
                  </w:r>
                  <w:r>
                    <w:rPr>
                      <w:rFonts w:hint="default" w:ascii="Times New Roman" w:hAnsi="Times New Roman" w:eastAsia="宋体" w:cs="Times New Roman"/>
                      <w:b w:val="0"/>
                      <w:bCs w:val="0"/>
                      <w:color w:val="000000"/>
                      <w:kern w:val="0"/>
                      <w:sz w:val="21"/>
                      <w:szCs w:val="21"/>
                      <w:vertAlign w:val="superscript"/>
                      <w:lang w:val="en-US" w:eastAsia="zh-CN" w:bidi="ar"/>
                    </w:rPr>
                    <w:t>3</w:t>
                  </w:r>
                </w:p>
              </w:tc>
            </w:tr>
            <w:tr w14:paraId="4564454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continue"/>
                  <w:tcBorders>
                    <w:tl2br w:val="nil"/>
                    <w:tr2bl w:val="nil"/>
                  </w:tcBorders>
                  <w:noWrap w:val="0"/>
                  <w:vAlign w:val="center"/>
                </w:tcPr>
                <w:p w14:paraId="7096C467">
                  <w:pPr>
                    <w:keepNext w:val="0"/>
                    <w:keepLines w:val="0"/>
                    <w:suppressLineNumbers w:val="0"/>
                    <w:adjustRightInd w:val="0"/>
                    <w:snapToGrid w:val="0"/>
                    <w:spacing w:before="0" w:beforeAutospacing="0" w:after="0" w:afterAutospacing="0"/>
                    <w:ind w:left="0" w:right="0"/>
                    <w:jc w:val="center"/>
                    <w:rPr>
                      <w:rFonts w:hint="eastAsia" w:hAnsi="宋体"/>
                      <w:color w:val="auto"/>
                      <w:sz w:val="21"/>
                      <w:szCs w:val="21"/>
                      <w:lang w:val="en-US" w:eastAsia="zh-CN"/>
                    </w:rPr>
                  </w:pPr>
                </w:p>
              </w:tc>
              <w:tc>
                <w:tcPr>
                  <w:tcW w:w="3465" w:type="dxa"/>
                  <w:tcBorders>
                    <w:tl2br w:val="nil"/>
                    <w:tr2bl w:val="nil"/>
                  </w:tcBorders>
                  <w:shd w:val="clear" w:color="auto" w:fill="auto"/>
                  <w:noWrap w:val="0"/>
                  <w:vAlign w:val="center"/>
                </w:tcPr>
                <w:p w14:paraId="25DA96AE">
                  <w:pPr>
                    <w:keepNext w:val="0"/>
                    <w:keepLines w:val="0"/>
                    <w:suppressLineNumbers w:val="0"/>
                    <w:adjustRightInd w:val="0"/>
                    <w:snapToGrid w:val="0"/>
                    <w:spacing w:before="0" w:beforeAutospacing="0" w:after="0" w:afterAutospacing="0"/>
                    <w:ind w:left="0" w:leftChars="0" w:right="0" w:rightChars="0"/>
                    <w:jc w:val="center"/>
                    <w:rPr>
                      <w:rFonts w:hint="eastAsia"/>
                      <w:sz w:val="21"/>
                      <w:szCs w:val="21"/>
                      <w:highlight w:val="none"/>
                      <w:lang w:val="en-US" w:eastAsia="zh-CN"/>
                    </w:rPr>
                  </w:pPr>
                  <w:r>
                    <w:rPr>
                      <w:rFonts w:hint="eastAsia"/>
                      <w:sz w:val="21"/>
                      <w:szCs w:val="21"/>
                      <w:highlight w:val="none"/>
                      <w:lang w:val="en-US" w:eastAsia="zh-CN"/>
                    </w:rPr>
                    <w:t>《合成树脂工业</w:t>
                  </w:r>
                  <w:r>
                    <w:rPr>
                      <w:rFonts w:hint="eastAsia"/>
                      <w:color w:val="auto"/>
                      <w:sz w:val="21"/>
                      <w:szCs w:val="21"/>
                      <w:highlight w:val="none"/>
                    </w:rPr>
                    <w:t>污染物排放标准</w:t>
                  </w:r>
                  <w:r>
                    <w:rPr>
                      <w:rFonts w:hint="eastAsia"/>
                      <w:sz w:val="21"/>
                      <w:szCs w:val="21"/>
                      <w:highlight w:val="none"/>
                      <w:lang w:val="en-US" w:eastAsia="zh-CN"/>
                    </w:rPr>
                    <w:t>》</w:t>
                  </w:r>
                  <w:r>
                    <w:rPr>
                      <w:rFonts w:hint="eastAsia"/>
                      <w:color w:val="auto"/>
                      <w:sz w:val="21"/>
                      <w:szCs w:val="21"/>
                      <w:highlight w:val="none"/>
                    </w:rPr>
                    <w:t>（GB31572-2015）</w:t>
                  </w:r>
                  <w:r>
                    <w:rPr>
                      <w:rFonts w:hint="eastAsia"/>
                      <w:color w:val="auto"/>
                      <w:sz w:val="21"/>
                      <w:szCs w:val="21"/>
                      <w:highlight w:val="none"/>
                      <w:lang w:eastAsia="zh-CN"/>
                    </w:rPr>
                    <w:t>（</w:t>
                  </w:r>
                  <w:r>
                    <w:rPr>
                      <w:rFonts w:hint="eastAsia"/>
                      <w:color w:val="auto"/>
                      <w:sz w:val="21"/>
                      <w:szCs w:val="21"/>
                      <w:highlight w:val="none"/>
                      <w:lang w:val="en-US" w:eastAsia="zh-CN"/>
                    </w:rPr>
                    <w:t>含2024年修改单</w:t>
                  </w:r>
                  <w:r>
                    <w:rPr>
                      <w:rFonts w:hint="eastAsia"/>
                      <w:color w:val="auto"/>
                      <w:sz w:val="21"/>
                      <w:szCs w:val="21"/>
                      <w:highlight w:val="none"/>
                      <w:lang w:eastAsia="zh-CN"/>
                    </w:rPr>
                    <w:t>）</w:t>
                  </w:r>
                </w:p>
              </w:tc>
              <w:tc>
                <w:tcPr>
                  <w:tcW w:w="930" w:type="dxa"/>
                  <w:tcBorders>
                    <w:tl2br w:val="nil"/>
                    <w:tr2bl w:val="nil"/>
                  </w:tcBorders>
                  <w:noWrap w:val="0"/>
                  <w:vAlign w:val="center"/>
                </w:tcPr>
                <w:p w14:paraId="0643C9F6">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shd w:val="clear" w:color="auto" w:fill="FFFFFF"/>
                      <w:lang w:val="en-US" w:eastAsia="zh-CN"/>
                    </w:rPr>
                  </w:pPr>
                  <w:r>
                    <w:rPr>
                      <w:rFonts w:hint="eastAsia"/>
                      <w:color w:val="auto"/>
                      <w:sz w:val="21"/>
                      <w:szCs w:val="21"/>
                      <w:highlight w:val="none"/>
                      <w:shd w:val="clear" w:color="auto" w:fill="FFFFFF"/>
                      <w:lang w:val="en-US" w:eastAsia="zh-CN"/>
                    </w:rPr>
                    <w:t>非甲烷总烃</w:t>
                  </w:r>
                </w:p>
              </w:tc>
              <w:tc>
                <w:tcPr>
                  <w:tcW w:w="3489" w:type="dxa"/>
                  <w:tcBorders>
                    <w:tl2br w:val="nil"/>
                    <w:tr2bl w:val="nil"/>
                  </w:tcBorders>
                  <w:noWrap w:val="0"/>
                  <w:vAlign w:val="center"/>
                </w:tcPr>
                <w:p w14:paraId="2E0D9824">
                  <w:pPr>
                    <w:keepNext w:val="0"/>
                    <w:keepLines w:val="0"/>
                    <w:suppressLineNumbers w:val="0"/>
                    <w:adjustRightInd w:val="0"/>
                    <w:snapToGrid w:val="0"/>
                    <w:spacing w:before="0" w:beforeAutospacing="0" w:after="0" w:afterAutospacing="0"/>
                    <w:ind w:left="0" w:right="0"/>
                    <w:jc w:val="center"/>
                    <w:rPr>
                      <w:rFonts w:hint="eastAsia"/>
                      <w:bCs/>
                      <w:color w:val="000000" w:themeColor="text1"/>
                      <w:sz w:val="21"/>
                      <w:szCs w:val="21"/>
                      <w:highlight w:val="none"/>
                      <w:vertAlign w:val="baseline"/>
                      <w:lang w:eastAsia="zh-CN"/>
                      <w14:textFill>
                        <w14:solidFill>
                          <w14:schemeClr w14:val="tx1"/>
                        </w14:solidFill>
                      </w14:textFill>
                    </w:rPr>
                  </w:pPr>
                  <w:r>
                    <w:rPr>
                      <w:rFonts w:hint="default" w:hAnsi="宋体"/>
                      <w:color w:val="000000" w:themeColor="text1"/>
                      <w:sz w:val="21"/>
                      <w:szCs w:val="21"/>
                      <w:highlight w:val="none"/>
                      <w14:textFill>
                        <w14:solidFill>
                          <w14:schemeClr w14:val="tx1"/>
                        </w14:solidFill>
                      </w14:textFill>
                    </w:rPr>
                    <w:t>有组织排放限值</w:t>
                  </w:r>
                  <w:r>
                    <w:rPr>
                      <w:rFonts w:hint="eastAsia" w:hAnsi="宋体"/>
                      <w:color w:val="000000" w:themeColor="text1"/>
                      <w:sz w:val="21"/>
                      <w:szCs w:val="21"/>
                      <w:highlight w:val="none"/>
                      <w14:textFill>
                        <w14:solidFill>
                          <w14:schemeClr w14:val="tx1"/>
                        </w14:solidFill>
                      </w14:textFill>
                    </w:rPr>
                    <w:t>：</w:t>
                  </w:r>
                  <w:r>
                    <w:rPr>
                      <w:rFonts w:hint="eastAsia"/>
                      <w:bCs/>
                      <w:color w:val="000000" w:themeColor="text1"/>
                      <w:sz w:val="21"/>
                      <w:szCs w:val="21"/>
                      <w:highlight w:val="none"/>
                      <w14:textFill>
                        <w14:solidFill>
                          <w14:schemeClr w14:val="tx1"/>
                        </w14:solidFill>
                      </w14:textFill>
                    </w:rPr>
                    <w:t>60</w:t>
                  </w:r>
                  <w:r>
                    <w:rPr>
                      <w:rFonts w:hint="default"/>
                      <w:bCs/>
                      <w:color w:val="000000" w:themeColor="text1"/>
                      <w:sz w:val="21"/>
                      <w:szCs w:val="21"/>
                      <w:highlight w:val="none"/>
                      <w14:textFill>
                        <w14:solidFill>
                          <w14:schemeClr w14:val="tx1"/>
                        </w14:solidFill>
                      </w14:textFill>
                    </w:rPr>
                    <w:t>mg/m</w:t>
                  </w:r>
                  <w:r>
                    <w:rPr>
                      <w:rFonts w:hint="default"/>
                      <w:bCs/>
                      <w:color w:val="000000" w:themeColor="text1"/>
                      <w:sz w:val="21"/>
                      <w:szCs w:val="21"/>
                      <w:highlight w:val="none"/>
                      <w:vertAlign w:val="superscript"/>
                      <w14:textFill>
                        <w14:solidFill>
                          <w14:schemeClr w14:val="tx1"/>
                        </w14:solidFill>
                      </w14:textFill>
                    </w:rPr>
                    <w:t>3</w:t>
                  </w:r>
                </w:p>
                <w:p w14:paraId="76E08A9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z w:val="21"/>
                      <w:szCs w:val="21"/>
                      <w:highlight w:val="none"/>
                    </w:rPr>
                  </w:pPr>
                  <w:r>
                    <w:rPr>
                      <w:rFonts w:hint="eastAsia"/>
                      <w:bCs/>
                      <w:color w:val="000000" w:themeColor="text1"/>
                      <w:sz w:val="21"/>
                      <w:szCs w:val="21"/>
                      <w:highlight w:val="none"/>
                      <w:vertAlign w:val="baseline"/>
                      <w:lang w:val="en-US" w:eastAsia="zh-CN"/>
                      <w14:textFill>
                        <w14:solidFill>
                          <w14:schemeClr w14:val="tx1"/>
                        </w14:solidFill>
                      </w14:textFill>
                    </w:rPr>
                    <w:t>单位产品非甲烷总烃排放量0.3kg/t产品</w:t>
                  </w:r>
                </w:p>
              </w:tc>
            </w:tr>
            <w:tr w14:paraId="56744E3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continue"/>
                  <w:tcBorders>
                    <w:tl2br w:val="nil"/>
                    <w:tr2bl w:val="nil"/>
                  </w:tcBorders>
                  <w:noWrap w:val="0"/>
                  <w:vAlign w:val="center"/>
                </w:tcPr>
                <w:p w14:paraId="32664C44">
                  <w:pPr>
                    <w:keepNext w:val="0"/>
                    <w:keepLines w:val="0"/>
                    <w:suppressLineNumbers w:val="0"/>
                    <w:adjustRightInd w:val="0"/>
                    <w:snapToGrid w:val="0"/>
                    <w:spacing w:before="0" w:beforeAutospacing="0" w:after="0" w:afterAutospacing="0"/>
                    <w:ind w:left="0" w:right="0"/>
                    <w:jc w:val="center"/>
                    <w:rPr>
                      <w:rFonts w:hint="default" w:hAnsi="宋体"/>
                      <w:color w:val="auto"/>
                      <w:sz w:val="21"/>
                      <w:szCs w:val="21"/>
                    </w:rPr>
                  </w:pPr>
                </w:p>
              </w:tc>
              <w:tc>
                <w:tcPr>
                  <w:tcW w:w="3465" w:type="dxa"/>
                  <w:tcBorders>
                    <w:tl2br w:val="nil"/>
                    <w:tr2bl w:val="nil"/>
                  </w:tcBorders>
                  <w:noWrap w:val="0"/>
                  <w:vAlign w:val="center"/>
                </w:tcPr>
                <w:p w14:paraId="77BEFF8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val="0"/>
                      <w:bCs/>
                      <w:color w:val="auto"/>
                      <w:kern w:val="2"/>
                      <w:sz w:val="21"/>
                      <w:szCs w:val="21"/>
                      <w:lang w:val="en-US" w:eastAsia="zh-CN" w:bidi="ar-SA"/>
                    </w:rPr>
                  </w:pPr>
                  <w:r>
                    <w:rPr>
                      <w:rFonts w:hint="default"/>
                      <w:sz w:val="21"/>
                      <w:szCs w:val="21"/>
                      <w:lang w:val="en-US" w:eastAsia="zh-CN"/>
                    </w:rPr>
                    <w:t>《关于全省开展工业企业挥发性有机物专项治理工作中排放建议值的通知》（豫环攻坚办[2017]162号）文要求</w:t>
                  </w:r>
                  <w:r>
                    <w:rPr>
                      <w:rFonts w:hint="eastAsia"/>
                      <w:sz w:val="21"/>
                      <w:szCs w:val="21"/>
                      <w:lang w:val="en-US" w:eastAsia="zh-CN"/>
                    </w:rPr>
                    <w:t>的印刷</w:t>
                  </w:r>
                  <w:r>
                    <w:rPr>
                      <w:rFonts w:hint="default"/>
                      <w:sz w:val="21"/>
                      <w:szCs w:val="21"/>
                      <w:lang w:val="en-US" w:eastAsia="zh-CN"/>
                    </w:rPr>
                    <w:t>行业</w:t>
                  </w:r>
                </w:p>
              </w:tc>
              <w:tc>
                <w:tcPr>
                  <w:tcW w:w="930" w:type="dxa"/>
                  <w:tcBorders>
                    <w:tl2br w:val="nil"/>
                    <w:tr2bl w:val="nil"/>
                  </w:tcBorders>
                  <w:noWrap w:val="0"/>
                  <w:vAlign w:val="center"/>
                </w:tcPr>
                <w:p w14:paraId="0FE4CAFB">
                  <w:pPr>
                    <w:keepNext w:val="0"/>
                    <w:keepLines w:val="0"/>
                    <w:suppressLineNumbers w:val="0"/>
                    <w:adjustRightInd w:val="0"/>
                    <w:snapToGrid w:val="0"/>
                    <w:spacing w:before="0" w:beforeAutospacing="0" w:after="0" w:afterAutospacing="0"/>
                    <w:ind w:left="0" w:right="0"/>
                    <w:jc w:val="center"/>
                    <w:rPr>
                      <w:rFonts w:hint="default"/>
                      <w:color w:val="auto"/>
                      <w:sz w:val="21"/>
                      <w:szCs w:val="21"/>
                      <w:shd w:val="clear" w:color="auto" w:fill="FFFFFF"/>
                      <w:lang w:val="en-US" w:eastAsia="zh-CN"/>
                    </w:rPr>
                  </w:pPr>
                  <w:r>
                    <w:rPr>
                      <w:rFonts w:hint="eastAsia"/>
                      <w:color w:val="auto"/>
                      <w:sz w:val="21"/>
                      <w:szCs w:val="21"/>
                      <w:shd w:val="clear" w:color="auto" w:fill="FFFFFF"/>
                      <w:lang w:val="en-US" w:eastAsia="zh-CN"/>
                    </w:rPr>
                    <w:t>非甲烷总烃</w:t>
                  </w:r>
                </w:p>
              </w:tc>
              <w:tc>
                <w:tcPr>
                  <w:tcW w:w="3489" w:type="dxa"/>
                  <w:tcBorders>
                    <w:tl2br w:val="nil"/>
                    <w:tr2bl w:val="nil"/>
                  </w:tcBorders>
                  <w:noWrap w:val="0"/>
                  <w:vAlign w:val="center"/>
                </w:tcPr>
                <w:p w14:paraId="6026D47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eastAsia"/>
                      <w:color w:val="000000"/>
                      <w:sz w:val="21"/>
                      <w:szCs w:val="21"/>
                      <w:highlight w:val="none"/>
                      <w:lang w:val="en-US" w:eastAsia="zh-CN"/>
                    </w:rPr>
                    <w:t>有组织排放浓度50mg/m</w:t>
                  </w:r>
                  <w:r>
                    <w:rPr>
                      <w:rFonts w:hint="eastAsia"/>
                      <w:color w:val="000000"/>
                      <w:sz w:val="21"/>
                      <w:szCs w:val="21"/>
                      <w:highlight w:val="none"/>
                      <w:vertAlign w:val="superscript"/>
                      <w:lang w:val="en-US" w:eastAsia="zh-CN"/>
                    </w:rPr>
                    <w:t>3</w:t>
                  </w:r>
                  <w:r>
                    <w:rPr>
                      <w:rFonts w:hint="eastAsia"/>
                      <w:color w:val="000000"/>
                      <w:sz w:val="21"/>
                      <w:szCs w:val="21"/>
                      <w:highlight w:val="none"/>
                      <w:lang w:val="en-US" w:eastAsia="zh-CN"/>
                    </w:rPr>
                    <w:t>、去除效率</w:t>
                  </w:r>
                  <w:r>
                    <w:rPr>
                      <w:rFonts w:hint="default" w:ascii="Arial" w:hAnsi="Arial" w:cs="Arial"/>
                      <w:color w:val="000000"/>
                      <w:sz w:val="21"/>
                      <w:szCs w:val="21"/>
                      <w:highlight w:val="none"/>
                      <w:lang w:val="en-US" w:eastAsia="zh-CN"/>
                    </w:rPr>
                    <w:t>≥</w:t>
                  </w:r>
                  <w:r>
                    <w:rPr>
                      <w:rFonts w:hint="eastAsia"/>
                      <w:color w:val="000000"/>
                      <w:sz w:val="21"/>
                      <w:szCs w:val="21"/>
                      <w:highlight w:val="none"/>
                      <w:lang w:val="en-US" w:eastAsia="zh-CN"/>
                    </w:rPr>
                    <w:t>70%。无组织排放浓度2.0mg/m</w:t>
                  </w:r>
                  <w:r>
                    <w:rPr>
                      <w:rFonts w:hint="eastAsia"/>
                      <w:color w:val="000000"/>
                      <w:sz w:val="21"/>
                      <w:szCs w:val="21"/>
                      <w:highlight w:val="none"/>
                      <w:vertAlign w:val="superscript"/>
                      <w:lang w:val="en-US" w:eastAsia="zh-CN"/>
                    </w:rPr>
                    <w:t>3</w:t>
                  </w:r>
                  <w:r>
                    <w:rPr>
                      <w:rFonts w:hint="eastAsia"/>
                      <w:color w:val="000000"/>
                      <w:sz w:val="21"/>
                      <w:szCs w:val="21"/>
                      <w:highlight w:val="none"/>
                      <w:vertAlign w:val="baseline"/>
                      <w:lang w:val="en-US" w:eastAsia="zh-CN"/>
                    </w:rPr>
                    <w:t>，</w:t>
                  </w:r>
                  <w:r>
                    <w:rPr>
                      <w:rFonts w:hint="default"/>
                      <w:sz w:val="21"/>
                      <w:szCs w:val="21"/>
                    </w:rPr>
                    <w:t>车间边界处4.0mg/m</w:t>
                  </w:r>
                  <w:r>
                    <w:rPr>
                      <w:rFonts w:hint="default"/>
                      <w:sz w:val="21"/>
                      <w:szCs w:val="21"/>
                      <w:vertAlign w:val="superscript"/>
                    </w:rPr>
                    <w:t>3</w:t>
                  </w:r>
                </w:p>
              </w:tc>
            </w:tr>
            <w:tr w14:paraId="79F4D1C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1" w:type="dxa"/>
                  <w:vMerge w:val="continue"/>
                  <w:tcBorders>
                    <w:tl2br w:val="nil"/>
                    <w:tr2bl w:val="nil"/>
                  </w:tcBorders>
                  <w:noWrap w:val="0"/>
                  <w:vAlign w:val="center"/>
                </w:tcPr>
                <w:p w14:paraId="604773E2">
                  <w:pPr>
                    <w:keepNext w:val="0"/>
                    <w:keepLines w:val="0"/>
                    <w:suppressLineNumbers w:val="0"/>
                    <w:adjustRightInd w:val="0"/>
                    <w:snapToGrid w:val="0"/>
                    <w:spacing w:before="0" w:beforeAutospacing="0" w:after="0" w:afterAutospacing="0"/>
                    <w:ind w:left="0" w:right="0"/>
                    <w:jc w:val="center"/>
                    <w:rPr>
                      <w:rFonts w:hint="default" w:hAnsi="宋体"/>
                      <w:color w:val="auto"/>
                      <w:sz w:val="21"/>
                      <w:szCs w:val="21"/>
                    </w:rPr>
                  </w:pPr>
                </w:p>
              </w:tc>
              <w:tc>
                <w:tcPr>
                  <w:tcW w:w="3465" w:type="dxa"/>
                  <w:tcBorders>
                    <w:tl2br w:val="nil"/>
                    <w:tr2bl w:val="nil"/>
                  </w:tcBorders>
                  <w:noWrap w:val="0"/>
                  <w:vAlign w:val="center"/>
                </w:tcPr>
                <w:p w14:paraId="1B504174">
                  <w:pPr>
                    <w:keepNext w:val="0"/>
                    <w:keepLines w:val="0"/>
                    <w:suppressLineNumbers w:val="0"/>
                    <w:adjustRightInd w:val="0"/>
                    <w:snapToGrid w:val="0"/>
                    <w:spacing w:before="0" w:beforeAutospacing="0" w:after="0" w:afterAutospacing="0"/>
                    <w:ind w:left="0" w:right="0"/>
                    <w:jc w:val="center"/>
                    <w:rPr>
                      <w:rFonts w:hint="eastAsia" w:eastAsia="宋体"/>
                      <w:color w:val="auto"/>
                      <w:sz w:val="21"/>
                      <w:szCs w:val="21"/>
                      <w:highlight w:val="none"/>
                      <w:lang w:eastAsia="zh-CN"/>
                    </w:rPr>
                  </w:pPr>
                  <w:r>
                    <w:rPr>
                      <w:rFonts w:hint="eastAsia"/>
                      <w:color w:val="auto"/>
                      <w:sz w:val="21"/>
                      <w:szCs w:val="21"/>
                      <w:highlight w:val="none"/>
                      <w:lang w:eastAsia="zh-CN"/>
                    </w:rPr>
                    <w:t>《</w:t>
                  </w:r>
                  <w:r>
                    <w:rPr>
                      <w:rFonts w:hint="eastAsia"/>
                      <w:color w:val="auto"/>
                      <w:sz w:val="21"/>
                      <w:szCs w:val="21"/>
                      <w:highlight w:val="none"/>
                      <w:lang w:val="en-US" w:eastAsia="zh-CN"/>
                    </w:rPr>
                    <w:t>挥发性有机物无组织排放控制标准</w:t>
                  </w:r>
                  <w:r>
                    <w:rPr>
                      <w:rFonts w:hint="eastAsia"/>
                      <w:color w:val="auto"/>
                      <w:sz w:val="21"/>
                      <w:szCs w:val="21"/>
                      <w:highlight w:val="none"/>
                      <w:lang w:eastAsia="zh-CN"/>
                    </w:rPr>
                    <w:t>》（</w:t>
                  </w:r>
                  <w:r>
                    <w:rPr>
                      <w:rFonts w:hint="eastAsia"/>
                      <w:color w:val="auto"/>
                      <w:sz w:val="21"/>
                      <w:szCs w:val="21"/>
                      <w:highlight w:val="none"/>
                      <w:lang w:val="en-US" w:eastAsia="zh-CN"/>
                    </w:rPr>
                    <w:t>GB37822-2019</w:t>
                  </w:r>
                  <w:r>
                    <w:rPr>
                      <w:rFonts w:hint="eastAsia"/>
                      <w:color w:val="auto"/>
                      <w:sz w:val="21"/>
                      <w:szCs w:val="21"/>
                      <w:highlight w:val="none"/>
                      <w:lang w:eastAsia="zh-CN"/>
                    </w:rPr>
                    <w:t>）</w:t>
                  </w:r>
                </w:p>
              </w:tc>
              <w:tc>
                <w:tcPr>
                  <w:tcW w:w="930" w:type="dxa"/>
                  <w:tcBorders>
                    <w:tl2br w:val="nil"/>
                    <w:tr2bl w:val="nil"/>
                  </w:tcBorders>
                  <w:noWrap w:val="0"/>
                  <w:vAlign w:val="center"/>
                </w:tcPr>
                <w:p w14:paraId="75D2C5FA">
                  <w:pPr>
                    <w:keepNext w:val="0"/>
                    <w:keepLines w:val="0"/>
                    <w:suppressLineNumbers w:val="0"/>
                    <w:adjustRightInd w:val="0"/>
                    <w:snapToGrid w:val="0"/>
                    <w:spacing w:before="0" w:beforeAutospacing="0" w:after="0" w:afterAutospacing="0"/>
                    <w:ind w:left="0" w:right="0"/>
                    <w:jc w:val="center"/>
                    <w:rPr>
                      <w:rFonts w:hint="eastAsia"/>
                      <w:color w:val="auto"/>
                      <w:sz w:val="21"/>
                      <w:szCs w:val="21"/>
                      <w:shd w:val="clear" w:color="auto" w:fill="FFFFFF"/>
                      <w:lang w:val="en-US" w:eastAsia="zh-CN"/>
                    </w:rPr>
                  </w:pPr>
                  <w:r>
                    <w:rPr>
                      <w:rFonts w:hint="eastAsia"/>
                      <w:color w:val="auto"/>
                      <w:sz w:val="21"/>
                      <w:szCs w:val="21"/>
                      <w:shd w:val="clear" w:color="auto" w:fill="FFFFFF"/>
                      <w:lang w:val="en-US" w:eastAsia="zh-CN"/>
                    </w:rPr>
                    <w:t>非甲烷总烃</w:t>
                  </w:r>
                </w:p>
              </w:tc>
              <w:tc>
                <w:tcPr>
                  <w:tcW w:w="3489" w:type="dxa"/>
                  <w:tcBorders>
                    <w:tl2br w:val="nil"/>
                    <w:tr2bl w:val="nil"/>
                  </w:tcBorders>
                  <w:noWrap w:val="0"/>
                  <w:vAlign w:val="center"/>
                </w:tcPr>
                <w:p w14:paraId="0D567B4B">
                  <w:pPr>
                    <w:pStyle w:val="55"/>
                    <w:keepNext w:val="0"/>
                    <w:keepLines w:val="0"/>
                    <w:suppressLineNumbers w:val="0"/>
                    <w:adjustRightInd w:val="0"/>
                    <w:snapToGrid w:val="0"/>
                    <w:spacing w:before="0" w:beforeAutospacing="0" w:after="0" w:afterAutospacing="0" w:line="240" w:lineRule="auto"/>
                    <w:ind w:left="0" w:right="0" w:firstLine="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在厂房外设置监控点，监控点处1h平均浓度值6</w:t>
                  </w:r>
                  <w:r>
                    <w:rPr>
                      <w:rFonts w:hint="eastAsia" w:ascii="Times New Roman" w:hAnsi="Times New Roman" w:cs="Times New Roman"/>
                      <w:color w:val="000000"/>
                      <w:sz w:val="21"/>
                      <w:szCs w:val="21"/>
                    </w:rPr>
                    <w:t>mg/m</w:t>
                  </w:r>
                  <w:r>
                    <w:rPr>
                      <w:rFonts w:hint="default" w:ascii="Times New Roman" w:hAnsi="Times New Roman" w:cs="Times New Roman"/>
                      <w:color w:val="000000"/>
                      <w:sz w:val="21"/>
                      <w:szCs w:val="21"/>
                    </w:rPr>
                    <w:t>³</w:t>
                  </w:r>
                  <w:r>
                    <w:rPr>
                      <w:rFonts w:hint="eastAsia" w:ascii="Times New Roman" w:hAnsi="Times New Roman" w:cs="Times New Roman"/>
                      <w:color w:val="auto"/>
                      <w:sz w:val="21"/>
                      <w:szCs w:val="21"/>
                      <w:lang w:val="en-US" w:eastAsia="zh-CN"/>
                    </w:rPr>
                    <w:t>，监控点处任意一次浓度值20</w:t>
                  </w:r>
                  <w:r>
                    <w:rPr>
                      <w:rFonts w:hint="eastAsia" w:ascii="Times New Roman" w:hAnsi="Times New Roman" w:cs="Times New Roman"/>
                      <w:color w:val="000000"/>
                      <w:sz w:val="21"/>
                      <w:szCs w:val="21"/>
                    </w:rPr>
                    <w:t>mg/m</w:t>
                  </w:r>
                  <w:r>
                    <w:rPr>
                      <w:rFonts w:hint="default" w:ascii="Times New Roman" w:hAnsi="Times New Roman" w:cs="Times New Roman"/>
                      <w:color w:val="000000"/>
                      <w:sz w:val="21"/>
                      <w:szCs w:val="21"/>
                    </w:rPr>
                    <w:t>³</w:t>
                  </w:r>
                </w:p>
              </w:tc>
            </w:tr>
          </w:tbl>
          <w:p w14:paraId="1310E7A8">
            <w:pPr>
              <w:keepNext w:val="0"/>
              <w:keepLines w:val="0"/>
              <w:suppressLineNumbers w:val="0"/>
              <w:adjustRightInd w:val="0"/>
              <w:snapToGrid w:val="0"/>
              <w:spacing w:before="0" w:beforeAutospacing="0" w:after="0" w:afterAutospacing="0" w:line="440" w:lineRule="exact"/>
              <w:ind w:left="0" w:right="0" w:firstLine="482" w:firstLineChars="200"/>
              <w:textAlignment w:val="baseline"/>
              <w:rPr>
                <w:rFonts w:hint="eastAsia"/>
                <w:b/>
                <w:sz w:val="24"/>
                <w:highlight w:val="none"/>
                <w:lang w:val="en-US" w:eastAsia="zh-CN"/>
              </w:rPr>
            </w:pPr>
            <w:r>
              <w:rPr>
                <w:rFonts w:hint="eastAsia"/>
                <w:b/>
                <w:sz w:val="24"/>
                <w:highlight w:val="none"/>
                <w:lang w:val="en-US" w:eastAsia="zh-CN"/>
              </w:rPr>
              <w:t>注:本项目废气执行以上标准文件中的严值。</w:t>
            </w:r>
          </w:p>
          <w:p w14:paraId="4C6CD23A">
            <w:pPr>
              <w:keepNext w:val="0"/>
              <w:keepLines w:val="0"/>
              <w:suppressLineNumbers w:val="0"/>
              <w:adjustRightInd w:val="0"/>
              <w:snapToGrid w:val="0"/>
              <w:spacing w:before="0" w:beforeAutospacing="0" w:after="0" w:afterAutospacing="0" w:line="440" w:lineRule="exact"/>
              <w:ind w:left="0" w:right="0" w:firstLine="482" w:firstLineChars="200"/>
              <w:textAlignment w:val="baseline"/>
              <w:rPr>
                <w:rFonts w:hint="eastAsia" w:eastAsia="宋体"/>
                <w:b/>
                <w:sz w:val="24"/>
                <w:highlight w:val="none"/>
                <w:lang w:val="en-US" w:eastAsia="zh-CN"/>
              </w:rPr>
            </w:pPr>
            <w:r>
              <w:rPr>
                <w:rFonts w:hint="eastAsia"/>
                <w:b/>
                <w:sz w:val="24"/>
                <w:highlight w:val="none"/>
                <w:lang w:val="en-US" w:eastAsia="zh-CN"/>
              </w:rPr>
              <w:t>2</w:t>
            </w:r>
            <w:r>
              <w:rPr>
                <w:rFonts w:hint="eastAsia"/>
                <w:b/>
                <w:sz w:val="24"/>
                <w:highlight w:val="none"/>
              </w:rPr>
              <w:t>、</w:t>
            </w:r>
            <w:r>
              <w:rPr>
                <w:rFonts w:hint="default"/>
                <w:b/>
                <w:sz w:val="24"/>
                <w:highlight w:val="none"/>
              </w:rPr>
              <w:t>噪声</w:t>
            </w:r>
          </w:p>
          <w:p w14:paraId="66ABF9D0">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宋体" w:hAnsi="宋体"/>
                <w:b/>
                <w:color w:val="auto"/>
                <w:sz w:val="24"/>
                <w:highlight w:val="none"/>
              </w:rPr>
            </w:pPr>
            <w:r>
              <w:rPr>
                <w:rFonts w:hint="eastAsia"/>
                <w:color w:val="auto"/>
                <w:sz w:val="24"/>
                <w:highlight w:val="none"/>
              </w:rPr>
              <w:t>运营期各厂界噪声执行《工业企业厂界环境噪声排放标准》（</w:t>
            </w:r>
            <w:r>
              <w:rPr>
                <w:rFonts w:hint="default"/>
                <w:color w:val="auto"/>
                <w:sz w:val="24"/>
                <w:highlight w:val="none"/>
              </w:rPr>
              <w:t>GB12348-2008</w:t>
            </w:r>
            <w:r>
              <w:rPr>
                <w:rFonts w:hint="eastAsia"/>
                <w:color w:val="auto"/>
                <w:sz w:val="24"/>
                <w:highlight w:val="none"/>
              </w:rPr>
              <w:t>）</w:t>
            </w:r>
            <w:r>
              <w:rPr>
                <w:rFonts w:hint="eastAsia"/>
                <w:color w:val="auto"/>
                <w:sz w:val="24"/>
                <w:highlight w:val="none"/>
                <w:lang w:val="en-US" w:eastAsia="zh-CN"/>
              </w:rPr>
              <w:t>2</w:t>
            </w:r>
            <w:r>
              <w:rPr>
                <w:rFonts w:hint="eastAsia"/>
                <w:color w:val="auto"/>
                <w:sz w:val="24"/>
                <w:highlight w:val="none"/>
              </w:rPr>
              <w:t>类标准，具体标准值见下表。</w:t>
            </w:r>
            <w:bookmarkStart w:id="2" w:name="_Ref308191224"/>
          </w:p>
          <w:p w14:paraId="266E8D33">
            <w:pPr>
              <w:keepNext w:val="0"/>
              <w:keepLines w:val="0"/>
              <w:suppressLineNumbers w:val="0"/>
              <w:adjustRightInd w:val="0"/>
              <w:snapToGrid w:val="0"/>
              <w:spacing w:before="0" w:beforeAutospacing="0" w:after="0" w:afterAutospacing="0" w:line="440" w:lineRule="exact"/>
              <w:ind w:left="0" w:right="0"/>
              <w:jc w:val="center"/>
              <w:rPr>
                <w:rFonts w:hint="default" w:hAnsi="黑体" w:eastAsia="黑体"/>
                <w:color w:val="000000" w:themeColor="text1"/>
                <w:sz w:val="24"/>
                <w:szCs w:val="20"/>
                <w:highlight w:val="none"/>
                <w14:textFill>
                  <w14:solidFill>
                    <w14:schemeClr w14:val="tx1"/>
                  </w14:solidFill>
                </w14:textFill>
              </w:rPr>
            </w:pPr>
            <w:r>
              <w:rPr>
                <w:rFonts w:hint="default" w:ascii="宋体" w:hAnsi="宋体"/>
                <w:b/>
                <w:color w:val="000000" w:themeColor="text1"/>
                <w:sz w:val="24"/>
                <w:highlight w:val="none"/>
                <w14:textFill>
                  <w14:solidFill>
                    <w14:schemeClr w14:val="tx1"/>
                  </w14:solidFill>
                </w14:textFill>
              </w:rPr>
              <w:t>表</w:t>
            </w:r>
            <w:bookmarkEnd w:id="2"/>
            <w:r>
              <w:rPr>
                <w:rFonts w:hint="eastAsia" w:cs="Times New Roman"/>
                <w:b/>
                <w:color w:val="000000" w:themeColor="text1"/>
                <w:sz w:val="24"/>
                <w:highlight w:val="none"/>
                <w:lang w:val="en-US" w:eastAsia="zh-CN"/>
                <w14:textFill>
                  <w14:solidFill>
                    <w14:schemeClr w14:val="tx1"/>
                  </w14:solidFill>
                </w14:textFill>
              </w:rPr>
              <w:t>20</w:t>
            </w:r>
            <w:r>
              <w:rPr>
                <w:rFonts w:hint="eastAsia" w:ascii="宋体" w:hAnsi="宋体"/>
                <w:b/>
                <w:color w:val="000000" w:themeColor="text1"/>
                <w:sz w:val="24"/>
                <w:highlight w:val="none"/>
                <w:lang w:val="en-US" w:eastAsia="zh-CN"/>
                <w14:textFill>
                  <w14:solidFill>
                    <w14:schemeClr w14:val="tx1"/>
                  </w14:solidFill>
                </w14:textFill>
              </w:rPr>
              <w:t xml:space="preserve">  </w:t>
            </w:r>
            <w:r>
              <w:rPr>
                <w:rFonts w:hint="default" w:ascii="宋体" w:hAnsi="宋体"/>
                <w:b/>
                <w:color w:val="000000" w:themeColor="text1"/>
                <w:sz w:val="24"/>
                <w:highlight w:val="none"/>
                <w14:textFill>
                  <w14:solidFill>
                    <w14:schemeClr w14:val="tx1"/>
                  </w14:solidFill>
                </w14:textFill>
              </w:rPr>
              <w:t>工业企业厂界环境噪声排放标准</w:t>
            </w:r>
            <w:r>
              <w:rPr>
                <w:rFonts w:hint="eastAsia" w:ascii="宋体" w:hAnsi="宋体"/>
                <w:b/>
                <w:color w:val="000000" w:themeColor="text1"/>
                <w:sz w:val="24"/>
                <w:highlight w:val="none"/>
                <w:lang w:val="en-US" w:eastAsia="zh-CN"/>
                <w14:textFill>
                  <w14:solidFill>
                    <w14:schemeClr w14:val="tx1"/>
                  </w14:solidFill>
                </w14:textFill>
              </w:rPr>
              <w:t xml:space="preserve">  </w:t>
            </w:r>
            <w:r>
              <w:rPr>
                <w:rFonts w:hint="default" w:ascii="宋体" w:hAnsi="宋体"/>
                <w:b/>
                <w:color w:val="000000" w:themeColor="text1"/>
                <w:sz w:val="24"/>
                <w:highlight w:val="none"/>
                <w14:textFill>
                  <w14:solidFill>
                    <w14:schemeClr w14:val="tx1"/>
                  </w14:solidFill>
                </w14:textFill>
              </w:rPr>
              <w:t>单位：</w:t>
            </w:r>
            <w:r>
              <w:rPr>
                <w:rFonts w:hint="default" w:ascii="Times New Roman" w:hAnsi="Times New Roman" w:cs="Times New Roman"/>
                <w:b/>
                <w:color w:val="000000" w:themeColor="text1"/>
                <w:sz w:val="24"/>
                <w:highlight w:val="none"/>
                <w14:textFill>
                  <w14:solidFill>
                    <w14:schemeClr w14:val="tx1"/>
                  </w14:solidFill>
                </w14:textFill>
              </w:rPr>
              <w:t>dB（A</w:t>
            </w:r>
            <w:r>
              <w:rPr>
                <w:rFonts w:hint="default" w:ascii="Times New Roman" w:hAnsi="Times New Roman" w:eastAsia="黑体" w:cs="Times New Roman"/>
                <w:color w:val="000000" w:themeColor="text1"/>
                <w:sz w:val="24"/>
                <w:szCs w:val="20"/>
                <w:highlight w:val="none"/>
                <w14:textFill>
                  <w14:solidFill>
                    <w14:schemeClr w14:val="tx1"/>
                  </w14:solidFill>
                </w14:textFill>
              </w:rPr>
              <w:t>）</w:t>
            </w:r>
          </w:p>
          <w:tbl>
            <w:tblPr>
              <w:tblStyle w:val="22"/>
              <w:tblW w:w="4999"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25"/>
              <w:gridCol w:w="3150"/>
              <w:gridCol w:w="2888"/>
            </w:tblGrid>
            <w:tr w14:paraId="6321F9C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4" w:type="pct"/>
                  <w:tcBorders>
                    <w:top w:val="single" w:color="auto" w:sz="8" w:space="0"/>
                    <w:bottom w:val="single" w:color="auto" w:sz="8" w:space="0"/>
                    <w:right w:val="single" w:color="auto" w:sz="4" w:space="0"/>
                  </w:tcBorders>
                  <w:noWrap w:val="0"/>
                  <w:vAlign w:val="center"/>
                </w:tcPr>
                <w:p w14:paraId="7FC8A448">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eastAsia"/>
                      <w:b/>
                      <w:color w:val="auto"/>
                      <w:sz w:val="21"/>
                      <w:szCs w:val="21"/>
                      <w:highlight w:val="none"/>
                    </w:rPr>
                    <w:t>类别</w:t>
                  </w:r>
                </w:p>
              </w:tc>
              <w:tc>
                <w:tcPr>
                  <w:tcW w:w="1839" w:type="pct"/>
                  <w:tcBorders>
                    <w:top w:val="single" w:color="auto" w:sz="8" w:space="0"/>
                    <w:left w:val="single" w:color="auto" w:sz="4" w:space="0"/>
                    <w:bottom w:val="single" w:color="auto" w:sz="8" w:space="0"/>
                    <w:right w:val="single" w:color="auto" w:sz="4" w:space="0"/>
                  </w:tcBorders>
                  <w:noWrap w:val="0"/>
                  <w:vAlign w:val="center"/>
                </w:tcPr>
                <w:p w14:paraId="15764090">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eastAsia"/>
                      <w:b/>
                      <w:color w:val="auto"/>
                      <w:sz w:val="21"/>
                      <w:szCs w:val="21"/>
                      <w:highlight w:val="none"/>
                    </w:rPr>
                    <w:t>昼间</w:t>
                  </w:r>
                </w:p>
              </w:tc>
              <w:tc>
                <w:tcPr>
                  <w:tcW w:w="1686" w:type="pct"/>
                  <w:tcBorders>
                    <w:top w:val="single" w:color="auto" w:sz="8" w:space="0"/>
                    <w:left w:val="single" w:color="auto" w:sz="4" w:space="0"/>
                    <w:bottom w:val="single" w:color="auto" w:sz="8" w:space="0"/>
                  </w:tcBorders>
                  <w:noWrap w:val="0"/>
                  <w:vAlign w:val="center"/>
                </w:tcPr>
                <w:p w14:paraId="5F5E69AF">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rPr>
                  </w:pPr>
                  <w:r>
                    <w:rPr>
                      <w:rFonts w:hint="eastAsia"/>
                      <w:b/>
                      <w:color w:val="auto"/>
                      <w:sz w:val="21"/>
                      <w:szCs w:val="21"/>
                      <w:highlight w:val="none"/>
                    </w:rPr>
                    <w:t>夜间</w:t>
                  </w:r>
                </w:p>
              </w:tc>
            </w:tr>
            <w:tr w14:paraId="7D9C975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4" w:type="pct"/>
                  <w:tcBorders>
                    <w:top w:val="single" w:color="auto" w:sz="8" w:space="0"/>
                  </w:tcBorders>
                  <w:noWrap w:val="0"/>
                  <w:vAlign w:val="center"/>
                </w:tcPr>
                <w:p w14:paraId="7A0DC0B2">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w:t>
                  </w:r>
                  <w:r>
                    <w:rPr>
                      <w:rFonts w:hint="eastAsia"/>
                      <w:color w:val="auto"/>
                      <w:sz w:val="21"/>
                      <w:szCs w:val="21"/>
                      <w:highlight w:val="none"/>
                    </w:rPr>
                    <w:t>类</w:t>
                  </w:r>
                </w:p>
              </w:tc>
              <w:tc>
                <w:tcPr>
                  <w:tcW w:w="1839" w:type="pct"/>
                  <w:tcBorders>
                    <w:top w:val="single" w:color="auto" w:sz="8" w:space="0"/>
                  </w:tcBorders>
                  <w:noWrap w:val="0"/>
                  <w:vAlign w:val="center"/>
                </w:tcPr>
                <w:p w14:paraId="4D0A0380">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60</w:t>
                  </w:r>
                </w:p>
              </w:tc>
              <w:tc>
                <w:tcPr>
                  <w:tcW w:w="1686" w:type="pct"/>
                  <w:tcBorders>
                    <w:top w:val="single" w:color="auto" w:sz="8" w:space="0"/>
                  </w:tcBorders>
                  <w:noWrap w:val="0"/>
                  <w:vAlign w:val="center"/>
                </w:tcPr>
                <w:p w14:paraId="449F6B6C">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50</w:t>
                  </w:r>
                </w:p>
              </w:tc>
            </w:tr>
          </w:tbl>
          <w:p w14:paraId="33D38F4E">
            <w:pPr>
              <w:keepNext w:val="0"/>
              <w:keepLines w:val="0"/>
              <w:suppressLineNumbers w:val="0"/>
              <w:adjustRightInd w:val="0"/>
              <w:snapToGrid w:val="0"/>
              <w:spacing w:before="0" w:beforeAutospacing="0" w:after="0" w:afterAutospacing="0" w:line="440" w:lineRule="exact"/>
              <w:ind w:left="0" w:right="0" w:firstLine="482" w:firstLineChars="200"/>
              <w:rPr>
                <w:rFonts w:hint="default"/>
                <w:b/>
                <w:sz w:val="24"/>
                <w:highlight w:val="none"/>
              </w:rPr>
            </w:pPr>
            <w:r>
              <w:rPr>
                <w:rFonts w:hint="eastAsia"/>
                <w:b/>
                <w:sz w:val="24"/>
                <w:highlight w:val="none"/>
                <w:lang w:val="en-US" w:eastAsia="zh-CN"/>
              </w:rPr>
              <w:t>3</w:t>
            </w:r>
            <w:r>
              <w:rPr>
                <w:rFonts w:hint="eastAsia"/>
                <w:b/>
                <w:sz w:val="24"/>
                <w:highlight w:val="none"/>
              </w:rPr>
              <w:t>、固废</w:t>
            </w:r>
          </w:p>
          <w:p w14:paraId="5E07E87C">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jc w:val="both"/>
              <w:rPr>
                <w:rFonts w:hint="eastAsia" w:eastAsia="宋体"/>
                <w:sz w:val="24"/>
                <w:highlight w:val="none"/>
                <w:lang w:eastAsia="zh-CN"/>
              </w:rPr>
            </w:pPr>
            <w:r>
              <w:rPr>
                <w:rFonts w:hint="default"/>
                <w:sz w:val="24"/>
                <w:highlight w:val="none"/>
              </w:rPr>
              <w:t>一般固体废物贮存、处置按照《</w:t>
            </w:r>
            <w:r>
              <w:rPr>
                <w:rFonts w:hint="eastAsia"/>
                <w:sz w:val="24"/>
                <w:highlight w:val="none"/>
              </w:rPr>
              <w:t>一般工业固体废物贮存和填埋污染控制标准</w:t>
            </w:r>
            <w:r>
              <w:rPr>
                <w:rFonts w:hint="default"/>
                <w:sz w:val="24"/>
                <w:highlight w:val="none"/>
              </w:rPr>
              <w:t>》（GB18599-20</w:t>
            </w:r>
            <w:r>
              <w:rPr>
                <w:rFonts w:hint="eastAsia"/>
                <w:sz w:val="24"/>
                <w:highlight w:val="none"/>
              </w:rPr>
              <w:t>20</w:t>
            </w:r>
            <w:r>
              <w:rPr>
                <w:rFonts w:hint="default"/>
                <w:sz w:val="24"/>
                <w:highlight w:val="none"/>
              </w:rPr>
              <w:t>）</w:t>
            </w:r>
            <w:r>
              <w:rPr>
                <w:rFonts w:hint="eastAsia"/>
                <w:sz w:val="24"/>
                <w:highlight w:val="none"/>
              </w:rPr>
              <w:t>要求执行</w:t>
            </w:r>
            <w:r>
              <w:rPr>
                <w:rFonts w:hint="eastAsia"/>
                <w:sz w:val="24"/>
                <w:highlight w:val="none"/>
                <w:lang w:eastAsia="zh-CN"/>
              </w:rPr>
              <w:t>。</w:t>
            </w:r>
          </w:p>
          <w:p w14:paraId="1928D51C">
            <w:pPr>
              <w:keepNext w:val="0"/>
              <w:keepLines w:val="0"/>
              <w:suppressLineNumbers w:val="0"/>
              <w:tabs>
                <w:tab w:val="left" w:pos="3230"/>
              </w:tabs>
              <w:adjustRightInd w:val="0"/>
              <w:snapToGrid w:val="0"/>
              <w:spacing w:before="0" w:beforeAutospacing="0" w:after="0" w:afterAutospacing="0" w:line="440" w:lineRule="exact"/>
              <w:ind w:left="0" w:right="0" w:firstLine="480" w:firstLineChars="200"/>
              <w:jc w:val="both"/>
              <w:rPr>
                <w:rFonts w:hint="eastAsia" w:eastAsia="宋体"/>
                <w:sz w:val="24"/>
                <w:lang w:val="en-US" w:eastAsia="zh-CN"/>
              </w:rPr>
            </w:pPr>
            <w:r>
              <w:rPr>
                <w:rFonts w:hint="default"/>
                <w:sz w:val="24"/>
              </w:rPr>
              <w:t>危险废物贮存、处置执行《危险废物贮存污染控制标准》</w:t>
            </w:r>
            <w:r>
              <w:rPr>
                <w:rFonts w:hint="eastAsia"/>
                <w:sz w:val="24"/>
              </w:rPr>
              <w:t>（</w:t>
            </w:r>
            <w:r>
              <w:rPr>
                <w:rFonts w:hint="default"/>
                <w:sz w:val="24"/>
              </w:rPr>
              <w:t>GB18597-20</w:t>
            </w:r>
            <w:r>
              <w:rPr>
                <w:rFonts w:hint="eastAsia"/>
                <w:sz w:val="24"/>
              </w:rPr>
              <w:t>23）</w:t>
            </w:r>
            <w:r>
              <w:rPr>
                <w:rFonts w:hint="default"/>
                <w:sz w:val="24"/>
              </w:rPr>
              <w:t>中的有关规定</w:t>
            </w:r>
            <w:r>
              <w:rPr>
                <w:rFonts w:hint="eastAsia"/>
                <w:sz w:val="24"/>
                <w:highlight w:val="none"/>
                <w:lang w:eastAsia="zh-CN"/>
              </w:rPr>
              <w:t>。</w:t>
            </w:r>
          </w:p>
        </w:tc>
      </w:tr>
      <w:tr w14:paraId="0BC9C8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8" w:type="dxa"/>
            <w:noWrap w:val="0"/>
            <w:vAlign w:val="center"/>
          </w:tcPr>
          <w:p w14:paraId="05330D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总量</w:t>
            </w:r>
          </w:p>
          <w:p w14:paraId="6C349B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 w:val="24"/>
                <w:szCs w:val="24"/>
              </w:rPr>
            </w:pPr>
            <w:r>
              <w:rPr>
                <w:rFonts w:hint="default" w:hAnsi="宋体"/>
                <w:kern w:val="0"/>
                <w:sz w:val="24"/>
                <w:szCs w:val="24"/>
              </w:rPr>
              <w:t>控制</w:t>
            </w:r>
          </w:p>
          <w:p w14:paraId="40AC75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kern w:val="0"/>
                <w:szCs w:val="21"/>
              </w:rPr>
            </w:pPr>
            <w:r>
              <w:rPr>
                <w:rFonts w:hint="default" w:hAnsi="宋体"/>
                <w:kern w:val="0"/>
                <w:sz w:val="24"/>
                <w:szCs w:val="24"/>
              </w:rPr>
              <w:t>指标</w:t>
            </w:r>
          </w:p>
        </w:tc>
        <w:tc>
          <w:tcPr>
            <w:tcW w:w="8781" w:type="dxa"/>
            <w:noWrap w:val="0"/>
            <w:vAlign w:val="center"/>
          </w:tcPr>
          <w:p w14:paraId="1C5DEC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color w:val="FF0000"/>
                <w:highlight w:val="none"/>
              </w:rPr>
            </w:pPr>
            <w:r>
              <w:rPr>
                <w:rFonts w:hint="eastAsia"/>
                <w:color w:val="auto"/>
                <w:highlight w:val="none"/>
              </w:rPr>
              <w:t>根据新乡市生态环境局关于转发《河南省生态环境厅关于引印发建设项目主要污染物排放总量指标管理工作内部规程的通知》和《新乡市建设项目新增总量指标替代管理指导意见（试行）》的要求，污染物排放量实施区域内双倍替代。</w:t>
            </w:r>
          </w:p>
          <w:p w14:paraId="3032712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bCs/>
                <w:color w:val="auto"/>
                <w:sz w:val="24"/>
                <w:szCs w:val="24"/>
                <w:highlight w:val="none"/>
                <w:lang w:val="en-US" w:eastAsia="zh-CN"/>
              </w:rPr>
            </w:pPr>
            <w:r>
              <w:rPr>
                <w:rFonts w:hint="eastAsia"/>
                <w:color w:val="auto"/>
                <w:highlight w:val="none"/>
                <w:lang w:val="en-US" w:eastAsia="zh-CN"/>
              </w:rPr>
              <w:t>本项目为新建项目，</w:t>
            </w:r>
            <w:r>
              <w:rPr>
                <w:rFonts w:hint="default"/>
                <w:color w:val="auto"/>
                <w:highlight w:val="none"/>
                <w:lang w:val="en-US" w:eastAsia="zh-CN"/>
              </w:rPr>
              <w:t>新增污染物</w:t>
            </w:r>
            <w:r>
              <w:rPr>
                <w:rFonts w:hint="eastAsia"/>
                <w:color w:val="auto"/>
                <w:highlight w:val="none"/>
                <w:lang w:val="en-US" w:eastAsia="zh-CN"/>
              </w:rPr>
              <w:t>排放量</w:t>
            </w:r>
            <w:r>
              <w:rPr>
                <w:rFonts w:hint="default"/>
                <w:color w:val="auto"/>
                <w:highlight w:val="none"/>
                <w:lang w:val="en-US" w:eastAsia="zh-CN"/>
              </w:rPr>
              <w:t>为</w:t>
            </w:r>
            <w:r>
              <w:rPr>
                <w:rFonts w:hint="eastAsia"/>
                <w:color w:val="auto"/>
                <w:highlight w:val="none"/>
                <w:lang w:val="en-US" w:eastAsia="zh-CN"/>
              </w:rPr>
              <w:t>非甲烷总烃</w:t>
            </w:r>
            <w:r>
              <w:rPr>
                <w:rFonts w:hint="default"/>
                <w:color w:val="auto"/>
                <w:highlight w:val="none"/>
                <w:lang w:val="en-US" w:eastAsia="zh-CN"/>
              </w:rPr>
              <w:t>0</w:t>
            </w:r>
            <w:r>
              <w:rPr>
                <w:rFonts w:hint="eastAsia"/>
                <w:color w:val="auto"/>
                <w:highlight w:val="none"/>
                <w:lang w:val="en-US" w:eastAsia="zh-CN"/>
              </w:rPr>
              <w:t>.2199</w:t>
            </w:r>
            <w:r>
              <w:rPr>
                <w:rFonts w:hint="default"/>
                <w:color w:val="auto"/>
                <w:highlight w:val="none"/>
                <w:lang w:val="en-US" w:eastAsia="zh-CN"/>
              </w:rPr>
              <w:t>t/a</w:t>
            </w:r>
            <w:r>
              <w:rPr>
                <w:rFonts w:hint="default"/>
                <w:color w:val="auto"/>
                <w:highlight w:val="none"/>
                <w:lang w:eastAsia="zh-CN"/>
              </w:rPr>
              <w:t>。废气</w:t>
            </w:r>
            <w:r>
              <w:rPr>
                <w:rFonts w:hint="default"/>
                <w:color w:val="auto"/>
                <w:highlight w:val="none"/>
                <w:lang w:val="en-US" w:eastAsia="zh-CN"/>
              </w:rPr>
              <w:t>污染物需进行双倍替代，所需替代量为</w:t>
            </w:r>
            <w:r>
              <w:rPr>
                <w:rFonts w:hint="eastAsia"/>
                <w:color w:val="auto"/>
                <w:highlight w:val="none"/>
                <w:lang w:val="en-US" w:eastAsia="zh-CN"/>
              </w:rPr>
              <w:t>非甲烷总烃</w:t>
            </w:r>
            <w:r>
              <w:rPr>
                <w:rFonts w:hint="eastAsia"/>
                <w:color w:val="auto"/>
                <w:sz w:val="24"/>
                <w:szCs w:val="24"/>
                <w:highlight w:val="none"/>
                <w:lang w:val="en-US" w:eastAsia="zh-CN"/>
              </w:rPr>
              <w:t>0.4398</w:t>
            </w:r>
            <w:r>
              <w:rPr>
                <w:rFonts w:hint="default"/>
                <w:color w:val="auto"/>
                <w:highlight w:val="none"/>
                <w:lang w:val="en-US" w:eastAsia="zh-CN"/>
              </w:rPr>
              <w:t>t/a</w:t>
            </w:r>
            <w:r>
              <w:rPr>
                <w:rFonts w:hint="default"/>
                <w:color w:val="auto"/>
                <w:highlight w:val="none"/>
                <w:lang w:eastAsia="zh-CN"/>
              </w:rPr>
              <w:t>。</w:t>
            </w:r>
            <w:r>
              <w:rPr>
                <w:rFonts w:hint="eastAsia"/>
                <w:color w:val="auto"/>
                <w:highlight w:val="none"/>
                <w:lang w:val="en-US" w:eastAsia="zh-CN"/>
              </w:rPr>
              <w:t>VOCs来自新乡鑫亚纳米材料有限公司关停淘汰产生的5.3171吨。</w:t>
            </w:r>
          </w:p>
          <w:p w14:paraId="5B3D9CDB">
            <w:pPr>
              <w:keepNext w:val="0"/>
              <w:keepLines w:val="0"/>
              <w:suppressLineNumbers w:val="0"/>
              <w:spacing w:before="0" w:beforeAutospacing="0" w:after="0" w:afterAutospacing="0"/>
              <w:ind w:left="0" w:right="0"/>
              <w:rPr>
                <w:rFonts w:hint="eastAsia"/>
                <w:lang w:val="en-US" w:eastAsia="zh-CN"/>
              </w:rPr>
            </w:pPr>
          </w:p>
          <w:p w14:paraId="04964D6E">
            <w:pPr>
              <w:keepNext w:val="0"/>
              <w:keepLines w:val="0"/>
              <w:suppressLineNumbers w:val="0"/>
              <w:spacing w:before="0" w:beforeAutospacing="0" w:after="0" w:afterAutospacing="0"/>
              <w:ind w:left="0" w:right="0"/>
              <w:rPr>
                <w:rFonts w:hint="eastAsia"/>
                <w:lang w:val="en-US" w:eastAsia="zh-CN"/>
              </w:rPr>
            </w:pPr>
          </w:p>
          <w:p w14:paraId="22408A48">
            <w:pPr>
              <w:keepNext w:val="0"/>
              <w:keepLines w:val="0"/>
              <w:suppressLineNumbers w:val="0"/>
              <w:spacing w:before="0" w:beforeAutospacing="0" w:after="0" w:afterAutospacing="0"/>
              <w:ind w:left="0" w:right="0"/>
              <w:rPr>
                <w:rFonts w:hint="eastAsia"/>
                <w:lang w:val="en-US" w:eastAsia="zh-CN"/>
              </w:rPr>
            </w:pPr>
          </w:p>
          <w:p w14:paraId="127227D6">
            <w:pPr>
              <w:keepNext w:val="0"/>
              <w:keepLines w:val="0"/>
              <w:suppressLineNumbers w:val="0"/>
              <w:spacing w:before="0" w:beforeAutospacing="0" w:after="0" w:afterAutospacing="0"/>
              <w:ind w:left="0" w:right="0"/>
              <w:rPr>
                <w:rFonts w:hint="eastAsia"/>
                <w:lang w:val="en-US" w:eastAsia="zh-CN"/>
              </w:rPr>
            </w:pPr>
          </w:p>
          <w:p w14:paraId="5CCE6E41">
            <w:pPr>
              <w:keepNext w:val="0"/>
              <w:keepLines w:val="0"/>
              <w:suppressLineNumbers w:val="0"/>
              <w:spacing w:before="0" w:beforeAutospacing="0" w:after="0" w:afterAutospacing="0"/>
              <w:ind w:left="0" w:right="0"/>
              <w:rPr>
                <w:rFonts w:hint="eastAsia"/>
                <w:lang w:val="en-US" w:eastAsia="zh-CN"/>
              </w:rPr>
            </w:pPr>
          </w:p>
          <w:p w14:paraId="757D86E1">
            <w:pPr>
              <w:keepNext w:val="0"/>
              <w:keepLines w:val="0"/>
              <w:suppressLineNumbers w:val="0"/>
              <w:spacing w:before="0" w:beforeAutospacing="0" w:after="0" w:afterAutospacing="0"/>
              <w:ind w:left="0" w:right="0"/>
              <w:rPr>
                <w:rFonts w:hint="eastAsia"/>
                <w:lang w:val="en-US" w:eastAsia="zh-CN"/>
              </w:rPr>
            </w:pPr>
          </w:p>
          <w:p w14:paraId="13C95A6E">
            <w:pPr>
              <w:keepNext w:val="0"/>
              <w:keepLines w:val="0"/>
              <w:suppressLineNumbers w:val="0"/>
              <w:spacing w:before="0" w:beforeAutospacing="0" w:after="0" w:afterAutospacing="0"/>
              <w:ind w:left="0" w:right="0"/>
              <w:rPr>
                <w:rFonts w:hint="eastAsia"/>
                <w:lang w:val="en-US" w:eastAsia="zh-CN"/>
              </w:rPr>
            </w:pPr>
          </w:p>
          <w:p w14:paraId="45CFC239">
            <w:pPr>
              <w:keepNext w:val="0"/>
              <w:keepLines w:val="0"/>
              <w:suppressLineNumbers w:val="0"/>
              <w:spacing w:before="0" w:beforeAutospacing="0" w:after="0" w:afterAutospacing="0"/>
              <w:ind w:left="0" w:right="0"/>
              <w:rPr>
                <w:rFonts w:hint="eastAsia"/>
                <w:lang w:val="en-US" w:eastAsia="zh-CN"/>
              </w:rPr>
            </w:pPr>
          </w:p>
          <w:p w14:paraId="23BDBD39">
            <w:pPr>
              <w:keepNext w:val="0"/>
              <w:keepLines w:val="0"/>
              <w:suppressLineNumbers w:val="0"/>
              <w:spacing w:before="0" w:beforeAutospacing="0" w:after="0" w:afterAutospacing="0"/>
              <w:ind w:left="0" w:right="0"/>
              <w:rPr>
                <w:rFonts w:hint="eastAsia"/>
                <w:lang w:val="en-US" w:eastAsia="zh-CN"/>
              </w:rPr>
            </w:pPr>
          </w:p>
          <w:p w14:paraId="40A9C559">
            <w:pPr>
              <w:keepNext w:val="0"/>
              <w:keepLines w:val="0"/>
              <w:suppressLineNumbers w:val="0"/>
              <w:spacing w:before="0" w:beforeAutospacing="0" w:after="0" w:afterAutospacing="0"/>
              <w:ind w:left="0" w:right="0"/>
              <w:rPr>
                <w:rFonts w:hint="eastAsia"/>
                <w:lang w:val="en-US" w:eastAsia="zh-CN"/>
              </w:rPr>
            </w:pPr>
          </w:p>
          <w:p w14:paraId="642B33BA">
            <w:pPr>
              <w:pStyle w:val="21"/>
              <w:keepNext w:val="0"/>
              <w:keepLines w:val="0"/>
              <w:suppressLineNumbers w:val="0"/>
              <w:spacing w:before="0" w:beforeAutospacing="0" w:afterAutospacing="0"/>
              <w:ind w:right="0"/>
              <w:rPr>
                <w:rFonts w:hint="eastAsia"/>
                <w:lang w:val="en-US" w:eastAsia="zh-CN"/>
              </w:rPr>
            </w:pPr>
          </w:p>
          <w:p w14:paraId="3146687F">
            <w:pPr>
              <w:keepNext w:val="0"/>
              <w:keepLines w:val="0"/>
              <w:suppressLineNumbers w:val="0"/>
              <w:spacing w:before="0" w:beforeAutospacing="0" w:after="0" w:afterAutospacing="0"/>
              <w:ind w:left="0" w:right="0"/>
              <w:rPr>
                <w:rFonts w:hint="eastAsia"/>
                <w:lang w:val="en-US" w:eastAsia="zh-CN"/>
              </w:rPr>
            </w:pPr>
          </w:p>
          <w:p w14:paraId="27FA0B6E">
            <w:pPr>
              <w:pStyle w:val="21"/>
              <w:keepNext w:val="0"/>
              <w:keepLines w:val="0"/>
              <w:suppressLineNumbers w:val="0"/>
              <w:spacing w:before="0" w:beforeAutospacing="0" w:afterAutospacing="0"/>
              <w:ind w:right="0"/>
              <w:rPr>
                <w:rFonts w:hint="eastAsia"/>
                <w:lang w:val="en-US" w:eastAsia="zh-CN"/>
              </w:rPr>
            </w:pPr>
          </w:p>
          <w:p w14:paraId="3DF9DB5C">
            <w:pPr>
              <w:keepNext w:val="0"/>
              <w:keepLines w:val="0"/>
              <w:suppressLineNumbers w:val="0"/>
              <w:spacing w:before="0" w:beforeAutospacing="0" w:after="0" w:afterAutospacing="0"/>
              <w:ind w:left="0" w:right="0"/>
              <w:rPr>
                <w:rFonts w:hint="eastAsia"/>
                <w:lang w:val="en-US" w:eastAsia="zh-CN"/>
              </w:rPr>
            </w:pPr>
          </w:p>
          <w:p w14:paraId="45A31899">
            <w:pPr>
              <w:pStyle w:val="21"/>
              <w:keepNext w:val="0"/>
              <w:keepLines w:val="0"/>
              <w:suppressLineNumbers w:val="0"/>
              <w:spacing w:before="0" w:beforeAutospacing="0" w:afterAutospacing="0"/>
              <w:ind w:right="0"/>
              <w:rPr>
                <w:rFonts w:hint="eastAsia"/>
                <w:lang w:val="en-US" w:eastAsia="zh-CN"/>
              </w:rPr>
            </w:pPr>
          </w:p>
          <w:p w14:paraId="6371C87C">
            <w:pPr>
              <w:keepNext w:val="0"/>
              <w:keepLines w:val="0"/>
              <w:suppressLineNumbers w:val="0"/>
              <w:spacing w:before="0" w:beforeAutospacing="0" w:after="0" w:afterAutospacing="0"/>
              <w:ind w:left="0" w:right="0"/>
              <w:rPr>
                <w:rFonts w:hint="eastAsia"/>
                <w:lang w:val="en-US" w:eastAsia="zh-CN"/>
              </w:rPr>
            </w:pPr>
          </w:p>
          <w:p w14:paraId="2590E1E3">
            <w:pPr>
              <w:pStyle w:val="21"/>
              <w:keepNext w:val="0"/>
              <w:keepLines w:val="0"/>
              <w:suppressLineNumbers w:val="0"/>
              <w:spacing w:before="0" w:beforeAutospacing="0" w:afterAutospacing="0"/>
              <w:ind w:right="0"/>
              <w:rPr>
                <w:rFonts w:hint="eastAsia"/>
                <w:lang w:val="en-US" w:eastAsia="zh-CN"/>
              </w:rPr>
            </w:pPr>
          </w:p>
          <w:p w14:paraId="015A6436">
            <w:pPr>
              <w:keepNext w:val="0"/>
              <w:keepLines w:val="0"/>
              <w:suppressLineNumbers w:val="0"/>
              <w:spacing w:before="0" w:beforeAutospacing="0" w:after="0" w:afterAutospacing="0"/>
              <w:ind w:left="0" w:right="0"/>
              <w:rPr>
                <w:rFonts w:hint="eastAsia"/>
                <w:lang w:val="en-US" w:eastAsia="zh-CN"/>
              </w:rPr>
            </w:pPr>
          </w:p>
          <w:p w14:paraId="70241E5B">
            <w:pPr>
              <w:pStyle w:val="21"/>
              <w:keepNext w:val="0"/>
              <w:keepLines w:val="0"/>
              <w:suppressLineNumbers w:val="0"/>
              <w:spacing w:before="0" w:beforeAutospacing="0" w:afterAutospacing="0"/>
              <w:ind w:right="0"/>
              <w:rPr>
                <w:rFonts w:hint="eastAsia"/>
                <w:lang w:val="en-US" w:eastAsia="zh-CN"/>
              </w:rPr>
            </w:pPr>
          </w:p>
          <w:p w14:paraId="73E9C2AB">
            <w:pPr>
              <w:keepNext w:val="0"/>
              <w:keepLines w:val="0"/>
              <w:suppressLineNumbers w:val="0"/>
              <w:spacing w:before="0" w:beforeAutospacing="0" w:after="0" w:afterAutospacing="0"/>
              <w:ind w:left="0" w:right="0"/>
              <w:rPr>
                <w:rFonts w:hint="eastAsia"/>
                <w:lang w:val="en-US" w:eastAsia="zh-CN"/>
              </w:rPr>
            </w:pPr>
          </w:p>
          <w:p w14:paraId="7C08C4C3">
            <w:pPr>
              <w:pStyle w:val="21"/>
              <w:keepNext w:val="0"/>
              <w:keepLines w:val="0"/>
              <w:suppressLineNumbers w:val="0"/>
              <w:spacing w:before="0" w:beforeAutospacing="0" w:afterAutospacing="0"/>
              <w:ind w:right="0"/>
              <w:rPr>
                <w:rFonts w:hint="eastAsia"/>
                <w:lang w:val="en-US" w:eastAsia="zh-CN"/>
              </w:rPr>
            </w:pPr>
          </w:p>
          <w:p w14:paraId="77023600">
            <w:pPr>
              <w:keepNext w:val="0"/>
              <w:keepLines w:val="0"/>
              <w:suppressLineNumbers w:val="0"/>
              <w:spacing w:before="0" w:beforeAutospacing="0" w:after="0" w:afterAutospacing="0"/>
              <w:ind w:left="0" w:right="0"/>
              <w:rPr>
                <w:rFonts w:hint="eastAsia"/>
                <w:lang w:val="en-US" w:eastAsia="zh-CN"/>
              </w:rPr>
            </w:pPr>
          </w:p>
          <w:p w14:paraId="403639AC">
            <w:pPr>
              <w:pStyle w:val="21"/>
              <w:keepNext w:val="0"/>
              <w:keepLines w:val="0"/>
              <w:suppressLineNumbers w:val="0"/>
              <w:spacing w:before="0" w:beforeAutospacing="0" w:afterAutospacing="0"/>
              <w:ind w:right="0"/>
              <w:rPr>
                <w:rFonts w:hint="eastAsia"/>
                <w:lang w:val="en-US" w:eastAsia="zh-CN"/>
              </w:rPr>
            </w:pPr>
          </w:p>
          <w:p w14:paraId="5E499C8C">
            <w:pPr>
              <w:keepNext w:val="0"/>
              <w:keepLines w:val="0"/>
              <w:suppressLineNumbers w:val="0"/>
              <w:spacing w:before="0" w:beforeAutospacing="0" w:after="0" w:afterAutospacing="0"/>
              <w:ind w:left="0" w:right="0"/>
              <w:rPr>
                <w:rFonts w:hint="eastAsia"/>
                <w:lang w:val="en-US" w:eastAsia="zh-CN"/>
              </w:rPr>
            </w:pPr>
          </w:p>
          <w:p w14:paraId="58FAF179">
            <w:pPr>
              <w:pStyle w:val="21"/>
              <w:keepNext w:val="0"/>
              <w:keepLines w:val="0"/>
              <w:suppressLineNumbers w:val="0"/>
              <w:spacing w:before="0" w:beforeAutospacing="0" w:afterAutospacing="0"/>
              <w:ind w:right="0"/>
              <w:rPr>
                <w:rFonts w:hint="eastAsia"/>
                <w:lang w:val="en-US" w:eastAsia="zh-CN"/>
              </w:rPr>
            </w:pPr>
          </w:p>
          <w:p w14:paraId="73A8BB07">
            <w:pPr>
              <w:keepNext w:val="0"/>
              <w:keepLines w:val="0"/>
              <w:suppressLineNumbers w:val="0"/>
              <w:spacing w:before="0" w:beforeAutospacing="0" w:after="0" w:afterAutospacing="0"/>
              <w:ind w:left="0" w:right="0"/>
              <w:rPr>
                <w:rFonts w:hint="eastAsia"/>
                <w:lang w:val="en-US" w:eastAsia="zh-CN"/>
              </w:rPr>
            </w:pPr>
          </w:p>
          <w:p w14:paraId="045BF387">
            <w:pPr>
              <w:pStyle w:val="21"/>
              <w:keepNext w:val="0"/>
              <w:keepLines w:val="0"/>
              <w:suppressLineNumbers w:val="0"/>
              <w:spacing w:before="0" w:beforeAutospacing="0" w:afterAutospacing="0"/>
              <w:ind w:right="0"/>
              <w:rPr>
                <w:rFonts w:hint="eastAsia"/>
                <w:lang w:val="en-US" w:eastAsia="zh-CN"/>
              </w:rPr>
            </w:pPr>
          </w:p>
          <w:p w14:paraId="26E733D5">
            <w:pPr>
              <w:keepNext w:val="0"/>
              <w:keepLines w:val="0"/>
              <w:suppressLineNumbers w:val="0"/>
              <w:spacing w:before="0" w:beforeAutospacing="0" w:after="0" w:afterAutospacing="0"/>
              <w:ind w:left="0" w:right="0"/>
              <w:rPr>
                <w:rFonts w:hint="eastAsia"/>
                <w:lang w:val="en-US" w:eastAsia="zh-CN"/>
              </w:rPr>
            </w:pPr>
          </w:p>
          <w:p w14:paraId="4DDA50D7">
            <w:pPr>
              <w:pStyle w:val="21"/>
              <w:keepNext w:val="0"/>
              <w:keepLines w:val="0"/>
              <w:suppressLineNumbers w:val="0"/>
              <w:spacing w:before="0" w:beforeAutospacing="0" w:afterAutospacing="0"/>
              <w:ind w:right="0"/>
              <w:rPr>
                <w:rFonts w:hint="eastAsia"/>
                <w:lang w:val="en-US" w:eastAsia="zh-CN"/>
              </w:rPr>
            </w:pPr>
          </w:p>
          <w:p w14:paraId="664DA436">
            <w:pPr>
              <w:keepNext w:val="0"/>
              <w:keepLines w:val="0"/>
              <w:suppressLineNumbers w:val="0"/>
              <w:spacing w:before="0" w:beforeAutospacing="0" w:after="0" w:afterAutospacing="0"/>
              <w:ind w:left="0" w:right="0"/>
              <w:rPr>
                <w:rFonts w:hint="eastAsia"/>
                <w:lang w:val="en-US" w:eastAsia="zh-CN"/>
              </w:rPr>
            </w:pPr>
          </w:p>
          <w:p w14:paraId="050AFBD0">
            <w:pPr>
              <w:pStyle w:val="21"/>
              <w:keepNext w:val="0"/>
              <w:keepLines w:val="0"/>
              <w:suppressLineNumbers w:val="0"/>
              <w:spacing w:before="0" w:beforeAutospacing="0" w:afterAutospacing="0"/>
              <w:ind w:right="0"/>
              <w:rPr>
                <w:rFonts w:hint="eastAsia"/>
                <w:lang w:val="en-US" w:eastAsia="zh-CN"/>
              </w:rPr>
            </w:pPr>
          </w:p>
          <w:p w14:paraId="0E88D2CB">
            <w:pPr>
              <w:keepNext w:val="0"/>
              <w:keepLines w:val="0"/>
              <w:suppressLineNumbers w:val="0"/>
              <w:spacing w:before="0" w:beforeAutospacing="0" w:after="0" w:afterAutospacing="0"/>
              <w:ind w:left="0" w:right="0"/>
              <w:rPr>
                <w:rFonts w:hint="eastAsia"/>
                <w:lang w:val="en-US" w:eastAsia="zh-CN"/>
              </w:rPr>
            </w:pPr>
          </w:p>
          <w:p w14:paraId="1227A01C">
            <w:pPr>
              <w:pStyle w:val="21"/>
              <w:keepNext w:val="0"/>
              <w:keepLines w:val="0"/>
              <w:suppressLineNumbers w:val="0"/>
              <w:spacing w:before="0" w:beforeAutospacing="0" w:afterAutospacing="0"/>
              <w:ind w:right="0"/>
              <w:rPr>
                <w:rFonts w:hint="eastAsia"/>
                <w:lang w:val="en-US" w:eastAsia="zh-CN"/>
              </w:rPr>
            </w:pPr>
          </w:p>
          <w:p w14:paraId="0C66E8F8">
            <w:pPr>
              <w:keepNext w:val="0"/>
              <w:keepLines w:val="0"/>
              <w:suppressLineNumbers w:val="0"/>
              <w:spacing w:before="0" w:beforeAutospacing="0" w:after="0" w:afterAutospacing="0"/>
              <w:ind w:left="0" w:right="0"/>
              <w:rPr>
                <w:rFonts w:hint="eastAsia"/>
                <w:lang w:val="en-US" w:eastAsia="zh-CN"/>
              </w:rPr>
            </w:pPr>
          </w:p>
          <w:p w14:paraId="7D219378">
            <w:pPr>
              <w:pStyle w:val="21"/>
              <w:keepNext w:val="0"/>
              <w:keepLines w:val="0"/>
              <w:suppressLineNumbers w:val="0"/>
              <w:spacing w:before="0" w:beforeAutospacing="0" w:afterAutospacing="0"/>
              <w:ind w:right="0"/>
              <w:rPr>
                <w:rFonts w:hint="eastAsia"/>
                <w:lang w:val="en-US" w:eastAsia="zh-CN"/>
              </w:rPr>
            </w:pPr>
          </w:p>
          <w:p w14:paraId="1FF00039">
            <w:pPr>
              <w:keepNext w:val="0"/>
              <w:keepLines w:val="0"/>
              <w:suppressLineNumbers w:val="0"/>
              <w:spacing w:before="0" w:beforeAutospacing="0" w:after="0" w:afterAutospacing="0"/>
              <w:ind w:left="0" w:right="0"/>
              <w:rPr>
                <w:rFonts w:hint="eastAsia"/>
                <w:lang w:val="en-US" w:eastAsia="zh-CN"/>
              </w:rPr>
            </w:pPr>
          </w:p>
          <w:p w14:paraId="661A7323">
            <w:pPr>
              <w:pStyle w:val="21"/>
              <w:keepNext w:val="0"/>
              <w:keepLines w:val="0"/>
              <w:suppressLineNumbers w:val="0"/>
              <w:spacing w:before="0" w:beforeAutospacing="0" w:afterAutospacing="0"/>
              <w:ind w:right="0"/>
              <w:rPr>
                <w:rFonts w:hint="eastAsia"/>
                <w:lang w:val="en-US" w:eastAsia="zh-CN"/>
              </w:rPr>
            </w:pPr>
          </w:p>
          <w:p w14:paraId="1BBBA3E0">
            <w:pPr>
              <w:keepNext w:val="0"/>
              <w:keepLines w:val="0"/>
              <w:suppressLineNumbers w:val="0"/>
              <w:spacing w:before="0" w:beforeAutospacing="0" w:after="0" w:afterAutospacing="0"/>
              <w:ind w:left="0" w:right="0"/>
              <w:rPr>
                <w:rFonts w:hint="eastAsia"/>
                <w:lang w:val="en-US" w:eastAsia="zh-CN"/>
              </w:rPr>
            </w:pPr>
          </w:p>
          <w:p w14:paraId="38B8700B">
            <w:pPr>
              <w:pStyle w:val="21"/>
              <w:keepNext w:val="0"/>
              <w:keepLines w:val="0"/>
              <w:suppressLineNumbers w:val="0"/>
              <w:spacing w:before="0" w:beforeAutospacing="0" w:afterAutospacing="0"/>
              <w:ind w:right="0"/>
              <w:rPr>
                <w:rFonts w:hint="eastAsia"/>
                <w:lang w:val="en-US" w:eastAsia="zh-CN"/>
              </w:rPr>
            </w:pPr>
          </w:p>
          <w:p w14:paraId="12ACD3D4">
            <w:pPr>
              <w:keepNext w:val="0"/>
              <w:keepLines w:val="0"/>
              <w:suppressLineNumbers w:val="0"/>
              <w:spacing w:before="0" w:beforeAutospacing="0" w:after="0" w:afterAutospacing="0"/>
              <w:ind w:left="0" w:right="0"/>
              <w:rPr>
                <w:rFonts w:hint="eastAsia"/>
                <w:lang w:val="en-US" w:eastAsia="zh-CN"/>
              </w:rPr>
            </w:pPr>
          </w:p>
        </w:tc>
      </w:tr>
    </w:tbl>
    <w:p w14:paraId="31D1C604">
      <w:pPr>
        <w:pStyle w:val="18"/>
        <w:jc w:val="center"/>
        <w:outlineLvl w:val="0"/>
        <w:rPr>
          <w:rFonts w:hint="eastAsia" w:ascii="黑体" w:hAnsi="黑体" w:eastAsia="黑体" w:cs="黑体"/>
          <w:b w:val="0"/>
          <w:bCs w:val="0"/>
          <w:snapToGrid w:val="0"/>
          <w:sz w:val="30"/>
          <w:szCs w:val="30"/>
        </w:rPr>
      </w:pPr>
      <w:r>
        <w:rPr>
          <w:rFonts w:ascii="黑体" w:hAnsi="黑体" w:eastAsia="黑体"/>
          <w:snapToGrid w:val="0"/>
          <w:sz w:val="36"/>
          <w:szCs w:val="36"/>
        </w:rPr>
        <w:br w:type="page"/>
      </w:r>
      <w:r>
        <w:rPr>
          <w:rFonts w:hint="eastAsia" w:ascii="黑体" w:hAnsi="黑体" w:eastAsia="黑体" w:cs="黑体"/>
          <w:b w:val="0"/>
          <w:bCs w:val="0"/>
          <w:snapToGrid w:val="0"/>
          <w:sz w:val="30"/>
          <w:szCs w:val="30"/>
        </w:rPr>
        <w:t>四、主要环境影响和保护措施</w:t>
      </w:r>
    </w:p>
    <w:tbl>
      <w:tblPr>
        <w:tblStyle w:val="22"/>
        <w:tblW w:w="96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7"/>
        <w:gridCol w:w="8832"/>
      </w:tblGrid>
      <w:tr w14:paraId="1ECF0D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10" w:hRule="atLeast"/>
          <w:jc w:val="center"/>
        </w:trPr>
        <w:tc>
          <w:tcPr>
            <w:tcW w:w="807" w:type="dxa"/>
            <w:noWrap w:val="0"/>
            <w:tcMar>
              <w:left w:w="28" w:type="dxa"/>
              <w:right w:w="28" w:type="dxa"/>
            </w:tcMar>
            <w:vAlign w:val="center"/>
          </w:tcPr>
          <w:p w14:paraId="08A3B783">
            <w:pPr>
              <w:pStyle w:val="1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kern w:val="2"/>
                <w:sz w:val="24"/>
                <w:szCs w:val="24"/>
                <w:lang w:val="en-US" w:eastAsia="zh-CN"/>
              </w:rPr>
            </w:pPr>
            <w:r>
              <w:rPr>
                <w:rFonts w:hint="default" w:ascii="Times New Roman" w:hAnsi="Times New Roman"/>
                <w:kern w:val="2"/>
                <w:sz w:val="24"/>
                <w:szCs w:val="24"/>
                <w:lang w:val="en-US" w:eastAsia="zh-CN"/>
              </w:rPr>
              <w:t>施工</w:t>
            </w:r>
          </w:p>
          <w:p w14:paraId="49A1B860">
            <w:pPr>
              <w:pStyle w:val="1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kern w:val="2"/>
                <w:sz w:val="24"/>
                <w:szCs w:val="24"/>
                <w:lang w:val="en-US" w:eastAsia="zh-CN"/>
              </w:rPr>
            </w:pPr>
            <w:r>
              <w:rPr>
                <w:rFonts w:hint="default" w:ascii="Times New Roman" w:hAnsi="Times New Roman"/>
                <w:kern w:val="2"/>
                <w:sz w:val="24"/>
                <w:szCs w:val="24"/>
                <w:lang w:val="en-US" w:eastAsia="zh-CN"/>
              </w:rPr>
              <w:t>期环</w:t>
            </w:r>
          </w:p>
          <w:p w14:paraId="12ADE1DC">
            <w:pPr>
              <w:pStyle w:val="1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kern w:val="2"/>
                <w:sz w:val="24"/>
                <w:szCs w:val="24"/>
                <w:lang w:val="en-US" w:eastAsia="zh-CN"/>
              </w:rPr>
            </w:pPr>
            <w:r>
              <w:rPr>
                <w:rFonts w:hint="default" w:ascii="Times New Roman" w:hAnsi="Times New Roman"/>
                <w:kern w:val="2"/>
                <w:sz w:val="24"/>
                <w:szCs w:val="24"/>
                <w:lang w:val="en-US" w:eastAsia="zh-CN"/>
              </w:rPr>
              <w:t>境保</w:t>
            </w:r>
          </w:p>
          <w:p w14:paraId="57D4DC60">
            <w:pPr>
              <w:pStyle w:val="1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kern w:val="2"/>
                <w:sz w:val="24"/>
                <w:szCs w:val="24"/>
                <w:lang w:val="en-US" w:eastAsia="zh-CN"/>
              </w:rPr>
            </w:pPr>
            <w:r>
              <w:rPr>
                <w:rFonts w:hint="default" w:ascii="Times New Roman" w:hAnsi="Times New Roman"/>
                <w:kern w:val="2"/>
                <w:sz w:val="24"/>
                <w:szCs w:val="24"/>
                <w:lang w:val="en-US" w:eastAsia="zh-CN"/>
              </w:rPr>
              <w:t>护措</w:t>
            </w:r>
          </w:p>
          <w:p w14:paraId="79B7E891">
            <w:pPr>
              <w:pStyle w:val="18"/>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bCs/>
                <w:kern w:val="2"/>
                <w:sz w:val="21"/>
                <w:szCs w:val="21"/>
                <w:lang w:val="en-US" w:eastAsia="zh-CN"/>
              </w:rPr>
            </w:pPr>
            <w:r>
              <w:rPr>
                <w:rFonts w:hint="default" w:ascii="Times New Roman" w:hAnsi="Times New Roman"/>
                <w:kern w:val="2"/>
                <w:sz w:val="24"/>
                <w:szCs w:val="24"/>
                <w:lang w:val="en-US" w:eastAsia="zh-CN"/>
              </w:rPr>
              <w:t>施</w:t>
            </w:r>
          </w:p>
        </w:tc>
        <w:tc>
          <w:tcPr>
            <w:tcW w:w="8832" w:type="dxa"/>
            <w:noWrap w:val="0"/>
            <w:vAlign w:val="center"/>
          </w:tcPr>
          <w:p w14:paraId="28198F23">
            <w:pPr>
              <w:keepNext w:val="0"/>
              <w:keepLines w:val="0"/>
              <w:suppressLineNumbers w:val="0"/>
              <w:adjustRightInd w:val="0"/>
              <w:snapToGrid w:val="0"/>
              <w:spacing w:before="0" w:beforeAutospacing="0" w:after="0" w:afterAutospacing="0" w:line="440" w:lineRule="exact"/>
              <w:ind w:left="0" w:right="0" w:firstLine="440" w:firstLineChars="200"/>
              <w:rPr>
                <w:rFonts w:hint="default" w:eastAsia="宋体"/>
                <w:bCs/>
                <w:spacing w:val="-10"/>
                <w:sz w:val="24"/>
                <w:lang w:val="en-US" w:eastAsia="zh-CN"/>
              </w:rPr>
            </w:pPr>
            <w:r>
              <w:rPr>
                <w:rFonts w:hint="eastAsia" w:eastAsia="宋体"/>
                <w:bCs/>
                <w:spacing w:val="-10"/>
                <w:sz w:val="24"/>
                <w:highlight w:val="none"/>
                <w:lang w:eastAsia="zh-CN"/>
              </w:rPr>
              <w:t>本项目</w:t>
            </w:r>
            <w:r>
              <w:rPr>
                <w:rFonts w:hint="eastAsia"/>
                <w:bCs/>
                <w:spacing w:val="-10"/>
                <w:sz w:val="24"/>
                <w:highlight w:val="none"/>
                <w:lang w:val="en-US" w:eastAsia="zh-CN"/>
              </w:rPr>
              <w:t>租赁现有空</w:t>
            </w:r>
            <w:r>
              <w:rPr>
                <w:rFonts w:hint="eastAsia" w:eastAsia="宋体"/>
                <w:bCs/>
                <w:spacing w:val="-10"/>
                <w:sz w:val="24"/>
                <w:highlight w:val="none"/>
                <w:lang w:eastAsia="zh-CN"/>
              </w:rPr>
              <w:t>厂房内进行建设，不涉及厂房建筑物的施工建设，只需要安装设备，故本次评价不对施工期环境影响进行分析</w:t>
            </w:r>
            <w:r>
              <w:rPr>
                <w:rFonts w:hint="eastAsia"/>
                <w:bCs/>
                <w:spacing w:val="-10"/>
                <w:sz w:val="24"/>
                <w:highlight w:val="none"/>
                <w:lang w:eastAsia="zh-CN"/>
              </w:rPr>
              <w:t>。</w:t>
            </w:r>
          </w:p>
        </w:tc>
      </w:tr>
      <w:tr w14:paraId="751888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10" w:hRule="atLeast"/>
          <w:jc w:val="center"/>
        </w:trPr>
        <w:tc>
          <w:tcPr>
            <w:tcW w:w="807" w:type="dxa"/>
            <w:noWrap w:val="0"/>
            <w:tcMar>
              <w:left w:w="28" w:type="dxa"/>
              <w:right w:w="28" w:type="dxa"/>
            </w:tcMar>
            <w:vAlign w:val="center"/>
          </w:tcPr>
          <w:p w14:paraId="48EE0E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bCs/>
                <w:sz w:val="24"/>
                <w:szCs w:val="24"/>
              </w:rPr>
            </w:pPr>
            <w:r>
              <w:rPr>
                <w:rFonts w:hint="default"/>
                <w:bCs/>
                <w:sz w:val="24"/>
                <w:szCs w:val="24"/>
              </w:rPr>
              <w:t>运营</w:t>
            </w:r>
          </w:p>
          <w:p w14:paraId="2C5B81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bCs/>
                <w:sz w:val="24"/>
                <w:szCs w:val="24"/>
              </w:rPr>
            </w:pPr>
            <w:r>
              <w:rPr>
                <w:rFonts w:hint="default"/>
                <w:bCs/>
                <w:sz w:val="24"/>
                <w:szCs w:val="24"/>
              </w:rPr>
              <w:t>期环</w:t>
            </w:r>
          </w:p>
          <w:p w14:paraId="1F745A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bCs/>
                <w:sz w:val="24"/>
                <w:szCs w:val="24"/>
              </w:rPr>
            </w:pPr>
            <w:r>
              <w:rPr>
                <w:rFonts w:hint="default"/>
                <w:bCs/>
                <w:sz w:val="24"/>
                <w:szCs w:val="24"/>
              </w:rPr>
              <w:t>境影</w:t>
            </w:r>
          </w:p>
          <w:p w14:paraId="743D9F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bCs/>
                <w:sz w:val="24"/>
                <w:szCs w:val="24"/>
              </w:rPr>
            </w:pPr>
            <w:r>
              <w:rPr>
                <w:rFonts w:hint="default"/>
                <w:bCs/>
                <w:sz w:val="24"/>
                <w:szCs w:val="24"/>
              </w:rPr>
              <w:t>响和</w:t>
            </w:r>
          </w:p>
          <w:p w14:paraId="4913F5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bCs/>
                <w:sz w:val="24"/>
                <w:szCs w:val="24"/>
              </w:rPr>
            </w:pPr>
            <w:r>
              <w:rPr>
                <w:rFonts w:hint="default"/>
                <w:bCs/>
                <w:sz w:val="24"/>
                <w:szCs w:val="24"/>
              </w:rPr>
              <w:t>保护</w:t>
            </w:r>
          </w:p>
          <w:p w14:paraId="63EC6C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rightChars="0"/>
              <w:jc w:val="center"/>
              <w:textAlignment w:val="auto"/>
              <w:rPr>
                <w:rFonts w:hint="default" w:ascii="Times New Roman" w:hAnsi="Times New Roman"/>
                <w:kern w:val="2"/>
                <w:sz w:val="24"/>
                <w:szCs w:val="24"/>
                <w:lang w:val="en-US" w:eastAsia="zh-CN"/>
              </w:rPr>
            </w:pPr>
            <w:r>
              <w:rPr>
                <w:rFonts w:hint="default"/>
                <w:bCs/>
                <w:sz w:val="24"/>
                <w:szCs w:val="24"/>
              </w:rPr>
              <w:t>措施</w:t>
            </w:r>
          </w:p>
        </w:tc>
        <w:tc>
          <w:tcPr>
            <w:tcW w:w="8832" w:type="dxa"/>
            <w:noWrap w:val="0"/>
            <w:vAlign w:val="top"/>
          </w:tcPr>
          <w:p w14:paraId="551CA9B7">
            <w:pPr>
              <w:keepNext w:val="0"/>
              <w:keepLines w:val="0"/>
              <w:suppressLineNumbers w:val="0"/>
              <w:adjustRightInd w:val="0"/>
              <w:snapToGrid w:val="0"/>
              <w:spacing w:before="0" w:beforeAutospacing="0" w:after="0" w:afterAutospacing="0" w:line="440" w:lineRule="exact"/>
              <w:ind w:left="0" w:right="0" w:firstLine="480" w:firstLineChars="200"/>
              <w:rPr>
                <w:rFonts w:hint="default" w:ascii="宋体" w:hAnsi="宋体"/>
                <w:color w:val="auto"/>
                <w:sz w:val="24"/>
                <w:highlight w:val="none"/>
              </w:rPr>
            </w:pPr>
            <w:r>
              <w:rPr>
                <w:rFonts w:hint="eastAsia" w:ascii="宋体" w:hAnsi="宋体"/>
                <w:color w:val="auto"/>
                <w:sz w:val="24"/>
                <w:highlight w:val="none"/>
              </w:rPr>
              <w:t>该项目生产过程中主要污染因素为废气、</w:t>
            </w:r>
            <w:r>
              <w:rPr>
                <w:rFonts w:hint="eastAsia" w:ascii="宋体" w:hAnsi="宋体"/>
                <w:color w:val="auto"/>
                <w:sz w:val="24"/>
                <w:highlight w:val="none"/>
                <w:lang w:val="en-US" w:eastAsia="zh-CN"/>
              </w:rPr>
              <w:t>废水、</w:t>
            </w:r>
            <w:r>
              <w:rPr>
                <w:rFonts w:hint="eastAsia" w:ascii="宋体" w:hAnsi="宋体"/>
                <w:color w:val="auto"/>
                <w:sz w:val="24"/>
                <w:highlight w:val="none"/>
              </w:rPr>
              <w:t>噪声和固废。</w:t>
            </w:r>
          </w:p>
          <w:p w14:paraId="163320F3">
            <w:pPr>
              <w:keepNext w:val="0"/>
              <w:keepLines w:val="0"/>
              <w:suppressLineNumbers w:val="0"/>
              <w:adjustRightInd w:val="0"/>
              <w:snapToGrid w:val="0"/>
              <w:spacing w:before="0" w:beforeAutospacing="0" w:after="0" w:afterAutospacing="0" w:line="440" w:lineRule="exact"/>
              <w:ind w:left="0" w:right="0" w:firstLine="482" w:firstLineChars="200"/>
              <w:rPr>
                <w:rFonts w:hint="eastAsia" w:ascii="宋体" w:hAnsi="宋体" w:eastAsia="宋体"/>
                <w:b/>
                <w:color w:val="auto"/>
                <w:sz w:val="24"/>
                <w:lang w:eastAsia="zh-CN"/>
              </w:rPr>
            </w:pPr>
            <w:r>
              <w:rPr>
                <w:rFonts w:hint="eastAsia" w:ascii="宋体" w:hAnsi="宋体"/>
                <w:b/>
                <w:color w:val="auto"/>
                <w:sz w:val="24"/>
              </w:rPr>
              <w:t>一、废气</w:t>
            </w:r>
          </w:p>
          <w:p w14:paraId="446FBC42">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hAnsi="宋体"/>
                <w:b w:val="0"/>
                <w:bCs w:val="0"/>
                <w:color w:val="auto"/>
                <w:sz w:val="24"/>
                <w:lang w:val="en-US" w:eastAsia="zh-CN"/>
              </w:rPr>
            </w:pPr>
            <w:r>
              <w:rPr>
                <w:rFonts w:hint="eastAsia" w:hAnsi="宋体"/>
                <w:b w:val="0"/>
                <w:bCs w:val="0"/>
                <w:color w:val="auto"/>
                <w:sz w:val="24"/>
                <w:lang w:val="en-US" w:eastAsia="zh-CN"/>
              </w:rPr>
              <w:t>本项目运营期间主要产生的废气为淋膜、印刷工序产生的非甲烷总烃。本项目属于加工纸制造，该行业未发布污染源源强核算技术指南，故依据《污染源源强核算技术指南准则》（HJ884-2018），本次评价主要采用系数法进行污染源源强核算。</w:t>
            </w:r>
          </w:p>
          <w:p w14:paraId="3869A28A">
            <w:pPr>
              <w:keepNext w:val="0"/>
              <w:keepLines w:val="0"/>
              <w:numPr>
                <w:ilvl w:val="0"/>
                <w:numId w:val="0"/>
              </w:numPr>
              <w:suppressLineNumbers w:val="0"/>
              <w:adjustRightInd w:val="0"/>
              <w:snapToGrid w:val="0"/>
              <w:spacing w:before="0" w:beforeAutospacing="0" w:after="0" w:afterAutospacing="0" w:line="440" w:lineRule="exact"/>
              <w:ind w:left="480" w:leftChars="200" w:right="0" w:rightChars="0"/>
              <w:jc w:val="both"/>
              <w:rPr>
                <w:rFonts w:hint="default" w:hAnsi="宋体"/>
                <w:b/>
                <w:bCs/>
                <w:color w:val="auto"/>
                <w:sz w:val="24"/>
                <w:lang w:val="en-US" w:eastAsia="zh-CN"/>
              </w:rPr>
            </w:pPr>
            <w:r>
              <w:rPr>
                <w:rFonts w:hint="eastAsia" w:hAnsi="宋体"/>
                <w:b/>
                <w:bCs/>
                <w:color w:val="auto"/>
                <w:sz w:val="24"/>
                <w:lang w:val="en-US" w:eastAsia="zh-CN"/>
              </w:rPr>
              <w:t>1、有组织废气</w:t>
            </w:r>
          </w:p>
          <w:p w14:paraId="7EE35E73">
            <w:pPr>
              <w:keepNext w:val="0"/>
              <w:keepLines w:val="0"/>
              <w:suppressLineNumbers w:val="0"/>
              <w:adjustRightInd w:val="0"/>
              <w:snapToGrid w:val="0"/>
              <w:spacing w:before="0" w:beforeAutospacing="0" w:after="0" w:afterAutospacing="0" w:line="440" w:lineRule="exact"/>
              <w:ind w:left="0" w:right="0" w:firstLine="480" w:firstLineChars="200"/>
              <w:rPr>
                <w:rFonts w:hint="eastAsia"/>
                <w:color w:val="auto"/>
                <w:sz w:val="24"/>
              </w:rPr>
            </w:pPr>
            <w:r>
              <w:rPr>
                <w:rFonts w:hint="eastAsia" w:cs="Times New Roman"/>
                <w:b w:val="0"/>
                <w:bCs w:val="0"/>
                <w:sz w:val="24"/>
                <w:highlight w:val="none"/>
                <w:lang w:val="en-US" w:eastAsia="zh-CN"/>
              </w:rPr>
              <w:t>（1）淋膜工序废气源强分析</w:t>
            </w:r>
          </w:p>
          <w:p w14:paraId="0E6C04F7">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color w:val="auto"/>
                <w:sz w:val="24"/>
                <w:lang w:val="en-US" w:eastAsia="zh-CN"/>
              </w:rPr>
            </w:pPr>
            <w:r>
              <w:rPr>
                <w:rFonts w:hint="eastAsia"/>
                <w:color w:val="auto"/>
                <w:sz w:val="24"/>
              </w:rPr>
              <w:t>本项目</w:t>
            </w:r>
            <w:r>
              <w:rPr>
                <w:rFonts w:hint="eastAsia"/>
                <w:color w:val="auto"/>
                <w:sz w:val="24"/>
                <w:lang w:val="en-US" w:eastAsia="zh-CN"/>
              </w:rPr>
              <w:t>淋膜工序</w:t>
            </w:r>
            <w:r>
              <w:rPr>
                <w:rFonts w:hint="eastAsia"/>
                <w:color w:val="auto"/>
                <w:sz w:val="24"/>
              </w:rPr>
              <w:t>所用</w:t>
            </w:r>
            <w:r>
              <w:rPr>
                <w:rFonts w:hint="eastAsia"/>
                <w:color w:val="auto"/>
                <w:sz w:val="24"/>
                <w:lang w:val="en-US" w:eastAsia="zh-CN"/>
              </w:rPr>
              <w:t>PE为颗粒状物料，上料过程采用自动上料机投料，投料过程无废气产生。PE颗粒经加热熔化后由淋膜机挤出装置均匀淋膜在原纸上，加热温度为160-180</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，低于原料分解温度（300</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以上）。故淋膜过程中原料不发生分解，但</w:t>
            </w:r>
            <w:r>
              <w:rPr>
                <w:rFonts w:hint="eastAsia" w:eastAsia="宋体"/>
                <w:kern w:val="0"/>
                <w:sz w:val="24"/>
                <w:lang w:val="en-US" w:eastAsia="zh-CN"/>
              </w:rPr>
              <w:t>PE</w:t>
            </w:r>
            <w:r>
              <w:rPr>
                <w:rFonts w:hint="default"/>
                <w:kern w:val="0"/>
                <w:sz w:val="24"/>
              </w:rPr>
              <w:t>塑料粒子中残存未聚合的反应单体可挥发至空气中，会产生一定量的有机废气，</w:t>
            </w:r>
            <w:r>
              <w:rPr>
                <w:rFonts w:hint="default"/>
                <w:sz w:val="24"/>
              </w:rPr>
              <w:t>主要成分为乙</w:t>
            </w:r>
            <w:r>
              <w:rPr>
                <w:rFonts w:hint="eastAsia"/>
                <w:color w:val="auto"/>
                <w:sz w:val="24"/>
                <w:lang w:val="en-US" w:eastAsia="zh-CN"/>
              </w:rPr>
              <w:t>烯，以非甲烷总烃计。本项目淋膜工序产生源强参照《排放源统计调查产排污核算方法和系数手册-292塑料制品行业系数手册》中塑料薄膜挤出挥发性有机物产污系数2.5kg/t-原料。本项目PE颗粒年消耗量为690t/a，则淋膜废气产生量为1.725t/a。淋膜工序年工作时间为4800h/a。</w:t>
            </w:r>
          </w:p>
          <w:p w14:paraId="63D846D9">
            <w:pPr>
              <w:keepNext w:val="0"/>
              <w:keepLines w:val="0"/>
              <w:pageBreakBefore w:val="0"/>
              <w:widowControl w:val="0"/>
              <w:numPr>
                <w:ilvl w:val="0"/>
                <w:numId w:val="2"/>
              </w:numPr>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s="Times New Roman"/>
                <w:b w:val="0"/>
                <w:bCs w:val="0"/>
                <w:sz w:val="24"/>
                <w:highlight w:val="none"/>
                <w:lang w:val="en-US" w:eastAsia="zh-CN"/>
              </w:rPr>
            </w:pPr>
            <w:r>
              <w:rPr>
                <w:rFonts w:hint="eastAsia" w:cs="Times New Roman"/>
                <w:b w:val="0"/>
                <w:bCs w:val="0"/>
                <w:sz w:val="24"/>
                <w:highlight w:val="none"/>
                <w:lang w:val="en-US" w:eastAsia="zh-CN"/>
              </w:rPr>
              <w:t>印刷工序废气源强分析</w:t>
            </w:r>
          </w:p>
          <w:p w14:paraId="1E5ED7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sz w:val="24"/>
                <w:lang w:eastAsia="zh-CN"/>
              </w:rPr>
            </w:pPr>
            <w:r>
              <w:rPr>
                <w:rFonts w:hint="eastAsia"/>
                <w:color w:val="auto"/>
                <w:sz w:val="24"/>
              </w:rPr>
              <w:t>本项目印刷工序属于</w:t>
            </w:r>
            <w:r>
              <w:rPr>
                <w:rFonts w:hint="eastAsia"/>
                <w:color w:val="auto"/>
                <w:sz w:val="24"/>
                <w:lang w:val="en-US" w:eastAsia="zh-CN"/>
              </w:rPr>
              <w:t>柔</w:t>
            </w:r>
            <w:r>
              <w:rPr>
                <w:rFonts w:hint="eastAsia"/>
                <w:color w:val="auto"/>
                <w:sz w:val="24"/>
              </w:rPr>
              <w:t>版印刷，使用</w:t>
            </w:r>
            <w:r>
              <w:rPr>
                <w:rFonts w:hint="eastAsia"/>
                <w:color w:val="auto"/>
                <w:sz w:val="24"/>
                <w:lang w:val="en-US" w:eastAsia="zh-CN"/>
              </w:rPr>
              <w:t>水性柔印</w:t>
            </w:r>
            <w:r>
              <w:rPr>
                <w:rFonts w:hint="eastAsia"/>
                <w:color w:val="auto"/>
                <w:sz w:val="24"/>
              </w:rPr>
              <w:t>油墨，</w:t>
            </w:r>
            <w:r>
              <w:rPr>
                <w:rFonts w:hint="eastAsia"/>
                <w:color w:val="auto"/>
                <w:sz w:val="24"/>
                <w:lang w:eastAsia="zh-CN"/>
              </w:rPr>
              <w:t>油墨</w:t>
            </w:r>
            <w:r>
              <w:rPr>
                <w:rFonts w:hint="eastAsia"/>
                <w:color w:val="auto"/>
                <w:sz w:val="24"/>
              </w:rPr>
              <w:t>均置于密闭桶内，存储于</w:t>
            </w:r>
            <w:r>
              <w:rPr>
                <w:rFonts w:hint="eastAsia"/>
                <w:color w:val="auto"/>
                <w:sz w:val="24"/>
                <w:lang w:eastAsia="zh-CN"/>
              </w:rPr>
              <w:t>密闭</w:t>
            </w:r>
            <w:r>
              <w:rPr>
                <w:rFonts w:hint="eastAsia"/>
                <w:color w:val="auto"/>
                <w:sz w:val="24"/>
              </w:rPr>
              <w:t>原料库</w:t>
            </w:r>
            <w:r>
              <w:rPr>
                <w:rFonts w:hint="eastAsia"/>
                <w:color w:val="auto"/>
                <w:sz w:val="24"/>
                <w:lang w:eastAsia="zh-CN"/>
              </w:rPr>
              <w:t>。</w:t>
            </w:r>
            <w:r>
              <w:rPr>
                <w:rFonts w:hint="eastAsia"/>
                <w:color w:val="auto"/>
                <w:sz w:val="24"/>
              </w:rPr>
              <w:t>油墨在使用过程中无需调配，打开直接使用</w:t>
            </w:r>
            <w:r>
              <w:rPr>
                <w:rFonts w:hint="eastAsia"/>
                <w:color w:val="auto"/>
                <w:sz w:val="24"/>
                <w:lang w:eastAsia="zh-CN"/>
              </w:rPr>
              <w:t>。</w:t>
            </w:r>
            <w:r>
              <w:rPr>
                <w:rFonts w:hint="eastAsia"/>
                <w:color w:val="auto"/>
                <w:sz w:val="24"/>
              </w:rPr>
              <w:t>封闭完好的</w:t>
            </w:r>
            <w:r>
              <w:rPr>
                <w:rFonts w:hint="eastAsia"/>
                <w:color w:val="auto"/>
                <w:sz w:val="24"/>
                <w:lang w:eastAsia="zh-CN"/>
              </w:rPr>
              <w:t>油墨</w:t>
            </w:r>
            <w:r>
              <w:rPr>
                <w:rFonts w:hint="eastAsia"/>
                <w:color w:val="auto"/>
                <w:sz w:val="24"/>
              </w:rPr>
              <w:t>加盖密闭转运至印刷车间，通过</w:t>
            </w:r>
            <w:r>
              <w:rPr>
                <w:rFonts w:hint="eastAsia"/>
                <w:color w:val="auto"/>
                <w:sz w:val="24"/>
                <w:lang w:val="en-US" w:eastAsia="zh-CN"/>
              </w:rPr>
              <w:t>柔</w:t>
            </w:r>
            <w:r>
              <w:rPr>
                <w:rFonts w:hint="eastAsia"/>
                <w:color w:val="auto"/>
                <w:sz w:val="24"/>
              </w:rPr>
              <w:t>版印刷机自动供墨系统，利用软管自动泵至印刷机密闭墨槽，密闭盖留有油墨软管的进出口，软管与进出口的间隙会有少量的有机废气逸出。</w:t>
            </w:r>
            <w:r>
              <w:rPr>
                <w:rFonts w:hint="eastAsia"/>
                <w:color w:val="auto"/>
                <w:sz w:val="24"/>
                <w:highlight w:val="none"/>
                <w:lang w:val="en-US" w:eastAsia="zh-CN"/>
              </w:rPr>
              <w:t>印刷过程</w:t>
            </w:r>
            <w:r>
              <w:rPr>
                <w:rFonts w:hint="eastAsia"/>
                <w:color w:val="auto"/>
                <w:sz w:val="24"/>
                <w:lang w:eastAsia="zh-CN"/>
              </w:rPr>
              <w:t>有机废气主要成分为</w:t>
            </w:r>
            <w:r>
              <w:rPr>
                <w:rFonts w:hint="eastAsia"/>
                <w:color w:val="auto"/>
                <w:sz w:val="24"/>
                <w:lang w:val="en-US" w:eastAsia="zh-CN"/>
              </w:rPr>
              <w:t>丙烯酸树脂</w:t>
            </w:r>
            <w:r>
              <w:rPr>
                <w:rFonts w:hint="eastAsia"/>
                <w:color w:val="auto"/>
                <w:sz w:val="24"/>
                <w:lang w:eastAsia="zh-CN"/>
              </w:rPr>
              <w:t>等，以非甲烷总烃计。</w:t>
            </w:r>
          </w:p>
          <w:p w14:paraId="4DDD32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olor w:val="auto"/>
                <w:sz w:val="24"/>
                <w:lang w:val="en-US" w:eastAsia="zh-CN"/>
              </w:rPr>
            </w:pPr>
            <w:r>
              <w:rPr>
                <w:rFonts w:hint="eastAsia"/>
                <w:color w:val="auto"/>
                <w:sz w:val="24"/>
                <w:lang w:val="en-US" w:eastAsia="zh-CN"/>
              </w:rPr>
              <w:t>根据《污染源源强核算技术指南-准则》（HJ884-2018），表1本评价选用排污系数法进行污染源强核算，评价从严考虑，假设油墨中的挥发成分在油墨输送、印刷及墨辊过程中全部挥发。</w:t>
            </w:r>
          </w:p>
          <w:p w14:paraId="6C3E93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eastAsia"/>
                <w:color w:val="auto"/>
                <w:sz w:val="24"/>
              </w:rPr>
            </w:pPr>
            <w:r>
              <w:rPr>
                <w:rFonts w:hint="eastAsia"/>
                <w:color w:val="auto"/>
                <w:sz w:val="24"/>
                <w:lang w:val="en-US" w:eastAsia="zh-CN"/>
              </w:rPr>
              <w:t>参考水性油墨</w:t>
            </w:r>
            <w:r>
              <w:rPr>
                <w:rFonts w:hint="eastAsia"/>
                <w:color w:val="auto"/>
                <w:sz w:val="24"/>
              </w:rPr>
              <w:t>样检测报告：</w:t>
            </w:r>
            <w:r>
              <w:rPr>
                <w:rFonts w:hint="eastAsia"/>
                <w:color w:val="auto"/>
                <w:sz w:val="24"/>
                <w:lang w:val="en-US" w:eastAsia="zh-CN"/>
              </w:rPr>
              <w:t>DGC250410005BD</w:t>
            </w:r>
            <w:r>
              <w:rPr>
                <w:rFonts w:hint="eastAsia"/>
                <w:color w:val="auto"/>
                <w:sz w:val="24"/>
              </w:rPr>
              <w:t>，挥发性有机物含量</w:t>
            </w:r>
            <w:r>
              <w:rPr>
                <w:rFonts w:hint="eastAsia"/>
                <w:color w:val="auto"/>
                <w:sz w:val="24"/>
                <w:lang w:val="en-US" w:eastAsia="zh-CN"/>
              </w:rPr>
              <w:t>未检出，满足</w:t>
            </w:r>
            <w:r>
              <w:rPr>
                <w:rFonts w:hint="default" w:ascii="Times New Roman" w:hAnsi="Times New Roman" w:eastAsia="宋体" w:cs="Times New Roman"/>
                <w:sz w:val="24"/>
                <w:szCs w:val="24"/>
              </w:rPr>
              <w:t>《油墨中可挥发性有机化合物（VOCs）含量的限值》（GB38507-2020）</w:t>
            </w:r>
            <w:r>
              <w:rPr>
                <w:rFonts w:hint="default" w:ascii="Times New Roman" w:hAnsi="Times New Roman" w:eastAsia="宋体" w:cs="Times New Roman"/>
                <w:sz w:val="24"/>
                <w:szCs w:val="24"/>
                <w:lang w:val="en-US" w:eastAsia="zh-CN"/>
              </w:rPr>
              <w:t>柔印油墨-</w:t>
            </w:r>
            <w:r>
              <w:rPr>
                <w:rFonts w:hint="default" w:ascii="Times New Roman" w:hAnsi="Times New Roman" w:eastAsia="宋体" w:cs="Times New Roman"/>
                <w:sz w:val="24"/>
                <w:szCs w:val="24"/>
              </w:rPr>
              <w:t>吸收性承印物挥发性有机化合物含量小于5%</w:t>
            </w:r>
            <w:r>
              <w:rPr>
                <w:rFonts w:hint="default" w:ascii="Times New Roman" w:hAnsi="Times New Roman" w:eastAsia="宋体" w:cs="Times New Roman"/>
                <w:sz w:val="24"/>
                <w:szCs w:val="24"/>
                <w:lang w:val="en-US" w:eastAsia="zh-CN"/>
              </w:rPr>
              <w:t>的限值要求</w:t>
            </w:r>
            <w:r>
              <w:rPr>
                <w:rFonts w:hint="default" w:ascii="Times New Roman" w:hAnsi="Times New Roman" w:eastAsia="宋体" w:cs="Times New Roman"/>
                <w:sz w:val="24"/>
                <w:szCs w:val="24"/>
              </w:rPr>
              <w:t>，属于低VOCs含量油墨。</w:t>
            </w:r>
            <w:r>
              <w:rPr>
                <w:rFonts w:hint="eastAsia" w:ascii="Times New Roman" w:hAnsi="Times New Roman" w:eastAsia="宋体" w:cs="Times New Roman"/>
                <w:sz w:val="24"/>
                <w:szCs w:val="24"/>
                <w:lang w:val="en-US" w:eastAsia="zh-CN"/>
              </w:rPr>
              <w:t>本次评价从严考虑，水性油墨中挥发性有机物含量为5%，</w:t>
            </w:r>
            <w:r>
              <w:rPr>
                <w:rFonts w:hint="eastAsia"/>
                <w:color w:val="auto"/>
                <w:sz w:val="24"/>
                <w:lang w:eastAsia="zh-CN"/>
              </w:rPr>
              <w:t>本项目</w:t>
            </w:r>
            <w:r>
              <w:rPr>
                <w:rFonts w:hint="eastAsia"/>
                <w:color w:val="auto"/>
                <w:sz w:val="24"/>
              </w:rPr>
              <w:t>水性油墨使用量为</w:t>
            </w:r>
            <w:r>
              <w:rPr>
                <w:rFonts w:hint="eastAsia"/>
                <w:color w:val="auto"/>
                <w:sz w:val="24"/>
                <w:lang w:val="en-US" w:eastAsia="zh-CN"/>
              </w:rPr>
              <w:t>15</w:t>
            </w:r>
            <w:r>
              <w:rPr>
                <w:rFonts w:hint="eastAsia"/>
                <w:color w:val="auto"/>
                <w:sz w:val="24"/>
              </w:rPr>
              <w:t>t/a，则挥发性有机物产生量为</w:t>
            </w:r>
            <w:r>
              <w:rPr>
                <w:rFonts w:hint="eastAsia"/>
                <w:color w:val="auto"/>
                <w:sz w:val="24"/>
                <w:lang w:val="en-US" w:eastAsia="zh-CN"/>
              </w:rPr>
              <w:t>0.75</w:t>
            </w:r>
            <w:r>
              <w:rPr>
                <w:rFonts w:hint="eastAsia"/>
                <w:color w:val="auto"/>
                <w:sz w:val="24"/>
              </w:rPr>
              <w:t>t/a，本评价按非甲烷总烃计，印刷工序年工作</w:t>
            </w:r>
            <w:r>
              <w:rPr>
                <w:rFonts w:hint="eastAsia"/>
                <w:color w:val="auto"/>
                <w:sz w:val="24"/>
                <w:lang w:val="en-US" w:eastAsia="zh-CN"/>
              </w:rPr>
              <w:t>时长4800h/a</w:t>
            </w:r>
            <w:r>
              <w:rPr>
                <w:rFonts w:hint="eastAsia"/>
                <w:color w:val="auto"/>
                <w:sz w:val="24"/>
              </w:rPr>
              <w:t>。</w:t>
            </w:r>
          </w:p>
          <w:p w14:paraId="03A89D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s="Times New Roman"/>
                <w:b w:val="0"/>
                <w:bCs w:val="0"/>
                <w:sz w:val="24"/>
                <w:highlight w:val="none"/>
                <w:lang w:val="en-US" w:eastAsia="zh-CN"/>
              </w:rPr>
            </w:pPr>
            <w:r>
              <w:rPr>
                <w:rFonts w:hint="eastAsia" w:cs="Times New Roman"/>
                <w:b w:val="0"/>
                <w:bCs w:val="0"/>
                <w:sz w:val="24"/>
                <w:highlight w:val="none"/>
                <w:lang w:val="en-US" w:eastAsia="zh-CN"/>
              </w:rPr>
              <w:t>（3）废气收集情况及废气治理措施</w:t>
            </w:r>
          </w:p>
          <w:p w14:paraId="622A23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s="Times New Roman"/>
                <w:sz w:val="24"/>
                <w:highlight w:val="none"/>
                <w:lang w:val="en-US" w:eastAsia="zh-CN"/>
              </w:rPr>
            </w:pPr>
            <w:r>
              <w:rPr>
                <w:rFonts w:hint="eastAsia"/>
                <w:bCs/>
                <w:color w:val="auto"/>
                <w:sz w:val="24"/>
                <w:szCs w:val="24"/>
                <w:lang w:val="en-US" w:eastAsia="zh-CN"/>
              </w:rPr>
              <w:t>项目评价提出：本项目淋膜机淋膜工段上方分别设置集气罩，废气经集气罩收集后通至活性炭吸附脱附+催化燃烧装置（TA001）</w:t>
            </w:r>
            <w:r>
              <w:rPr>
                <w:rFonts w:hint="eastAsia"/>
                <w:color w:val="auto"/>
                <w:sz w:val="24"/>
                <w:szCs w:val="24"/>
              </w:rPr>
              <w:t>处理</w:t>
            </w:r>
            <w:r>
              <w:rPr>
                <w:rFonts w:hint="eastAsia"/>
                <w:color w:val="auto"/>
                <w:sz w:val="24"/>
                <w:szCs w:val="24"/>
                <w:lang w:eastAsia="zh-CN"/>
              </w:rPr>
              <w:t>，</w:t>
            </w:r>
            <w:r>
              <w:rPr>
                <w:rFonts w:hint="eastAsia"/>
                <w:color w:val="auto"/>
                <w:sz w:val="24"/>
                <w:szCs w:val="24"/>
                <w:lang w:val="en-US" w:eastAsia="zh-CN"/>
              </w:rPr>
              <w:t>尾气经1根</w:t>
            </w:r>
            <w:r>
              <w:rPr>
                <w:rFonts w:hint="eastAsia"/>
                <w:color w:val="auto"/>
                <w:sz w:val="24"/>
                <w:szCs w:val="24"/>
              </w:rPr>
              <w:t>15m高排气筒</w:t>
            </w:r>
            <w:r>
              <w:rPr>
                <w:rFonts w:hint="eastAsia"/>
                <w:color w:val="auto"/>
                <w:sz w:val="24"/>
                <w:szCs w:val="24"/>
                <w:lang w:eastAsia="zh-CN"/>
              </w:rPr>
              <w:t>（</w:t>
            </w:r>
            <w:r>
              <w:rPr>
                <w:rFonts w:hint="eastAsia"/>
                <w:color w:val="auto"/>
                <w:sz w:val="24"/>
                <w:szCs w:val="24"/>
                <w:lang w:val="en-US" w:eastAsia="zh-CN"/>
              </w:rPr>
              <w:t>DA001</w:t>
            </w:r>
            <w:r>
              <w:rPr>
                <w:rFonts w:hint="eastAsia"/>
                <w:color w:val="auto"/>
                <w:sz w:val="24"/>
                <w:szCs w:val="24"/>
                <w:lang w:eastAsia="zh-CN"/>
              </w:rPr>
              <w:t>）</w:t>
            </w:r>
            <w:r>
              <w:rPr>
                <w:rFonts w:hint="eastAsia"/>
                <w:color w:val="auto"/>
                <w:sz w:val="24"/>
                <w:szCs w:val="24"/>
              </w:rPr>
              <w:t>排放</w:t>
            </w:r>
            <w:r>
              <w:rPr>
                <w:rFonts w:hint="eastAsia" w:cs="Times New Roman"/>
                <w:sz w:val="24"/>
                <w:highlight w:val="none"/>
                <w:lang w:val="en-US" w:eastAsia="zh-CN"/>
              </w:rPr>
              <w:t>。</w:t>
            </w:r>
          </w:p>
          <w:p w14:paraId="55F348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s="Times New Roman"/>
                <w:color w:val="000000" w:themeColor="text1"/>
                <w:sz w:val="24"/>
                <w:szCs w:val="24"/>
                <w:highlight w:val="none"/>
                <w:lang w:val="en-US" w:eastAsia="zh-CN"/>
                <w14:textFill>
                  <w14:solidFill>
                    <w14:schemeClr w14:val="tx1"/>
                  </w14:solidFill>
                </w14:textFill>
              </w:rPr>
            </w:pPr>
            <w:r>
              <w:rPr>
                <w:rFonts w:hint="eastAsia" w:hAnsi="宋体"/>
                <w:b w:val="0"/>
                <w:bCs w:val="0"/>
                <w:color w:val="000000" w:themeColor="text1"/>
                <w:sz w:val="24"/>
                <w:highlight w:val="none"/>
                <w:lang w:val="en-US" w:eastAsia="zh-CN"/>
                <w14:textFill>
                  <w14:solidFill>
                    <w14:schemeClr w14:val="tx1"/>
                  </w14:solidFill>
                </w14:textFill>
              </w:rPr>
              <w:t>根据项目规划设计，项目淋膜处设置集气罩收集废气，</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根据</w:t>
            </w:r>
            <w:r>
              <w:rPr>
                <w:rFonts w:hint="eastAsia" w:cs="Times New Roman"/>
                <w:color w:val="000000" w:themeColor="text1"/>
                <w:sz w:val="24"/>
                <w:szCs w:val="24"/>
                <w:highlight w:val="none"/>
                <w:lang w:val="en-US" w:eastAsia="zh-CN"/>
                <w14:textFill>
                  <w14:solidFill>
                    <w14:schemeClr w14:val="tx1"/>
                  </w14:solidFill>
                </w14:textFill>
              </w:rPr>
              <w:t>《简明通风设计手册》集气罩收集风量计算公式如下：</w:t>
            </w:r>
          </w:p>
          <w:p w14:paraId="445EEC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center"/>
              <w:textAlignment w:val="auto"/>
              <w:rPr>
                <w:rFonts w:hint="default" w:ascii="Times New Roman" w:hAnsi="Times New Roman" w:cs="Times New Roman"/>
                <w:i w:val="0"/>
                <w:color w:val="000000" w:themeColor="text1"/>
                <w:kern w:val="2"/>
                <w:sz w:val="24"/>
                <w:szCs w:val="24"/>
                <w:highlight w:val="none"/>
                <w:vertAlign w:val="subscript"/>
                <w:lang w:val="en-US" w:eastAsia="zh-CN" w:bidi="ar-SA"/>
                <w14:textFill>
                  <w14:solidFill>
                    <w14:schemeClr w14:val="tx1"/>
                  </w14:solidFill>
                </w14:textFill>
              </w:rPr>
            </w:pPr>
            <w:r>
              <w:rPr>
                <w:rFonts w:hint="default" w:ascii="Times New Roman" w:hAnsi="Times New Roman" w:cs="Times New Roman"/>
                <w:i w:val="0"/>
                <w:color w:val="000000" w:themeColor="text1"/>
                <w:kern w:val="2"/>
                <w:sz w:val="24"/>
                <w:szCs w:val="24"/>
                <w:highlight w:val="none"/>
                <w:lang w:val="en-US" w:eastAsia="zh-CN" w:bidi="ar-SA"/>
                <w14:textFill>
                  <w14:solidFill>
                    <w14:schemeClr w14:val="tx1"/>
                  </w14:solidFill>
                </w14:textFill>
              </w:rPr>
              <w:t>L=K×P×H×V</w:t>
            </w:r>
            <w:r>
              <w:rPr>
                <w:rFonts w:hint="default" w:ascii="Times New Roman" w:hAnsi="Times New Roman" w:cs="Times New Roman"/>
                <w:i w:val="0"/>
                <w:color w:val="000000" w:themeColor="text1"/>
                <w:kern w:val="2"/>
                <w:sz w:val="24"/>
                <w:szCs w:val="24"/>
                <w:highlight w:val="none"/>
                <w:vertAlign w:val="subscript"/>
                <w:lang w:val="en-US" w:eastAsia="zh-CN" w:bidi="ar-SA"/>
                <w14:textFill>
                  <w14:solidFill>
                    <w14:schemeClr w14:val="tx1"/>
                  </w14:solidFill>
                </w14:textFill>
              </w:rPr>
              <w:t>x</w:t>
            </w:r>
            <w:r>
              <w:rPr>
                <w:rFonts w:hint="default" w:ascii="Times New Roman" w:hAnsi="Times New Roman" w:cs="Times New Roman"/>
                <w:i w:val="0"/>
                <w:color w:val="000000" w:themeColor="text1"/>
                <w:kern w:val="2"/>
                <w:sz w:val="24"/>
                <w:szCs w:val="24"/>
                <w:highlight w:val="none"/>
                <w:lang w:val="en-US" w:eastAsia="zh-CN" w:bidi="ar-SA"/>
                <w14:textFill>
                  <w14:solidFill>
                    <w14:schemeClr w14:val="tx1"/>
                  </w14:solidFill>
                </w14:textFill>
              </w:rPr>
              <w:t>×3600</w:t>
            </w:r>
          </w:p>
          <w:p w14:paraId="04A6FE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960" w:firstLineChars="400"/>
              <w:jc w:val="left"/>
              <w:textAlignment w:val="auto"/>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pPr>
            <w:r>
              <w:rPr>
                <w:rFonts w:hint="eastAsia" w:hAnsi="Cambria Math" w:cs="Times New Roman"/>
                <w:i w:val="0"/>
                <w:color w:val="000000" w:themeColor="text1"/>
                <w:kern w:val="2"/>
                <w:sz w:val="24"/>
                <w:szCs w:val="24"/>
                <w:highlight w:val="none"/>
                <w:vertAlign w:val="baseline"/>
                <w:lang w:val="en-US" w:eastAsia="zh-CN" w:bidi="ar-SA"/>
                <w14:textFill>
                  <w14:solidFill>
                    <w14:schemeClr w14:val="tx1"/>
                  </w14:solidFill>
                </w14:textFill>
              </w:rPr>
              <w:t>式中：L—设计风量，</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m</w:t>
            </w:r>
            <w:r>
              <w:rPr>
                <w:rFonts w:hint="default" w:ascii="Times New Roman" w:hAnsi="Times New Roman" w:eastAsia="宋体" w:cs="Times New Roman"/>
                <w:b w:val="0"/>
                <w:bCs w:val="0"/>
                <w:color w:val="000000" w:themeColor="text1"/>
                <w:kern w:val="2"/>
                <w:sz w:val="24"/>
                <w:szCs w:val="24"/>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h</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w:t>
            </w:r>
          </w:p>
          <w:p w14:paraId="65AE71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1680" w:firstLineChars="700"/>
              <w:jc w:val="left"/>
              <w:textAlignment w:val="auto"/>
              <w:rPr>
                <w:rFonts w:hint="eastAsia" w:cs="Times New Roman"/>
                <w:b w:val="0"/>
                <w:bCs w:val="0"/>
                <w:color w:val="000000" w:themeColor="text1"/>
                <w:kern w:val="2"/>
                <w:sz w:val="24"/>
                <w:szCs w:val="24"/>
                <w:highlight w:val="none"/>
                <w:lang w:val="en-US" w:eastAsia="zh-CN" w:bidi="ar-SA"/>
                <w14:textFill>
                  <w14:solidFill>
                    <w14:schemeClr w14:val="tx1"/>
                  </w14:solidFill>
                </w14:textFill>
              </w:rPr>
            </w:pP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K—考虑沿高度分布不均匀的安全系数，通常取K=1.4；</w:t>
            </w:r>
          </w:p>
          <w:p w14:paraId="5D2571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1680" w:firstLineChars="700"/>
              <w:jc w:val="left"/>
              <w:textAlignment w:val="auto"/>
              <w:rPr>
                <w:rFonts w:hint="eastAsia" w:cs="Times New Roman"/>
                <w:b w:val="0"/>
                <w:bCs w:val="0"/>
                <w:color w:val="000000" w:themeColor="text1"/>
                <w:kern w:val="2"/>
                <w:sz w:val="24"/>
                <w:szCs w:val="24"/>
                <w:highlight w:val="none"/>
                <w:lang w:val="en-US" w:eastAsia="zh-CN" w:bidi="ar-SA"/>
                <w14:textFill>
                  <w14:solidFill>
                    <w14:schemeClr w14:val="tx1"/>
                  </w14:solidFill>
                </w14:textFill>
              </w:rPr>
            </w:pP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P—排风罩敞开面的周长，m；</w:t>
            </w:r>
          </w:p>
          <w:p w14:paraId="3ACC44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1680" w:firstLineChars="700"/>
              <w:jc w:val="left"/>
              <w:textAlignment w:val="auto"/>
              <w:rPr>
                <w:rFonts w:hint="default" w:cs="Times New Roman"/>
                <w:b w:val="0"/>
                <w:bCs w:val="0"/>
                <w:color w:val="000000" w:themeColor="text1"/>
                <w:kern w:val="2"/>
                <w:sz w:val="24"/>
                <w:szCs w:val="24"/>
                <w:highlight w:val="none"/>
                <w:lang w:val="en-US" w:eastAsia="zh-CN" w:bidi="ar-SA"/>
                <w14:textFill>
                  <w14:solidFill>
                    <w14:schemeClr w14:val="tx1"/>
                  </w14:solidFill>
                </w14:textFill>
              </w:rPr>
            </w:pP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H—罩口至有害物源的距离，m；</w:t>
            </w:r>
          </w:p>
          <w:p w14:paraId="4B824588">
            <w:pPr>
              <w:keepNext w:val="0"/>
              <w:keepLines w:val="0"/>
              <w:pageBreakBefore w:val="0"/>
              <w:widowControl/>
              <w:suppressLineNumbers w:val="0"/>
              <w:tabs>
                <w:tab w:val="center" w:pos="4607"/>
                <w:tab w:val="left" w:pos="5310"/>
              </w:tabs>
              <w:kinsoku/>
              <w:wordWrap/>
              <w:overflowPunct/>
              <w:topLinePunct w:val="0"/>
              <w:autoSpaceDE/>
              <w:autoSpaceDN/>
              <w:bidi w:val="0"/>
              <w:adjustRightInd/>
              <w:snapToGrid/>
              <w:spacing w:before="0" w:beforeAutospacing="0" w:after="0" w:afterAutospacing="0" w:line="440" w:lineRule="exact"/>
              <w:ind w:left="0" w:right="0" w:firstLine="1680" w:firstLineChars="700"/>
              <w:jc w:val="left"/>
              <w:textAlignment w:val="auto"/>
              <w:rPr>
                <w:rFonts w:hint="default" w:cs="Times New Roman"/>
                <w:b w:val="0"/>
                <w:bCs w:val="0"/>
                <w:color w:val="000000" w:themeColor="text1"/>
                <w:kern w:val="2"/>
                <w:sz w:val="24"/>
                <w:szCs w:val="24"/>
                <w:highlight w:val="none"/>
                <w:lang w:val="en-US" w:eastAsia="zh-CN" w:bidi="ar-SA"/>
                <w14:textFill>
                  <w14:solidFill>
                    <w14:schemeClr w14:val="tx1"/>
                  </w14:solidFill>
                </w14:textFill>
              </w:rPr>
            </w:pPr>
            <w:r>
              <w:rPr>
                <w:rFonts w:hint="eastAsia" w:hAnsi="Cambria Math" w:cs="Times New Roman"/>
                <w:i w:val="0"/>
                <w:color w:val="000000" w:themeColor="text1"/>
                <w:kern w:val="2"/>
                <w:sz w:val="24"/>
                <w:szCs w:val="24"/>
                <w:highlight w:val="none"/>
                <w:lang w:val="en-US" w:eastAsia="zh-CN" w:bidi="ar-SA"/>
                <w14:textFill>
                  <w14:solidFill>
                    <w14:schemeClr w14:val="tx1"/>
                  </w14:solidFill>
                </w14:textFill>
              </w:rPr>
              <w:t>V</w:t>
            </w:r>
            <w:r>
              <w:rPr>
                <w:rFonts w:hint="eastAsia" w:hAnsi="Cambria Math" w:cs="Times New Roman"/>
                <w:i w:val="0"/>
                <w:color w:val="000000" w:themeColor="text1"/>
                <w:kern w:val="2"/>
                <w:sz w:val="24"/>
                <w:szCs w:val="24"/>
                <w:highlight w:val="none"/>
                <w:vertAlign w:val="subscript"/>
                <w:lang w:val="en-US" w:eastAsia="zh-CN" w:bidi="ar-SA"/>
                <w14:textFill>
                  <w14:solidFill>
                    <w14:schemeClr w14:val="tx1"/>
                  </w14:solidFill>
                </w14:textFill>
              </w:rPr>
              <w:t>x</w:t>
            </w:r>
            <w:r>
              <w:rPr>
                <w:rFonts w:hint="eastAsia" w:hAnsi="Cambria Math" w:cs="Times New Roman"/>
                <w:i w:val="0"/>
                <w:color w:val="000000" w:themeColor="text1"/>
                <w:kern w:val="2"/>
                <w:sz w:val="24"/>
                <w:szCs w:val="24"/>
                <w:highlight w:val="none"/>
                <w:vertAlign w:val="baseline"/>
                <w:lang w:val="en-US" w:eastAsia="zh-CN" w:bidi="ar-SA"/>
                <w14:textFill>
                  <w14:solidFill>
                    <w14:schemeClr w14:val="tx1"/>
                  </w14:solidFill>
                </w14:textFill>
              </w:rPr>
              <w:t>—</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边缘控制点的控制风速，m/s。</w:t>
            </w:r>
          </w:p>
          <w:p w14:paraId="5ECB11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b w:val="0"/>
                <w:bCs/>
                <w:color w:val="000000" w:themeColor="text1"/>
                <w:highlight w:val="none"/>
                <w:u w:val="none"/>
                <w:lang w:eastAsia="zh-CN"/>
                <w14:textFill>
                  <w14:solidFill>
                    <w14:schemeClr w14:val="tx1"/>
                  </w14:solidFill>
                </w14:textFill>
              </w:rPr>
            </w:pP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本项目</w:t>
            </w:r>
            <w:r>
              <w:rPr>
                <w:rFonts w:hint="eastAsia" w:cs="Times New Roman"/>
                <w:color w:val="000000" w:themeColor="text1"/>
                <w:sz w:val="24"/>
                <w:szCs w:val="24"/>
                <w:highlight w:val="none"/>
                <w:lang w:val="en-US" w:eastAsia="zh-CN"/>
                <w14:textFill>
                  <w14:solidFill>
                    <w14:schemeClr w14:val="tx1"/>
                  </w14:solidFill>
                </w14:textFill>
              </w:rPr>
              <w:t>集气罩长</w:t>
            </w:r>
            <w:r>
              <w:rPr>
                <w:rFonts w:hint="default" w:ascii="Arial" w:hAnsi="Arial" w:cs="Arial"/>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宽：1</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eastAsia" w:cs="Times New Roman"/>
                <w:b w:val="0"/>
                <w:bCs/>
                <w:color w:val="000000" w:themeColor="text1"/>
                <w:kern w:val="0"/>
                <w:sz w:val="24"/>
                <w:szCs w:val="24"/>
                <w:highlight w:val="none"/>
                <w:lang w:val="en-US" w:eastAsia="zh-CN" w:bidi="ar-SA"/>
                <w14:textFill>
                  <w14:solidFill>
                    <w14:schemeClr w14:val="tx1"/>
                  </w14:solidFill>
                </w14:textFill>
              </w:rPr>
              <w:t>0.4</w:t>
            </w:r>
            <w:r>
              <w:rPr>
                <w:rFonts w:hint="default"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m</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w:t>
            </w:r>
            <w:r>
              <w:rPr>
                <w:rFonts w:hint="eastAsia" w:cs="Times New Roman"/>
                <w:b w:val="0"/>
                <w:bCs/>
                <w:color w:val="000000" w:themeColor="text1"/>
                <w:kern w:val="0"/>
                <w:sz w:val="24"/>
                <w:szCs w:val="24"/>
                <w:highlight w:val="none"/>
                <w:lang w:val="en-US" w:eastAsia="zh-CN" w:bidi="ar-SA"/>
                <w14:textFill>
                  <w14:solidFill>
                    <w14:schemeClr w14:val="tx1"/>
                  </w14:solidFill>
                </w14:textFill>
              </w:rPr>
              <w:t>H取0.3</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m，</w:t>
            </w:r>
            <w:r>
              <w:rPr>
                <w:rFonts w:hint="eastAsia" w:cs="Times New Roman"/>
                <w:b w:val="0"/>
                <w:bCs/>
                <w:color w:val="000000" w:themeColor="text1"/>
                <w:kern w:val="0"/>
                <w:sz w:val="24"/>
                <w:szCs w:val="24"/>
                <w:highlight w:val="none"/>
                <w:lang w:val="en-US" w:eastAsia="zh-CN" w:bidi="ar-SA"/>
                <w14:textFill>
                  <w14:solidFill>
                    <w14:schemeClr w14:val="tx1"/>
                  </w14:solidFill>
                </w14:textFill>
              </w:rPr>
              <w:t>V</w:t>
            </w:r>
            <w:r>
              <w:rPr>
                <w:rFonts w:hint="eastAsia" w:cs="Times New Roman"/>
                <w:b w:val="0"/>
                <w:bCs/>
                <w:color w:val="000000" w:themeColor="text1"/>
                <w:kern w:val="0"/>
                <w:sz w:val="24"/>
                <w:szCs w:val="24"/>
                <w:highlight w:val="none"/>
                <w:vertAlign w:val="subscript"/>
                <w:lang w:val="en-US" w:eastAsia="zh-CN" w:bidi="ar-SA"/>
                <w14:textFill>
                  <w14:solidFill>
                    <w14:schemeClr w14:val="tx1"/>
                  </w14:solidFill>
                </w14:textFill>
              </w:rPr>
              <w:t>x</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风速</w:t>
            </w:r>
            <w:r>
              <w:rPr>
                <w:rFonts w:hint="eastAsia" w:cs="Times New Roman"/>
                <w:b w:val="0"/>
                <w:bCs/>
                <w:color w:val="000000" w:themeColor="text1"/>
                <w:kern w:val="0"/>
                <w:sz w:val="24"/>
                <w:szCs w:val="24"/>
                <w:highlight w:val="none"/>
                <w:lang w:val="en-US" w:eastAsia="zh-CN" w:bidi="ar-SA"/>
                <w14:textFill>
                  <w14:solidFill>
                    <w14:schemeClr w14:val="tx1"/>
                  </w14:solidFill>
                </w14:textFill>
              </w:rPr>
              <w:t>根据</w:t>
            </w:r>
            <w:r>
              <w:rPr>
                <w:rFonts w:hint="eastAsia" w:cs="Times New Roman"/>
                <w:color w:val="000000" w:themeColor="text1"/>
                <w:sz w:val="24"/>
                <w:szCs w:val="24"/>
                <w:highlight w:val="none"/>
                <w:lang w:val="en-US" w:eastAsia="zh-CN"/>
                <w14:textFill>
                  <w14:solidFill>
                    <w14:schemeClr w14:val="tx1"/>
                  </w14:solidFill>
                </w14:textFill>
              </w:rPr>
              <w:t>《简明通风设计手册》中表5-3</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取0.</w:t>
            </w:r>
            <w:r>
              <w:rPr>
                <w:rFonts w:hint="eastAsia" w:cs="Times New Roman"/>
                <w:b w:val="0"/>
                <w:bCs/>
                <w:color w:val="000000" w:themeColor="text1"/>
                <w:kern w:val="0"/>
                <w:sz w:val="24"/>
                <w:szCs w:val="24"/>
                <w:highlight w:val="none"/>
                <w:lang w:val="en-US" w:eastAsia="zh-CN" w:bidi="ar-SA"/>
                <w14:textFill>
                  <w14:solidFill>
                    <w14:schemeClr w14:val="tx1"/>
                  </w14:solidFill>
                </w14:textFill>
              </w:rPr>
              <w:t>5</w:t>
            </w:r>
            <w:r>
              <w:rPr>
                <w:rFonts w:hint="eastAsia" w:ascii="Times New Roman" w:hAnsi="Times New Roman" w:eastAsia="宋体" w:cs="Times New Roman"/>
                <w:b w:val="0"/>
                <w:bCs/>
                <w:color w:val="000000" w:themeColor="text1"/>
                <w:kern w:val="0"/>
                <w:sz w:val="24"/>
                <w:szCs w:val="24"/>
                <w:highlight w:val="none"/>
                <w:lang w:val="en-US" w:eastAsia="zh-CN" w:bidi="ar-SA"/>
                <w14:textFill>
                  <w14:solidFill>
                    <w14:schemeClr w14:val="tx1"/>
                  </w14:solidFill>
                </w14:textFill>
              </w:rPr>
              <w:t>m/s，</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计算可得</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单个</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集气罩所需风量为</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2116.8</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m</w:t>
            </w:r>
            <w:r>
              <w:rPr>
                <w:rFonts w:hint="default" w:ascii="Times New Roman" w:hAnsi="Times New Roman" w:eastAsia="宋体" w:cs="Times New Roman"/>
                <w:b w:val="0"/>
                <w:bCs w:val="0"/>
                <w:color w:val="000000" w:themeColor="text1"/>
                <w:kern w:val="2"/>
                <w:sz w:val="24"/>
                <w:szCs w:val="24"/>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h</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，本项目共安装2个集气罩，则本项目集气罩所需风量共计4233.6</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m</w:t>
            </w:r>
            <w:r>
              <w:rPr>
                <w:rFonts w:hint="default" w:ascii="Times New Roman" w:hAnsi="Times New Roman" w:eastAsia="宋体" w:cs="Times New Roman"/>
                <w:b w:val="0"/>
                <w:bCs w:val="0"/>
                <w:color w:val="000000" w:themeColor="text1"/>
                <w:kern w:val="2"/>
                <w:sz w:val="24"/>
                <w:szCs w:val="24"/>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4"/>
                <w:szCs w:val="24"/>
                <w:vertAlign w:val="baseline"/>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h</w:t>
            </w:r>
            <w:r>
              <w:rPr>
                <w:rFonts w:hint="eastAsia" w:cs="Times New Roman"/>
                <w:b w:val="0"/>
                <w:bCs w:val="0"/>
                <w:color w:val="000000" w:themeColor="text1"/>
                <w:kern w:val="2"/>
                <w:sz w:val="24"/>
                <w:szCs w:val="24"/>
                <w:lang w:val="en-US" w:eastAsia="zh-CN" w:bidi="ar-SA"/>
                <w14:textFill>
                  <w14:solidFill>
                    <w14:schemeClr w14:val="tx1"/>
                  </w14:solidFill>
                </w14:textFill>
              </w:rPr>
              <w:t>，取43</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00</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m</w:t>
            </w:r>
            <w:r>
              <w:rPr>
                <w:rFonts w:hint="default" w:ascii="Times New Roman" w:hAnsi="Times New Roman" w:eastAsia="宋体" w:cs="Times New Roman"/>
                <w:b w:val="0"/>
                <w:bCs w:val="0"/>
                <w:color w:val="000000" w:themeColor="text1"/>
                <w:kern w:val="2"/>
                <w:sz w:val="24"/>
                <w:szCs w:val="24"/>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4"/>
                <w:szCs w:val="24"/>
                <w:vertAlign w:val="baseline"/>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t>h</w:t>
            </w:r>
            <w:r>
              <w:rPr>
                <w:rFonts w:hint="eastAsia"/>
                <w:b w:val="0"/>
                <w:bCs/>
                <w:color w:val="000000" w:themeColor="text1"/>
                <w:highlight w:val="none"/>
                <w:u w:val="none"/>
                <w:lang w:eastAsia="zh-CN"/>
                <w14:textFill>
                  <w14:solidFill>
                    <w14:schemeClr w14:val="tx1"/>
                  </w14:solidFill>
                </w14:textFill>
              </w:rPr>
              <w:t>。</w:t>
            </w:r>
          </w:p>
          <w:p w14:paraId="63694B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cs="Times New Roman"/>
                <w:sz w:val="24"/>
                <w:highlight w:val="none"/>
                <w:lang w:val="en-US" w:eastAsia="zh-CN"/>
              </w:rPr>
            </w:pPr>
            <w:r>
              <w:rPr>
                <w:rFonts w:hint="eastAsia"/>
                <w:bCs/>
                <w:color w:val="auto"/>
                <w:sz w:val="24"/>
                <w:szCs w:val="24"/>
                <w:lang w:val="en-US" w:eastAsia="zh-CN"/>
              </w:rPr>
              <w:t>项目评价提出：本项目印刷机二次密闭，废气经负压收集，收集后通至</w:t>
            </w:r>
            <w:r>
              <w:rPr>
                <w:rFonts w:hint="eastAsia"/>
                <w:color w:val="auto"/>
                <w:sz w:val="24"/>
                <w:szCs w:val="24"/>
              </w:rPr>
              <w:t>活性炭吸附脱附</w:t>
            </w:r>
            <w:r>
              <w:rPr>
                <w:rFonts w:hint="eastAsia"/>
                <w:color w:val="auto"/>
                <w:sz w:val="24"/>
                <w:szCs w:val="24"/>
                <w:lang w:val="en-US" w:eastAsia="zh-CN"/>
              </w:rPr>
              <w:t>+</w:t>
            </w:r>
            <w:r>
              <w:rPr>
                <w:rFonts w:hint="eastAsia"/>
                <w:color w:val="auto"/>
                <w:sz w:val="24"/>
                <w:szCs w:val="24"/>
              </w:rPr>
              <w:t>催化燃烧装置</w:t>
            </w:r>
            <w:r>
              <w:rPr>
                <w:rFonts w:hint="eastAsia"/>
                <w:color w:val="auto"/>
                <w:sz w:val="24"/>
                <w:szCs w:val="24"/>
                <w:lang w:eastAsia="zh-CN"/>
              </w:rPr>
              <w:t>（</w:t>
            </w:r>
            <w:r>
              <w:rPr>
                <w:rFonts w:hint="eastAsia"/>
                <w:color w:val="auto"/>
                <w:sz w:val="24"/>
                <w:szCs w:val="24"/>
                <w:lang w:val="en-US" w:eastAsia="zh-CN"/>
              </w:rPr>
              <w:t>TA001</w:t>
            </w:r>
            <w:r>
              <w:rPr>
                <w:rFonts w:hint="eastAsia"/>
                <w:color w:val="auto"/>
                <w:sz w:val="24"/>
                <w:szCs w:val="24"/>
                <w:lang w:eastAsia="zh-CN"/>
              </w:rPr>
              <w:t>）</w:t>
            </w:r>
            <w:r>
              <w:rPr>
                <w:rFonts w:hint="eastAsia"/>
                <w:color w:val="auto"/>
                <w:sz w:val="24"/>
                <w:szCs w:val="24"/>
              </w:rPr>
              <w:t>处理</w:t>
            </w:r>
            <w:r>
              <w:rPr>
                <w:rFonts w:hint="eastAsia"/>
                <w:color w:val="auto"/>
                <w:sz w:val="24"/>
                <w:szCs w:val="24"/>
                <w:lang w:eastAsia="zh-CN"/>
              </w:rPr>
              <w:t>，</w:t>
            </w:r>
            <w:r>
              <w:rPr>
                <w:rFonts w:hint="eastAsia"/>
                <w:color w:val="auto"/>
                <w:sz w:val="24"/>
                <w:szCs w:val="24"/>
                <w:lang w:val="en-US" w:eastAsia="zh-CN"/>
              </w:rPr>
              <w:t>尾气经1根</w:t>
            </w:r>
            <w:r>
              <w:rPr>
                <w:rFonts w:hint="eastAsia"/>
                <w:color w:val="auto"/>
                <w:sz w:val="24"/>
                <w:szCs w:val="24"/>
              </w:rPr>
              <w:t>15m高排气筒</w:t>
            </w:r>
            <w:r>
              <w:rPr>
                <w:rFonts w:hint="eastAsia"/>
                <w:color w:val="auto"/>
                <w:sz w:val="24"/>
                <w:szCs w:val="24"/>
                <w:lang w:eastAsia="zh-CN"/>
              </w:rPr>
              <w:t>（</w:t>
            </w:r>
            <w:r>
              <w:rPr>
                <w:rFonts w:hint="eastAsia"/>
                <w:color w:val="auto"/>
                <w:sz w:val="24"/>
                <w:szCs w:val="24"/>
                <w:lang w:val="en-US" w:eastAsia="zh-CN"/>
              </w:rPr>
              <w:t>DA001</w:t>
            </w:r>
            <w:r>
              <w:rPr>
                <w:rFonts w:hint="eastAsia"/>
                <w:color w:val="auto"/>
                <w:sz w:val="24"/>
                <w:szCs w:val="24"/>
                <w:lang w:eastAsia="zh-CN"/>
              </w:rPr>
              <w:t>）</w:t>
            </w:r>
            <w:r>
              <w:rPr>
                <w:rFonts w:hint="eastAsia"/>
                <w:color w:val="auto"/>
                <w:sz w:val="24"/>
                <w:szCs w:val="24"/>
              </w:rPr>
              <w:t>排放</w:t>
            </w:r>
            <w:r>
              <w:rPr>
                <w:rFonts w:hint="eastAsia" w:cs="Times New Roman"/>
                <w:sz w:val="24"/>
                <w:highlight w:val="none"/>
                <w:lang w:val="en-US" w:eastAsia="zh-CN"/>
              </w:rPr>
              <w:t>。</w:t>
            </w:r>
          </w:p>
          <w:p w14:paraId="03C053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hAnsi="宋体"/>
                <w:b w:val="0"/>
                <w:bCs w:val="0"/>
                <w:color w:val="auto"/>
                <w:sz w:val="24"/>
                <w:highlight w:val="none"/>
                <w:lang w:val="en-US" w:eastAsia="zh-CN"/>
              </w:rPr>
            </w:pPr>
            <w:r>
              <w:rPr>
                <w:rFonts w:hint="eastAsia"/>
                <w:b w:val="0"/>
                <w:bCs/>
                <w:color w:val="000000" w:themeColor="text1"/>
                <w:highlight w:val="none"/>
                <w:u w:val="none"/>
                <w:lang w:val="en-US" w:eastAsia="zh-CN"/>
                <w14:textFill>
                  <w14:solidFill>
                    <w14:schemeClr w14:val="tx1"/>
                  </w14:solidFill>
                </w14:textFill>
              </w:rPr>
              <w:t>印刷机刮刀密闭，烘箱密闭，供墨系统密闭，二次密闭区域</w:t>
            </w:r>
            <w:r>
              <w:rPr>
                <w:rFonts w:hint="default" w:eastAsia="宋体"/>
                <w:highlight w:val="none"/>
                <w:lang w:val="en-US" w:eastAsia="zh-CN"/>
              </w:rPr>
              <w:t>整体换风次数</w:t>
            </w:r>
            <w:r>
              <w:rPr>
                <w:rFonts w:hint="eastAsia"/>
                <w:highlight w:val="none"/>
                <w:lang w:val="en-US" w:eastAsia="zh-CN"/>
              </w:rPr>
              <w:t>以20</w:t>
            </w:r>
            <w:r>
              <w:rPr>
                <w:rFonts w:hint="default" w:eastAsia="宋体"/>
                <w:highlight w:val="none"/>
                <w:lang w:val="en-US" w:eastAsia="zh-CN"/>
              </w:rPr>
              <w:t>次/h</w:t>
            </w:r>
            <w:r>
              <w:rPr>
                <w:rFonts w:hint="eastAsia"/>
                <w:highlight w:val="none"/>
                <w:lang w:val="en-US" w:eastAsia="zh-CN"/>
              </w:rPr>
              <w:t>计</w:t>
            </w:r>
            <w:r>
              <w:rPr>
                <w:rFonts w:hint="default" w:eastAsia="宋体"/>
                <w:highlight w:val="none"/>
                <w:lang w:val="en-US" w:eastAsia="zh-CN"/>
              </w:rPr>
              <w:t>，则</w:t>
            </w:r>
            <w:r>
              <w:rPr>
                <w:rFonts w:hint="eastAsia"/>
                <w:highlight w:val="none"/>
                <w:lang w:val="en-US" w:eastAsia="zh-CN"/>
              </w:rPr>
              <w:t>二次密闭区域</w:t>
            </w:r>
            <w:r>
              <w:rPr>
                <w:rFonts w:hint="default" w:eastAsia="宋体"/>
                <w:highlight w:val="none"/>
                <w:lang w:val="en-US" w:eastAsia="zh-CN"/>
              </w:rPr>
              <w:t>所需风量</w:t>
            </w:r>
            <w:r>
              <w:rPr>
                <w:rFonts w:hint="eastAsia"/>
                <w:highlight w:val="none"/>
                <w:lang w:val="en-US" w:eastAsia="zh-CN"/>
              </w:rPr>
              <w:t>合计</w:t>
            </w:r>
            <w:r>
              <w:rPr>
                <w:rFonts w:hint="default" w:eastAsia="宋体"/>
                <w:highlight w:val="none"/>
                <w:lang w:val="en-US" w:eastAsia="zh-CN"/>
              </w:rPr>
              <w:t>为</w:t>
            </w:r>
            <w:r>
              <w:rPr>
                <w:rFonts w:hint="eastAsia"/>
                <w:highlight w:val="none"/>
                <w:lang w:val="en-US" w:eastAsia="zh-CN"/>
              </w:rPr>
              <w:t>1800m</w:t>
            </w:r>
            <w:r>
              <w:rPr>
                <w:rFonts w:hint="eastAsia"/>
                <w:highlight w:val="none"/>
                <w:vertAlign w:val="superscript"/>
                <w:lang w:val="en-US" w:eastAsia="zh-CN"/>
              </w:rPr>
              <w:t>3</w:t>
            </w:r>
            <w:r>
              <w:rPr>
                <w:rFonts w:hint="eastAsia"/>
                <w:highlight w:val="none"/>
                <w:lang w:val="en-US" w:eastAsia="zh-CN"/>
              </w:rPr>
              <w:t>/</w:t>
            </w:r>
            <w:r>
              <w:rPr>
                <w:rFonts w:hint="default" w:eastAsia="宋体"/>
                <w:highlight w:val="none"/>
                <w:lang w:val="en-US" w:eastAsia="zh-CN"/>
              </w:rPr>
              <w:t>h</w:t>
            </w:r>
            <w:r>
              <w:rPr>
                <w:rFonts w:hint="eastAsia"/>
                <w:highlight w:val="none"/>
                <w:lang w:val="en-US" w:eastAsia="zh-CN"/>
              </w:rPr>
              <w:t>（6</w:t>
            </w:r>
            <w:r>
              <w:rPr>
                <w:rFonts w:hint="default" w:ascii="Arial" w:hAnsi="Arial" w:cs="Arial"/>
                <w:highlight w:val="none"/>
                <w:lang w:val="en-US" w:eastAsia="zh-CN"/>
              </w:rPr>
              <w:t>×</w:t>
            </w:r>
            <w:r>
              <w:rPr>
                <w:rFonts w:hint="eastAsia"/>
                <w:highlight w:val="none"/>
                <w:lang w:val="en-US" w:eastAsia="zh-CN"/>
              </w:rPr>
              <w:t>3</w:t>
            </w:r>
            <w:r>
              <w:rPr>
                <w:rFonts w:hint="default" w:ascii="Arial" w:hAnsi="Arial" w:cs="Arial"/>
                <w:highlight w:val="none"/>
                <w:lang w:val="en-US" w:eastAsia="zh-CN"/>
              </w:rPr>
              <w:t>×</w:t>
            </w:r>
            <w:r>
              <w:rPr>
                <w:rFonts w:hint="eastAsia"/>
                <w:highlight w:val="none"/>
                <w:lang w:val="en-US" w:eastAsia="zh-CN"/>
              </w:rPr>
              <w:t>5m）。本项目安装3台印刷机</w:t>
            </w:r>
            <w:r>
              <w:rPr>
                <w:rFonts w:hint="eastAsia" w:eastAsia="宋体"/>
                <w:highlight w:val="none"/>
                <w:lang w:val="en-US" w:eastAsia="zh-CN"/>
              </w:rPr>
              <w:t>，</w:t>
            </w:r>
            <w:r>
              <w:rPr>
                <w:rFonts w:hint="eastAsia" w:ascii="Times New Roman" w:hAnsi="Times New Roman" w:cs="Times New Roman"/>
                <w:b w:val="0"/>
                <w:bCs w:val="0"/>
                <w:color w:val="000000" w:themeColor="text1"/>
                <w:kern w:val="2"/>
                <w:sz w:val="24"/>
                <w:szCs w:val="24"/>
                <w:highlight w:val="none"/>
                <w:lang w:val="en-US" w:eastAsia="zh-CN" w:bidi="ar-SA"/>
                <w14:textFill>
                  <w14:solidFill>
                    <w14:schemeClr w14:val="tx1"/>
                  </w14:solidFill>
                </w14:textFill>
              </w:rPr>
              <w:t>则本项目风机风量为</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5400</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m</w:t>
            </w:r>
            <w:r>
              <w:rPr>
                <w:rFonts w:hint="default" w:ascii="Times New Roman" w:hAnsi="Times New Roman" w:eastAsia="宋体" w:cs="Times New Roman"/>
                <w:b w:val="0"/>
                <w:bCs w:val="0"/>
                <w:color w:val="000000" w:themeColor="text1"/>
                <w:kern w:val="2"/>
                <w:sz w:val="24"/>
                <w:szCs w:val="24"/>
                <w:highlight w:val="none"/>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2"/>
                <w:sz w:val="24"/>
                <w:szCs w:val="24"/>
                <w:highlight w:val="none"/>
                <w:vertAlign w:val="baseline"/>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h</w:t>
            </w:r>
            <w:r>
              <w:rPr>
                <w:rFonts w:hint="eastAsia" w:ascii="Times New Roman" w:hAnsi="Times New Roman" w:cs="Times New Roman"/>
                <w:b w:val="0"/>
                <w:bCs w:val="0"/>
                <w:color w:val="000000" w:themeColor="text1"/>
                <w:kern w:val="2"/>
                <w:sz w:val="24"/>
                <w:szCs w:val="24"/>
                <w:highlight w:val="none"/>
                <w:lang w:val="en-US" w:eastAsia="zh-CN" w:bidi="ar-SA"/>
                <w14:textFill>
                  <w14:solidFill>
                    <w14:schemeClr w14:val="tx1"/>
                  </w14:solidFill>
                </w14:textFill>
              </w:rPr>
              <w:t>。</w:t>
            </w:r>
          </w:p>
          <w:p w14:paraId="0CFE3A9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eastAsia" w:hAnsi="宋体" w:eastAsia="宋体"/>
                <w:b w:val="0"/>
                <w:bCs w:val="0"/>
                <w:color w:val="auto"/>
                <w:sz w:val="24"/>
                <w:highlight w:val="none"/>
                <w:lang w:val="en-US" w:eastAsia="zh-CN"/>
              </w:rPr>
            </w:pPr>
            <w:r>
              <w:rPr>
                <w:rFonts w:hint="eastAsia" w:hAnsi="宋体"/>
                <w:b w:val="0"/>
                <w:bCs w:val="0"/>
                <w:color w:val="auto"/>
                <w:sz w:val="24"/>
                <w:highlight w:val="none"/>
                <w:lang w:val="en-US" w:eastAsia="zh-CN"/>
              </w:rPr>
              <w:t>（3）</w:t>
            </w:r>
            <w:r>
              <w:rPr>
                <w:rFonts w:hint="eastAsia" w:hAnsi="宋体"/>
                <w:b w:val="0"/>
                <w:bCs w:val="0"/>
                <w:color w:val="auto"/>
                <w:sz w:val="24"/>
                <w:lang w:val="en-US" w:eastAsia="zh-CN"/>
              </w:rPr>
              <w:t>淋膜</w:t>
            </w:r>
            <w:r>
              <w:rPr>
                <w:rFonts w:hint="default"/>
                <w:color w:val="000000" w:themeColor="text1"/>
                <w:sz w:val="24"/>
                <w14:textFill>
                  <w14:solidFill>
                    <w14:schemeClr w14:val="tx1"/>
                  </w14:solidFill>
                </w14:textFill>
              </w:rPr>
              <w:t>工序</w:t>
            </w:r>
            <w:r>
              <w:rPr>
                <w:rFonts w:hint="eastAsia"/>
                <w:color w:val="000000" w:themeColor="text1"/>
                <w:sz w:val="24"/>
                <w:lang w:eastAsia="zh-CN"/>
                <w14:textFill>
                  <w14:solidFill>
                    <w14:schemeClr w14:val="tx1"/>
                  </w14:solidFill>
                </w14:textFill>
              </w:rPr>
              <w:t>废气产排达标分析</w:t>
            </w:r>
          </w:p>
          <w:p w14:paraId="46A2CC73">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firstLine="435"/>
              <w:jc w:val="both"/>
              <w:textAlignment w:val="auto"/>
              <w:rPr>
                <w:rFonts w:hint="eastAsia" w:cs="Times New Roman"/>
                <w:color w:val="000000" w:themeColor="text1"/>
                <w:sz w:val="24"/>
                <w:highlight w:val="none"/>
                <w:lang w:val="en-US" w:eastAsia="zh-CN"/>
                <w14:textFill>
                  <w14:solidFill>
                    <w14:schemeClr w14:val="tx1"/>
                  </w14:solidFill>
                </w14:textFill>
              </w:rPr>
            </w:pPr>
            <w:r>
              <w:rPr>
                <w:rFonts w:hint="eastAsia"/>
                <w:color w:val="000000" w:themeColor="text1"/>
                <w:kern w:val="0"/>
                <w:sz w:val="24"/>
                <w:szCs w:val="24"/>
                <w:highlight w:val="none"/>
                <w:lang w:val="en-US" w:eastAsia="zh-CN"/>
                <w14:textFill>
                  <w14:solidFill>
                    <w14:schemeClr w14:val="tx1"/>
                  </w14:solidFill>
                </w14:textFill>
              </w:rPr>
              <w:t>本项目淋膜工序</w:t>
            </w:r>
            <w:r>
              <w:rPr>
                <w:rFonts w:hint="eastAsia" w:cs="Times New Roman"/>
                <w:color w:val="000000" w:themeColor="text1"/>
                <w:sz w:val="24"/>
                <w:highlight w:val="none"/>
                <w:lang w:val="en-US" w:eastAsia="zh-CN"/>
                <w14:textFill>
                  <w14:solidFill>
                    <w14:schemeClr w14:val="tx1"/>
                  </w14:solidFill>
                </w14:textFill>
              </w:rPr>
              <w:t>集气罩收集效率以95%计，印刷工序负压收集效率以98%计。活性炭吸附脱附+催化燃烧装置针对非甲烷总烃治理效率为95%，本项目年工作时间4800小时。以下对废气排放情况进行分析：</w:t>
            </w:r>
          </w:p>
          <w:p w14:paraId="63B743F2">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jc w:val="center"/>
              <w:rPr>
                <w:rFonts w:hint="eastAsia" w:hAnsi="宋体"/>
                <w:b/>
                <w:bCs/>
                <w:color w:val="000000" w:themeColor="text1"/>
                <w:sz w:val="24"/>
                <w:highlight w:val="none"/>
                <w:lang w:val="en-US" w:eastAsia="zh-CN"/>
                <w14:textFill>
                  <w14:solidFill>
                    <w14:schemeClr w14:val="tx1"/>
                  </w14:solidFill>
                </w14:textFill>
              </w:rPr>
            </w:pPr>
            <w:r>
              <w:rPr>
                <w:rFonts w:hint="eastAsia" w:hAnsi="宋体"/>
                <w:b/>
                <w:bCs/>
                <w:color w:val="000000" w:themeColor="text1"/>
                <w:sz w:val="24"/>
                <w:highlight w:val="none"/>
                <w:lang w:val="en-US" w:eastAsia="zh-CN"/>
                <w14:textFill>
                  <w14:solidFill>
                    <w14:schemeClr w14:val="tx1"/>
                  </w14:solidFill>
                </w14:textFill>
              </w:rPr>
              <w:t>表21 本项目淋膜工序大气污染物排放一览表</w:t>
            </w:r>
          </w:p>
          <w:tbl>
            <w:tblPr>
              <w:tblStyle w:val="22"/>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5"/>
              <w:gridCol w:w="694"/>
              <w:gridCol w:w="628"/>
              <w:gridCol w:w="737"/>
              <w:gridCol w:w="682"/>
              <w:gridCol w:w="600"/>
              <w:gridCol w:w="763"/>
              <w:gridCol w:w="737"/>
              <w:gridCol w:w="668"/>
              <w:gridCol w:w="668"/>
              <w:gridCol w:w="890"/>
              <w:gridCol w:w="851"/>
            </w:tblGrid>
            <w:tr w14:paraId="1AD6D0E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restart"/>
                  <w:tcBorders>
                    <w:top w:val="single" w:color="auto" w:sz="8" w:space="0"/>
                    <w:right w:val="single" w:color="auto" w:sz="4" w:space="0"/>
                  </w:tcBorders>
                  <w:noWrap w:val="0"/>
                  <w:vAlign w:val="center"/>
                </w:tcPr>
                <w:p w14:paraId="02E45D3C">
                  <w:pPr>
                    <w:keepNext w:val="0"/>
                    <w:keepLines w:val="0"/>
                    <w:suppressLineNumbers w:val="0"/>
                    <w:adjustRightInd w:val="0"/>
                    <w:snapToGrid w:val="0"/>
                    <w:spacing w:before="0" w:beforeAutospacing="0" w:after="0" w:afterAutospacing="0"/>
                    <w:ind w:left="0" w:right="0"/>
                    <w:jc w:val="center"/>
                    <w:rPr>
                      <w:rFonts w:hint="default" w:eastAsia="宋体"/>
                      <w:b/>
                      <w:color w:val="auto"/>
                      <w:sz w:val="21"/>
                      <w:szCs w:val="21"/>
                      <w:highlight w:val="none"/>
                      <w:lang w:val="en-US" w:eastAsia="zh-CN"/>
                    </w:rPr>
                  </w:pPr>
                  <w:r>
                    <w:rPr>
                      <w:rFonts w:hint="eastAsia"/>
                      <w:b/>
                      <w:color w:val="auto"/>
                      <w:sz w:val="21"/>
                      <w:szCs w:val="21"/>
                      <w:highlight w:val="none"/>
                      <w:lang w:val="en-US" w:eastAsia="zh-CN"/>
                    </w:rPr>
                    <w:t>污染因子</w:t>
                  </w:r>
                </w:p>
              </w:tc>
              <w:tc>
                <w:tcPr>
                  <w:tcW w:w="402" w:type="pct"/>
                  <w:vMerge w:val="restart"/>
                  <w:tcBorders>
                    <w:top w:val="single" w:color="auto" w:sz="8" w:space="0"/>
                    <w:left w:val="single" w:color="auto" w:sz="4" w:space="0"/>
                    <w:right w:val="single" w:color="auto" w:sz="4" w:space="0"/>
                  </w:tcBorders>
                  <w:noWrap w:val="0"/>
                  <w:vAlign w:val="center"/>
                </w:tcPr>
                <w:p w14:paraId="576F55AE">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lang w:val="en-US" w:eastAsia="zh-CN"/>
                    </w:rPr>
                  </w:pPr>
                  <w:r>
                    <w:rPr>
                      <w:rFonts w:hint="eastAsia"/>
                      <w:b/>
                      <w:color w:val="auto"/>
                      <w:sz w:val="21"/>
                      <w:szCs w:val="21"/>
                      <w:highlight w:val="none"/>
                      <w:lang w:val="en-US" w:eastAsia="zh-CN"/>
                    </w:rPr>
                    <w:t>产污环节</w:t>
                  </w:r>
                </w:p>
              </w:tc>
              <w:tc>
                <w:tcPr>
                  <w:tcW w:w="1188" w:type="pct"/>
                  <w:gridSpan w:val="3"/>
                  <w:tcBorders>
                    <w:top w:val="single" w:color="auto" w:sz="8" w:space="0"/>
                    <w:left w:val="single" w:color="auto" w:sz="4" w:space="0"/>
                    <w:bottom w:val="single" w:color="auto" w:sz="4" w:space="0"/>
                    <w:right w:val="single" w:color="auto" w:sz="4" w:space="0"/>
                  </w:tcBorders>
                  <w:noWrap w:val="0"/>
                  <w:vAlign w:val="center"/>
                </w:tcPr>
                <w:p w14:paraId="4137C23E">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lang w:val="en-US" w:eastAsia="zh-CN"/>
                    </w:rPr>
                  </w:pPr>
                  <w:r>
                    <w:rPr>
                      <w:rFonts w:hint="eastAsia"/>
                      <w:b/>
                      <w:color w:val="auto"/>
                      <w:sz w:val="21"/>
                      <w:szCs w:val="21"/>
                      <w:highlight w:val="none"/>
                      <w:lang w:val="en-US" w:eastAsia="zh-CN"/>
                    </w:rPr>
                    <w:t>有组织废气收集情况</w:t>
                  </w:r>
                </w:p>
              </w:tc>
              <w:tc>
                <w:tcPr>
                  <w:tcW w:w="1219" w:type="pct"/>
                  <w:gridSpan w:val="3"/>
                  <w:tcBorders>
                    <w:top w:val="single" w:color="auto" w:sz="8" w:space="0"/>
                    <w:left w:val="single" w:color="auto" w:sz="4" w:space="0"/>
                    <w:bottom w:val="single" w:color="auto" w:sz="4" w:space="0"/>
                  </w:tcBorders>
                  <w:noWrap w:val="0"/>
                  <w:vAlign w:val="center"/>
                </w:tcPr>
                <w:p w14:paraId="7A67B833">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lang w:val="en-US" w:eastAsia="zh-CN"/>
                    </w:rPr>
                  </w:pPr>
                  <w:r>
                    <w:rPr>
                      <w:rFonts w:hint="eastAsia"/>
                      <w:b/>
                      <w:color w:val="auto"/>
                      <w:sz w:val="21"/>
                      <w:szCs w:val="21"/>
                      <w:highlight w:val="none"/>
                      <w:lang w:val="en-US" w:eastAsia="zh-CN"/>
                    </w:rPr>
                    <w:t>有组织废气排放情况</w:t>
                  </w:r>
                </w:p>
              </w:tc>
              <w:tc>
                <w:tcPr>
                  <w:tcW w:w="387" w:type="pct"/>
                  <w:vMerge w:val="restart"/>
                  <w:tcBorders>
                    <w:top w:val="single" w:color="auto" w:sz="8" w:space="0"/>
                    <w:left w:val="single" w:color="auto" w:sz="4" w:space="0"/>
                  </w:tcBorders>
                  <w:noWrap w:val="0"/>
                  <w:vAlign w:val="center"/>
                </w:tcPr>
                <w:p w14:paraId="44CAB4BB">
                  <w:pPr>
                    <w:keepNext w:val="0"/>
                    <w:keepLines w:val="0"/>
                    <w:suppressLineNumbers w:val="0"/>
                    <w:adjustRightInd w:val="0"/>
                    <w:snapToGrid w:val="0"/>
                    <w:spacing w:before="0" w:beforeAutospacing="0" w:after="0" w:afterAutospacing="0"/>
                    <w:ind w:left="0" w:leftChars="0" w:right="0" w:rightChars="0"/>
                    <w:jc w:val="center"/>
                    <w:rPr>
                      <w:rFonts w:hint="eastAsia"/>
                      <w:b/>
                      <w:color w:val="auto"/>
                      <w:sz w:val="21"/>
                      <w:szCs w:val="21"/>
                      <w:highlight w:val="none"/>
                      <w:lang w:val="en-US" w:eastAsia="zh-CN"/>
                    </w:rPr>
                  </w:pPr>
                  <w:r>
                    <w:rPr>
                      <w:rFonts w:hint="eastAsia"/>
                      <w:b/>
                      <w:color w:val="auto"/>
                      <w:sz w:val="21"/>
                      <w:szCs w:val="21"/>
                      <w:highlight w:val="none"/>
                      <w:lang w:val="en-US" w:eastAsia="zh-CN"/>
                    </w:rPr>
                    <w:t>单位产品排放量kg/t</w:t>
                  </w:r>
                </w:p>
              </w:tc>
              <w:tc>
                <w:tcPr>
                  <w:tcW w:w="387" w:type="pct"/>
                  <w:vMerge w:val="restart"/>
                  <w:tcBorders>
                    <w:top w:val="single" w:color="auto" w:sz="8" w:space="0"/>
                    <w:left w:val="single" w:color="auto" w:sz="4" w:space="0"/>
                  </w:tcBorders>
                  <w:noWrap w:val="0"/>
                  <w:vAlign w:val="center"/>
                </w:tcPr>
                <w:p w14:paraId="2519AF82">
                  <w:pPr>
                    <w:keepNext w:val="0"/>
                    <w:keepLines w:val="0"/>
                    <w:suppressLineNumbers w:val="0"/>
                    <w:adjustRightInd w:val="0"/>
                    <w:snapToGrid w:val="0"/>
                    <w:spacing w:before="0" w:beforeAutospacing="0" w:after="0" w:afterAutospacing="0"/>
                    <w:ind w:left="0" w:leftChars="0" w:right="0" w:rightChars="0"/>
                    <w:jc w:val="center"/>
                    <w:rPr>
                      <w:rFonts w:hint="default"/>
                      <w:b/>
                      <w:color w:val="auto"/>
                      <w:sz w:val="21"/>
                      <w:szCs w:val="21"/>
                      <w:highlight w:val="none"/>
                      <w:lang w:val="en-US" w:eastAsia="zh-CN"/>
                    </w:rPr>
                  </w:pPr>
                  <w:r>
                    <w:rPr>
                      <w:rFonts w:hint="eastAsia"/>
                      <w:b/>
                      <w:color w:val="auto"/>
                      <w:sz w:val="21"/>
                      <w:szCs w:val="21"/>
                      <w:highlight w:val="none"/>
                      <w:lang w:val="en-US" w:eastAsia="zh-CN"/>
                    </w:rPr>
                    <w:t>风机风量m</w:t>
                  </w:r>
                  <w:r>
                    <w:rPr>
                      <w:rFonts w:hint="eastAsia"/>
                      <w:b/>
                      <w:color w:val="auto"/>
                      <w:sz w:val="21"/>
                      <w:szCs w:val="21"/>
                      <w:highlight w:val="none"/>
                      <w:vertAlign w:val="superscript"/>
                      <w:lang w:val="en-US" w:eastAsia="zh-CN"/>
                    </w:rPr>
                    <w:t>3</w:t>
                  </w:r>
                  <w:r>
                    <w:rPr>
                      <w:rFonts w:hint="eastAsia"/>
                      <w:b/>
                      <w:color w:val="auto"/>
                      <w:sz w:val="21"/>
                      <w:szCs w:val="21"/>
                      <w:highlight w:val="none"/>
                      <w:lang w:val="en-US" w:eastAsia="zh-CN"/>
                    </w:rPr>
                    <w:t>/h</w:t>
                  </w:r>
                </w:p>
              </w:tc>
              <w:tc>
                <w:tcPr>
                  <w:tcW w:w="516" w:type="pct"/>
                  <w:vMerge w:val="restart"/>
                  <w:tcBorders>
                    <w:top w:val="single" w:color="auto" w:sz="8" w:space="0"/>
                    <w:left w:val="single" w:color="auto" w:sz="4" w:space="0"/>
                  </w:tcBorders>
                  <w:noWrap w:val="0"/>
                  <w:vAlign w:val="center"/>
                </w:tcPr>
                <w:p w14:paraId="1C082943">
                  <w:pPr>
                    <w:keepNext w:val="0"/>
                    <w:keepLines w:val="0"/>
                    <w:suppressLineNumbers w:val="0"/>
                    <w:adjustRightInd w:val="0"/>
                    <w:snapToGrid w:val="0"/>
                    <w:spacing w:before="0" w:beforeAutospacing="0" w:after="0" w:afterAutospacing="0"/>
                    <w:ind w:left="0" w:leftChars="0" w:right="0" w:rightChars="0"/>
                    <w:jc w:val="center"/>
                    <w:rPr>
                      <w:rFonts w:hint="eastAsia"/>
                      <w:b/>
                      <w:color w:val="auto"/>
                      <w:sz w:val="21"/>
                      <w:szCs w:val="21"/>
                      <w:highlight w:val="none"/>
                      <w:lang w:val="en-US" w:eastAsia="zh-CN"/>
                    </w:rPr>
                  </w:pPr>
                  <w:r>
                    <w:rPr>
                      <w:rFonts w:hint="eastAsia"/>
                      <w:b/>
                      <w:color w:val="auto"/>
                      <w:sz w:val="21"/>
                      <w:szCs w:val="21"/>
                      <w:highlight w:val="none"/>
                      <w:lang w:val="en-US" w:eastAsia="zh-CN"/>
                    </w:rPr>
                    <w:t>处理措施</w:t>
                  </w:r>
                </w:p>
              </w:tc>
              <w:tc>
                <w:tcPr>
                  <w:tcW w:w="494" w:type="pct"/>
                  <w:vMerge w:val="restart"/>
                  <w:tcBorders>
                    <w:top w:val="single" w:color="auto" w:sz="8" w:space="0"/>
                    <w:left w:val="single" w:color="auto" w:sz="4" w:space="0"/>
                  </w:tcBorders>
                  <w:noWrap w:val="0"/>
                  <w:vAlign w:val="center"/>
                </w:tcPr>
                <w:p w14:paraId="27B5A4A3">
                  <w:pPr>
                    <w:keepNext w:val="0"/>
                    <w:keepLines w:val="0"/>
                    <w:suppressLineNumbers w:val="0"/>
                    <w:adjustRightInd w:val="0"/>
                    <w:snapToGrid w:val="0"/>
                    <w:spacing w:before="0" w:beforeAutospacing="0" w:after="0" w:afterAutospacing="0"/>
                    <w:ind w:left="0" w:leftChars="0" w:right="0" w:rightChars="0"/>
                    <w:jc w:val="center"/>
                    <w:rPr>
                      <w:rFonts w:hint="default"/>
                      <w:b/>
                      <w:color w:val="auto"/>
                      <w:sz w:val="21"/>
                      <w:szCs w:val="21"/>
                      <w:highlight w:val="none"/>
                      <w:lang w:val="en-US" w:eastAsia="zh-CN"/>
                    </w:rPr>
                  </w:pPr>
                  <w:r>
                    <w:rPr>
                      <w:rFonts w:hint="eastAsia"/>
                      <w:b/>
                      <w:color w:val="auto"/>
                      <w:sz w:val="21"/>
                      <w:szCs w:val="21"/>
                      <w:highlight w:val="none"/>
                      <w:lang w:val="en-US" w:eastAsia="zh-CN"/>
                    </w:rPr>
                    <w:t>是否为可行技术</w:t>
                  </w:r>
                </w:p>
              </w:tc>
            </w:tr>
            <w:tr w14:paraId="290AA99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tcBorders>
                    <w:bottom w:val="single" w:color="auto" w:sz="8" w:space="0"/>
                    <w:right w:val="single" w:color="auto" w:sz="4" w:space="0"/>
                  </w:tcBorders>
                  <w:noWrap w:val="0"/>
                  <w:vAlign w:val="center"/>
                </w:tcPr>
                <w:p w14:paraId="3D8DB197">
                  <w:pPr>
                    <w:keepNext w:val="0"/>
                    <w:keepLines w:val="0"/>
                    <w:suppressLineNumbers w:val="0"/>
                    <w:adjustRightInd w:val="0"/>
                    <w:snapToGrid w:val="0"/>
                    <w:spacing w:before="0" w:beforeAutospacing="0" w:after="0" w:afterAutospacing="0"/>
                    <w:ind w:left="0" w:right="0"/>
                    <w:jc w:val="center"/>
                    <w:rPr>
                      <w:rFonts w:hint="default" w:eastAsia="宋体"/>
                      <w:b/>
                      <w:color w:val="auto"/>
                      <w:sz w:val="21"/>
                      <w:szCs w:val="21"/>
                      <w:highlight w:val="none"/>
                      <w:lang w:val="en-US" w:eastAsia="zh-CN"/>
                    </w:rPr>
                  </w:pPr>
                </w:p>
              </w:tc>
              <w:tc>
                <w:tcPr>
                  <w:tcW w:w="402" w:type="pct"/>
                  <w:vMerge w:val="continue"/>
                  <w:tcBorders>
                    <w:left w:val="single" w:color="auto" w:sz="4" w:space="0"/>
                    <w:bottom w:val="single" w:color="auto" w:sz="8" w:space="0"/>
                    <w:right w:val="single" w:color="auto" w:sz="4" w:space="0"/>
                  </w:tcBorders>
                  <w:noWrap w:val="0"/>
                  <w:vAlign w:val="center"/>
                </w:tcPr>
                <w:p w14:paraId="2AD5C5F8">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lang w:val="en-US" w:eastAsia="zh-CN"/>
                    </w:rPr>
                  </w:pPr>
                </w:p>
              </w:tc>
              <w:tc>
                <w:tcPr>
                  <w:tcW w:w="364" w:type="pct"/>
                  <w:tcBorders>
                    <w:top w:val="single" w:color="auto" w:sz="4" w:space="0"/>
                    <w:left w:val="single" w:color="auto" w:sz="4" w:space="0"/>
                    <w:bottom w:val="single" w:color="auto" w:sz="8" w:space="0"/>
                    <w:right w:val="single" w:color="auto" w:sz="4" w:space="0"/>
                  </w:tcBorders>
                  <w:noWrap w:val="0"/>
                  <w:vAlign w:val="center"/>
                </w:tcPr>
                <w:p w14:paraId="5CAA9B50">
                  <w:pPr>
                    <w:keepNext w:val="0"/>
                    <w:keepLines w:val="0"/>
                    <w:suppressLineNumbers w:val="0"/>
                    <w:adjustRightInd w:val="0"/>
                    <w:snapToGrid w:val="0"/>
                    <w:spacing w:before="0" w:beforeAutospacing="0" w:after="0" w:afterAutospacing="0"/>
                    <w:ind w:left="0" w:right="0"/>
                    <w:jc w:val="center"/>
                    <w:rPr>
                      <w:rFonts w:hint="default" w:eastAsia="宋体"/>
                      <w:b/>
                      <w:color w:val="auto"/>
                      <w:sz w:val="21"/>
                      <w:szCs w:val="21"/>
                      <w:highlight w:val="none"/>
                      <w:lang w:val="en-US" w:eastAsia="zh-CN"/>
                    </w:rPr>
                  </w:pPr>
                  <w:r>
                    <w:rPr>
                      <w:rFonts w:hint="eastAsia"/>
                      <w:b/>
                      <w:color w:val="auto"/>
                      <w:sz w:val="21"/>
                      <w:szCs w:val="21"/>
                      <w:highlight w:val="none"/>
                      <w:lang w:val="en-US" w:eastAsia="zh-CN"/>
                    </w:rPr>
                    <w:t>t/a</w:t>
                  </w:r>
                </w:p>
              </w:tc>
              <w:tc>
                <w:tcPr>
                  <w:tcW w:w="427" w:type="pct"/>
                  <w:tcBorders>
                    <w:top w:val="single" w:color="auto" w:sz="4" w:space="0"/>
                    <w:left w:val="single" w:color="auto" w:sz="4" w:space="0"/>
                    <w:bottom w:val="single" w:color="auto" w:sz="8" w:space="0"/>
                    <w:right w:val="single" w:color="auto" w:sz="4" w:space="0"/>
                  </w:tcBorders>
                  <w:noWrap w:val="0"/>
                  <w:vAlign w:val="center"/>
                </w:tcPr>
                <w:p w14:paraId="230A9AF2">
                  <w:pPr>
                    <w:keepNext w:val="0"/>
                    <w:keepLines w:val="0"/>
                    <w:suppressLineNumbers w:val="0"/>
                    <w:adjustRightInd w:val="0"/>
                    <w:snapToGrid w:val="0"/>
                    <w:spacing w:before="0" w:beforeAutospacing="0" w:after="0" w:afterAutospacing="0"/>
                    <w:ind w:left="0" w:right="0"/>
                    <w:jc w:val="center"/>
                    <w:rPr>
                      <w:rFonts w:hint="default"/>
                      <w:b/>
                      <w:color w:val="auto"/>
                      <w:sz w:val="21"/>
                      <w:szCs w:val="21"/>
                      <w:highlight w:val="none"/>
                      <w:lang w:val="en-US" w:eastAsia="zh-CN"/>
                    </w:rPr>
                  </w:pPr>
                  <w:r>
                    <w:rPr>
                      <w:rFonts w:hint="eastAsia" w:eastAsia="宋体"/>
                      <w:b/>
                      <w:color w:val="auto"/>
                      <w:sz w:val="21"/>
                      <w:szCs w:val="21"/>
                      <w:highlight w:val="none"/>
                      <w:lang w:val="en-US" w:eastAsia="zh-CN"/>
                    </w:rPr>
                    <w:t>kg/h</w:t>
                  </w:r>
                </w:p>
              </w:tc>
              <w:tc>
                <w:tcPr>
                  <w:tcW w:w="395" w:type="pct"/>
                  <w:tcBorders>
                    <w:top w:val="single" w:color="auto" w:sz="4" w:space="0"/>
                    <w:left w:val="single" w:color="auto" w:sz="4" w:space="0"/>
                    <w:bottom w:val="single" w:color="auto" w:sz="8" w:space="0"/>
                    <w:right w:val="single" w:color="auto" w:sz="4" w:space="0"/>
                  </w:tcBorders>
                  <w:noWrap w:val="0"/>
                  <w:vAlign w:val="center"/>
                </w:tcPr>
                <w:p w14:paraId="16E3C92D">
                  <w:pPr>
                    <w:keepNext w:val="0"/>
                    <w:keepLines w:val="0"/>
                    <w:suppressLineNumbers w:val="0"/>
                    <w:adjustRightInd w:val="0"/>
                    <w:snapToGrid w:val="0"/>
                    <w:spacing w:before="0" w:beforeAutospacing="0" w:after="0" w:afterAutospacing="0"/>
                    <w:ind w:left="0" w:right="0"/>
                    <w:jc w:val="center"/>
                    <w:rPr>
                      <w:rFonts w:hint="default" w:eastAsia="宋体"/>
                      <w:b/>
                      <w:color w:val="auto"/>
                      <w:sz w:val="21"/>
                      <w:szCs w:val="21"/>
                      <w:highlight w:val="none"/>
                      <w:lang w:val="en-US" w:eastAsia="zh-CN"/>
                    </w:rPr>
                  </w:pPr>
                  <w:r>
                    <w:rPr>
                      <w:rFonts w:hint="eastAsia" w:eastAsia="宋体"/>
                      <w:b/>
                      <w:color w:val="auto"/>
                      <w:sz w:val="21"/>
                      <w:szCs w:val="21"/>
                      <w:highlight w:val="none"/>
                      <w:lang w:val="en-US" w:eastAsia="zh-CN"/>
                    </w:rPr>
                    <w:t>mg/m</w:t>
                  </w:r>
                  <w:r>
                    <w:rPr>
                      <w:rFonts w:hint="eastAsia" w:eastAsia="宋体"/>
                      <w:b/>
                      <w:color w:val="auto"/>
                      <w:sz w:val="21"/>
                      <w:szCs w:val="21"/>
                      <w:highlight w:val="none"/>
                      <w:vertAlign w:val="superscript"/>
                      <w:lang w:val="en-US" w:eastAsia="zh-CN"/>
                    </w:rPr>
                    <w:t>3</w:t>
                  </w:r>
                </w:p>
              </w:tc>
              <w:tc>
                <w:tcPr>
                  <w:tcW w:w="348" w:type="pct"/>
                  <w:tcBorders>
                    <w:top w:val="single" w:color="auto" w:sz="4" w:space="0"/>
                    <w:left w:val="single" w:color="auto" w:sz="4" w:space="0"/>
                    <w:bottom w:val="single" w:color="auto" w:sz="8" w:space="0"/>
                    <w:right w:val="single" w:color="auto" w:sz="4" w:space="0"/>
                  </w:tcBorders>
                  <w:noWrap w:val="0"/>
                  <w:vAlign w:val="center"/>
                </w:tcPr>
                <w:p w14:paraId="751ED3C5">
                  <w:pPr>
                    <w:keepNext w:val="0"/>
                    <w:keepLines w:val="0"/>
                    <w:suppressLineNumbers w:val="0"/>
                    <w:adjustRightInd w:val="0"/>
                    <w:snapToGrid w:val="0"/>
                    <w:spacing w:before="0" w:beforeAutospacing="0" w:after="0" w:afterAutospacing="0"/>
                    <w:ind w:left="0" w:leftChars="0" w:right="0" w:rightChars="0"/>
                    <w:jc w:val="center"/>
                    <w:rPr>
                      <w:rFonts w:hint="default"/>
                      <w:b/>
                      <w:color w:val="auto"/>
                      <w:sz w:val="21"/>
                      <w:szCs w:val="21"/>
                      <w:highlight w:val="none"/>
                      <w:lang w:val="en-US" w:eastAsia="zh-CN"/>
                    </w:rPr>
                  </w:pPr>
                  <w:r>
                    <w:rPr>
                      <w:rFonts w:hint="eastAsia"/>
                      <w:b/>
                      <w:color w:val="auto"/>
                      <w:sz w:val="21"/>
                      <w:szCs w:val="21"/>
                      <w:highlight w:val="none"/>
                      <w:lang w:val="en-US" w:eastAsia="zh-CN"/>
                    </w:rPr>
                    <w:t>t/a</w:t>
                  </w:r>
                </w:p>
              </w:tc>
              <w:tc>
                <w:tcPr>
                  <w:tcW w:w="442" w:type="pct"/>
                  <w:tcBorders>
                    <w:top w:val="single" w:color="auto" w:sz="4" w:space="0"/>
                    <w:left w:val="single" w:color="auto" w:sz="4" w:space="0"/>
                    <w:bottom w:val="single" w:color="auto" w:sz="8" w:space="0"/>
                  </w:tcBorders>
                  <w:noWrap w:val="0"/>
                  <w:vAlign w:val="center"/>
                </w:tcPr>
                <w:p w14:paraId="3E9507E5">
                  <w:pPr>
                    <w:keepNext w:val="0"/>
                    <w:keepLines w:val="0"/>
                    <w:suppressLineNumbers w:val="0"/>
                    <w:adjustRightInd w:val="0"/>
                    <w:snapToGrid w:val="0"/>
                    <w:spacing w:before="0" w:beforeAutospacing="0" w:after="0" w:afterAutospacing="0"/>
                    <w:ind w:left="0" w:leftChars="0" w:right="0" w:rightChars="0"/>
                    <w:jc w:val="center"/>
                    <w:rPr>
                      <w:rFonts w:hint="default"/>
                      <w:b/>
                      <w:color w:val="auto"/>
                      <w:sz w:val="21"/>
                      <w:szCs w:val="21"/>
                      <w:highlight w:val="none"/>
                      <w:lang w:val="en-US" w:eastAsia="zh-CN"/>
                    </w:rPr>
                  </w:pPr>
                  <w:r>
                    <w:rPr>
                      <w:rFonts w:hint="eastAsia" w:eastAsia="宋体"/>
                      <w:b/>
                      <w:color w:val="auto"/>
                      <w:sz w:val="21"/>
                      <w:szCs w:val="21"/>
                      <w:highlight w:val="none"/>
                      <w:lang w:val="en-US" w:eastAsia="zh-CN"/>
                    </w:rPr>
                    <w:t>kg/h</w:t>
                  </w:r>
                </w:p>
              </w:tc>
              <w:tc>
                <w:tcPr>
                  <w:tcW w:w="427" w:type="pct"/>
                  <w:tcBorders>
                    <w:top w:val="single" w:color="auto" w:sz="4" w:space="0"/>
                    <w:left w:val="single" w:color="auto" w:sz="4" w:space="0"/>
                    <w:bottom w:val="single" w:color="auto" w:sz="8" w:space="0"/>
                  </w:tcBorders>
                  <w:noWrap w:val="0"/>
                  <w:vAlign w:val="center"/>
                </w:tcPr>
                <w:p w14:paraId="3AE14233">
                  <w:pPr>
                    <w:keepNext w:val="0"/>
                    <w:keepLines w:val="0"/>
                    <w:suppressLineNumbers w:val="0"/>
                    <w:adjustRightInd w:val="0"/>
                    <w:snapToGrid w:val="0"/>
                    <w:spacing w:before="0" w:beforeAutospacing="0" w:after="0" w:afterAutospacing="0"/>
                    <w:ind w:left="0" w:leftChars="0" w:right="0" w:rightChars="0"/>
                    <w:jc w:val="center"/>
                    <w:rPr>
                      <w:rFonts w:hint="eastAsia" w:eastAsia="宋体"/>
                      <w:b/>
                      <w:color w:val="auto"/>
                      <w:sz w:val="21"/>
                      <w:szCs w:val="21"/>
                      <w:highlight w:val="none"/>
                      <w:lang w:val="en-US" w:eastAsia="zh-CN"/>
                    </w:rPr>
                  </w:pPr>
                  <w:r>
                    <w:rPr>
                      <w:rFonts w:hint="eastAsia" w:eastAsia="宋体"/>
                      <w:b/>
                      <w:color w:val="auto"/>
                      <w:sz w:val="21"/>
                      <w:szCs w:val="21"/>
                      <w:highlight w:val="none"/>
                      <w:lang w:val="en-US" w:eastAsia="zh-CN"/>
                    </w:rPr>
                    <w:t>mg/m</w:t>
                  </w:r>
                  <w:r>
                    <w:rPr>
                      <w:rFonts w:hint="eastAsia" w:eastAsia="宋体"/>
                      <w:b/>
                      <w:color w:val="auto"/>
                      <w:sz w:val="21"/>
                      <w:szCs w:val="21"/>
                      <w:highlight w:val="none"/>
                      <w:vertAlign w:val="superscript"/>
                      <w:lang w:val="en-US" w:eastAsia="zh-CN"/>
                    </w:rPr>
                    <w:t>3</w:t>
                  </w:r>
                </w:p>
              </w:tc>
              <w:tc>
                <w:tcPr>
                  <w:tcW w:w="387" w:type="pct"/>
                  <w:vMerge w:val="continue"/>
                  <w:tcBorders>
                    <w:left w:val="single" w:color="auto" w:sz="4" w:space="0"/>
                    <w:bottom w:val="single" w:color="auto" w:sz="8" w:space="0"/>
                  </w:tcBorders>
                  <w:noWrap w:val="0"/>
                  <w:vAlign w:val="center"/>
                </w:tcPr>
                <w:p w14:paraId="466FCA45">
                  <w:pPr>
                    <w:keepNext w:val="0"/>
                    <w:keepLines w:val="0"/>
                    <w:suppressLineNumbers w:val="0"/>
                    <w:adjustRightInd w:val="0"/>
                    <w:snapToGrid w:val="0"/>
                    <w:spacing w:before="0" w:beforeAutospacing="0" w:after="0" w:afterAutospacing="0"/>
                    <w:ind w:left="0" w:leftChars="0" w:right="0" w:rightChars="0"/>
                    <w:jc w:val="center"/>
                    <w:rPr>
                      <w:rFonts w:hint="eastAsia"/>
                      <w:b/>
                      <w:color w:val="auto"/>
                      <w:sz w:val="21"/>
                      <w:szCs w:val="21"/>
                      <w:highlight w:val="none"/>
                      <w:lang w:val="en-US" w:eastAsia="zh-CN"/>
                    </w:rPr>
                  </w:pPr>
                </w:p>
              </w:tc>
              <w:tc>
                <w:tcPr>
                  <w:tcW w:w="387" w:type="pct"/>
                  <w:vMerge w:val="continue"/>
                  <w:tcBorders>
                    <w:left w:val="single" w:color="auto" w:sz="4" w:space="0"/>
                    <w:bottom w:val="single" w:color="auto" w:sz="8" w:space="0"/>
                  </w:tcBorders>
                  <w:noWrap w:val="0"/>
                  <w:vAlign w:val="center"/>
                </w:tcPr>
                <w:p w14:paraId="42049749">
                  <w:pPr>
                    <w:keepNext w:val="0"/>
                    <w:keepLines w:val="0"/>
                    <w:suppressLineNumbers w:val="0"/>
                    <w:adjustRightInd w:val="0"/>
                    <w:snapToGrid w:val="0"/>
                    <w:spacing w:before="0" w:beforeAutospacing="0" w:after="0" w:afterAutospacing="0"/>
                    <w:ind w:left="0" w:leftChars="0" w:right="0" w:rightChars="0"/>
                    <w:jc w:val="center"/>
                    <w:rPr>
                      <w:rFonts w:hint="eastAsia"/>
                      <w:b/>
                      <w:color w:val="auto"/>
                      <w:sz w:val="21"/>
                      <w:szCs w:val="21"/>
                      <w:highlight w:val="none"/>
                      <w:lang w:val="en-US" w:eastAsia="zh-CN"/>
                    </w:rPr>
                  </w:pPr>
                </w:p>
              </w:tc>
              <w:tc>
                <w:tcPr>
                  <w:tcW w:w="516" w:type="pct"/>
                  <w:vMerge w:val="continue"/>
                  <w:tcBorders>
                    <w:left w:val="single" w:color="auto" w:sz="4" w:space="0"/>
                    <w:bottom w:val="single" w:color="auto" w:sz="8" w:space="0"/>
                  </w:tcBorders>
                  <w:noWrap w:val="0"/>
                  <w:vAlign w:val="center"/>
                </w:tcPr>
                <w:p w14:paraId="7BA3DCC5">
                  <w:pPr>
                    <w:keepNext w:val="0"/>
                    <w:keepLines w:val="0"/>
                    <w:suppressLineNumbers w:val="0"/>
                    <w:adjustRightInd w:val="0"/>
                    <w:snapToGrid w:val="0"/>
                    <w:spacing w:before="0" w:beforeAutospacing="0" w:after="0" w:afterAutospacing="0"/>
                    <w:ind w:left="0" w:leftChars="0" w:right="0" w:rightChars="0"/>
                    <w:jc w:val="center"/>
                    <w:rPr>
                      <w:rFonts w:hint="eastAsia"/>
                      <w:b/>
                      <w:color w:val="auto"/>
                      <w:sz w:val="21"/>
                      <w:szCs w:val="21"/>
                      <w:highlight w:val="none"/>
                      <w:lang w:val="en-US" w:eastAsia="zh-CN"/>
                    </w:rPr>
                  </w:pPr>
                </w:p>
              </w:tc>
              <w:tc>
                <w:tcPr>
                  <w:tcW w:w="494" w:type="pct"/>
                  <w:vMerge w:val="continue"/>
                  <w:tcBorders>
                    <w:left w:val="single" w:color="auto" w:sz="4" w:space="0"/>
                    <w:bottom w:val="single" w:color="auto" w:sz="8" w:space="0"/>
                  </w:tcBorders>
                  <w:noWrap w:val="0"/>
                  <w:vAlign w:val="center"/>
                </w:tcPr>
                <w:p w14:paraId="07E00F25">
                  <w:pPr>
                    <w:keepNext w:val="0"/>
                    <w:keepLines w:val="0"/>
                    <w:suppressLineNumbers w:val="0"/>
                    <w:adjustRightInd w:val="0"/>
                    <w:snapToGrid w:val="0"/>
                    <w:spacing w:before="0" w:beforeAutospacing="0" w:after="0" w:afterAutospacing="0"/>
                    <w:ind w:left="0" w:right="0"/>
                    <w:jc w:val="center"/>
                    <w:rPr>
                      <w:rFonts w:hint="eastAsia"/>
                      <w:b/>
                      <w:color w:val="auto"/>
                      <w:sz w:val="21"/>
                      <w:szCs w:val="21"/>
                      <w:highlight w:val="none"/>
                      <w:lang w:val="en-US" w:eastAsia="zh-CN"/>
                    </w:rPr>
                  </w:pPr>
                </w:p>
              </w:tc>
            </w:tr>
            <w:tr w14:paraId="01AC96B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restart"/>
                  <w:tcBorders>
                    <w:top w:val="single" w:color="auto" w:sz="8" w:space="0"/>
                    <w:right w:val="single" w:color="auto" w:sz="4" w:space="0"/>
                  </w:tcBorders>
                  <w:noWrap w:val="0"/>
                  <w:vAlign w:val="center"/>
                </w:tcPr>
                <w:p w14:paraId="77406A0B">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非甲烷总烃</w:t>
                  </w:r>
                </w:p>
              </w:tc>
              <w:tc>
                <w:tcPr>
                  <w:tcW w:w="402" w:type="pct"/>
                  <w:tcBorders>
                    <w:top w:val="single" w:color="auto" w:sz="8" w:space="0"/>
                    <w:left w:val="single" w:color="auto" w:sz="4" w:space="0"/>
                    <w:bottom w:val="single" w:color="auto" w:sz="4" w:space="0"/>
                    <w:right w:val="single" w:color="auto" w:sz="4" w:space="0"/>
                  </w:tcBorders>
                  <w:noWrap w:val="0"/>
                  <w:vAlign w:val="center"/>
                </w:tcPr>
                <w:p w14:paraId="4101165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淋膜工序</w:t>
                  </w:r>
                </w:p>
              </w:tc>
              <w:tc>
                <w:tcPr>
                  <w:tcW w:w="364" w:type="pct"/>
                  <w:tcBorders>
                    <w:top w:val="single" w:color="auto" w:sz="8" w:space="0"/>
                    <w:left w:val="single" w:color="auto" w:sz="4" w:space="0"/>
                    <w:bottom w:val="single" w:color="auto" w:sz="4" w:space="0"/>
                    <w:right w:val="single" w:color="auto" w:sz="4" w:space="0"/>
                  </w:tcBorders>
                  <w:noWrap w:val="0"/>
                  <w:vAlign w:val="center"/>
                </w:tcPr>
                <w:p w14:paraId="7B7D15F0">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1.6388</w:t>
                  </w:r>
                </w:p>
              </w:tc>
              <w:tc>
                <w:tcPr>
                  <w:tcW w:w="427" w:type="pct"/>
                  <w:tcBorders>
                    <w:top w:val="single" w:color="auto" w:sz="8" w:space="0"/>
                    <w:left w:val="single" w:color="auto" w:sz="4" w:space="0"/>
                    <w:bottom w:val="single" w:color="auto" w:sz="4" w:space="0"/>
                    <w:right w:val="single" w:color="auto" w:sz="4" w:space="0"/>
                  </w:tcBorders>
                  <w:noWrap w:val="0"/>
                  <w:vAlign w:val="center"/>
                </w:tcPr>
                <w:p w14:paraId="51AAEE39">
                  <w:pPr>
                    <w:keepNext w:val="0"/>
                    <w:keepLines w:val="0"/>
                    <w:suppressLineNumbers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0.3414</w:t>
                  </w:r>
                </w:p>
              </w:tc>
              <w:tc>
                <w:tcPr>
                  <w:tcW w:w="395" w:type="pct"/>
                  <w:tcBorders>
                    <w:top w:val="single" w:color="auto" w:sz="8" w:space="0"/>
                    <w:left w:val="single" w:color="auto" w:sz="4" w:space="0"/>
                    <w:bottom w:val="single" w:color="auto" w:sz="4" w:space="0"/>
                    <w:right w:val="single" w:color="auto" w:sz="4" w:space="0"/>
                  </w:tcBorders>
                  <w:noWrap w:val="0"/>
                  <w:vAlign w:val="center"/>
                </w:tcPr>
                <w:p w14:paraId="03E91EAB">
                  <w:pPr>
                    <w:keepNext w:val="0"/>
                    <w:keepLines w:val="0"/>
                    <w:suppressLineNumbers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79.39</w:t>
                  </w:r>
                </w:p>
              </w:tc>
              <w:tc>
                <w:tcPr>
                  <w:tcW w:w="348" w:type="pct"/>
                  <w:vMerge w:val="restart"/>
                  <w:tcBorders>
                    <w:top w:val="single" w:color="auto" w:sz="8" w:space="0"/>
                    <w:left w:val="single" w:color="auto" w:sz="4" w:space="0"/>
                    <w:bottom w:val="single" w:color="auto" w:sz="4" w:space="0"/>
                    <w:right w:val="single" w:color="auto" w:sz="4" w:space="0"/>
                  </w:tcBorders>
                  <w:noWrap w:val="0"/>
                  <w:vAlign w:val="center"/>
                </w:tcPr>
                <w:p w14:paraId="4A5DFD35">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0.1187</w:t>
                  </w:r>
                </w:p>
              </w:tc>
              <w:tc>
                <w:tcPr>
                  <w:tcW w:w="763" w:type="dxa"/>
                  <w:vMerge w:val="restart"/>
                  <w:tcBorders>
                    <w:top w:val="single" w:color="auto" w:sz="8" w:space="0"/>
                    <w:left w:val="single" w:color="auto" w:sz="4" w:space="0"/>
                    <w:bottom w:val="single" w:color="auto" w:sz="4" w:space="0"/>
                  </w:tcBorders>
                  <w:noWrap w:val="0"/>
                  <w:vAlign w:val="center"/>
                </w:tcPr>
                <w:p w14:paraId="2E5E37E6">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0.0247</w:t>
                  </w:r>
                </w:p>
              </w:tc>
              <w:tc>
                <w:tcPr>
                  <w:tcW w:w="737" w:type="dxa"/>
                  <w:vMerge w:val="restart"/>
                  <w:tcBorders>
                    <w:top w:val="single" w:color="auto" w:sz="8" w:space="0"/>
                    <w:left w:val="single" w:color="auto" w:sz="4" w:space="0"/>
                    <w:bottom w:val="single" w:color="auto" w:sz="4" w:space="0"/>
                  </w:tcBorders>
                  <w:noWrap w:val="0"/>
                  <w:vAlign w:val="center"/>
                </w:tcPr>
                <w:p w14:paraId="76CEF2A9">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2.55</w:t>
                  </w:r>
                </w:p>
              </w:tc>
              <w:tc>
                <w:tcPr>
                  <w:tcW w:w="387" w:type="pct"/>
                  <w:tcBorders>
                    <w:top w:val="single" w:color="auto" w:sz="8" w:space="0"/>
                    <w:left w:val="single" w:color="auto" w:sz="4" w:space="0"/>
                    <w:bottom w:val="single" w:color="auto" w:sz="4" w:space="0"/>
                  </w:tcBorders>
                  <w:noWrap w:val="0"/>
                  <w:vAlign w:val="center"/>
                </w:tcPr>
                <w:p w14:paraId="68DBB1D0">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0.0036</w:t>
                  </w:r>
                </w:p>
              </w:tc>
              <w:tc>
                <w:tcPr>
                  <w:tcW w:w="387" w:type="pct"/>
                  <w:tcBorders>
                    <w:top w:val="single" w:color="auto" w:sz="8" w:space="0"/>
                    <w:left w:val="single" w:color="auto" w:sz="4" w:space="0"/>
                    <w:bottom w:val="single" w:color="auto" w:sz="4" w:space="0"/>
                  </w:tcBorders>
                  <w:noWrap w:val="0"/>
                  <w:vAlign w:val="center"/>
                </w:tcPr>
                <w:p w14:paraId="6FF3A3E9">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4300</w:t>
                  </w:r>
                </w:p>
              </w:tc>
              <w:tc>
                <w:tcPr>
                  <w:tcW w:w="516" w:type="pct"/>
                  <w:vMerge w:val="restart"/>
                  <w:tcBorders>
                    <w:top w:val="single" w:color="auto" w:sz="8" w:space="0"/>
                    <w:left w:val="single" w:color="auto" w:sz="4" w:space="0"/>
                  </w:tcBorders>
                  <w:noWrap w:val="0"/>
                  <w:vAlign w:val="center"/>
                </w:tcPr>
                <w:p w14:paraId="49C5E579">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活性炭吸附脱附+催化燃烧装置，治理效率95%。</w:t>
                  </w:r>
                </w:p>
              </w:tc>
              <w:tc>
                <w:tcPr>
                  <w:tcW w:w="494" w:type="pct"/>
                  <w:vMerge w:val="restart"/>
                  <w:tcBorders>
                    <w:top w:val="single" w:color="auto" w:sz="8" w:space="0"/>
                    <w:left w:val="single" w:color="auto" w:sz="4" w:space="0"/>
                  </w:tcBorders>
                  <w:noWrap w:val="0"/>
                  <w:vAlign w:val="center"/>
                </w:tcPr>
                <w:p w14:paraId="540D83DF">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none"/>
                      <w:lang w:val="en-US" w:eastAsia="zh-CN"/>
                    </w:rPr>
                  </w:pPr>
                  <w:r>
                    <w:rPr>
                      <w:rFonts w:hint="eastAsia"/>
                      <w:color w:val="auto"/>
                      <w:sz w:val="21"/>
                      <w:szCs w:val="21"/>
                      <w:highlight w:val="none"/>
                      <w:lang w:val="en-US" w:eastAsia="zh-CN"/>
                    </w:rPr>
                    <w:t>是</w:t>
                  </w:r>
                </w:p>
              </w:tc>
            </w:tr>
            <w:tr w14:paraId="0EC9A69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3" w:type="pct"/>
                  <w:vMerge w:val="continue"/>
                  <w:tcBorders>
                    <w:bottom w:val="single" w:color="auto" w:sz="8" w:space="0"/>
                    <w:right w:val="single" w:color="auto" w:sz="4" w:space="0"/>
                  </w:tcBorders>
                  <w:noWrap w:val="0"/>
                  <w:vAlign w:val="center"/>
                </w:tcPr>
                <w:p w14:paraId="5A212863">
                  <w:pPr>
                    <w:keepNext w:val="0"/>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p>
              </w:tc>
              <w:tc>
                <w:tcPr>
                  <w:tcW w:w="402" w:type="pct"/>
                  <w:tcBorders>
                    <w:top w:val="single" w:color="auto" w:sz="4" w:space="0"/>
                    <w:left w:val="single" w:color="auto" w:sz="4" w:space="0"/>
                    <w:bottom w:val="single" w:color="auto" w:sz="8" w:space="0"/>
                    <w:right w:val="single" w:color="auto" w:sz="4" w:space="0"/>
                  </w:tcBorders>
                  <w:noWrap w:val="0"/>
                  <w:vAlign w:val="center"/>
                </w:tcPr>
                <w:p w14:paraId="526505ED">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印刷工序</w:t>
                  </w:r>
                </w:p>
              </w:tc>
              <w:tc>
                <w:tcPr>
                  <w:tcW w:w="364" w:type="pct"/>
                  <w:tcBorders>
                    <w:top w:val="single" w:color="auto" w:sz="4" w:space="0"/>
                    <w:left w:val="single" w:color="auto" w:sz="4" w:space="0"/>
                    <w:bottom w:val="single" w:color="auto" w:sz="8" w:space="0"/>
                    <w:right w:val="single" w:color="auto" w:sz="4" w:space="0"/>
                  </w:tcBorders>
                  <w:noWrap w:val="0"/>
                  <w:vAlign w:val="center"/>
                </w:tcPr>
                <w:p w14:paraId="4D7FBD4F">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0.735</w:t>
                  </w:r>
                </w:p>
              </w:tc>
              <w:tc>
                <w:tcPr>
                  <w:tcW w:w="427" w:type="pct"/>
                  <w:tcBorders>
                    <w:top w:val="single" w:color="auto" w:sz="4" w:space="0"/>
                    <w:left w:val="single" w:color="auto" w:sz="4" w:space="0"/>
                    <w:bottom w:val="single" w:color="auto" w:sz="8" w:space="0"/>
                    <w:right w:val="single" w:color="auto" w:sz="4" w:space="0"/>
                  </w:tcBorders>
                  <w:noWrap w:val="0"/>
                  <w:vAlign w:val="center"/>
                </w:tcPr>
                <w:p w14:paraId="0DAA7BD7">
                  <w:pPr>
                    <w:keepNext w:val="0"/>
                    <w:keepLines w:val="0"/>
                    <w:suppressLineNumbers w:val="0"/>
                    <w:spacing w:before="0" w:beforeAutospacing="0" w:after="0" w:afterAutospacing="0"/>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0.1531</w:t>
                  </w:r>
                </w:p>
              </w:tc>
              <w:tc>
                <w:tcPr>
                  <w:tcW w:w="395" w:type="pct"/>
                  <w:tcBorders>
                    <w:top w:val="single" w:color="auto" w:sz="4" w:space="0"/>
                    <w:left w:val="single" w:color="auto" w:sz="4" w:space="0"/>
                    <w:bottom w:val="single" w:color="auto" w:sz="8" w:space="0"/>
                    <w:right w:val="single" w:color="auto" w:sz="4" w:space="0"/>
                  </w:tcBorders>
                  <w:noWrap w:val="0"/>
                  <w:vAlign w:val="center"/>
                </w:tcPr>
                <w:p w14:paraId="31F3B84E">
                  <w:pPr>
                    <w:keepNext w:val="0"/>
                    <w:keepLines w:val="0"/>
                    <w:suppressLineNumbers w:val="0"/>
                    <w:spacing w:before="0" w:beforeAutospacing="0" w:after="0" w:afterAutospacing="0"/>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28.35</w:t>
                  </w:r>
                </w:p>
              </w:tc>
              <w:tc>
                <w:tcPr>
                  <w:tcW w:w="348" w:type="pct"/>
                  <w:vMerge w:val="continue"/>
                  <w:tcBorders>
                    <w:top w:val="single" w:color="auto" w:sz="4" w:space="0"/>
                    <w:left w:val="single" w:color="auto" w:sz="4" w:space="0"/>
                    <w:bottom w:val="single" w:color="auto" w:sz="8" w:space="0"/>
                    <w:right w:val="single" w:color="auto" w:sz="4" w:space="0"/>
                  </w:tcBorders>
                  <w:noWrap w:val="0"/>
                  <w:vAlign w:val="center"/>
                </w:tcPr>
                <w:p w14:paraId="017B0779">
                  <w:pPr>
                    <w:keepNext w:val="0"/>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p>
              </w:tc>
              <w:tc>
                <w:tcPr>
                  <w:tcW w:w="442" w:type="pct"/>
                  <w:vMerge w:val="continue"/>
                  <w:tcBorders>
                    <w:top w:val="single" w:color="auto" w:sz="4" w:space="0"/>
                    <w:left w:val="single" w:color="auto" w:sz="4" w:space="0"/>
                    <w:bottom w:val="single" w:color="auto" w:sz="8" w:space="0"/>
                  </w:tcBorders>
                  <w:noWrap w:val="0"/>
                  <w:vAlign w:val="center"/>
                </w:tcPr>
                <w:p w14:paraId="0646E468">
                  <w:pPr>
                    <w:keepNext w:val="0"/>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p>
              </w:tc>
              <w:tc>
                <w:tcPr>
                  <w:tcW w:w="427" w:type="pct"/>
                  <w:vMerge w:val="continue"/>
                  <w:tcBorders>
                    <w:top w:val="single" w:color="auto" w:sz="4" w:space="0"/>
                    <w:left w:val="single" w:color="auto" w:sz="4" w:space="0"/>
                    <w:bottom w:val="single" w:color="auto" w:sz="8" w:space="0"/>
                  </w:tcBorders>
                  <w:noWrap w:val="0"/>
                  <w:vAlign w:val="center"/>
                </w:tcPr>
                <w:p w14:paraId="30AD57A2">
                  <w:pPr>
                    <w:keepNext w:val="0"/>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p>
              </w:tc>
              <w:tc>
                <w:tcPr>
                  <w:tcW w:w="387" w:type="pct"/>
                  <w:tcBorders>
                    <w:top w:val="single" w:color="auto" w:sz="4" w:space="0"/>
                    <w:left w:val="single" w:color="auto" w:sz="4" w:space="0"/>
                    <w:bottom w:val="single" w:color="auto" w:sz="8" w:space="0"/>
                  </w:tcBorders>
                  <w:noWrap w:val="0"/>
                  <w:vAlign w:val="center"/>
                </w:tcPr>
                <w:p w14:paraId="2D367D90">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387" w:type="pct"/>
                  <w:tcBorders>
                    <w:top w:val="single" w:color="auto" w:sz="4" w:space="0"/>
                    <w:left w:val="single" w:color="auto" w:sz="4" w:space="0"/>
                    <w:bottom w:val="single" w:color="auto" w:sz="8" w:space="0"/>
                  </w:tcBorders>
                  <w:noWrap w:val="0"/>
                  <w:vAlign w:val="center"/>
                </w:tcPr>
                <w:p w14:paraId="502B7126">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5400</w:t>
                  </w:r>
                </w:p>
              </w:tc>
              <w:tc>
                <w:tcPr>
                  <w:tcW w:w="516" w:type="pct"/>
                  <w:vMerge w:val="continue"/>
                  <w:tcBorders>
                    <w:left w:val="single" w:color="auto" w:sz="4" w:space="0"/>
                    <w:bottom w:val="single" w:color="auto" w:sz="8" w:space="0"/>
                  </w:tcBorders>
                  <w:noWrap w:val="0"/>
                  <w:vAlign w:val="center"/>
                </w:tcPr>
                <w:p w14:paraId="06F5E66F">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21"/>
                      <w:szCs w:val="21"/>
                      <w:highlight w:val="none"/>
                      <w:lang w:val="en-US" w:eastAsia="zh-CN"/>
                    </w:rPr>
                  </w:pPr>
                </w:p>
              </w:tc>
              <w:tc>
                <w:tcPr>
                  <w:tcW w:w="494" w:type="pct"/>
                  <w:vMerge w:val="continue"/>
                  <w:tcBorders>
                    <w:left w:val="single" w:color="auto" w:sz="4" w:space="0"/>
                    <w:bottom w:val="single" w:color="auto" w:sz="8" w:space="0"/>
                  </w:tcBorders>
                  <w:noWrap w:val="0"/>
                  <w:vAlign w:val="center"/>
                </w:tcPr>
                <w:p w14:paraId="66D3B18D">
                  <w:pPr>
                    <w:keepNext w:val="0"/>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p>
              </w:tc>
            </w:tr>
          </w:tbl>
          <w:p w14:paraId="0761B25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rightChars="0" w:firstLine="480" w:firstLineChars="200"/>
              <w:jc w:val="both"/>
              <w:textAlignment w:val="auto"/>
              <w:rPr>
                <w:rFonts w:hint="eastAsia"/>
                <w:color w:val="auto"/>
                <w:sz w:val="24"/>
                <w:szCs w:val="24"/>
                <w:lang w:val="en-US" w:eastAsia="zh-CN"/>
              </w:rPr>
            </w:pPr>
            <w:r>
              <w:rPr>
                <w:rFonts w:hint="eastAsia"/>
                <w:color w:val="auto"/>
                <w:sz w:val="24"/>
                <w:szCs w:val="24"/>
                <w:lang w:val="en-US" w:eastAsia="zh-CN"/>
              </w:rPr>
              <w:t>综上所述，本项目非甲烷总烃排放满足《合成树脂工业污染物排放标准》（GB31572-2015）（含2024年修改单）表5中非甲烷总烃排放浓度60mg/m</w:t>
            </w:r>
            <w:r>
              <w:rPr>
                <w:rFonts w:hint="eastAsia"/>
                <w:color w:val="auto"/>
                <w:sz w:val="24"/>
                <w:szCs w:val="24"/>
                <w:vertAlign w:val="superscript"/>
                <w:lang w:val="en-US" w:eastAsia="zh-CN"/>
              </w:rPr>
              <w:t>3</w:t>
            </w:r>
            <w:r>
              <w:rPr>
                <w:rFonts w:hint="eastAsia"/>
                <w:color w:val="auto"/>
                <w:sz w:val="24"/>
                <w:szCs w:val="24"/>
                <w:lang w:val="en-US" w:eastAsia="zh-CN"/>
              </w:rPr>
              <w:t>、单位产品排放量0.3kg/t的限值要求，同时够满足《河南省重污染天气通用行业应急减排措施制定技术指南》（2024年修订版）中通用涉VOCs企业绩效引领性指标非甲烷总烃有组织排放浓度不高于30mg/m</w:t>
            </w:r>
            <w:r>
              <w:rPr>
                <w:rFonts w:hint="eastAsia"/>
                <w:color w:val="auto"/>
                <w:sz w:val="24"/>
                <w:szCs w:val="24"/>
                <w:vertAlign w:val="superscript"/>
                <w:lang w:val="en-US" w:eastAsia="zh-CN"/>
              </w:rPr>
              <w:t>3</w:t>
            </w:r>
            <w:r>
              <w:rPr>
                <w:rFonts w:hint="eastAsia"/>
                <w:color w:val="auto"/>
                <w:sz w:val="24"/>
                <w:szCs w:val="24"/>
                <w:lang w:val="en-US" w:eastAsia="zh-CN"/>
              </w:rPr>
              <w:t>的限值要求。满足《印刷工业挥发性有机物排放标准》（DB41/1956-2020）中要求的有组织排放浓度40mg/m</w:t>
            </w:r>
            <w:r>
              <w:rPr>
                <w:rFonts w:hint="eastAsia"/>
                <w:color w:val="auto"/>
                <w:sz w:val="24"/>
                <w:szCs w:val="24"/>
                <w:vertAlign w:val="superscript"/>
                <w:lang w:val="en-US" w:eastAsia="zh-CN"/>
              </w:rPr>
              <w:t>3</w:t>
            </w:r>
            <w:r>
              <w:rPr>
                <w:rFonts w:hint="eastAsia"/>
                <w:color w:val="auto"/>
                <w:sz w:val="24"/>
                <w:szCs w:val="24"/>
                <w:lang w:val="en-US" w:eastAsia="zh-CN"/>
              </w:rPr>
              <w:t>、最高允许排放速率1.0kg/h的限值要求，以及《重污染天气重点行业应急减排措施制定技术指南》（2020年修订版）包装装潢及其他印刷A级要求有组织排放浓度为20-30mg/m</w:t>
            </w:r>
            <w:r>
              <w:rPr>
                <w:rFonts w:hint="eastAsia"/>
                <w:color w:val="auto"/>
                <w:sz w:val="24"/>
                <w:szCs w:val="24"/>
                <w:vertAlign w:val="superscript"/>
                <w:lang w:val="en-US" w:eastAsia="zh-CN"/>
              </w:rPr>
              <w:t>3</w:t>
            </w:r>
            <w:r>
              <w:rPr>
                <w:rFonts w:hint="eastAsia"/>
                <w:color w:val="auto"/>
                <w:sz w:val="24"/>
                <w:szCs w:val="24"/>
                <w:lang w:val="en-US" w:eastAsia="zh-CN"/>
              </w:rPr>
              <w:t>的要求。</w:t>
            </w:r>
          </w:p>
          <w:p w14:paraId="09F010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jc w:val="both"/>
              <w:textAlignment w:val="auto"/>
              <w:rPr>
                <w:rFonts w:hint="default" w:eastAsia="宋体"/>
                <w:b/>
                <w:bCs/>
                <w:lang w:val="en-US" w:eastAsia="zh-CN"/>
              </w:rPr>
            </w:pPr>
            <w:r>
              <w:rPr>
                <w:rFonts w:hint="eastAsia"/>
                <w:b/>
                <w:bCs/>
                <w:lang w:val="en-US" w:eastAsia="zh-CN"/>
              </w:rPr>
              <w:t>2、废气治理措施可行性分析</w:t>
            </w:r>
          </w:p>
          <w:p w14:paraId="7F2914EB">
            <w:pPr>
              <w:keepNext w:val="0"/>
              <w:keepLines w:val="0"/>
              <w:pageBreakBefore w:val="0"/>
              <w:widowControl w:val="0"/>
              <w:suppressLineNumbers w:val="0"/>
              <w:kinsoku/>
              <w:wordWrap w:val="0"/>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eastAsia" w:eastAsia="宋体"/>
                <w:color w:val="000000"/>
                <w:kern w:val="0"/>
                <w:sz w:val="24"/>
                <w:szCs w:val="24"/>
                <w:highlight w:val="none"/>
                <w:lang w:val="en-US" w:eastAsia="zh-CN"/>
              </w:rPr>
            </w:pPr>
            <w:r>
              <w:rPr>
                <w:rFonts w:hint="eastAsia" w:cs="Times New Roman"/>
                <w:b w:val="0"/>
                <w:bCs w:val="0"/>
                <w:sz w:val="24"/>
                <w:highlight w:val="none"/>
                <w:lang w:val="en-US" w:eastAsia="zh-CN"/>
              </w:rPr>
              <w:t>根据</w:t>
            </w:r>
            <w:r>
              <w:rPr>
                <w:rFonts w:hint="eastAsia" w:ascii="Times New Roman" w:hAnsi="Times New Roman" w:eastAsia="宋体" w:cs="Times New Roman"/>
                <w:b w:val="0"/>
                <w:bCs w:val="0"/>
                <w:color w:val="auto"/>
                <w:sz w:val="24"/>
                <w:szCs w:val="24"/>
                <w:highlight w:val="none"/>
                <w:u w:val="none"/>
                <w:lang w:val="en-US" w:eastAsia="zh-CN"/>
              </w:rPr>
              <w:t>《</w:t>
            </w:r>
            <w:r>
              <w:rPr>
                <w:rFonts w:hint="default"/>
                <w:highlight w:val="none"/>
              </w:rPr>
              <w:t>排污许可证申请与核发技术规范</w:t>
            </w:r>
            <w:r>
              <w:rPr>
                <w:rFonts w:hint="eastAsia"/>
                <w:highlight w:val="none"/>
                <w:lang w:val="en-US" w:eastAsia="zh-CN"/>
              </w:rPr>
              <w:t xml:space="preserve"> 印刷工业</w:t>
            </w:r>
            <w:r>
              <w:rPr>
                <w:rFonts w:hint="default"/>
                <w:highlight w:val="none"/>
              </w:rPr>
              <w:t>》（</w:t>
            </w:r>
            <w:r>
              <w:rPr>
                <w:rFonts w:hint="eastAsia"/>
                <w:highlight w:val="none"/>
                <w:lang w:val="en-US" w:eastAsia="zh-CN"/>
              </w:rPr>
              <w:t>HJ1066-2019</w:t>
            </w:r>
            <w:r>
              <w:rPr>
                <w:rFonts w:hint="default"/>
                <w:highlight w:val="none"/>
              </w:rPr>
              <w:t>）</w:t>
            </w:r>
            <w:r>
              <w:rPr>
                <w:rFonts w:hint="eastAsia"/>
                <w:highlight w:val="none"/>
                <w:lang w:eastAsia="zh-CN"/>
              </w:rPr>
              <w:t>，</w:t>
            </w:r>
            <w:r>
              <w:rPr>
                <w:rFonts w:hint="eastAsia"/>
              </w:rPr>
              <w:t>《</w:t>
            </w:r>
            <w:r>
              <w:rPr>
                <w:rFonts w:hint="default"/>
              </w:rPr>
              <w:t>排污许可证申请与核发技术规范</w:t>
            </w:r>
            <w:r>
              <w:rPr>
                <w:rFonts w:hint="eastAsia"/>
              </w:rPr>
              <w:t xml:space="preserve"> 造纸和纸制品业</w:t>
            </w:r>
            <w:r>
              <w:rPr>
                <w:rFonts w:hint="default"/>
              </w:rPr>
              <w:t>》（</w:t>
            </w:r>
            <w:r>
              <w:rPr>
                <w:rFonts w:hint="eastAsia"/>
              </w:rPr>
              <w:t>征求意见稿</w:t>
            </w:r>
            <w:r>
              <w:rPr>
                <w:rFonts w:hint="default"/>
              </w:rPr>
              <w:t>）</w:t>
            </w:r>
            <w:r>
              <w:rPr>
                <w:rFonts w:hint="eastAsia"/>
                <w:lang w:val="en-US" w:eastAsia="zh-CN"/>
              </w:rPr>
              <w:t>可</w:t>
            </w:r>
            <w:r>
              <w:rPr>
                <w:rFonts w:hint="eastAsia"/>
                <w:highlight w:val="none"/>
                <w:lang w:val="en-US" w:eastAsia="zh-CN"/>
              </w:rPr>
              <w:t>知，活性炭吸附脱附</w:t>
            </w:r>
            <w:r>
              <w:rPr>
                <w:rFonts w:hint="eastAsia"/>
                <w:bCs/>
                <w:sz w:val="24"/>
                <w:highlight w:val="none"/>
              </w:rPr>
              <w:t>+催化燃烧</w:t>
            </w:r>
            <w:r>
              <w:rPr>
                <w:rFonts w:hint="eastAsia"/>
                <w:bCs/>
                <w:sz w:val="24"/>
                <w:highlight w:val="none"/>
                <w:lang w:val="en-US" w:eastAsia="zh-CN"/>
              </w:rPr>
              <w:t>装置是治理印刷、淋膜废气的</w:t>
            </w:r>
            <w:r>
              <w:rPr>
                <w:rFonts w:hint="eastAsia" w:cs="Times New Roman"/>
                <w:b w:val="0"/>
                <w:bCs w:val="0"/>
                <w:sz w:val="24"/>
                <w:highlight w:val="none"/>
                <w:lang w:val="en-US" w:eastAsia="zh-CN"/>
              </w:rPr>
              <w:t>可行技术</w:t>
            </w:r>
            <w:r>
              <w:rPr>
                <w:rFonts w:hint="eastAsia" w:hAnsi="宋体"/>
                <w:bCs/>
                <w:sz w:val="24"/>
                <w:highlight w:val="none"/>
                <w:lang w:eastAsia="zh-CN"/>
              </w:rPr>
              <w:t>。</w:t>
            </w:r>
          </w:p>
          <w:p w14:paraId="694303D2">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firstLine="482" w:firstLineChars="200"/>
              <w:jc w:val="both"/>
              <w:textAlignment w:val="auto"/>
              <w:rPr>
                <w:rFonts w:hint="default"/>
                <w:b/>
                <w:bCs/>
                <w:color w:val="auto"/>
                <w:sz w:val="24"/>
                <w:lang w:val="en-US" w:eastAsia="zh-CN"/>
              </w:rPr>
            </w:pPr>
            <w:r>
              <w:rPr>
                <w:rFonts w:hint="eastAsia"/>
                <w:b/>
                <w:bCs/>
                <w:color w:val="auto"/>
                <w:sz w:val="24"/>
                <w:lang w:val="en-US" w:eastAsia="zh-CN"/>
              </w:rPr>
              <w:t>3、无组织废气</w:t>
            </w:r>
          </w:p>
          <w:p w14:paraId="5EE06520">
            <w:pPr>
              <w:keepNext w:val="0"/>
              <w:keepLines w:val="0"/>
              <w:pageBreakBefore w:val="0"/>
              <w:widowControl/>
              <w:suppressLineNumbers w:val="0"/>
              <w:kinsoku/>
              <w:wordWrap/>
              <w:overflowPunct/>
              <w:topLinePunct w:val="0"/>
              <w:autoSpaceDE/>
              <w:autoSpaceDN/>
              <w:bidi w:val="0"/>
              <w:spacing w:before="0" w:beforeAutospacing="0" w:after="0" w:afterAutospacing="0" w:line="440" w:lineRule="exact"/>
              <w:ind w:left="0" w:right="0" w:firstLine="480" w:firstLineChars="200"/>
              <w:jc w:val="both"/>
              <w:textAlignment w:val="auto"/>
              <w:rPr>
                <w:rFonts w:hint="default" w:eastAsia="宋体"/>
                <w:b w:val="0"/>
                <w:bCs w:val="0"/>
                <w:color w:val="auto"/>
                <w:sz w:val="24"/>
                <w:highlight w:val="none"/>
                <w:lang w:val="en-US" w:eastAsia="zh-CN"/>
              </w:rPr>
            </w:pPr>
            <w:r>
              <w:rPr>
                <w:rFonts w:hint="eastAsia"/>
                <w:b w:val="0"/>
                <w:bCs w:val="0"/>
                <w:color w:val="auto"/>
                <w:sz w:val="24"/>
                <w:highlight w:val="none"/>
                <w:lang w:val="en-US" w:eastAsia="zh-CN"/>
              </w:rPr>
              <w:t>本项目无组织废气主要为生产过程中未收集的非甲烷总烃。经计算，非甲烷总烃无组织排放量为0.1012</w:t>
            </w:r>
            <w:r>
              <w:rPr>
                <w:rFonts w:hint="default"/>
                <w:sz w:val="24"/>
                <w:highlight w:val="none"/>
              </w:rPr>
              <w:t>t/a</w:t>
            </w:r>
            <w:r>
              <w:rPr>
                <w:rFonts w:hint="eastAsia"/>
                <w:sz w:val="24"/>
                <w:highlight w:val="none"/>
                <w:lang w:eastAsia="zh-CN"/>
              </w:rPr>
              <w:t>。</w:t>
            </w:r>
          </w:p>
          <w:p w14:paraId="37E8A415">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cs="Times New Roman"/>
                <w:bCs/>
                <w:color w:val="000000" w:themeColor="text1"/>
                <w:sz w:val="24"/>
                <w:lang w:val="en-US" w:eastAsia="zh-CN"/>
                <w14:textFill>
                  <w14:solidFill>
                    <w14:schemeClr w14:val="tx1"/>
                  </w14:solidFill>
                </w14:textFill>
              </w:rPr>
            </w:pPr>
            <w:r>
              <w:rPr>
                <w:rFonts w:hint="eastAsia" w:cs="Times New Roman"/>
                <w:bCs/>
                <w:color w:val="000000" w:themeColor="text1"/>
                <w:sz w:val="24"/>
                <w:highlight w:val="none"/>
                <w:lang w:val="en-US" w:eastAsia="zh-CN"/>
                <w14:textFill>
                  <w14:solidFill>
                    <w14:schemeClr w14:val="tx1"/>
                  </w14:solidFill>
                </w14:textFill>
              </w:rPr>
              <w:t>根据《河南省重污染天气通用行业应急减排措施制定技术指南》（2024年修订版）、《重污染天气重点行业应急减排措施制定技术指南》（2020年修订版）、《挥发性有机物无组织排放控制标准》（GB37822-2019）以及本项目特点</w:t>
            </w:r>
            <w:r>
              <w:rPr>
                <w:rFonts w:hint="eastAsia" w:cs="Times New Roman"/>
                <w:bCs/>
                <w:color w:val="000000" w:themeColor="text1"/>
                <w:sz w:val="24"/>
                <w:lang w:val="en-US" w:eastAsia="zh-CN"/>
                <w14:textFill>
                  <w14:solidFill>
                    <w14:schemeClr w14:val="tx1"/>
                  </w14:solidFill>
                </w14:textFill>
              </w:rPr>
              <w:t>，无组织管控措施如下：</w:t>
            </w:r>
          </w:p>
          <w:p w14:paraId="608425EE">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cs="Times New Roman"/>
                <w:bCs/>
                <w:color w:val="000000" w:themeColor="text1"/>
                <w:sz w:val="24"/>
                <w:lang w:val="en-US" w:eastAsia="zh-CN"/>
                <w14:textFill>
                  <w14:solidFill>
                    <w14:schemeClr w14:val="tx1"/>
                  </w14:solidFill>
                </w14:textFill>
              </w:rPr>
            </w:pPr>
            <w:r>
              <w:rPr>
                <w:rFonts w:hint="eastAsia" w:cs="Times New Roman"/>
                <w:bCs/>
                <w:color w:val="000000" w:themeColor="text1"/>
                <w:sz w:val="24"/>
                <w:lang w:val="en-US" w:eastAsia="zh-CN"/>
                <w14:textFill>
                  <w14:solidFill>
                    <w14:schemeClr w14:val="tx1"/>
                  </w14:solidFill>
                </w14:textFill>
              </w:rPr>
              <w:fldChar w:fldCharType="begin"/>
            </w:r>
            <w:r>
              <w:rPr>
                <w:rFonts w:hint="eastAsia" w:cs="Times New Roman"/>
                <w:bCs/>
                <w:color w:val="000000" w:themeColor="text1"/>
                <w:sz w:val="24"/>
                <w:lang w:val="en-US" w:eastAsia="zh-CN"/>
                <w14:textFill>
                  <w14:solidFill>
                    <w14:schemeClr w14:val="tx1"/>
                  </w14:solidFill>
                </w14:textFill>
              </w:rPr>
              <w:instrText xml:space="preserve"> = 1 \* GB3 \* MERGEFORMAT </w:instrText>
            </w:r>
            <w:r>
              <w:rPr>
                <w:rFonts w:hint="eastAsia" w:cs="Times New Roman"/>
                <w:bCs/>
                <w:color w:val="000000" w:themeColor="text1"/>
                <w:sz w:val="24"/>
                <w:lang w:val="en-US" w:eastAsia="zh-CN"/>
                <w14:textFill>
                  <w14:solidFill>
                    <w14:schemeClr w14:val="tx1"/>
                  </w14:solidFill>
                </w14:textFill>
              </w:rPr>
              <w:fldChar w:fldCharType="separate"/>
            </w:r>
            <w:r>
              <w:rPr>
                <w:rFonts w:hint="eastAsia" w:cs="Times New Roman"/>
                <w:bCs/>
                <w:color w:val="000000" w:themeColor="text1"/>
                <w:sz w:val="24"/>
                <w:lang w:val="en-US" w:eastAsia="zh-CN"/>
                <w14:textFill>
                  <w14:solidFill>
                    <w14:schemeClr w14:val="tx1"/>
                  </w14:solidFill>
                </w14:textFill>
              </w:rPr>
              <w:t>①</w:t>
            </w:r>
            <w:r>
              <w:rPr>
                <w:rFonts w:hint="eastAsia" w:cs="Times New Roman"/>
                <w:bCs/>
                <w:color w:val="000000" w:themeColor="text1"/>
                <w:sz w:val="24"/>
                <w:lang w:val="en-US" w:eastAsia="zh-CN"/>
                <w14:textFill>
                  <w14:solidFill>
                    <w14:schemeClr w14:val="tx1"/>
                  </w14:solidFill>
                </w14:textFill>
              </w:rPr>
              <w:fldChar w:fldCharType="end"/>
            </w:r>
            <w:r>
              <w:rPr>
                <w:rFonts w:hint="eastAsia" w:cs="Times New Roman"/>
                <w:bCs/>
                <w:color w:val="000000" w:themeColor="text1"/>
                <w:sz w:val="24"/>
                <w:lang w:val="en-US" w:eastAsia="zh-CN"/>
                <w14:textFill>
                  <w14:solidFill>
                    <w14:schemeClr w14:val="tx1"/>
                  </w14:solidFill>
                </w14:textFill>
              </w:rPr>
              <w:t>存储过程</w:t>
            </w:r>
          </w:p>
          <w:p w14:paraId="5F1273FF">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cs="Times New Roman"/>
                <w:bCs/>
                <w:color w:val="000000" w:themeColor="text1"/>
                <w:sz w:val="24"/>
                <w:lang w:val="en-US" w:eastAsia="zh-CN"/>
                <w14:textFill>
                  <w14:solidFill>
                    <w14:schemeClr w14:val="tx1"/>
                  </w14:solidFill>
                </w14:textFill>
              </w:rPr>
            </w:pPr>
            <w:r>
              <w:rPr>
                <w:rFonts w:hint="eastAsia" w:cs="Times New Roman"/>
                <w:bCs/>
                <w:color w:val="000000" w:themeColor="text1"/>
                <w:sz w:val="24"/>
                <w:lang w:val="en-US" w:eastAsia="zh-CN"/>
                <w14:textFill>
                  <w14:solidFill>
                    <w14:schemeClr w14:val="tx1"/>
                  </w14:solidFill>
                </w14:textFill>
              </w:rPr>
              <w:t>项目VOCs物料为油墨，由密闭桶装，存储于无阳光直射的密闭原料库。密闭原料库满足地面防渗、防雨、防晒要求。盛装油墨的容器在非取用状态时应加盖、封口。VOCs物料储库封为闭式建筑物，除人员、车辆、设备、物料进出时，以及依法设立的排气筒、通风口外，门窗及其他开口（孔）部位应随时保持关闭状态。废包装桶、废抹布、废活性炭等危险废物分类放置于贴有标识的容器内，加盖密封，存放于危险废物暂存间。</w:t>
            </w:r>
          </w:p>
          <w:p w14:paraId="4128F593">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cs="Times New Roman"/>
                <w:bCs/>
                <w:color w:val="000000" w:themeColor="text1"/>
                <w:sz w:val="24"/>
                <w:lang w:val="en-US" w:eastAsia="zh-CN"/>
                <w14:textFill>
                  <w14:solidFill>
                    <w14:schemeClr w14:val="tx1"/>
                  </w14:solidFill>
                </w14:textFill>
              </w:rPr>
            </w:pPr>
            <w:r>
              <w:rPr>
                <w:rFonts w:hint="eastAsia" w:cs="Times New Roman"/>
                <w:bCs/>
                <w:color w:val="000000" w:themeColor="text1"/>
                <w:sz w:val="24"/>
                <w:lang w:val="en-US" w:eastAsia="zh-CN"/>
                <w14:textFill>
                  <w14:solidFill>
                    <w14:schemeClr w14:val="tx1"/>
                  </w14:solidFill>
                </w14:textFill>
              </w:rPr>
              <w:t>②供墨、印刷过程</w:t>
            </w:r>
          </w:p>
          <w:p w14:paraId="2A6EB477">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cs="Times New Roman"/>
                <w:bCs/>
                <w:color w:val="000000" w:themeColor="text1"/>
                <w:sz w:val="24"/>
                <w:lang w:val="en-US" w:eastAsia="zh-CN"/>
                <w14:textFill>
                  <w14:solidFill>
                    <w14:schemeClr w14:val="tx1"/>
                  </w14:solidFill>
                </w14:textFill>
              </w:rPr>
            </w:pPr>
            <w:r>
              <w:rPr>
                <w:rFonts w:hint="eastAsia" w:cs="Times New Roman"/>
                <w:bCs/>
                <w:color w:val="000000" w:themeColor="text1"/>
                <w:sz w:val="24"/>
                <w:lang w:val="en-US" w:eastAsia="zh-CN"/>
                <w14:textFill>
                  <w14:solidFill>
                    <w14:schemeClr w14:val="tx1"/>
                  </w14:solidFill>
                </w14:textFill>
              </w:rPr>
              <w:t>印刷机采用封闭刮刀，烘箱密闭，印刷机二次密闭，印刷废气经负压管道收集。油墨桶加盖密闭保存，密闭转运至印刷车间，通过自动供墨系统，利用软管自动泵密闭墨槽，密闭盖仅留有软管的进出口，供墨工序产生的废气与印刷工序产生的废气经负压收集至有机废气处理装置进行处理。</w:t>
            </w:r>
          </w:p>
          <w:p w14:paraId="507534F7">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jc w:val="both"/>
              <w:textAlignment w:val="auto"/>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sz w:val="24"/>
                <w:szCs w:val="24"/>
                <w:lang w:val="en-US" w:eastAsia="zh-CN"/>
              </w:rPr>
              <w:t>③</w:t>
            </w: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淋膜过程</w:t>
            </w:r>
          </w:p>
          <w:p w14:paraId="0B06D1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jc w:val="both"/>
              <w:textAlignment w:val="auto"/>
              <w:rPr>
                <w:rFonts w:hint="eastAsia" w:ascii="Times New Roman" w:hAnsi="Times New Roman" w:eastAsia="宋体" w:cs="Times New Roman"/>
                <w:sz w:val="24"/>
                <w:szCs w:val="24"/>
                <w:lang w:eastAsia="zh-CN"/>
              </w:rPr>
            </w:pPr>
            <w:r>
              <w:rPr>
                <w:rFonts w:hint="default" w:ascii="Times New Roman" w:hAnsi="Times New Roman" w:eastAsia="宋体" w:cs="Times New Roman"/>
                <w:sz w:val="24"/>
                <w:szCs w:val="24"/>
                <w:lang w:val="en-US" w:eastAsia="zh-CN"/>
              </w:rPr>
              <w:t>淋膜机加热装置密闭，淋膜处废气经集气罩收集。</w:t>
            </w:r>
            <w:r>
              <w:rPr>
                <w:rFonts w:hint="default" w:ascii="Times New Roman" w:hAnsi="Times New Roman" w:eastAsia="宋体" w:cs="Times New Roman"/>
                <w:sz w:val="24"/>
                <w:szCs w:val="24"/>
              </w:rPr>
              <w:t>距</w:t>
            </w:r>
            <w:r>
              <w:rPr>
                <w:rFonts w:hint="default" w:ascii="Times New Roman" w:hAnsi="Times New Roman" w:eastAsia="宋体" w:cs="Times New Roman"/>
                <w:sz w:val="24"/>
                <w:szCs w:val="24"/>
                <w:lang w:val="en-US" w:eastAsia="zh-CN"/>
              </w:rPr>
              <w:t>集气罩</w:t>
            </w:r>
            <w:r>
              <w:rPr>
                <w:rFonts w:hint="default" w:ascii="Times New Roman" w:hAnsi="Times New Roman" w:eastAsia="宋体" w:cs="Times New Roman"/>
                <w:sz w:val="24"/>
                <w:szCs w:val="24"/>
              </w:rPr>
              <w:t>开口面最远处的VOCs无组织排放位置，控制风速不低于0.3m</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s</w:t>
            </w:r>
            <w:r>
              <w:rPr>
                <w:rFonts w:hint="eastAsia" w:ascii="Times New Roman" w:hAnsi="Times New Roman" w:eastAsia="宋体" w:cs="Times New Roman"/>
                <w:sz w:val="24"/>
                <w:szCs w:val="24"/>
                <w:lang w:eastAsia="zh-CN"/>
              </w:rPr>
              <w:t>。</w:t>
            </w:r>
          </w:p>
          <w:p w14:paraId="47D4E7D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jc w:val="both"/>
              <w:textAlignment w:val="auto"/>
              <w:rPr>
                <w:rFonts w:hint="default" w:ascii="Times New Roman" w:hAnsi="Times New Roman" w:eastAsia="宋体" w:cs="Times New Roman"/>
                <w:lang w:val="en-US" w:eastAsia="zh-CN"/>
              </w:rPr>
            </w:pPr>
            <w:r>
              <w:rPr>
                <w:rFonts w:hint="default" w:ascii="Times New Roman" w:hAnsi="Times New Roman" w:eastAsia="宋体" w:cs="Times New Roman"/>
                <w:bCs/>
                <w:color w:val="000000" w:themeColor="text1"/>
                <w14:textFill>
                  <w14:solidFill>
                    <w14:schemeClr w14:val="tx1"/>
                  </w14:solidFill>
                </w14:textFill>
              </w:rPr>
              <w:fldChar w:fldCharType="begin"/>
            </w:r>
            <w:r>
              <w:rPr>
                <w:rFonts w:hint="default" w:ascii="Times New Roman" w:hAnsi="Times New Roman" w:eastAsia="宋体" w:cs="Times New Roman"/>
                <w:bCs/>
                <w:color w:val="000000" w:themeColor="text1"/>
                <w14:textFill>
                  <w14:solidFill>
                    <w14:schemeClr w14:val="tx1"/>
                  </w14:solidFill>
                </w14:textFill>
              </w:rPr>
              <w:instrText xml:space="preserve"> = 4 \* GB3 </w:instrText>
            </w:r>
            <w:r>
              <w:rPr>
                <w:rFonts w:hint="default" w:ascii="Times New Roman" w:hAnsi="Times New Roman" w:eastAsia="宋体" w:cs="Times New Roman"/>
                <w:bCs/>
                <w:color w:val="000000" w:themeColor="text1"/>
                <w14:textFill>
                  <w14:solidFill>
                    <w14:schemeClr w14:val="tx1"/>
                  </w14:solidFill>
                </w14:textFill>
              </w:rPr>
              <w:fldChar w:fldCharType="separate"/>
            </w:r>
            <w:r>
              <w:rPr>
                <w:rFonts w:hint="default" w:ascii="Times New Roman" w:hAnsi="Times New Roman" w:eastAsia="宋体" w:cs="Times New Roman"/>
                <w:bCs/>
                <w:color w:val="000000" w:themeColor="text1"/>
                <w14:textFill>
                  <w14:solidFill>
                    <w14:schemeClr w14:val="tx1"/>
                  </w14:solidFill>
                </w14:textFill>
              </w:rPr>
              <w:t>④</w:t>
            </w:r>
            <w:r>
              <w:rPr>
                <w:rFonts w:hint="default" w:ascii="Times New Roman" w:hAnsi="Times New Roman" w:eastAsia="宋体" w:cs="Times New Roman"/>
                <w:bCs/>
                <w:color w:val="000000" w:themeColor="text1"/>
                <w14:textFill>
                  <w14:solidFill>
                    <w14:schemeClr w14:val="tx1"/>
                  </w14:solidFill>
                </w14:textFill>
              </w:rPr>
              <w:fldChar w:fldCharType="end"/>
            </w:r>
            <w:r>
              <w:rPr>
                <w:rFonts w:hint="default" w:ascii="Times New Roman" w:hAnsi="Times New Roman" w:eastAsia="宋体" w:cs="Times New Roman"/>
                <w:bCs/>
                <w:color w:val="000000" w:themeColor="text1"/>
                <w14:textFill>
                  <w14:solidFill>
                    <w14:schemeClr w14:val="tx1"/>
                  </w14:solidFill>
                </w14:textFill>
              </w:rPr>
              <w:t>厂容厂貌：厂区应干净整洁，地面全部硬化或绿化；车间规范整洁，无物料散落，无“跑、冒、滴、漏”。</w:t>
            </w:r>
          </w:p>
          <w:p w14:paraId="6418E996">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cs="Times New Roman"/>
                <w:bCs/>
                <w:color w:val="000000" w:themeColor="text1"/>
                <w:sz w:val="24"/>
                <w:lang w:val="en-US" w:eastAsia="zh-CN"/>
                <w14:textFill>
                  <w14:solidFill>
                    <w14:schemeClr w14:val="tx1"/>
                  </w14:solidFill>
                </w14:textFill>
              </w:rPr>
            </w:pPr>
            <w:r>
              <w:rPr>
                <w:rFonts w:hint="eastAsia" w:cs="Times New Roman"/>
                <w:bCs/>
                <w:color w:val="000000" w:themeColor="text1"/>
                <w:sz w:val="24"/>
                <w:lang w:val="en-US" w:eastAsia="zh-CN"/>
                <w14:textFill>
                  <w14:solidFill>
                    <w14:schemeClr w14:val="tx1"/>
                  </w14:solidFill>
                </w14:textFill>
              </w:rPr>
              <w:t>经一系列治理措施后，依据《环境影响评价技术导则-大气环境》(HJ2.2-2018)附录A推荐模型中的AERSCREEN模式计算，本项目污染物厂界落地浓度见下表。</w:t>
            </w:r>
          </w:p>
          <w:p w14:paraId="2101D17D">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2" w:firstLineChars="200"/>
              <w:jc w:val="both"/>
              <w:rPr>
                <w:rFonts w:hint="eastAsia" w:cs="Times New Roman"/>
                <w:b/>
                <w:bCs w:val="0"/>
                <w:color w:val="000000" w:themeColor="text1"/>
                <w:sz w:val="24"/>
                <w:highlight w:val="none"/>
                <w:lang w:val="en-US" w:eastAsia="zh-CN"/>
                <w14:textFill>
                  <w14:solidFill>
                    <w14:schemeClr w14:val="tx1"/>
                  </w14:solidFill>
                </w14:textFill>
              </w:rPr>
            </w:pPr>
            <w:r>
              <w:rPr>
                <w:rFonts w:hint="eastAsia" w:cs="Times New Roman"/>
                <w:b/>
                <w:bCs w:val="0"/>
                <w:color w:val="000000" w:themeColor="text1"/>
                <w:sz w:val="24"/>
                <w:highlight w:val="none"/>
                <w:lang w:val="en-US" w:eastAsia="zh-CN"/>
                <w14:textFill>
                  <w14:solidFill>
                    <w14:schemeClr w14:val="tx1"/>
                  </w14:solidFill>
                </w14:textFill>
              </w:rPr>
              <w:t>表22  本项目污染物厂界无组织落地浓度一览表   单位：mg/m</w:t>
            </w:r>
            <w:r>
              <w:rPr>
                <w:rFonts w:hint="eastAsia" w:cs="Times New Roman"/>
                <w:b/>
                <w:bCs w:val="0"/>
                <w:color w:val="000000" w:themeColor="text1"/>
                <w:sz w:val="24"/>
                <w:highlight w:val="none"/>
                <w:vertAlign w:val="superscript"/>
                <w:lang w:val="en-US" w:eastAsia="zh-CN"/>
                <w14:textFill>
                  <w14:solidFill>
                    <w14:schemeClr w14:val="tx1"/>
                  </w14:solidFill>
                </w14:textFill>
              </w:rPr>
              <w:t>3</w:t>
            </w:r>
          </w:p>
          <w:tbl>
            <w:tblPr>
              <w:tblStyle w:val="22"/>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Layout w:type="fixed"/>
              <w:tblCellMar>
                <w:top w:w="0" w:type="dxa"/>
                <w:left w:w="108" w:type="dxa"/>
                <w:bottom w:w="0" w:type="dxa"/>
                <w:right w:w="108" w:type="dxa"/>
              </w:tblCellMar>
            </w:tblPr>
            <w:tblGrid>
              <w:gridCol w:w="807"/>
              <w:gridCol w:w="900"/>
              <w:gridCol w:w="840"/>
              <w:gridCol w:w="1485"/>
              <w:gridCol w:w="1500"/>
              <w:gridCol w:w="1575"/>
              <w:gridCol w:w="1506"/>
            </w:tblGrid>
            <w:tr w14:paraId="6167455F">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97" w:hRule="atLeast"/>
                <w:jc w:val="center"/>
              </w:trPr>
              <w:tc>
                <w:tcPr>
                  <w:tcW w:w="468" w:type="pct"/>
                  <w:tcBorders>
                    <w:bottom w:val="single" w:color="auto" w:sz="8" w:space="0"/>
                    <w:right w:val="single" w:color="auto" w:sz="4" w:space="0"/>
                  </w:tcBorders>
                  <w:shd w:val="clear" w:color="auto" w:fill="auto"/>
                  <w:noWrap w:val="0"/>
                  <w:vAlign w:val="center"/>
                </w:tcPr>
                <w:p w14:paraId="314BBD2B">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val="0"/>
                      <w:color w:val="000000" w:themeColor="text1"/>
                      <w:sz w:val="21"/>
                      <w:szCs w:val="21"/>
                      <w:highlight w:val="none"/>
                      <w:lang w:val="en-US" w:eastAsia="zh-CN"/>
                      <w14:textFill>
                        <w14:solidFill>
                          <w14:schemeClr w14:val="tx1"/>
                        </w14:solidFill>
                      </w14:textFill>
                    </w:rPr>
                  </w:pPr>
                  <w:r>
                    <w:rPr>
                      <w:rFonts w:hint="eastAsia" w:cs="Times New Roman"/>
                      <w:b/>
                      <w:bCs w:val="0"/>
                      <w:color w:val="000000" w:themeColor="text1"/>
                      <w:sz w:val="21"/>
                      <w:szCs w:val="21"/>
                      <w:highlight w:val="none"/>
                      <w:lang w:val="en-US" w:eastAsia="zh-CN"/>
                      <w14:textFill>
                        <w14:solidFill>
                          <w14:schemeClr w14:val="tx1"/>
                        </w14:solidFill>
                      </w14:textFill>
                    </w:rPr>
                    <w:t>预测源</w:t>
                  </w:r>
                </w:p>
              </w:tc>
              <w:tc>
                <w:tcPr>
                  <w:tcW w:w="522" w:type="pct"/>
                  <w:tcBorders>
                    <w:left w:val="single" w:color="auto" w:sz="4" w:space="0"/>
                    <w:bottom w:val="single" w:color="auto" w:sz="8" w:space="0"/>
                    <w:right w:val="single" w:color="auto" w:sz="4" w:space="0"/>
                  </w:tcBorders>
                  <w:shd w:val="clear" w:color="auto" w:fill="auto"/>
                  <w:noWrap w:val="0"/>
                  <w:vAlign w:val="center"/>
                </w:tcPr>
                <w:p w14:paraId="7A1CB92F">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val="0"/>
                      <w:color w:val="000000" w:themeColor="text1"/>
                      <w:sz w:val="21"/>
                      <w:szCs w:val="21"/>
                      <w:highlight w:val="none"/>
                      <w:lang w:val="en-US" w:eastAsia="zh-CN"/>
                      <w14:textFill>
                        <w14:solidFill>
                          <w14:schemeClr w14:val="tx1"/>
                        </w14:solidFill>
                      </w14:textFill>
                    </w:rPr>
                  </w:pPr>
                  <w:r>
                    <w:rPr>
                      <w:rFonts w:hint="eastAsia" w:cs="Times New Roman"/>
                      <w:b/>
                      <w:bCs w:val="0"/>
                      <w:color w:val="000000" w:themeColor="text1"/>
                      <w:sz w:val="21"/>
                      <w:szCs w:val="21"/>
                      <w:highlight w:val="none"/>
                      <w:lang w:val="en-US" w:eastAsia="zh-CN"/>
                      <w14:textFill>
                        <w14:solidFill>
                          <w14:schemeClr w14:val="tx1"/>
                        </w14:solidFill>
                      </w14:textFill>
                    </w:rPr>
                    <w:t>污染物</w:t>
                  </w:r>
                </w:p>
              </w:tc>
              <w:tc>
                <w:tcPr>
                  <w:tcW w:w="487" w:type="pct"/>
                  <w:tcBorders>
                    <w:left w:val="single" w:color="auto" w:sz="4" w:space="0"/>
                    <w:bottom w:val="single" w:color="auto" w:sz="8" w:space="0"/>
                    <w:right w:val="single" w:color="auto" w:sz="4" w:space="0"/>
                  </w:tcBorders>
                  <w:shd w:val="clear" w:color="auto" w:fill="auto"/>
                  <w:noWrap w:val="0"/>
                  <w:vAlign w:val="center"/>
                </w:tcPr>
                <w:p w14:paraId="00D4E6A9">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val="0"/>
                      <w:color w:val="000000" w:themeColor="text1"/>
                      <w:sz w:val="21"/>
                      <w:szCs w:val="21"/>
                      <w:highlight w:val="none"/>
                      <w:lang w:val="en-US" w:eastAsia="zh-CN"/>
                      <w14:textFill>
                        <w14:solidFill>
                          <w14:schemeClr w14:val="tx1"/>
                        </w14:solidFill>
                      </w14:textFill>
                    </w:rPr>
                  </w:pPr>
                  <w:r>
                    <w:rPr>
                      <w:rFonts w:hint="eastAsia" w:cs="Times New Roman"/>
                      <w:b/>
                      <w:bCs w:val="0"/>
                      <w:color w:val="000000" w:themeColor="text1"/>
                      <w:sz w:val="21"/>
                      <w:szCs w:val="21"/>
                      <w:highlight w:val="none"/>
                      <w:lang w:val="en-US" w:eastAsia="zh-CN"/>
                      <w14:textFill>
                        <w14:solidFill>
                          <w14:schemeClr w14:val="tx1"/>
                        </w14:solidFill>
                      </w14:textFill>
                    </w:rPr>
                    <w:t>厂房外1m</w:t>
                  </w:r>
                </w:p>
              </w:tc>
              <w:tc>
                <w:tcPr>
                  <w:tcW w:w="862" w:type="pct"/>
                  <w:tcBorders>
                    <w:left w:val="single" w:color="auto" w:sz="4" w:space="0"/>
                    <w:bottom w:val="single" w:color="auto" w:sz="8" w:space="0"/>
                    <w:right w:val="single" w:color="auto" w:sz="4" w:space="0"/>
                  </w:tcBorders>
                  <w:shd w:val="clear" w:color="auto" w:fill="auto"/>
                  <w:noWrap w:val="0"/>
                  <w:vAlign w:val="center"/>
                </w:tcPr>
                <w:p w14:paraId="4E3C218A">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s="Times New Roman"/>
                      <w:b/>
                      <w:bCs w:val="0"/>
                      <w:color w:val="000000" w:themeColor="text1"/>
                      <w:sz w:val="21"/>
                      <w:szCs w:val="21"/>
                      <w:highlight w:val="none"/>
                      <w:lang w:val="en-US" w:eastAsia="zh-CN"/>
                      <w14:textFill>
                        <w14:solidFill>
                          <w14:schemeClr w14:val="tx1"/>
                        </w14:solidFill>
                      </w14:textFill>
                    </w:rPr>
                  </w:pPr>
                  <w:r>
                    <w:rPr>
                      <w:rFonts w:hint="eastAsia" w:cs="Times New Roman"/>
                      <w:b/>
                      <w:bCs w:val="0"/>
                      <w:color w:val="000000" w:themeColor="text1"/>
                      <w:sz w:val="21"/>
                      <w:szCs w:val="21"/>
                      <w:highlight w:val="none"/>
                      <w:lang w:val="en-US" w:eastAsia="zh-CN"/>
                      <w14:textFill>
                        <w14:solidFill>
                          <w14:schemeClr w14:val="tx1"/>
                        </w14:solidFill>
                      </w14:textFill>
                    </w:rPr>
                    <w:t>东厂界</w:t>
                  </w:r>
                </w:p>
              </w:tc>
              <w:tc>
                <w:tcPr>
                  <w:tcW w:w="870" w:type="pct"/>
                  <w:tcBorders>
                    <w:left w:val="single" w:color="auto" w:sz="4" w:space="0"/>
                    <w:bottom w:val="single" w:color="auto" w:sz="8" w:space="0"/>
                    <w:right w:val="single" w:color="auto" w:sz="4" w:space="0"/>
                  </w:tcBorders>
                  <w:shd w:val="clear" w:color="auto" w:fill="auto"/>
                  <w:noWrap w:val="0"/>
                  <w:vAlign w:val="center"/>
                </w:tcPr>
                <w:p w14:paraId="10DBF143">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val="0"/>
                      <w:color w:val="000000" w:themeColor="text1"/>
                      <w:sz w:val="21"/>
                      <w:szCs w:val="21"/>
                      <w:highlight w:val="none"/>
                      <w:lang w:val="en-US" w:eastAsia="zh-CN"/>
                      <w14:textFill>
                        <w14:solidFill>
                          <w14:schemeClr w14:val="tx1"/>
                        </w14:solidFill>
                      </w14:textFill>
                    </w:rPr>
                  </w:pPr>
                  <w:r>
                    <w:rPr>
                      <w:rFonts w:hint="eastAsia" w:cs="Times New Roman"/>
                      <w:b/>
                      <w:bCs w:val="0"/>
                      <w:color w:val="000000" w:themeColor="text1"/>
                      <w:sz w:val="21"/>
                      <w:szCs w:val="21"/>
                      <w:highlight w:val="none"/>
                      <w:lang w:val="en-US" w:eastAsia="zh-CN"/>
                      <w14:textFill>
                        <w14:solidFill>
                          <w14:schemeClr w14:val="tx1"/>
                        </w14:solidFill>
                      </w14:textFill>
                    </w:rPr>
                    <w:t>南厂界</w:t>
                  </w:r>
                </w:p>
              </w:tc>
              <w:tc>
                <w:tcPr>
                  <w:tcW w:w="914" w:type="pct"/>
                  <w:tcBorders>
                    <w:left w:val="single" w:color="auto" w:sz="4" w:space="0"/>
                    <w:bottom w:val="single" w:color="auto" w:sz="8" w:space="0"/>
                    <w:right w:val="single" w:color="auto" w:sz="4" w:space="0"/>
                  </w:tcBorders>
                  <w:shd w:val="clear" w:color="auto" w:fill="auto"/>
                  <w:noWrap w:val="0"/>
                  <w:vAlign w:val="center"/>
                </w:tcPr>
                <w:p w14:paraId="49B05D45">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val="0"/>
                      <w:color w:val="000000" w:themeColor="text1"/>
                      <w:sz w:val="21"/>
                      <w:szCs w:val="21"/>
                      <w:highlight w:val="none"/>
                      <w:lang w:val="en-US" w:eastAsia="zh-CN"/>
                      <w14:textFill>
                        <w14:solidFill>
                          <w14:schemeClr w14:val="tx1"/>
                        </w14:solidFill>
                      </w14:textFill>
                    </w:rPr>
                  </w:pPr>
                  <w:r>
                    <w:rPr>
                      <w:rFonts w:hint="eastAsia" w:cs="Times New Roman"/>
                      <w:b/>
                      <w:bCs w:val="0"/>
                      <w:color w:val="000000" w:themeColor="text1"/>
                      <w:sz w:val="21"/>
                      <w:szCs w:val="21"/>
                      <w:highlight w:val="none"/>
                      <w:lang w:val="en-US" w:eastAsia="zh-CN"/>
                      <w14:textFill>
                        <w14:solidFill>
                          <w14:schemeClr w14:val="tx1"/>
                        </w14:solidFill>
                      </w14:textFill>
                    </w:rPr>
                    <w:t>西厂界</w:t>
                  </w:r>
                </w:p>
              </w:tc>
              <w:tc>
                <w:tcPr>
                  <w:tcW w:w="874" w:type="pct"/>
                  <w:tcBorders>
                    <w:left w:val="single" w:color="auto" w:sz="4" w:space="0"/>
                    <w:bottom w:val="single" w:color="auto" w:sz="8" w:space="0"/>
                  </w:tcBorders>
                  <w:shd w:val="clear" w:color="auto" w:fill="auto"/>
                  <w:noWrap w:val="0"/>
                  <w:vAlign w:val="center"/>
                </w:tcPr>
                <w:p w14:paraId="3B756EB3">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
                      <w:bCs w:val="0"/>
                      <w:color w:val="000000" w:themeColor="text1"/>
                      <w:sz w:val="21"/>
                      <w:szCs w:val="21"/>
                      <w:highlight w:val="none"/>
                      <w:lang w:val="en-US" w:eastAsia="zh-CN"/>
                      <w14:textFill>
                        <w14:solidFill>
                          <w14:schemeClr w14:val="tx1"/>
                        </w14:solidFill>
                      </w14:textFill>
                    </w:rPr>
                  </w:pPr>
                  <w:r>
                    <w:rPr>
                      <w:rFonts w:hint="eastAsia" w:cs="Times New Roman"/>
                      <w:b/>
                      <w:bCs w:val="0"/>
                      <w:color w:val="000000" w:themeColor="text1"/>
                      <w:sz w:val="21"/>
                      <w:szCs w:val="21"/>
                      <w:highlight w:val="none"/>
                      <w:lang w:val="en-US" w:eastAsia="zh-CN"/>
                      <w14:textFill>
                        <w14:solidFill>
                          <w14:schemeClr w14:val="tx1"/>
                        </w14:solidFill>
                      </w14:textFill>
                    </w:rPr>
                    <w:t>北厂界</w:t>
                  </w:r>
                </w:p>
              </w:tc>
            </w:tr>
            <w:tr w14:paraId="699DD281">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97" w:hRule="atLeast"/>
                <w:jc w:val="center"/>
              </w:trPr>
              <w:tc>
                <w:tcPr>
                  <w:tcW w:w="468" w:type="pct"/>
                  <w:tcBorders>
                    <w:top w:val="single" w:color="auto" w:sz="8" w:space="0"/>
                    <w:bottom w:val="single" w:color="auto" w:sz="8" w:space="0"/>
                    <w:right w:val="single" w:color="auto" w:sz="4" w:space="0"/>
                  </w:tcBorders>
                  <w:shd w:val="clear" w:color="auto" w:fill="auto"/>
                  <w:noWrap w:val="0"/>
                  <w:vAlign w:val="center"/>
                </w:tcPr>
                <w:p w14:paraId="1827ADF2">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生产车间</w:t>
                  </w:r>
                </w:p>
              </w:tc>
              <w:tc>
                <w:tcPr>
                  <w:tcW w:w="522" w:type="pct"/>
                  <w:tcBorders>
                    <w:top w:val="single" w:color="auto" w:sz="8" w:space="0"/>
                    <w:left w:val="single" w:color="auto" w:sz="4" w:space="0"/>
                    <w:bottom w:val="single" w:color="auto" w:sz="8" w:space="0"/>
                    <w:right w:val="single" w:color="auto" w:sz="4" w:space="0"/>
                  </w:tcBorders>
                  <w:shd w:val="clear" w:color="auto" w:fill="auto"/>
                  <w:noWrap w:val="0"/>
                  <w:vAlign w:val="center"/>
                </w:tcPr>
                <w:p w14:paraId="24B8B7F1">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eastAsia"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非甲烷总烃</w:t>
                  </w:r>
                </w:p>
              </w:tc>
              <w:tc>
                <w:tcPr>
                  <w:tcW w:w="487" w:type="pct"/>
                  <w:tcBorders>
                    <w:top w:val="single" w:color="auto" w:sz="8" w:space="0"/>
                    <w:left w:val="single" w:color="auto" w:sz="4" w:space="0"/>
                    <w:bottom w:val="single" w:color="auto" w:sz="8" w:space="0"/>
                    <w:right w:val="single" w:color="auto" w:sz="4" w:space="0"/>
                  </w:tcBorders>
                  <w:shd w:val="clear" w:color="auto" w:fill="auto"/>
                  <w:noWrap w:val="0"/>
                  <w:vAlign w:val="center"/>
                </w:tcPr>
                <w:p w14:paraId="674D8126">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w:t>
                  </w:r>
                </w:p>
              </w:tc>
              <w:tc>
                <w:tcPr>
                  <w:tcW w:w="862" w:type="pct"/>
                  <w:tcBorders>
                    <w:top w:val="single" w:color="auto" w:sz="8" w:space="0"/>
                    <w:left w:val="single" w:color="auto" w:sz="4" w:space="0"/>
                    <w:bottom w:val="single" w:color="auto" w:sz="8" w:space="0"/>
                    <w:right w:val="single" w:color="auto" w:sz="4" w:space="0"/>
                  </w:tcBorders>
                  <w:shd w:val="clear" w:color="auto" w:fill="auto"/>
                  <w:noWrap w:val="0"/>
                  <w:vAlign w:val="center"/>
                </w:tcPr>
                <w:p w14:paraId="39C9DEDC">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0.002203</w:t>
                  </w:r>
                </w:p>
              </w:tc>
              <w:tc>
                <w:tcPr>
                  <w:tcW w:w="870" w:type="pct"/>
                  <w:tcBorders>
                    <w:top w:val="single" w:color="auto" w:sz="8" w:space="0"/>
                    <w:left w:val="single" w:color="auto" w:sz="4" w:space="0"/>
                    <w:bottom w:val="single" w:color="auto" w:sz="8" w:space="0"/>
                    <w:right w:val="single" w:color="auto" w:sz="4" w:space="0"/>
                  </w:tcBorders>
                  <w:shd w:val="clear" w:color="auto" w:fill="auto"/>
                  <w:noWrap w:val="0"/>
                  <w:vAlign w:val="center"/>
                </w:tcPr>
                <w:p w14:paraId="08368308">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0.003792</w:t>
                  </w:r>
                </w:p>
              </w:tc>
              <w:tc>
                <w:tcPr>
                  <w:tcW w:w="914" w:type="pct"/>
                  <w:tcBorders>
                    <w:left w:val="single" w:color="auto" w:sz="4" w:space="0"/>
                    <w:bottom w:val="single" w:color="auto" w:sz="8" w:space="0"/>
                    <w:right w:val="single" w:color="auto" w:sz="4" w:space="0"/>
                  </w:tcBorders>
                  <w:shd w:val="clear" w:color="auto" w:fill="auto"/>
                  <w:noWrap w:val="0"/>
                  <w:vAlign w:val="center"/>
                </w:tcPr>
                <w:p w14:paraId="307E2609">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0.002203</w:t>
                  </w:r>
                </w:p>
              </w:tc>
              <w:tc>
                <w:tcPr>
                  <w:tcW w:w="874" w:type="pct"/>
                  <w:tcBorders>
                    <w:left w:val="single" w:color="auto" w:sz="4" w:space="0"/>
                    <w:bottom w:val="single" w:color="auto" w:sz="8" w:space="0"/>
                  </w:tcBorders>
                  <w:shd w:val="clear" w:color="auto" w:fill="auto"/>
                  <w:noWrap w:val="0"/>
                  <w:vAlign w:val="center"/>
                </w:tcPr>
                <w:p w14:paraId="605C3DF1">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firstLine="0" w:firstLineChars="0"/>
                    <w:jc w:val="center"/>
                    <w:textAlignment w:val="auto"/>
                    <w:rPr>
                      <w:rFonts w:hint="default" w:cs="Times New Roman"/>
                      <w:bCs/>
                      <w:color w:val="000000" w:themeColor="text1"/>
                      <w:sz w:val="21"/>
                      <w:szCs w:val="21"/>
                      <w:highlight w:val="none"/>
                      <w:lang w:val="en-US" w:eastAsia="zh-CN"/>
                      <w14:textFill>
                        <w14:solidFill>
                          <w14:schemeClr w14:val="tx1"/>
                        </w14:solidFill>
                      </w14:textFill>
                    </w:rPr>
                  </w:pPr>
                  <w:r>
                    <w:rPr>
                      <w:rFonts w:hint="eastAsia" w:cs="Times New Roman"/>
                      <w:bCs/>
                      <w:color w:val="000000" w:themeColor="text1"/>
                      <w:sz w:val="21"/>
                      <w:szCs w:val="21"/>
                      <w:highlight w:val="none"/>
                      <w:lang w:val="en-US" w:eastAsia="zh-CN"/>
                      <w14:textFill>
                        <w14:solidFill>
                          <w14:schemeClr w14:val="tx1"/>
                        </w14:solidFill>
                      </w14:textFill>
                    </w:rPr>
                    <w:t>0.001040</w:t>
                  </w:r>
                </w:p>
              </w:tc>
            </w:tr>
          </w:tbl>
          <w:p w14:paraId="2224E271">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cs="Times New Roman"/>
                <w:bCs/>
                <w:color w:val="000000" w:themeColor="text1"/>
                <w:sz w:val="24"/>
                <w:lang w:val="en-US" w:eastAsia="zh-CN"/>
                <w14:textFill>
                  <w14:solidFill>
                    <w14:schemeClr w14:val="tx1"/>
                  </w14:solidFill>
                </w14:textFill>
              </w:rPr>
            </w:pPr>
            <w:r>
              <w:rPr>
                <w:rFonts w:hint="eastAsia" w:cs="Times New Roman"/>
                <w:bCs/>
                <w:color w:val="000000" w:themeColor="text1"/>
                <w:sz w:val="24"/>
                <w:lang w:val="en-US" w:eastAsia="zh-CN"/>
                <w14:textFill>
                  <w14:solidFill>
                    <w14:schemeClr w14:val="tx1"/>
                  </w14:solidFill>
                </w14:textFill>
              </w:rPr>
              <w:t>由上表可知，本项目厂界非甲烷总烃浓度满足《关于全省开展工业企业挥发性有机物专项治理工作中排放建议值的通知》中非甲烷总烃厂界浓度2.0mg/m</w:t>
            </w:r>
            <w:r>
              <w:rPr>
                <w:rFonts w:hint="eastAsia" w:cs="Times New Roman"/>
                <w:bCs/>
                <w:color w:val="000000" w:themeColor="text1"/>
                <w:sz w:val="24"/>
                <w:vertAlign w:val="superscript"/>
                <w:lang w:val="en-US" w:eastAsia="zh-CN"/>
                <w14:textFill>
                  <w14:solidFill>
                    <w14:schemeClr w14:val="tx1"/>
                  </w14:solidFill>
                </w14:textFill>
              </w:rPr>
              <w:t>3</w:t>
            </w:r>
            <w:r>
              <w:rPr>
                <w:rFonts w:hint="eastAsia" w:cs="Times New Roman"/>
                <w:bCs/>
                <w:color w:val="000000" w:themeColor="text1"/>
                <w:sz w:val="24"/>
                <w:vertAlign w:val="baseline"/>
                <w:lang w:val="en-US" w:eastAsia="zh-CN"/>
                <w14:textFill>
                  <w14:solidFill>
                    <w14:schemeClr w14:val="tx1"/>
                  </w14:solidFill>
                </w14:textFill>
              </w:rPr>
              <w:t>、非甲烷总烃车间边界处4.0</w:t>
            </w:r>
            <w:r>
              <w:rPr>
                <w:rFonts w:hint="eastAsia" w:cs="Times New Roman"/>
                <w:bCs/>
                <w:color w:val="000000" w:themeColor="text1"/>
                <w:sz w:val="24"/>
                <w:lang w:val="en-US" w:eastAsia="zh-CN"/>
                <w14:textFill>
                  <w14:solidFill>
                    <w14:schemeClr w14:val="tx1"/>
                  </w14:solidFill>
                </w14:textFill>
              </w:rPr>
              <w:t>mg/m</w:t>
            </w:r>
            <w:r>
              <w:rPr>
                <w:rFonts w:hint="eastAsia" w:cs="Times New Roman"/>
                <w:bCs/>
                <w:color w:val="000000" w:themeColor="text1"/>
                <w:sz w:val="24"/>
                <w:vertAlign w:val="superscript"/>
                <w:lang w:val="en-US" w:eastAsia="zh-CN"/>
                <w14:textFill>
                  <w14:solidFill>
                    <w14:schemeClr w14:val="tx1"/>
                  </w14:solidFill>
                </w14:textFill>
              </w:rPr>
              <w:t>3</w:t>
            </w:r>
            <w:r>
              <w:rPr>
                <w:rFonts w:hint="eastAsia" w:cs="Times New Roman"/>
                <w:bCs/>
                <w:color w:val="000000" w:themeColor="text1"/>
                <w:sz w:val="24"/>
                <w:lang w:val="en-US" w:eastAsia="zh-CN"/>
                <w14:textFill>
                  <w14:solidFill>
                    <w14:schemeClr w14:val="tx1"/>
                  </w14:solidFill>
                </w14:textFill>
              </w:rPr>
              <w:t>标准要求。</w:t>
            </w:r>
          </w:p>
          <w:p w14:paraId="022D9105">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cs="Times New Roman"/>
                <w:bCs/>
                <w:color w:val="000000" w:themeColor="text1"/>
                <w:sz w:val="24"/>
                <w:lang w:val="en-US" w:eastAsia="zh-CN"/>
                <w14:textFill>
                  <w14:solidFill>
                    <w14:schemeClr w14:val="tx1"/>
                  </w14:solidFill>
                </w14:textFill>
              </w:rPr>
            </w:pPr>
            <w:r>
              <w:rPr>
                <w:rFonts w:hint="eastAsia" w:cs="Times New Roman"/>
                <w:bCs/>
                <w:color w:val="000000" w:themeColor="text1"/>
                <w:sz w:val="24"/>
                <w:lang w:val="en-US" w:eastAsia="zh-CN"/>
                <w14:textFill>
                  <w14:solidFill>
                    <w14:schemeClr w14:val="tx1"/>
                  </w14:solidFill>
                </w14:textFill>
              </w:rPr>
              <w:t>综上所述本项目有组织、无组织废气均满足排放标准要求，不会对周围环境产生影响。</w:t>
            </w:r>
          </w:p>
          <w:p w14:paraId="063E9F41">
            <w:pPr>
              <w:keepNext w:val="0"/>
              <w:keepLines w:val="0"/>
              <w:suppressLineNumbers w:val="0"/>
              <w:adjustRightInd w:val="0"/>
              <w:snapToGrid w:val="0"/>
              <w:spacing w:before="0" w:beforeAutospacing="0" w:after="0" w:afterAutospacing="0" w:line="440" w:lineRule="exact"/>
              <w:ind w:left="0" w:right="0" w:firstLine="482" w:firstLineChars="200"/>
              <w:rPr>
                <w:rFonts w:hint="eastAsia" w:hAnsi="宋体"/>
                <w:color w:val="auto"/>
                <w:sz w:val="24"/>
                <w:highlight w:val="none"/>
              </w:rPr>
            </w:pPr>
            <w:r>
              <w:rPr>
                <w:rFonts w:hint="eastAsia" w:hAnsi="宋体"/>
                <w:b/>
                <w:bCs/>
                <w:color w:val="auto"/>
                <w:sz w:val="24"/>
                <w:highlight w:val="none"/>
                <w:lang w:val="en-US" w:eastAsia="zh-CN"/>
              </w:rPr>
              <w:t>3、</w:t>
            </w:r>
            <w:r>
              <w:rPr>
                <w:rFonts w:hint="eastAsia" w:hAnsi="宋体"/>
                <w:b/>
                <w:bCs/>
                <w:color w:val="auto"/>
                <w:sz w:val="24"/>
                <w:highlight w:val="none"/>
              </w:rPr>
              <w:t>污染源排放口</w:t>
            </w:r>
            <w:r>
              <w:rPr>
                <w:rFonts w:hint="eastAsia" w:hAnsi="宋体"/>
                <w:b/>
                <w:bCs/>
                <w:color w:val="auto"/>
                <w:sz w:val="24"/>
                <w:highlight w:val="none"/>
                <w:lang w:val="en-US" w:eastAsia="zh-CN"/>
              </w:rPr>
              <w:t>及排放量</w:t>
            </w:r>
            <w:r>
              <w:rPr>
                <w:rFonts w:hint="eastAsia" w:hAnsi="宋体"/>
                <w:b/>
                <w:bCs/>
                <w:color w:val="auto"/>
                <w:sz w:val="24"/>
                <w:highlight w:val="none"/>
              </w:rPr>
              <w:t>情况</w:t>
            </w:r>
          </w:p>
          <w:p w14:paraId="41BF9170">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rPr>
                <w:rFonts w:hint="eastAsia" w:hAnsi="宋体"/>
                <w:b w:val="0"/>
                <w:bCs w:val="0"/>
                <w:color w:val="000000" w:themeColor="text1"/>
                <w:sz w:val="24"/>
                <w:highlight w:val="none"/>
                <w:lang w:val="en-US" w:eastAsia="zh-CN"/>
                <w14:textFill>
                  <w14:solidFill>
                    <w14:schemeClr w14:val="tx1"/>
                  </w14:solidFill>
                </w14:textFill>
              </w:rPr>
            </w:pPr>
            <w:r>
              <w:rPr>
                <w:rFonts w:hint="eastAsia" w:hAnsi="宋体"/>
                <w:color w:val="auto"/>
                <w:sz w:val="24"/>
                <w:highlight w:val="none"/>
                <w:lang w:eastAsia="zh-CN"/>
              </w:rPr>
              <w:t>（</w:t>
            </w:r>
            <w:r>
              <w:rPr>
                <w:rFonts w:hint="eastAsia" w:hAnsi="宋体"/>
                <w:color w:val="auto"/>
                <w:sz w:val="24"/>
                <w:highlight w:val="none"/>
                <w:lang w:val="en-US" w:eastAsia="zh-CN"/>
              </w:rPr>
              <w:t>1</w:t>
            </w:r>
            <w:r>
              <w:rPr>
                <w:rFonts w:hint="eastAsia" w:hAnsi="宋体"/>
                <w:color w:val="auto"/>
                <w:sz w:val="24"/>
                <w:highlight w:val="none"/>
                <w:lang w:eastAsia="zh-CN"/>
              </w:rPr>
              <w:t>）</w:t>
            </w:r>
            <w:r>
              <w:rPr>
                <w:rFonts w:hint="eastAsia" w:hAnsi="宋体"/>
                <w:color w:val="auto"/>
                <w:sz w:val="24"/>
                <w:highlight w:val="none"/>
                <w:lang w:val="en-US" w:eastAsia="zh-CN"/>
              </w:rPr>
              <w:t>本项目污染物排放量情况</w:t>
            </w:r>
          </w:p>
          <w:p w14:paraId="403B387B">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rPr>
                <w:rFonts w:hint="default" w:hAnsi="宋体"/>
                <w:b w:val="0"/>
                <w:bCs w:val="0"/>
                <w:color w:val="000000" w:themeColor="text1"/>
                <w:sz w:val="24"/>
                <w:highlight w:val="none"/>
                <w:lang w:val="en-US" w:eastAsia="zh-CN"/>
                <w14:textFill>
                  <w14:solidFill>
                    <w14:schemeClr w14:val="tx1"/>
                  </w14:solidFill>
                </w14:textFill>
              </w:rPr>
            </w:pPr>
            <w:r>
              <w:rPr>
                <w:rFonts w:hint="eastAsia" w:hAnsi="宋体"/>
                <w:b w:val="0"/>
                <w:bCs w:val="0"/>
                <w:color w:val="000000" w:themeColor="text1"/>
                <w:sz w:val="24"/>
                <w:highlight w:val="none"/>
                <w:lang w:val="en-US" w:eastAsia="zh-CN"/>
                <w14:textFill>
                  <w14:solidFill>
                    <w14:schemeClr w14:val="tx1"/>
                  </w14:solidFill>
                </w14:textFill>
              </w:rPr>
              <w:t>本项目大气污染物排放情况见下表。</w:t>
            </w:r>
          </w:p>
          <w:p w14:paraId="75B7A678">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jc w:val="center"/>
              <w:rPr>
                <w:rFonts w:hint="default" w:hAnsi="宋体"/>
                <w:b/>
                <w:bCs/>
                <w:color w:val="000000" w:themeColor="text1"/>
                <w:sz w:val="24"/>
                <w:highlight w:val="none"/>
                <w:lang w:val="en-US" w:eastAsia="zh-CN"/>
                <w14:textFill>
                  <w14:solidFill>
                    <w14:schemeClr w14:val="tx1"/>
                  </w14:solidFill>
                </w14:textFill>
              </w:rPr>
            </w:pPr>
            <w:r>
              <w:rPr>
                <w:rFonts w:hint="eastAsia" w:hAnsi="宋体"/>
                <w:b/>
                <w:bCs/>
                <w:color w:val="000000" w:themeColor="text1"/>
                <w:sz w:val="24"/>
                <w:highlight w:val="none"/>
                <w:lang w:val="en-US" w:eastAsia="zh-CN"/>
                <w14:textFill>
                  <w14:solidFill>
                    <w14:schemeClr w14:val="tx1"/>
                  </w14:solidFill>
                </w14:textFill>
              </w:rPr>
              <w:t>表23  本项目大气污染物排放一览表</w:t>
            </w:r>
          </w:p>
          <w:tbl>
            <w:tblPr>
              <w:tblStyle w:val="23"/>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54"/>
              <w:gridCol w:w="2154"/>
              <w:gridCol w:w="2154"/>
              <w:gridCol w:w="2154"/>
            </w:tblGrid>
            <w:tr w14:paraId="2B7874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54" w:type="dxa"/>
                  <w:tcBorders>
                    <w:top w:val="single" w:color="auto" w:sz="8" w:space="0"/>
                    <w:bottom w:val="single" w:color="auto" w:sz="8" w:space="0"/>
                  </w:tcBorders>
                  <w:vAlign w:val="center"/>
                </w:tcPr>
                <w:p w14:paraId="146B605F">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t>污染物</w:t>
                  </w:r>
                </w:p>
              </w:tc>
              <w:tc>
                <w:tcPr>
                  <w:tcW w:w="2154" w:type="dxa"/>
                  <w:tcBorders>
                    <w:top w:val="single" w:color="auto" w:sz="8" w:space="0"/>
                    <w:bottom w:val="single" w:color="auto" w:sz="8" w:space="0"/>
                  </w:tcBorders>
                  <w:vAlign w:val="center"/>
                </w:tcPr>
                <w:p w14:paraId="533D1B30">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t>有组织排放量t/a</w:t>
                  </w:r>
                </w:p>
              </w:tc>
              <w:tc>
                <w:tcPr>
                  <w:tcW w:w="2154" w:type="dxa"/>
                  <w:tcBorders>
                    <w:top w:val="single" w:color="auto" w:sz="8" w:space="0"/>
                    <w:bottom w:val="single" w:color="auto" w:sz="8" w:space="0"/>
                  </w:tcBorders>
                  <w:vAlign w:val="center"/>
                </w:tcPr>
                <w:p w14:paraId="5F776CB0">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t>无组织排放量t/a</w:t>
                  </w:r>
                </w:p>
              </w:tc>
              <w:tc>
                <w:tcPr>
                  <w:tcW w:w="2154" w:type="dxa"/>
                  <w:tcBorders>
                    <w:top w:val="single" w:color="auto" w:sz="8" w:space="0"/>
                    <w:bottom w:val="single" w:color="auto" w:sz="8" w:space="0"/>
                  </w:tcBorders>
                  <w:vAlign w:val="center"/>
                </w:tcPr>
                <w:p w14:paraId="5687668B">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1"/>
                      <w:szCs w:val="21"/>
                      <w:highlight w:val="none"/>
                      <w:vertAlign w:val="baseline"/>
                      <w:lang w:val="en-US" w:eastAsia="zh-CN"/>
                      <w14:textFill>
                        <w14:solidFill>
                          <w14:schemeClr w14:val="tx1"/>
                        </w14:solidFill>
                      </w14:textFill>
                    </w:rPr>
                    <w:t>总计t/a</w:t>
                  </w:r>
                </w:p>
              </w:tc>
            </w:tr>
            <w:tr w14:paraId="23E060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54" w:type="dxa"/>
                  <w:tcBorders>
                    <w:top w:val="single" w:color="auto" w:sz="8" w:space="0"/>
                    <w:bottom w:val="single" w:color="auto" w:sz="8" w:space="0"/>
                  </w:tcBorders>
                  <w:vAlign w:val="center"/>
                </w:tcPr>
                <w:p w14:paraId="5D496BF0">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非甲烷总烃</w:t>
                  </w:r>
                </w:p>
              </w:tc>
              <w:tc>
                <w:tcPr>
                  <w:tcW w:w="2154" w:type="dxa"/>
                  <w:tcBorders>
                    <w:top w:val="single" w:color="auto" w:sz="8" w:space="0"/>
                    <w:bottom w:val="single" w:color="auto" w:sz="8" w:space="0"/>
                  </w:tcBorders>
                  <w:vAlign w:val="center"/>
                </w:tcPr>
                <w:p w14:paraId="6BC9E431">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0.1187</w:t>
                  </w:r>
                </w:p>
              </w:tc>
              <w:tc>
                <w:tcPr>
                  <w:tcW w:w="2154" w:type="dxa"/>
                  <w:tcBorders>
                    <w:top w:val="single" w:color="auto" w:sz="8" w:space="0"/>
                    <w:bottom w:val="single" w:color="auto" w:sz="8" w:space="0"/>
                  </w:tcBorders>
                  <w:vAlign w:val="center"/>
                </w:tcPr>
                <w:p w14:paraId="36B05204">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0.1012</w:t>
                  </w:r>
                </w:p>
              </w:tc>
              <w:tc>
                <w:tcPr>
                  <w:tcW w:w="2154" w:type="dxa"/>
                  <w:tcBorders>
                    <w:top w:val="single" w:color="auto" w:sz="8" w:space="0"/>
                    <w:bottom w:val="single" w:color="auto" w:sz="8" w:space="0"/>
                  </w:tcBorders>
                  <w:vAlign w:val="center"/>
                </w:tcPr>
                <w:p w14:paraId="0132AEDC">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eastAsiaTheme="minorEastAsia"/>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val="0"/>
                      <w:color w:val="000000" w:themeColor="text1"/>
                      <w:sz w:val="21"/>
                      <w:szCs w:val="21"/>
                      <w:highlight w:val="none"/>
                      <w:vertAlign w:val="baseline"/>
                      <w:lang w:val="en-US" w:eastAsia="zh-CN"/>
                      <w14:textFill>
                        <w14:solidFill>
                          <w14:schemeClr w14:val="tx1"/>
                        </w14:solidFill>
                      </w14:textFill>
                    </w:rPr>
                    <w:t>0.2199</w:t>
                  </w:r>
                </w:p>
              </w:tc>
            </w:tr>
          </w:tbl>
          <w:p w14:paraId="6FD0F3DF">
            <w:pPr>
              <w:keepNext w:val="0"/>
              <w:keepLines w:val="0"/>
              <w:suppressLineNumbers w:val="0"/>
              <w:adjustRightInd w:val="0"/>
              <w:snapToGrid w:val="0"/>
              <w:spacing w:before="0" w:beforeAutospacing="0" w:after="0" w:afterAutospacing="0" w:line="440" w:lineRule="exact"/>
              <w:ind w:left="0" w:right="0" w:firstLine="480" w:firstLineChars="200"/>
              <w:rPr>
                <w:rFonts w:hint="default" w:hAnsi="宋体" w:eastAsia="宋体"/>
                <w:color w:val="auto"/>
                <w:sz w:val="24"/>
                <w:highlight w:val="none"/>
                <w:lang w:val="en-US" w:eastAsia="zh-CN"/>
              </w:rPr>
            </w:pPr>
            <w:r>
              <w:rPr>
                <w:rFonts w:hint="eastAsia" w:hAnsi="宋体"/>
                <w:color w:val="auto"/>
                <w:sz w:val="24"/>
                <w:highlight w:val="none"/>
                <w:lang w:eastAsia="zh-CN"/>
              </w:rPr>
              <w:t>（</w:t>
            </w:r>
            <w:r>
              <w:rPr>
                <w:rFonts w:hint="eastAsia" w:hAnsi="宋体"/>
                <w:color w:val="auto"/>
                <w:sz w:val="24"/>
                <w:highlight w:val="none"/>
                <w:lang w:val="en-US" w:eastAsia="zh-CN"/>
              </w:rPr>
              <w:t>2</w:t>
            </w:r>
            <w:r>
              <w:rPr>
                <w:rFonts w:hint="eastAsia" w:hAnsi="宋体"/>
                <w:color w:val="auto"/>
                <w:sz w:val="24"/>
                <w:highlight w:val="none"/>
                <w:lang w:eastAsia="zh-CN"/>
              </w:rPr>
              <w:t>）</w:t>
            </w:r>
            <w:r>
              <w:rPr>
                <w:rFonts w:hint="eastAsia" w:hAnsi="宋体"/>
                <w:color w:val="auto"/>
                <w:sz w:val="24"/>
                <w:highlight w:val="none"/>
                <w:lang w:val="en-US" w:eastAsia="zh-CN"/>
              </w:rPr>
              <w:t>本项目污染源排放口情况</w:t>
            </w:r>
          </w:p>
          <w:p w14:paraId="0D0FB121">
            <w:pPr>
              <w:keepNext w:val="0"/>
              <w:keepLines w:val="0"/>
              <w:suppressLineNumbers w:val="0"/>
              <w:adjustRightInd w:val="0"/>
              <w:snapToGrid w:val="0"/>
              <w:spacing w:before="0" w:beforeAutospacing="0" w:after="0" w:afterAutospacing="0" w:line="440" w:lineRule="exact"/>
              <w:ind w:left="0" w:right="0" w:firstLine="480" w:firstLineChars="200"/>
              <w:rPr>
                <w:rFonts w:hint="eastAsia" w:hAnsi="宋体"/>
                <w:color w:val="auto"/>
                <w:sz w:val="24"/>
                <w:highlight w:val="none"/>
              </w:rPr>
            </w:pPr>
            <w:r>
              <w:rPr>
                <w:rFonts w:hint="eastAsia" w:hAnsi="宋体"/>
                <w:color w:val="auto"/>
                <w:sz w:val="24"/>
                <w:highlight w:val="none"/>
              </w:rPr>
              <w:t>本项目有组织排放口基本情况见下表。</w:t>
            </w:r>
          </w:p>
          <w:p w14:paraId="03619CFA">
            <w:pPr>
              <w:keepNext w:val="0"/>
              <w:keepLines w:val="0"/>
              <w:suppressLineNumbers w:val="0"/>
              <w:adjustRightInd w:val="0"/>
              <w:snapToGrid w:val="0"/>
              <w:spacing w:before="0" w:beforeAutospacing="0" w:after="0" w:afterAutospacing="0" w:line="440" w:lineRule="exact"/>
              <w:ind w:left="0" w:right="0"/>
              <w:jc w:val="center"/>
              <w:rPr>
                <w:rFonts w:hint="default" w:hAnsi="宋体" w:eastAsia="宋体"/>
                <w:color w:val="000000" w:themeColor="text1"/>
                <w:sz w:val="24"/>
                <w:highlight w:val="none"/>
                <w:lang w:val="en-US" w:eastAsia="zh-CN"/>
                <w14:textFill>
                  <w14:solidFill>
                    <w14:schemeClr w14:val="tx1"/>
                  </w14:solidFill>
                </w14:textFill>
              </w:rPr>
            </w:pPr>
            <w:r>
              <w:rPr>
                <w:rFonts w:hint="eastAsia" w:hAnsi="宋体"/>
                <w:b/>
                <w:bCs/>
                <w:color w:val="000000" w:themeColor="text1"/>
                <w:sz w:val="24"/>
                <w:highlight w:val="none"/>
                <w:lang w:val="en-US" w:eastAsia="zh-CN"/>
                <w14:textFill>
                  <w14:solidFill>
                    <w14:schemeClr w14:val="tx1"/>
                  </w14:solidFill>
                </w14:textFill>
              </w:rPr>
              <w:t>表24  本项目有组织排放源基本情况</w:t>
            </w:r>
          </w:p>
          <w:tbl>
            <w:tblPr>
              <w:tblStyle w:val="23"/>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4" w:space="0"/>
              </w:tblBorders>
              <w:shd w:val="clear" w:color="auto" w:fill="auto"/>
              <w:tblLayout w:type="fixed"/>
              <w:tblCellMar>
                <w:top w:w="0" w:type="dxa"/>
                <w:left w:w="108" w:type="dxa"/>
                <w:bottom w:w="0" w:type="dxa"/>
                <w:right w:w="108" w:type="dxa"/>
              </w:tblCellMar>
            </w:tblPr>
            <w:tblGrid>
              <w:gridCol w:w="415"/>
              <w:gridCol w:w="433"/>
              <w:gridCol w:w="885"/>
              <w:gridCol w:w="795"/>
              <w:gridCol w:w="705"/>
              <w:gridCol w:w="705"/>
              <w:gridCol w:w="435"/>
              <w:gridCol w:w="661"/>
              <w:gridCol w:w="690"/>
              <w:gridCol w:w="2892"/>
            </w:tblGrid>
            <w:tr w14:paraId="04AF6F1C">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240" w:type="pct"/>
                  <w:vMerge w:val="restart"/>
                  <w:tcBorders>
                    <w:tl2br w:val="nil"/>
                    <w:tr2bl w:val="nil"/>
                  </w:tcBorders>
                  <w:shd w:val="clear" w:color="auto" w:fill="auto"/>
                  <w:noWrap w:val="0"/>
                  <w:vAlign w:val="center"/>
                </w:tcPr>
                <w:p w14:paraId="59DA8805">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r>
                    <w:rPr>
                      <w:rFonts w:hint="default"/>
                      <w:b/>
                      <w:color w:val="auto"/>
                      <w:sz w:val="21"/>
                      <w:szCs w:val="21"/>
                    </w:rPr>
                    <w:t>编号</w:t>
                  </w:r>
                </w:p>
              </w:tc>
              <w:tc>
                <w:tcPr>
                  <w:tcW w:w="251" w:type="pct"/>
                  <w:vMerge w:val="restart"/>
                  <w:tcBorders>
                    <w:tl2br w:val="nil"/>
                    <w:tr2bl w:val="nil"/>
                  </w:tcBorders>
                  <w:shd w:val="clear" w:color="auto" w:fill="auto"/>
                  <w:noWrap w:val="0"/>
                  <w:vAlign w:val="center"/>
                </w:tcPr>
                <w:p w14:paraId="5BC4314C">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r>
                    <w:rPr>
                      <w:rFonts w:hint="default"/>
                      <w:b/>
                      <w:color w:val="auto"/>
                      <w:sz w:val="21"/>
                      <w:szCs w:val="21"/>
                    </w:rPr>
                    <w:t>名称</w:t>
                  </w:r>
                </w:p>
              </w:tc>
              <w:tc>
                <w:tcPr>
                  <w:tcW w:w="974" w:type="pct"/>
                  <w:gridSpan w:val="2"/>
                  <w:tcBorders>
                    <w:bottom w:val="single" w:color="auto" w:sz="4" w:space="0"/>
                  </w:tcBorders>
                  <w:shd w:val="clear" w:color="auto" w:fill="auto"/>
                  <w:noWrap w:val="0"/>
                  <w:vAlign w:val="center"/>
                </w:tcPr>
                <w:p w14:paraId="0655635B">
                  <w:pPr>
                    <w:keepNext w:val="0"/>
                    <w:keepLines w:val="0"/>
                    <w:suppressLineNumbers w:val="0"/>
                    <w:adjustRightInd w:val="0"/>
                    <w:snapToGrid w:val="0"/>
                    <w:spacing w:before="0" w:beforeAutospacing="0" w:after="0" w:afterAutospacing="0"/>
                    <w:ind w:left="0" w:right="0"/>
                    <w:jc w:val="center"/>
                    <w:rPr>
                      <w:rFonts w:hint="default"/>
                      <w:b/>
                      <w:color w:val="auto"/>
                      <w:sz w:val="21"/>
                      <w:szCs w:val="21"/>
                    </w:rPr>
                  </w:pPr>
                  <w:r>
                    <w:rPr>
                      <w:rFonts w:hint="default"/>
                      <w:b/>
                      <w:color w:val="auto"/>
                      <w:sz w:val="21"/>
                      <w:szCs w:val="21"/>
                    </w:rPr>
                    <w:t>排气筒底部</w:t>
                  </w:r>
                </w:p>
                <w:p w14:paraId="12052E1C">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r>
                    <w:rPr>
                      <w:rFonts w:hint="default"/>
                      <w:b/>
                      <w:color w:val="auto"/>
                      <w:sz w:val="21"/>
                      <w:szCs w:val="21"/>
                    </w:rPr>
                    <w:t>中心坐标</w:t>
                  </w:r>
                </w:p>
              </w:tc>
              <w:tc>
                <w:tcPr>
                  <w:tcW w:w="409" w:type="pct"/>
                  <w:vMerge w:val="restart"/>
                  <w:tcBorders>
                    <w:tl2br w:val="nil"/>
                    <w:tr2bl w:val="nil"/>
                  </w:tcBorders>
                  <w:shd w:val="clear" w:color="auto" w:fill="auto"/>
                  <w:noWrap w:val="0"/>
                  <w:vAlign w:val="center"/>
                </w:tcPr>
                <w:p w14:paraId="09478C6E">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r>
                    <w:rPr>
                      <w:rFonts w:hint="default"/>
                      <w:b/>
                      <w:color w:val="auto"/>
                      <w:sz w:val="21"/>
                      <w:szCs w:val="21"/>
                    </w:rPr>
                    <w:t>排气筒高度/m</w:t>
                  </w:r>
                </w:p>
              </w:tc>
              <w:tc>
                <w:tcPr>
                  <w:tcW w:w="409" w:type="pct"/>
                  <w:vMerge w:val="restart"/>
                  <w:tcBorders>
                    <w:tl2br w:val="nil"/>
                    <w:tr2bl w:val="nil"/>
                  </w:tcBorders>
                  <w:shd w:val="clear" w:color="auto" w:fill="auto"/>
                  <w:noWrap w:val="0"/>
                  <w:vAlign w:val="center"/>
                </w:tcPr>
                <w:p w14:paraId="51E1379B">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r>
                    <w:rPr>
                      <w:rFonts w:hint="default"/>
                      <w:b/>
                      <w:color w:val="auto"/>
                      <w:sz w:val="21"/>
                      <w:szCs w:val="21"/>
                    </w:rPr>
                    <w:t>出口内径/m</w:t>
                  </w:r>
                </w:p>
              </w:tc>
              <w:tc>
                <w:tcPr>
                  <w:tcW w:w="252" w:type="pct"/>
                  <w:vMerge w:val="restart"/>
                  <w:tcBorders>
                    <w:tl2br w:val="nil"/>
                    <w:tr2bl w:val="nil"/>
                  </w:tcBorders>
                  <w:shd w:val="clear" w:color="auto" w:fill="auto"/>
                  <w:noWrap w:val="0"/>
                  <w:vAlign w:val="center"/>
                </w:tcPr>
                <w:p w14:paraId="41766A3A">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r>
                    <w:rPr>
                      <w:rFonts w:hint="eastAsia"/>
                      <w:b/>
                      <w:color w:val="auto"/>
                      <w:sz w:val="21"/>
                      <w:szCs w:val="21"/>
                    </w:rPr>
                    <w:t>类型</w:t>
                  </w:r>
                </w:p>
              </w:tc>
              <w:tc>
                <w:tcPr>
                  <w:tcW w:w="383" w:type="pct"/>
                  <w:vMerge w:val="restart"/>
                  <w:tcBorders>
                    <w:tl2br w:val="nil"/>
                    <w:tr2bl w:val="nil"/>
                  </w:tcBorders>
                  <w:shd w:val="clear" w:color="auto" w:fill="auto"/>
                  <w:noWrap w:val="0"/>
                  <w:vAlign w:val="center"/>
                </w:tcPr>
                <w:p w14:paraId="27FE6302">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r>
                    <w:rPr>
                      <w:rFonts w:hint="default"/>
                      <w:b/>
                      <w:color w:val="auto"/>
                      <w:sz w:val="21"/>
                      <w:szCs w:val="21"/>
                    </w:rPr>
                    <w:t>烟气温度</w:t>
                  </w:r>
                  <w:r>
                    <w:rPr>
                      <w:rFonts w:hint="default" w:ascii="Times New Roman" w:hAnsi="Times New Roman" w:cs="Times New Roman"/>
                      <w:b/>
                      <w:color w:val="auto"/>
                      <w:sz w:val="21"/>
                      <w:szCs w:val="21"/>
                    </w:rPr>
                    <w:t>/℃</w:t>
                  </w:r>
                </w:p>
              </w:tc>
              <w:tc>
                <w:tcPr>
                  <w:tcW w:w="400" w:type="pct"/>
                  <w:vMerge w:val="restart"/>
                  <w:tcBorders>
                    <w:tl2br w:val="nil"/>
                    <w:tr2bl w:val="nil"/>
                  </w:tcBorders>
                  <w:shd w:val="clear" w:color="auto" w:fill="auto"/>
                  <w:noWrap w:val="0"/>
                  <w:vAlign w:val="center"/>
                </w:tcPr>
                <w:p w14:paraId="0D0F426E">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r>
                    <w:rPr>
                      <w:rFonts w:hint="default"/>
                      <w:b/>
                      <w:color w:val="auto"/>
                      <w:sz w:val="21"/>
                      <w:szCs w:val="21"/>
                    </w:rPr>
                    <w:t>排放污染物</w:t>
                  </w:r>
                </w:p>
              </w:tc>
              <w:tc>
                <w:tcPr>
                  <w:tcW w:w="1678" w:type="pct"/>
                  <w:vMerge w:val="restart"/>
                  <w:tcBorders>
                    <w:tl2br w:val="nil"/>
                    <w:tr2bl w:val="nil"/>
                  </w:tcBorders>
                  <w:shd w:val="clear" w:color="auto" w:fill="auto"/>
                  <w:noWrap w:val="0"/>
                  <w:vAlign w:val="center"/>
                </w:tcPr>
                <w:p w14:paraId="09DD2101">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r>
                    <w:rPr>
                      <w:rFonts w:hint="default"/>
                      <w:b/>
                      <w:color w:val="auto"/>
                      <w:sz w:val="21"/>
                      <w:szCs w:val="21"/>
                    </w:rPr>
                    <w:t>执行标准</w:t>
                  </w:r>
                </w:p>
              </w:tc>
            </w:tr>
            <w:tr w14:paraId="000996C8">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240" w:type="pct"/>
                  <w:vMerge w:val="continue"/>
                  <w:tcBorders>
                    <w:tl2br w:val="nil"/>
                    <w:tr2bl w:val="nil"/>
                  </w:tcBorders>
                  <w:shd w:val="clear" w:color="auto" w:fill="auto"/>
                  <w:noWrap w:val="0"/>
                  <w:vAlign w:val="center"/>
                </w:tcPr>
                <w:p w14:paraId="560F7040">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p>
              </w:tc>
              <w:tc>
                <w:tcPr>
                  <w:tcW w:w="251" w:type="pct"/>
                  <w:vMerge w:val="continue"/>
                  <w:tcBorders>
                    <w:tl2br w:val="nil"/>
                    <w:tr2bl w:val="nil"/>
                  </w:tcBorders>
                  <w:shd w:val="clear" w:color="auto" w:fill="auto"/>
                  <w:noWrap w:val="0"/>
                  <w:vAlign w:val="center"/>
                </w:tcPr>
                <w:p w14:paraId="39225710">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p>
              </w:tc>
              <w:tc>
                <w:tcPr>
                  <w:tcW w:w="513" w:type="pct"/>
                  <w:tcBorders>
                    <w:top w:val="single" w:color="auto" w:sz="4" w:space="0"/>
                  </w:tcBorders>
                  <w:shd w:val="clear" w:color="auto" w:fill="auto"/>
                  <w:noWrap w:val="0"/>
                  <w:vAlign w:val="center"/>
                </w:tcPr>
                <w:p w14:paraId="77742C10">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r>
                    <w:rPr>
                      <w:rFonts w:hint="default"/>
                      <w:b/>
                      <w:color w:val="auto"/>
                      <w:sz w:val="21"/>
                      <w:szCs w:val="21"/>
                    </w:rPr>
                    <w:t>X</w:t>
                  </w:r>
                </w:p>
              </w:tc>
              <w:tc>
                <w:tcPr>
                  <w:tcW w:w="461" w:type="pct"/>
                  <w:tcBorders>
                    <w:top w:val="single" w:color="auto" w:sz="4" w:space="0"/>
                  </w:tcBorders>
                  <w:shd w:val="clear" w:color="auto" w:fill="auto"/>
                  <w:noWrap w:val="0"/>
                  <w:vAlign w:val="center"/>
                </w:tcPr>
                <w:p w14:paraId="5CCB83CF">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r>
                    <w:rPr>
                      <w:rFonts w:hint="default"/>
                      <w:b/>
                      <w:color w:val="auto"/>
                      <w:sz w:val="21"/>
                      <w:szCs w:val="21"/>
                    </w:rPr>
                    <w:t>Y</w:t>
                  </w:r>
                </w:p>
              </w:tc>
              <w:tc>
                <w:tcPr>
                  <w:tcW w:w="409" w:type="pct"/>
                  <w:vMerge w:val="continue"/>
                  <w:tcBorders>
                    <w:tl2br w:val="nil"/>
                    <w:tr2bl w:val="nil"/>
                  </w:tcBorders>
                  <w:shd w:val="clear" w:color="auto" w:fill="auto"/>
                  <w:noWrap w:val="0"/>
                  <w:vAlign w:val="center"/>
                </w:tcPr>
                <w:p w14:paraId="4BCE4C88">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p>
              </w:tc>
              <w:tc>
                <w:tcPr>
                  <w:tcW w:w="409" w:type="pct"/>
                  <w:vMerge w:val="continue"/>
                  <w:tcBorders>
                    <w:tl2br w:val="nil"/>
                    <w:tr2bl w:val="nil"/>
                  </w:tcBorders>
                  <w:shd w:val="clear" w:color="auto" w:fill="auto"/>
                  <w:noWrap w:val="0"/>
                  <w:vAlign w:val="center"/>
                </w:tcPr>
                <w:p w14:paraId="6B9E5601">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p>
              </w:tc>
              <w:tc>
                <w:tcPr>
                  <w:tcW w:w="252" w:type="pct"/>
                  <w:vMerge w:val="continue"/>
                  <w:tcBorders>
                    <w:tl2br w:val="nil"/>
                    <w:tr2bl w:val="nil"/>
                  </w:tcBorders>
                  <w:shd w:val="clear" w:color="auto" w:fill="auto"/>
                  <w:noWrap w:val="0"/>
                  <w:vAlign w:val="center"/>
                </w:tcPr>
                <w:p w14:paraId="4A0B9AA0">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p>
              </w:tc>
              <w:tc>
                <w:tcPr>
                  <w:tcW w:w="383" w:type="pct"/>
                  <w:vMerge w:val="continue"/>
                  <w:tcBorders>
                    <w:tl2br w:val="nil"/>
                    <w:tr2bl w:val="nil"/>
                  </w:tcBorders>
                  <w:shd w:val="clear" w:color="auto" w:fill="auto"/>
                  <w:noWrap w:val="0"/>
                  <w:vAlign w:val="center"/>
                </w:tcPr>
                <w:p w14:paraId="40AC5664">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p>
              </w:tc>
              <w:tc>
                <w:tcPr>
                  <w:tcW w:w="400" w:type="pct"/>
                  <w:vMerge w:val="continue"/>
                  <w:tcBorders>
                    <w:tl2br w:val="nil"/>
                    <w:tr2bl w:val="nil"/>
                  </w:tcBorders>
                  <w:shd w:val="clear" w:color="auto" w:fill="auto"/>
                  <w:noWrap w:val="0"/>
                  <w:vAlign w:val="center"/>
                </w:tcPr>
                <w:p w14:paraId="28CB838D">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p>
              </w:tc>
              <w:tc>
                <w:tcPr>
                  <w:tcW w:w="1678" w:type="pct"/>
                  <w:vMerge w:val="continue"/>
                  <w:tcBorders>
                    <w:tl2br w:val="nil"/>
                    <w:tr2bl w:val="nil"/>
                  </w:tcBorders>
                  <w:shd w:val="clear" w:color="auto" w:fill="auto"/>
                  <w:noWrap w:val="0"/>
                  <w:vAlign w:val="center"/>
                </w:tcPr>
                <w:p w14:paraId="62A54B98">
                  <w:pPr>
                    <w:keepNext w:val="0"/>
                    <w:keepLines w:val="0"/>
                    <w:suppressLineNumbers w:val="0"/>
                    <w:adjustRightInd w:val="0"/>
                    <w:snapToGrid w:val="0"/>
                    <w:spacing w:before="0" w:beforeAutospacing="0" w:after="0" w:afterAutospacing="0"/>
                    <w:ind w:left="0" w:right="0"/>
                    <w:jc w:val="center"/>
                    <w:rPr>
                      <w:rFonts w:hint="eastAsia"/>
                      <w:b/>
                      <w:color w:val="auto"/>
                      <w:sz w:val="21"/>
                      <w:szCs w:val="21"/>
                    </w:rPr>
                  </w:pPr>
                </w:p>
              </w:tc>
            </w:tr>
            <w:tr w14:paraId="63B95B80">
              <w:tblPrEx>
                <w:tblBorders>
                  <w:top w:val="single" w:color="auto" w:sz="8" w:space="0"/>
                  <w:left w:val="none" w:color="auto" w:sz="0" w:space="0"/>
                  <w:bottom w:val="single" w:color="auto" w:sz="8" w:space="0"/>
                  <w:right w:val="none" w:color="auto" w:sz="0" w:space="0"/>
                  <w:insideH w:val="single" w:color="auto" w:sz="8" w:space="0"/>
                  <w:insideV w:val="single" w:color="auto" w:sz="4" w:space="0"/>
                </w:tblBorders>
                <w:shd w:val="clear" w:color="auto" w:fill="auto"/>
              </w:tblPrEx>
              <w:trPr>
                <w:trHeight w:val="397" w:hRule="atLeast"/>
                <w:jc w:val="center"/>
              </w:trPr>
              <w:tc>
                <w:tcPr>
                  <w:tcW w:w="240" w:type="pct"/>
                  <w:tcBorders>
                    <w:bottom w:val="single" w:color="auto" w:sz="8" w:space="0"/>
                  </w:tcBorders>
                  <w:shd w:val="clear" w:color="auto" w:fill="auto"/>
                  <w:noWrap w:val="0"/>
                  <w:vAlign w:val="center"/>
                </w:tcPr>
                <w:p w14:paraId="556AF570">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lang w:val="en-US" w:eastAsia="zh-CN"/>
                    </w:rPr>
                  </w:pPr>
                  <w:r>
                    <w:rPr>
                      <w:rFonts w:hint="eastAsia"/>
                      <w:color w:val="auto"/>
                      <w:sz w:val="21"/>
                      <w:szCs w:val="21"/>
                      <w:lang w:val="en-US" w:eastAsia="zh-CN"/>
                    </w:rPr>
                    <w:t>DA001</w:t>
                  </w:r>
                </w:p>
              </w:tc>
              <w:tc>
                <w:tcPr>
                  <w:tcW w:w="251" w:type="pct"/>
                  <w:tcBorders>
                    <w:bottom w:val="single" w:color="auto" w:sz="8" w:space="0"/>
                  </w:tcBorders>
                  <w:shd w:val="clear" w:color="auto" w:fill="auto"/>
                  <w:noWrap w:val="0"/>
                  <w:vAlign w:val="center"/>
                </w:tcPr>
                <w:p w14:paraId="4E814CD7">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lang w:val="en-US" w:eastAsia="zh-CN"/>
                    </w:rPr>
                  </w:pPr>
                  <w:r>
                    <w:rPr>
                      <w:rFonts w:hint="eastAsia"/>
                      <w:color w:val="auto"/>
                      <w:sz w:val="21"/>
                      <w:szCs w:val="21"/>
                      <w:lang w:val="en-US" w:eastAsia="zh-CN"/>
                    </w:rPr>
                    <w:t>废气排放口1</w:t>
                  </w:r>
                </w:p>
              </w:tc>
              <w:tc>
                <w:tcPr>
                  <w:tcW w:w="513" w:type="pct"/>
                  <w:tcBorders>
                    <w:bottom w:val="single" w:color="auto" w:sz="8" w:space="0"/>
                  </w:tcBorders>
                  <w:shd w:val="clear" w:color="auto" w:fill="auto"/>
                  <w:noWrap w:val="0"/>
                  <w:vAlign w:val="center"/>
                </w:tcPr>
                <w:p w14:paraId="1D2A3373">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113</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48</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28.48</w:t>
                  </w:r>
                  <w:r>
                    <w:rPr>
                      <w:rFonts w:hint="default" w:ascii="Times New Roman" w:hAnsi="Times New Roman" w:cs="Times New Roman"/>
                      <w:color w:val="auto"/>
                      <w:sz w:val="21"/>
                      <w:szCs w:val="21"/>
                      <w:highlight w:val="none"/>
                    </w:rPr>
                    <w:t>″</w:t>
                  </w:r>
                </w:p>
              </w:tc>
              <w:tc>
                <w:tcPr>
                  <w:tcW w:w="461" w:type="pct"/>
                  <w:tcBorders>
                    <w:bottom w:val="single" w:color="auto" w:sz="8" w:space="0"/>
                  </w:tcBorders>
                  <w:shd w:val="clear" w:color="auto" w:fill="auto"/>
                  <w:noWrap w:val="0"/>
                  <w:vAlign w:val="center"/>
                </w:tcPr>
                <w:p w14:paraId="07906863">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w:t>
                  </w:r>
                  <w:r>
                    <w:rPr>
                      <w:rFonts w:hint="eastAsia" w:cs="Times New Roman"/>
                      <w:color w:val="auto"/>
                      <w:sz w:val="21"/>
                      <w:szCs w:val="21"/>
                      <w:highlight w:val="none"/>
                      <w:lang w:val="en-US" w:eastAsia="zh-CN"/>
                    </w:rPr>
                    <w:t>7</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29.29</w:t>
                  </w:r>
                  <w:r>
                    <w:rPr>
                      <w:rFonts w:hint="default" w:ascii="Times New Roman" w:hAnsi="Times New Roman" w:cs="Times New Roman"/>
                      <w:color w:val="auto"/>
                      <w:sz w:val="21"/>
                      <w:szCs w:val="21"/>
                      <w:highlight w:val="none"/>
                    </w:rPr>
                    <w:t>″</w:t>
                  </w:r>
                </w:p>
              </w:tc>
              <w:tc>
                <w:tcPr>
                  <w:tcW w:w="409" w:type="pct"/>
                  <w:tcBorders>
                    <w:bottom w:val="single" w:color="auto" w:sz="8" w:space="0"/>
                  </w:tcBorders>
                  <w:shd w:val="clear" w:color="auto" w:fill="auto"/>
                  <w:noWrap w:val="0"/>
                  <w:vAlign w:val="center"/>
                </w:tcPr>
                <w:p w14:paraId="56C8535B">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yellow"/>
                    </w:rPr>
                  </w:pPr>
                  <w:r>
                    <w:rPr>
                      <w:rFonts w:hint="default"/>
                      <w:color w:val="auto"/>
                      <w:sz w:val="21"/>
                      <w:szCs w:val="21"/>
                      <w:highlight w:val="none"/>
                    </w:rPr>
                    <w:t>15</w:t>
                  </w:r>
                </w:p>
              </w:tc>
              <w:tc>
                <w:tcPr>
                  <w:tcW w:w="409" w:type="pct"/>
                  <w:tcBorders>
                    <w:bottom w:val="single" w:color="auto" w:sz="8" w:space="0"/>
                  </w:tcBorders>
                  <w:shd w:val="clear" w:color="auto" w:fill="auto"/>
                  <w:noWrap w:val="0"/>
                  <w:vAlign w:val="center"/>
                </w:tcPr>
                <w:p w14:paraId="01869B27">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yellow"/>
                      <w:lang w:val="en-US" w:eastAsia="zh-CN"/>
                    </w:rPr>
                  </w:pPr>
                  <w:r>
                    <w:rPr>
                      <w:rFonts w:hint="eastAsia"/>
                      <w:color w:val="auto"/>
                      <w:sz w:val="21"/>
                      <w:szCs w:val="21"/>
                      <w:highlight w:val="none"/>
                      <w:lang w:val="en-US" w:eastAsia="zh-CN"/>
                    </w:rPr>
                    <w:t>0.3</w:t>
                  </w:r>
                </w:p>
              </w:tc>
              <w:tc>
                <w:tcPr>
                  <w:tcW w:w="252" w:type="pct"/>
                  <w:tcBorders>
                    <w:bottom w:val="single" w:color="auto" w:sz="8" w:space="0"/>
                  </w:tcBorders>
                  <w:shd w:val="clear" w:color="auto" w:fill="auto"/>
                  <w:noWrap w:val="0"/>
                  <w:vAlign w:val="center"/>
                </w:tcPr>
                <w:p w14:paraId="5A0D5DD9">
                  <w:pPr>
                    <w:keepNext w:val="0"/>
                    <w:keepLines w:val="0"/>
                    <w:suppressLineNumbers w:val="0"/>
                    <w:adjustRightInd w:val="0"/>
                    <w:snapToGrid w:val="0"/>
                    <w:spacing w:before="0" w:beforeAutospacing="0" w:after="0" w:afterAutospacing="0"/>
                    <w:ind w:left="0" w:right="0"/>
                    <w:jc w:val="center"/>
                    <w:rPr>
                      <w:rFonts w:hint="eastAsia"/>
                      <w:color w:val="auto"/>
                      <w:sz w:val="21"/>
                      <w:szCs w:val="21"/>
                      <w:highlight w:val="yellow"/>
                    </w:rPr>
                  </w:pPr>
                  <w:r>
                    <w:rPr>
                      <w:rFonts w:hint="eastAsia"/>
                      <w:color w:val="auto"/>
                      <w:sz w:val="21"/>
                      <w:szCs w:val="21"/>
                      <w:highlight w:val="none"/>
                    </w:rPr>
                    <w:t>一般排放口</w:t>
                  </w:r>
                </w:p>
              </w:tc>
              <w:tc>
                <w:tcPr>
                  <w:tcW w:w="383" w:type="pct"/>
                  <w:tcBorders>
                    <w:bottom w:val="single" w:color="auto" w:sz="8" w:space="0"/>
                  </w:tcBorders>
                  <w:shd w:val="clear" w:color="auto" w:fill="auto"/>
                  <w:noWrap w:val="0"/>
                  <w:vAlign w:val="center"/>
                </w:tcPr>
                <w:p w14:paraId="2857C63B">
                  <w:pPr>
                    <w:keepNext w:val="0"/>
                    <w:keepLines w:val="0"/>
                    <w:suppressLineNumbers w:val="0"/>
                    <w:adjustRightInd w:val="0"/>
                    <w:snapToGrid w:val="0"/>
                    <w:spacing w:before="0" w:beforeAutospacing="0" w:after="0" w:afterAutospacing="0"/>
                    <w:ind w:left="0" w:right="0"/>
                    <w:jc w:val="center"/>
                    <w:rPr>
                      <w:rFonts w:hint="default" w:eastAsia="宋体"/>
                      <w:color w:val="auto"/>
                      <w:sz w:val="21"/>
                      <w:szCs w:val="21"/>
                      <w:highlight w:val="yellow"/>
                      <w:lang w:val="en-US" w:eastAsia="zh-CN"/>
                    </w:rPr>
                  </w:pPr>
                  <w:r>
                    <w:rPr>
                      <w:rFonts w:hint="eastAsia"/>
                      <w:color w:val="auto"/>
                      <w:sz w:val="21"/>
                      <w:szCs w:val="21"/>
                      <w:highlight w:val="none"/>
                      <w:lang w:val="en-US" w:eastAsia="zh-CN"/>
                    </w:rPr>
                    <w:t>45</w:t>
                  </w:r>
                </w:p>
              </w:tc>
              <w:tc>
                <w:tcPr>
                  <w:tcW w:w="400" w:type="pct"/>
                  <w:tcBorders>
                    <w:bottom w:val="single" w:color="auto" w:sz="8" w:space="0"/>
                  </w:tcBorders>
                  <w:shd w:val="clear" w:color="auto" w:fill="auto"/>
                  <w:noWrap w:val="0"/>
                  <w:vAlign w:val="center"/>
                </w:tcPr>
                <w:p w14:paraId="03F4C4F7">
                  <w:pPr>
                    <w:keepNext w:val="0"/>
                    <w:keepLines w:val="0"/>
                    <w:suppressLineNumbers w:val="0"/>
                    <w:adjustRightInd w:val="0"/>
                    <w:snapToGrid w:val="0"/>
                    <w:spacing w:before="0" w:beforeAutospacing="0" w:after="0" w:afterAutospacing="0"/>
                    <w:ind w:left="0" w:right="0"/>
                    <w:jc w:val="center"/>
                    <w:rPr>
                      <w:rFonts w:hint="default"/>
                      <w:color w:val="auto"/>
                      <w:sz w:val="21"/>
                      <w:szCs w:val="21"/>
                      <w:highlight w:val="yellow"/>
                      <w:lang w:val="en-US" w:eastAsia="zh-CN"/>
                    </w:rPr>
                  </w:pPr>
                  <w:r>
                    <w:rPr>
                      <w:rFonts w:hint="eastAsia"/>
                      <w:color w:val="auto"/>
                      <w:sz w:val="21"/>
                      <w:szCs w:val="21"/>
                      <w:highlight w:val="none"/>
                      <w:lang w:val="en-US" w:eastAsia="zh-CN"/>
                    </w:rPr>
                    <w:t>非甲烷总烃</w:t>
                  </w:r>
                </w:p>
              </w:tc>
              <w:tc>
                <w:tcPr>
                  <w:tcW w:w="1678" w:type="pct"/>
                  <w:tcBorders>
                    <w:bottom w:val="single" w:color="auto" w:sz="8" w:space="0"/>
                  </w:tcBorders>
                  <w:shd w:val="clear" w:color="auto" w:fill="auto"/>
                  <w:noWrap w:val="0"/>
                  <w:vAlign w:val="center"/>
                </w:tcPr>
                <w:p w14:paraId="58729B16">
                  <w:pPr>
                    <w:keepNext w:val="0"/>
                    <w:keepLines w:val="0"/>
                    <w:suppressLineNumbers w:val="0"/>
                    <w:adjustRightInd w:val="0"/>
                    <w:snapToGrid w:val="0"/>
                    <w:spacing w:before="0" w:beforeAutospacing="0" w:after="0" w:afterAutospacing="0"/>
                    <w:ind w:left="0" w:right="0"/>
                    <w:jc w:val="center"/>
                    <w:rPr>
                      <w:rFonts w:hint="eastAsia" w:eastAsia="宋体"/>
                      <w:color w:val="auto"/>
                      <w:sz w:val="21"/>
                      <w:szCs w:val="21"/>
                      <w:highlight w:val="yellow"/>
                      <w:lang w:eastAsia="zh-CN"/>
                    </w:rPr>
                  </w:pPr>
                  <w:r>
                    <w:rPr>
                      <w:rFonts w:hint="eastAsia"/>
                      <w:color w:val="auto"/>
                      <w:sz w:val="21"/>
                      <w:szCs w:val="21"/>
                      <w:highlight w:val="none"/>
                    </w:rPr>
                    <w:t>《合成树脂工业污染物排放标准》（GB31572-2015）</w:t>
                  </w:r>
                  <w:r>
                    <w:rPr>
                      <w:rFonts w:hint="eastAsia"/>
                      <w:color w:val="auto"/>
                      <w:sz w:val="21"/>
                      <w:szCs w:val="21"/>
                      <w:highlight w:val="none"/>
                      <w:lang w:eastAsia="zh-CN"/>
                    </w:rPr>
                    <w:t>（</w:t>
                  </w:r>
                  <w:r>
                    <w:rPr>
                      <w:rFonts w:hint="eastAsia"/>
                      <w:color w:val="auto"/>
                      <w:sz w:val="21"/>
                      <w:szCs w:val="21"/>
                      <w:highlight w:val="none"/>
                      <w:lang w:val="en-US" w:eastAsia="zh-CN"/>
                    </w:rPr>
                    <w:t>含2024年修改单</w:t>
                  </w:r>
                  <w:r>
                    <w:rPr>
                      <w:rFonts w:hint="eastAsia"/>
                      <w:color w:val="auto"/>
                      <w:sz w:val="21"/>
                      <w:szCs w:val="21"/>
                      <w:highlight w:val="none"/>
                      <w:lang w:eastAsia="zh-CN"/>
                    </w:rPr>
                    <w:t>）；《河南省重污染天气</w:t>
                  </w:r>
                  <w:r>
                    <w:rPr>
                      <w:rFonts w:hint="eastAsia"/>
                      <w:color w:val="auto"/>
                      <w:sz w:val="21"/>
                      <w:szCs w:val="21"/>
                      <w:highlight w:val="none"/>
                      <w:lang w:val="en-US" w:eastAsia="zh-CN"/>
                    </w:rPr>
                    <w:t>通用</w:t>
                  </w:r>
                  <w:r>
                    <w:rPr>
                      <w:rFonts w:hint="eastAsia"/>
                      <w:color w:val="auto"/>
                      <w:sz w:val="21"/>
                      <w:szCs w:val="21"/>
                      <w:highlight w:val="none"/>
                      <w:lang w:eastAsia="zh-CN"/>
                    </w:rPr>
                    <w:t>行业应急减排措施制定技术指南》（202</w:t>
                  </w:r>
                  <w:r>
                    <w:rPr>
                      <w:rFonts w:hint="eastAsia"/>
                      <w:color w:val="auto"/>
                      <w:sz w:val="21"/>
                      <w:szCs w:val="21"/>
                      <w:highlight w:val="none"/>
                      <w:lang w:val="en-US" w:eastAsia="zh-CN"/>
                    </w:rPr>
                    <w:t>4</w:t>
                  </w:r>
                  <w:r>
                    <w:rPr>
                      <w:rFonts w:hint="eastAsia"/>
                      <w:color w:val="auto"/>
                      <w:sz w:val="21"/>
                      <w:szCs w:val="21"/>
                      <w:highlight w:val="none"/>
                      <w:lang w:eastAsia="zh-CN"/>
                    </w:rPr>
                    <w:t>年修订版）中</w:t>
                  </w:r>
                  <w:r>
                    <w:rPr>
                      <w:rFonts w:hint="eastAsia"/>
                      <w:color w:val="auto"/>
                      <w:sz w:val="21"/>
                      <w:szCs w:val="21"/>
                      <w:highlight w:val="none"/>
                      <w:lang w:val="en-US" w:eastAsia="zh-CN"/>
                    </w:rPr>
                    <w:t>通用涉VOCs企业绩效引领性指标；</w:t>
                  </w:r>
                  <w:r>
                    <w:rPr>
                      <w:rFonts w:hint="default" w:hAnsi="宋体"/>
                      <w:color w:val="000000"/>
                      <w:kern w:val="0"/>
                      <w:sz w:val="21"/>
                      <w:szCs w:val="21"/>
                      <w:highlight w:val="none"/>
                      <w:vertAlign w:val="baseline"/>
                      <w:lang w:val="en-US" w:eastAsia="zh-CN"/>
                    </w:rPr>
                    <w:t>《</w:t>
                  </w:r>
                  <w:r>
                    <w:rPr>
                      <w:rFonts w:hint="eastAsia" w:hAnsi="宋体"/>
                      <w:color w:val="000000"/>
                      <w:kern w:val="0"/>
                      <w:sz w:val="21"/>
                      <w:szCs w:val="21"/>
                      <w:highlight w:val="none"/>
                      <w:vertAlign w:val="baseline"/>
                      <w:lang w:val="en-US" w:eastAsia="zh-CN"/>
                    </w:rPr>
                    <w:t>印刷工业挥发性有机物排放标准</w:t>
                  </w:r>
                  <w:r>
                    <w:rPr>
                      <w:rFonts w:hint="default" w:hAnsi="宋体"/>
                      <w:color w:val="000000"/>
                      <w:kern w:val="0"/>
                      <w:sz w:val="21"/>
                      <w:szCs w:val="21"/>
                      <w:highlight w:val="none"/>
                      <w:vertAlign w:val="baseline"/>
                      <w:lang w:val="en-US" w:eastAsia="zh-CN"/>
                    </w:rPr>
                    <w:t>》</w:t>
                  </w:r>
                  <w:r>
                    <w:rPr>
                      <w:rFonts w:hint="eastAsia"/>
                      <w:color w:val="auto"/>
                      <w:sz w:val="21"/>
                      <w:szCs w:val="21"/>
                      <w:highlight w:val="none"/>
                      <w:lang w:val="en-US" w:eastAsia="zh-CN"/>
                    </w:rPr>
                    <w:t>（DB41/1956-2020）；</w:t>
                  </w:r>
                  <w:r>
                    <w:rPr>
                      <w:rFonts w:hint="eastAsia"/>
                      <w:sz w:val="21"/>
                      <w:szCs w:val="21"/>
                      <w:lang w:val="en-US" w:eastAsia="zh-CN"/>
                    </w:rPr>
                    <w:t>《重污染天气重点行业应急减排措施制定技术指南》（2020年修订版）包装装潢及其他印刷A级要求</w:t>
                  </w:r>
                </w:p>
              </w:tc>
            </w:tr>
          </w:tbl>
          <w:p w14:paraId="2FFECCF8">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rPr>
                <w:rFonts w:hint="eastAsia" w:hAnsi="宋体" w:eastAsia="宋体"/>
                <w:b w:val="0"/>
                <w:bCs w:val="0"/>
                <w:color w:val="000000" w:themeColor="text1"/>
                <w:sz w:val="24"/>
                <w:highlight w:val="none"/>
                <w:lang w:val="en-US" w:eastAsia="zh-CN"/>
                <w14:textFill>
                  <w14:solidFill>
                    <w14:schemeClr w14:val="tx1"/>
                  </w14:solidFill>
                </w14:textFill>
              </w:rPr>
            </w:pPr>
            <w:r>
              <w:rPr>
                <w:rFonts w:hint="default" w:hAnsi="宋体"/>
                <w:sz w:val="24"/>
              </w:rPr>
              <w:t>本项目无组织排放源基本情况见下表</w:t>
            </w:r>
            <w:r>
              <w:rPr>
                <w:rFonts w:hint="eastAsia" w:hAnsi="宋体"/>
                <w:sz w:val="24"/>
                <w:lang w:eastAsia="zh-CN"/>
              </w:rPr>
              <w:t>。</w:t>
            </w:r>
          </w:p>
          <w:p w14:paraId="4A725831">
            <w:pPr>
              <w:keepNext w:val="0"/>
              <w:keepLines w:val="0"/>
              <w:suppressLineNumbers w:val="0"/>
              <w:adjustRightInd w:val="0"/>
              <w:snapToGrid w:val="0"/>
              <w:spacing w:before="0" w:beforeAutospacing="0" w:after="0" w:afterAutospacing="0" w:line="440" w:lineRule="exact"/>
              <w:ind w:left="0" w:right="0"/>
              <w:jc w:val="center"/>
              <w:rPr>
                <w:rFonts w:hint="default" w:hAnsi="宋体" w:eastAsia="宋体"/>
                <w:color w:val="000000" w:themeColor="text1"/>
                <w:sz w:val="24"/>
                <w:highlight w:val="none"/>
                <w:lang w:val="en-US" w:eastAsia="zh-CN"/>
                <w14:textFill>
                  <w14:solidFill>
                    <w14:schemeClr w14:val="tx1"/>
                  </w14:solidFill>
                </w14:textFill>
              </w:rPr>
            </w:pPr>
            <w:r>
              <w:rPr>
                <w:rFonts w:hint="eastAsia" w:hAnsi="宋体"/>
                <w:b/>
                <w:bCs/>
                <w:color w:val="000000" w:themeColor="text1"/>
                <w:sz w:val="24"/>
                <w:highlight w:val="none"/>
                <w:lang w:val="en-US" w:eastAsia="zh-CN"/>
                <w14:textFill>
                  <w14:solidFill>
                    <w14:schemeClr w14:val="tx1"/>
                  </w14:solidFill>
                </w14:textFill>
              </w:rPr>
              <w:t>表25  本项目无组织排放源基本情况</w:t>
            </w:r>
          </w:p>
          <w:tbl>
            <w:tblPr>
              <w:tblStyle w:val="23"/>
              <w:tblW w:w="5000" w:type="pct"/>
              <w:jc w:val="center"/>
              <w:tblBorders>
                <w:top w:val="single" w:color="auto" w:sz="4"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7"/>
              <w:gridCol w:w="651"/>
              <w:gridCol w:w="1050"/>
              <w:gridCol w:w="6238"/>
            </w:tblGrid>
            <w:tr w14:paraId="70C94EC7">
              <w:tblPrEx>
                <w:tblBorders>
                  <w:top w:val="single" w:color="auto" w:sz="4"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tcBorders>
                    <w:top w:val="single" w:color="auto" w:sz="8" w:space="0"/>
                    <w:bottom w:val="single" w:color="auto" w:sz="8" w:space="0"/>
                    <w:right w:val="single" w:color="auto" w:sz="4" w:space="0"/>
                  </w:tcBorders>
                  <w:vAlign w:val="center"/>
                </w:tcPr>
                <w:p w14:paraId="33820036">
                  <w:pPr>
                    <w:keepNext w:val="0"/>
                    <w:keepLines w:val="0"/>
                    <w:suppressLineNumbers w:val="0"/>
                    <w:adjustRightInd w:val="0"/>
                    <w:snapToGrid w:val="0"/>
                    <w:spacing w:before="0" w:beforeAutospacing="0" w:after="0" w:afterAutospacing="0" w:line="240" w:lineRule="auto"/>
                    <w:ind w:left="0" w:right="0"/>
                    <w:jc w:val="center"/>
                    <w:rPr>
                      <w:rFonts w:hint="default" w:hAnsi="宋体"/>
                      <w:b/>
                      <w:bCs/>
                      <w:color w:val="000000" w:themeColor="text1"/>
                      <w:sz w:val="21"/>
                      <w:szCs w:val="21"/>
                      <w:highlight w:val="none"/>
                      <w:vertAlign w:val="baseline"/>
                      <w:lang w:val="en-US" w:eastAsia="zh-CN"/>
                      <w14:textFill>
                        <w14:solidFill>
                          <w14:schemeClr w14:val="tx1"/>
                        </w14:solidFill>
                      </w14:textFill>
                    </w:rPr>
                  </w:pPr>
                  <w:r>
                    <w:rPr>
                      <w:rFonts w:hint="eastAsia" w:hAnsi="宋体"/>
                      <w:b/>
                      <w:bCs/>
                      <w:color w:val="000000" w:themeColor="text1"/>
                      <w:sz w:val="21"/>
                      <w:szCs w:val="21"/>
                      <w:highlight w:val="none"/>
                      <w:vertAlign w:val="baseline"/>
                      <w:lang w:val="en-US" w:eastAsia="zh-CN"/>
                      <w14:textFill>
                        <w14:solidFill>
                          <w14:schemeClr w14:val="tx1"/>
                        </w14:solidFill>
                      </w14:textFill>
                    </w:rPr>
                    <w:t>名称</w:t>
                  </w:r>
                </w:p>
              </w:tc>
              <w:tc>
                <w:tcPr>
                  <w:tcW w:w="651" w:type="dxa"/>
                  <w:tcBorders>
                    <w:top w:val="single" w:color="auto" w:sz="8" w:space="0"/>
                    <w:left w:val="single" w:color="auto" w:sz="4" w:space="0"/>
                    <w:bottom w:val="single" w:color="auto" w:sz="8" w:space="0"/>
                    <w:right w:val="single" w:color="auto" w:sz="4" w:space="0"/>
                  </w:tcBorders>
                  <w:vAlign w:val="center"/>
                </w:tcPr>
                <w:p w14:paraId="35ADFD40">
                  <w:pPr>
                    <w:keepNext w:val="0"/>
                    <w:keepLines w:val="0"/>
                    <w:suppressLineNumbers w:val="0"/>
                    <w:adjustRightInd w:val="0"/>
                    <w:snapToGrid w:val="0"/>
                    <w:spacing w:before="0" w:beforeAutospacing="0" w:after="0" w:afterAutospacing="0" w:line="240" w:lineRule="auto"/>
                    <w:ind w:left="0" w:right="0"/>
                    <w:jc w:val="center"/>
                    <w:rPr>
                      <w:rFonts w:hint="default" w:cs="Times New Roman"/>
                      <w:b/>
                      <w:bCs/>
                      <w:i w:val="0"/>
                      <w:iCs w:val="0"/>
                      <w:color w:val="000000"/>
                      <w:kern w:val="0"/>
                      <w:sz w:val="21"/>
                      <w:szCs w:val="21"/>
                      <w:highlight w:val="none"/>
                      <w:u w:val="none"/>
                      <w:lang w:val="en-US" w:eastAsia="zh-CN" w:bidi="ar"/>
                    </w:rPr>
                  </w:pPr>
                  <w:r>
                    <w:rPr>
                      <w:rFonts w:hint="eastAsia" w:cs="Times New Roman"/>
                      <w:b/>
                      <w:bCs/>
                      <w:i w:val="0"/>
                      <w:iCs w:val="0"/>
                      <w:color w:val="000000"/>
                      <w:kern w:val="0"/>
                      <w:sz w:val="21"/>
                      <w:szCs w:val="21"/>
                      <w:highlight w:val="none"/>
                      <w:u w:val="none"/>
                      <w:lang w:val="en-US" w:eastAsia="zh-CN" w:bidi="ar"/>
                    </w:rPr>
                    <w:t>类型</w:t>
                  </w:r>
                </w:p>
              </w:tc>
              <w:tc>
                <w:tcPr>
                  <w:tcW w:w="1050" w:type="dxa"/>
                  <w:tcBorders>
                    <w:top w:val="single" w:color="auto" w:sz="8" w:space="0"/>
                    <w:left w:val="single" w:color="auto" w:sz="4" w:space="0"/>
                    <w:bottom w:val="single" w:color="auto" w:sz="8" w:space="0"/>
                    <w:right w:val="single" w:color="auto" w:sz="4" w:space="0"/>
                  </w:tcBorders>
                  <w:vAlign w:val="center"/>
                </w:tcPr>
                <w:p w14:paraId="14570C49">
                  <w:pPr>
                    <w:keepNext w:val="0"/>
                    <w:keepLines w:val="0"/>
                    <w:suppressLineNumbers w:val="0"/>
                    <w:adjustRightInd w:val="0"/>
                    <w:snapToGrid w:val="0"/>
                    <w:spacing w:before="0" w:beforeAutospacing="0" w:after="0" w:afterAutospacing="0" w:line="240" w:lineRule="auto"/>
                    <w:ind w:left="0" w:right="0"/>
                    <w:jc w:val="center"/>
                    <w:rPr>
                      <w:rFonts w:hint="default" w:cs="Times New Roman"/>
                      <w:b/>
                      <w:bCs/>
                      <w:i w:val="0"/>
                      <w:iCs w:val="0"/>
                      <w:color w:val="000000"/>
                      <w:kern w:val="0"/>
                      <w:sz w:val="21"/>
                      <w:szCs w:val="21"/>
                      <w:highlight w:val="none"/>
                      <w:u w:val="none"/>
                      <w:lang w:val="en-US" w:eastAsia="zh-CN" w:bidi="ar"/>
                    </w:rPr>
                  </w:pPr>
                  <w:r>
                    <w:rPr>
                      <w:rFonts w:hint="eastAsia" w:cs="Times New Roman"/>
                      <w:b/>
                      <w:bCs/>
                      <w:i w:val="0"/>
                      <w:iCs w:val="0"/>
                      <w:color w:val="000000"/>
                      <w:kern w:val="0"/>
                      <w:sz w:val="21"/>
                      <w:szCs w:val="21"/>
                      <w:highlight w:val="none"/>
                      <w:u w:val="none"/>
                      <w:lang w:val="en-US" w:eastAsia="zh-CN" w:bidi="ar"/>
                    </w:rPr>
                    <w:t>污染物</w:t>
                  </w:r>
                </w:p>
              </w:tc>
              <w:tc>
                <w:tcPr>
                  <w:tcW w:w="6238" w:type="dxa"/>
                  <w:tcBorders>
                    <w:top w:val="single" w:color="auto" w:sz="8" w:space="0"/>
                    <w:left w:val="single" w:color="auto" w:sz="4" w:space="0"/>
                    <w:bottom w:val="single" w:color="auto" w:sz="8" w:space="0"/>
                  </w:tcBorders>
                  <w:vAlign w:val="center"/>
                </w:tcPr>
                <w:p w14:paraId="6C447042">
                  <w:pPr>
                    <w:keepNext w:val="0"/>
                    <w:keepLines w:val="0"/>
                    <w:suppressLineNumbers w:val="0"/>
                    <w:adjustRightInd w:val="0"/>
                    <w:snapToGrid w:val="0"/>
                    <w:spacing w:before="0" w:beforeAutospacing="0" w:after="0" w:afterAutospacing="0" w:line="240" w:lineRule="auto"/>
                    <w:ind w:left="0" w:right="0"/>
                    <w:jc w:val="center"/>
                    <w:rPr>
                      <w:rFonts w:hint="default" w:cs="Times New Roman"/>
                      <w:b/>
                      <w:bCs/>
                      <w:i w:val="0"/>
                      <w:iCs w:val="0"/>
                      <w:color w:val="000000"/>
                      <w:kern w:val="0"/>
                      <w:sz w:val="21"/>
                      <w:szCs w:val="21"/>
                      <w:highlight w:val="none"/>
                      <w:u w:val="none"/>
                      <w:lang w:val="en-US" w:eastAsia="zh-CN" w:bidi="ar"/>
                    </w:rPr>
                  </w:pPr>
                  <w:r>
                    <w:rPr>
                      <w:rFonts w:hint="eastAsia" w:cs="Times New Roman"/>
                      <w:b/>
                      <w:bCs/>
                      <w:i w:val="0"/>
                      <w:iCs w:val="0"/>
                      <w:color w:val="000000"/>
                      <w:kern w:val="0"/>
                      <w:sz w:val="21"/>
                      <w:szCs w:val="21"/>
                      <w:highlight w:val="none"/>
                      <w:u w:val="none"/>
                      <w:lang w:val="en-US" w:eastAsia="zh-CN" w:bidi="ar"/>
                    </w:rPr>
                    <w:t>执行标准</w:t>
                  </w:r>
                </w:p>
              </w:tc>
            </w:tr>
            <w:tr w14:paraId="4AB7D70B">
              <w:tblPrEx>
                <w:tblBorders>
                  <w:top w:val="single" w:color="auto" w:sz="4"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tcBorders>
                    <w:top w:val="single" w:color="auto" w:sz="8" w:space="0"/>
                    <w:bottom w:val="single" w:color="auto" w:sz="8" w:space="0"/>
                  </w:tcBorders>
                  <w:vAlign w:val="center"/>
                </w:tcPr>
                <w:p w14:paraId="3A2A1121">
                  <w:pPr>
                    <w:keepNext w:val="0"/>
                    <w:keepLines w:val="0"/>
                    <w:suppressLineNumbers w:val="0"/>
                    <w:adjustRightInd w:val="0"/>
                    <w:snapToGrid w:val="0"/>
                    <w:spacing w:before="0" w:beforeAutospacing="0" w:after="0" w:afterAutospacing="0" w:line="240" w:lineRule="auto"/>
                    <w:ind w:left="0" w:right="0" w:rightChars="0"/>
                    <w:jc w:val="center"/>
                    <w:rPr>
                      <w:rFonts w:hint="eastAsia"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生产</w:t>
                  </w:r>
                </w:p>
                <w:p w14:paraId="4DD9B6D2">
                  <w:pPr>
                    <w:keepNext w:val="0"/>
                    <w:keepLines w:val="0"/>
                    <w:suppressLineNumbers w:val="0"/>
                    <w:adjustRightInd w:val="0"/>
                    <w:snapToGrid w:val="0"/>
                    <w:spacing w:before="0" w:beforeAutospacing="0" w:after="0" w:afterAutospacing="0" w:line="240" w:lineRule="auto"/>
                    <w:ind w:left="0" w:right="0" w:rightChars="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车间</w:t>
                  </w:r>
                </w:p>
              </w:tc>
              <w:tc>
                <w:tcPr>
                  <w:tcW w:w="651" w:type="dxa"/>
                  <w:tcBorders>
                    <w:top w:val="single" w:color="auto" w:sz="8" w:space="0"/>
                    <w:bottom w:val="single" w:color="auto" w:sz="8" w:space="0"/>
                  </w:tcBorders>
                  <w:vAlign w:val="center"/>
                </w:tcPr>
                <w:p w14:paraId="514AA859">
                  <w:pPr>
                    <w:keepNext w:val="0"/>
                    <w:keepLines w:val="0"/>
                    <w:suppressLineNumbers w:val="0"/>
                    <w:adjustRightInd w:val="0"/>
                    <w:snapToGrid w:val="0"/>
                    <w:spacing w:before="0" w:beforeAutospacing="0" w:after="0" w:afterAutospacing="0" w:line="240" w:lineRule="auto"/>
                    <w:ind w:left="0" w:right="0"/>
                    <w:jc w:val="center"/>
                    <w:rPr>
                      <w:rFonts w:hint="eastAsia"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无</w:t>
                  </w:r>
                </w:p>
                <w:p w14:paraId="19CF0D1A">
                  <w:pPr>
                    <w:keepNext w:val="0"/>
                    <w:keepLines w:val="0"/>
                    <w:suppressLineNumbers w:val="0"/>
                    <w:adjustRightInd w:val="0"/>
                    <w:snapToGrid w:val="0"/>
                    <w:spacing w:before="0" w:beforeAutospacing="0" w:after="0" w:afterAutospacing="0" w:line="240" w:lineRule="auto"/>
                    <w:ind w:left="0" w:right="0"/>
                    <w:jc w:val="center"/>
                    <w:rPr>
                      <w:rFonts w:hint="eastAsia"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组</w:t>
                  </w:r>
                </w:p>
                <w:p w14:paraId="4A94AADF">
                  <w:pPr>
                    <w:keepNext w:val="0"/>
                    <w:keepLines w:val="0"/>
                    <w:suppressLineNumbers w:val="0"/>
                    <w:adjustRightInd w:val="0"/>
                    <w:snapToGrid w:val="0"/>
                    <w:spacing w:before="0" w:beforeAutospacing="0" w:after="0" w:afterAutospacing="0" w:line="240" w:lineRule="auto"/>
                    <w:ind w:left="0" w:right="0"/>
                    <w:jc w:val="center"/>
                    <w:rPr>
                      <w:rFonts w:hint="default" w:hAnsi="宋体"/>
                      <w:b w:val="0"/>
                      <w:bCs w:val="0"/>
                      <w:color w:val="000000" w:themeColor="text1"/>
                      <w:sz w:val="21"/>
                      <w:szCs w:val="21"/>
                      <w:highlight w:val="none"/>
                      <w:vertAlign w:val="baseline"/>
                      <w:lang w:val="en-US" w:eastAsia="zh-CN"/>
                      <w14:textFill>
                        <w14:solidFill>
                          <w14:schemeClr w14:val="tx1"/>
                        </w14:solidFill>
                      </w14:textFill>
                    </w:rPr>
                  </w:pPr>
                  <w:r>
                    <w:rPr>
                      <w:rFonts w:hint="eastAsia" w:hAnsi="宋体"/>
                      <w:b w:val="0"/>
                      <w:bCs w:val="0"/>
                      <w:color w:val="000000" w:themeColor="text1"/>
                      <w:sz w:val="21"/>
                      <w:szCs w:val="21"/>
                      <w:highlight w:val="none"/>
                      <w:vertAlign w:val="baseline"/>
                      <w:lang w:val="en-US" w:eastAsia="zh-CN"/>
                      <w14:textFill>
                        <w14:solidFill>
                          <w14:schemeClr w14:val="tx1"/>
                        </w14:solidFill>
                      </w14:textFill>
                    </w:rPr>
                    <w:t>织</w:t>
                  </w:r>
                </w:p>
              </w:tc>
              <w:tc>
                <w:tcPr>
                  <w:tcW w:w="1050" w:type="dxa"/>
                  <w:tcBorders>
                    <w:top w:val="single" w:color="auto" w:sz="8" w:space="0"/>
                    <w:bottom w:val="single" w:color="auto" w:sz="8" w:space="0"/>
                  </w:tcBorders>
                  <w:vAlign w:val="center"/>
                </w:tcPr>
                <w:p w14:paraId="0274FD9B">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非甲烷总烃</w:t>
                  </w:r>
                </w:p>
              </w:tc>
              <w:tc>
                <w:tcPr>
                  <w:tcW w:w="6238" w:type="dxa"/>
                  <w:tcBorders>
                    <w:top w:val="single" w:color="auto" w:sz="8" w:space="0"/>
                    <w:bottom w:val="single" w:color="auto" w:sz="8" w:space="0"/>
                  </w:tcBorders>
                  <w:vAlign w:val="center"/>
                </w:tcPr>
                <w:p w14:paraId="314E0BF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2"/>
                      <w:sz w:val="21"/>
                      <w:szCs w:val="21"/>
                      <w:lang w:val="en-US" w:eastAsia="zh-CN" w:bidi="ar-SA"/>
                      <w14:textFill>
                        <w14:solidFill>
                          <w14:schemeClr w14:val="tx1"/>
                        </w14:solidFill>
                      </w14:textFill>
                    </w:rPr>
                    <w:t>《关于全省开展工业企业挥发性有机物专项治理工作中排放建议值的通知》（豫环攻坚办[2017]162号）</w:t>
                  </w:r>
                  <w:r>
                    <w:rPr>
                      <w:rFonts w:hint="eastAsia" w:cs="Times New Roman"/>
                      <w:b w:val="0"/>
                      <w:bCs/>
                      <w:color w:val="000000" w:themeColor="text1"/>
                      <w:kern w:val="2"/>
                      <w:sz w:val="21"/>
                      <w:szCs w:val="21"/>
                      <w:lang w:val="en-US" w:eastAsia="zh-CN" w:bidi="ar-SA"/>
                      <w14:textFill>
                        <w14:solidFill>
                          <w14:schemeClr w14:val="tx1"/>
                        </w14:solidFill>
                      </w14:textFill>
                    </w:rPr>
                    <w:t>；</w:t>
                  </w:r>
                  <w:r>
                    <w:rPr>
                      <w:rFonts w:hint="eastAsia" w:cs="Times New Roman"/>
                      <w:bCs/>
                      <w:color w:val="000000" w:themeColor="text1"/>
                      <w:sz w:val="21"/>
                      <w:szCs w:val="21"/>
                      <w:lang w:val="en-US" w:eastAsia="zh-CN"/>
                      <w14:textFill>
                        <w14:solidFill>
                          <w14:schemeClr w14:val="tx1"/>
                        </w14:solidFill>
                      </w14:textFill>
                    </w:rPr>
                    <w:t>《挥发性有机物无组织排放控制标准》（GB37822-2019）；</w:t>
                  </w:r>
                  <w:r>
                    <w:rPr>
                      <w:rFonts w:hint="eastAsia"/>
                      <w:color w:val="000000" w:themeColor="text1"/>
                      <w:sz w:val="21"/>
                      <w:szCs w:val="21"/>
                      <w:highlight w:val="none"/>
                      <w14:textFill>
                        <w14:solidFill>
                          <w14:schemeClr w14:val="tx1"/>
                        </w14:solidFill>
                      </w14:textFill>
                    </w:rPr>
                    <w:t>《合成树脂工业污染物排放标准》（GB31572-2015）</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含2024年修改单</w:t>
                  </w:r>
                  <w:r>
                    <w:rPr>
                      <w:rFonts w:hint="eastAsia"/>
                      <w:color w:val="000000" w:themeColor="text1"/>
                      <w:sz w:val="21"/>
                      <w:szCs w:val="21"/>
                      <w:highlight w:val="none"/>
                      <w:lang w:eastAsia="zh-CN"/>
                      <w14:textFill>
                        <w14:solidFill>
                          <w14:schemeClr w14:val="tx1"/>
                        </w14:solidFill>
                      </w14:textFill>
                    </w:rPr>
                    <w:t>）；</w:t>
                  </w:r>
                  <w:r>
                    <w:rPr>
                      <w:rFonts w:hint="eastAsia"/>
                      <w:sz w:val="21"/>
                      <w:szCs w:val="21"/>
                      <w:lang w:val="en-US" w:eastAsia="zh-CN"/>
                    </w:rPr>
                    <w:t>《重污染天气重点行业应急减排措施制定技术指南》（2020年修订版）包装装潢及其他印刷A级要求；</w:t>
                  </w:r>
                  <w:r>
                    <w:rPr>
                      <w:rFonts w:hint="default" w:hAnsi="宋体"/>
                      <w:color w:val="000000"/>
                      <w:kern w:val="0"/>
                      <w:sz w:val="21"/>
                      <w:szCs w:val="21"/>
                      <w:highlight w:val="none"/>
                      <w:vertAlign w:val="baseline"/>
                      <w:lang w:val="en-US" w:eastAsia="zh-CN"/>
                    </w:rPr>
                    <w:t>《</w:t>
                  </w:r>
                  <w:r>
                    <w:rPr>
                      <w:rFonts w:hint="eastAsia" w:hAnsi="宋体"/>
                      <w:color w:val="000000"/>
                      <w:kern w:val="0"/>
                      <w:sz w:val="21"/>
                      <w:szCs w:val="21"/>
                      <w:highlight w:val="none"/>
                      <w:vertAlign w:val="baseline"/>
                      <w:lang w:val="en-US" w:eastAsia="zh-CN"/>
                    </w:rPr>
                    <w:t>印刷工业挥发性有机物排放标准</w:t>
                  </w:r>
                  <w:r>
                    <w:rPr>
                      <w:rFonts w:hint="default" w:hAnsi="宋体"/>
                      <w:color w:val="000000"/>
                      <w:kern w:val="0"/>
                      <w:sz w:val="21"/>
                      <w:szCs w:val="21"/>
                      <w:highlight w:val="none"/>
                      <w:vertAlign w:val="baseline"/>
                      <w:lang w:val="en-US" w:eastAsia="zh-CN"/>
                    </w:rPr>
                    <w:t>》</w:t>
                  </w:r>
                  <w:r>
                    <w:rPr>
                      <w:rFonts w:hint="eastAsia"/>
                      <w:color w:val="auto"/>
                      <w:sz w:val="21"/>
                      <w:szCs w:val="21"/>
                      <w:highlight w:val="none"/>
                      <w:lang w:val="en-US" w:eastAsia="zh-CN"/>
                    </w:rPr>
                    <w:t>（DB41/1956-2020）</w:t>
                  </w:r>
                </w:p>
              </w:tc>
            </w:tr>
          </w:tbl>
          <w:p w14:paraId="42373BF8">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2" w:firstLineChars="200"/>
              <w:rPr>
                <w:rFonts w:hint="default"/>
                <w:b/>
                <w:bCs/>
                <w:color w:val="000000" w:themeColor="text1"/>
                <w:sz w:val="24"/>
                <w:highlight w:val="none"/>
                <w14:textFill>
                  <w14:solidFill>
                    <w14:schemeClr w14:val="tx1"/>
                  </w14:solidFill>
                </w14:textFill>
              </w:rPr>
            </w:pPr>
            <w:r>
              <w:rPr>
                <w:rFonts w:hint="eastAsia" w:hAnsi="宋体"/>
                <w:b/>
                <w:bCs/>
                <w:color w:val="000000" w:themeColor="text1"/>
                <w:sz w:val="24"/>
                <w:highlight w:val="none"/>
                <w:lang w:val="en-US" w:eastAsia="zh-CN"/>
                <w14:textFill>
                  <w14:solidFill>
                    <w14:schemeClr w14:val="tx1"/>
                  </w14:solidFill>
                </w14:textFill>
              </w:rPr>
              <w:t>5、</w:t>
            </w:r>
            <w:r>
              <w:rPr>
                <w:rFonts w:hint="default" w:hAnsi="宋体"/>
                <w:b/>
                <w:bCs/>
                <w:color w:val="000000" w:themeColor="text1"/>
                <w:sz w:val="24"/>
                <w:highlight w:val="none"/>
                <w14:textFill>
                  <w14:solidFill>
                    <w14:schemeClr w14:val="tx1"/>
                  </w14:solidFill>
                </w14:textFill>
              </w:rPr>
              <w:t>非正常工况环境影响分析</w:t>
            </w:r>
          </w:p>
          <w:p w14:paraId="355DC471">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hAnsi="宋体"/>
                <w:color w:val="000000" w:themeColor="text1"/>
                <w:sz w:val="24"/>
                <w:highlight w:val="none"/>
                <w:lang w:val="en-GB"/>
                <w14:textFill>
                  <w14:solidFill>
                    <w14:schemeClr w14:val="tx1"/>
                  </w14:solidFill>
                </w14:textFill>
              </w:rPr>
            </w:pPr>
            <w:r>
              <w:rPr>
                <w:rFonts w:hint="default" w:hAnsi="宋体"/>
                <w:color w:val="000000" w:themeColor="text1"/>
                <w:sz w:val="24"/>
                <w:highlight w:val="none"/>
                <w:lang w:val="en-GB"/>
                <w14:textFill>
                  <w14:solidFill>
                    <w14:schemeClr w14:val="tx1"/>
                  </w14:solidFill>
                </w14:textFill>
              </w:rPr>
              <w:t>非正常工况排放是指生产过程中开停车（工、炉）、设备检修、工艺设备运转异常等非正常工况下的污染物排放，以及污染物排放控制措施达不到应有效率等情况下的排放。本项目非正常工况主要为废气处理设施出现故障或检修时，导致处理能力下降，最不利情况为处理效率为0，出现以上事故后，建设单位一般能在</w:t>
            </w:r>
            <w:r>
              <w:rPr>
                <w:rFonts w:hint="eastAsia" w:hAnsi="宋体"/>
                <w:color w:val="000000" w:themeColor="text1"/>
                <w:sz w:val="24"/>
                <w:highlight w:val="none"/>
                <w:lang w:val="en-US" w:eastAsia="zh-CN"/>
                <w14:textFill>
                  <w14:solidFill>
                    <w14:schemeClr w14:val="tx1"/>
                  </w14:solidFill>
                </w14:textFill>
              </w:rPr>
              <w:t>0.5</w:t>
            </w:r>
            <w:r>
              <w:rPr>
                <w:rFonts w:hint="default" w:hAnsi="宋体"/>
                <w:color w:val="000000" w:themeColor="text1"/>
                <w:sz w:val="24"/>
                <w:highlight w:val="none"/>
                <w:lang w:val="en-GB"/>
                <w14:textFill>
                  <w14:solidFill>
                    <w14:schemeClr w14:val="tx1"/>
                  </w14:solidFill>
                </w14:textFill>
              </w:rPr>
              <w:t>h内进行有效处理。</w:t>
            </w:r>
          </w:p>
          <w:p w14:paraId="43588542">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hAnsi="宋体"/>
                <w:color w:val="000000" w:themeColor="text1"/>
                <w:sz w:val="24"/>
                <w:highlight w:val="none"/>
                <w:lang w:val="en-GB"/>
                <w14:textFill>
                  <w14:solidFill>
                    <w14:schemeClr w14:val="tx1"/>
                  </w14:solidFill>
                </w14:textFill>
              </w:rPr>
            </w:pPr>
            <w:r>
              <w:rPr>
                <w:rFonts w:hint="default" w:hAnsi="宋体"/>
                <w:color w:val="000000" w:themeColor="text1"/>
                <w:sz w:val="24"/>
                <w:highlight w:val="none"/>
                <w:lang w:val="en-GB"/>
                <w14:textFill>
                  <w14:solidFill>
                    <w14:schemeClr w14:val="tx1"/>
                  </w14:solidFill>
                </w14:textFill>
              </w:rPr>
              <w:t>本项目非正常工况废气排放见下表。</w:t>
            </w:r>
          </w:p>
          <w:p w14:paraId="63727FEE">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jc w:val="center"/>
              <w:rPr>
                <w:rFonts w:hint="default" w:ascii="宋体" w:hAnsi="宋体"/>
                <w:b/>
                <w:color w:val="000000" w:themeColor="text1"/>
                <w:sz w:val="24"/>
                <w:highlight w:val="none"/>
                <w14:textFill>
                  <w14:solidFill>
                    <w14:schemeClr w14:val="tx1"/>
                  </w14:solidFill>
                </w14:textFill>
              </w:rPr>
            </w:pPr>
            <w:r>
              <w:rPr>
                <w:rFonts w:hint="default" w:ascii="宋体" w:hAnsi="宋体"/>
                <w:b/>
                <w:color w:val="000000" w:themeColor="text1"/>
                <w:sz w:val="24"/>
                <w:highlight w:val="none"/>
                <w14:textFill>
                  <w14:solidFill>
                    <w14:schemeClr w14:val="tx1"/>
                  </w14:solidFill>
                </w14:textFill>
              </w:rPr>
              <w:t>表</w:t>
            </w:r>
            <w:r>
              <w:rPr>
                <w:rFonts w:hint="eastAsia" w:cs="Times New Roman"/>
                <w:b/>
                <w:color w:val="000000" w:themeColor="text1"/>
                <w:sz w:val="24"/>
                <w:highlight w:val="none"/>
                <w:lang w:val="en-US" w:eastAsia="zh-CN"/>
                <w14:textFill>
                  <w14:solidFill>
                    <w14:schemeClr w14:val="tx1"/>
                  </w14:solidFill>
                </w14:textFill>
              </w:rPr>
              <w:t>26</w:t>
            </w:r>
            <w:r>
              <w:rPr>
                <w:rFonts w:hint="eastAsia" w:ascii="宋体" w:hAnsi="宋体"/>
                <w:b/>
                <w:color w:val="000000" w:themeColor="text1"/>
                <w:sz w:val="24"/>
                <w:highlight w:val="none"/>
                <w:lang w:val="en-US" w:eastAsia="zh-CN"/>
                <w14:textFill>
                  <w14:solidFill>
                    <w14:schemeClr w14:val="tx1"/>
                  </w14:solidFill>
                </w14:textFill>
              </w:rPr>
              <w:t xml:space="preserve">  </w:t>
            </w:r>
            <w:r>
              <w:rPr>
                <w:rFonts w:hint="eastAsia" w:ascii="宋体" w:hAnsi="宋体"/>
                <w:b/>
                <w:color w:val="000000" w:themeColor="text1"/>
                <w:sz w:val="24"/>
                <w:highlight w:val="none"/>
                <w14:textFill>
                  <w14:solidFill>
                    <w14:schemeClr w14:val="tx1"/>
                  </w14:solidFill>
                </w14:textFill>
              </w:rPr>
              <w:t>非</w:t>
            </w:r>
            <w:r>
              <w:rPr>
                <w:rFonts w:hint="default" w:ascii="宋体" w:hAnsi="宋体"/>
                <w:b/>
                <w:color w:val="000000" w:themeColor="text1"/>
                <w:sz w:val="24"/>
                <w:highlight w:val="none"/>
                <w14:textFill>
                  <w14:solidFill>
                    <w14:schemeClr w14:val="tx1"/>
                  </w14:solidFill>
                </w14:textFill>
              </w:rPr>
              <w:t>正常排放参数表</w:t>
            </w:r>
          </w:p>
          <w:tbl>
            <w:tblPr>
              <w:tblStyle w:val="22"/>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Layout w:type="fixed"/>
              <w:tblCellMar>
                <w:top w:w="0" w:type="dxa"/>
                <w:left w:w="108" w:type="dxa"/>
                <w:bottom w:w="0" w:type="dxa"/>
                <w:right w:w="108" w:type="dxa"/>
              </w:tblCellMar>
            </w:tblPr>
            <w:tblGrid>
              <w:gridCol w:w="1058"/>
              <w:gridCol w:w="1090"/>
              <w:gridCol w:w="1015"/>
              <w:gridCol w:w="1396"/>
              <w:gridCol w:w="1131"/>
              <w:gridCol w:w="969"/>
              <w:gridCol w:w="877"/>
              <w:gridCol w:w="1077"/>
            </w:tblGrid>
            <w:tr w14:paraId="6E64E867">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97" w:hRule="atLeast"/>
                <w:jc w:val="center"/>
              </w:trPr>
              <w:tc>
                <w:tcPr>
                  <w:tcW w:w="614" w:type="pct"/>
                  <w:tcBorders>
                    <w:bottom w:val="single" w:color="auto" w:sz="8" w:space="0"/>
                    <w:right w:val="single" w:color="auto" w:sz="4" w:space="0"/>
                  </w:tcBorders>
                  <w:shd w:val="clear" w:color="auto" w:fill="auto"/>
                  <w:noWrap w:val="0"/>
                  <w:vAlign w:val="center"/>
                </w:tcPr>
                <w:p w14:paraId="63E753DB">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非正常排放源</w:t>
                  </w:r>
                </w:p>
              </w:tc>
              <w:tc>
                <w:tcPr>
                  <w:tcW w:w="632" w:type="pct"/>
                  <w:tcBorders>
                    <w:left w:val="single" w:color="auto" w:sz="4" w:space="0"/>
                    <w:bottom w:val="single" w:color="auto" w:sz="8" w:space="0"/>
                    <w:right w:val="single" w:color="auto" w:sz="4" w:space="0"/>
                  </w:tcBorders>
                  <w:shd w:val="clear" w:color="auto" w:fill="auto"/>
                  <w:noWrap w:val="0"/>
                  <w:vAlign w:val="center"/>
                </w:tcPr>
                <w:p w14:paraId="4DF62577">
                  <w:pPr>
                    <w:keepNext w:val="0"/>
                    <w:keepLines w:val="0"/>
                    <w:suppressLineNumbers w:val="0"/>
                    <w:tabs>
                      <w:tab w:val="left" w:pos="3620"/>
                    </w:tabs>
                    <w:adjustRightInd w:val="0"/>
                    <w:snapToGrid w:val="0"/>
                    <w:spacing w:before="0" w:beforeAutospacing="0" w:after="0" w:afterAutospacing="0"/>
                    <w:ind w:left="0" w:right="0"/>
                    <w:jc w:val="center"/>
                    <w:rPr>
                      <w:rFonts w:hint="default" w:hAnsi="宋体"/>
                      <w:b/>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非正常</w:t>
                  </w:r>
                </w:p>
                <w:p w14:paraId="3F10E9FC">
                  <w:pPr>
                    <w:keepNext w:val="0"/>
                    <w:keepLines w:val="0"/>
                    <w:suppressLineNumbers w:val="0"/>
                    <w:tabs>
                      <w:tab w:val="left" w:pos="3620"/>
                    </w:tabs>
                    <w:adjustRightInd w:val="0"/>
                    <w:snapToGrid w:val="0"/>
                    <w:spacing w:before="0" w:beforeAutospacing="0" w:after="0" w:afterAutospacing="0"/>
                    <w:ind w:left="0" w:right="0"/>
                    <w:jc w:val="center"/>
                    <w:rPr>
                      <w:rFonts w:hint="default" w:hAnsi="宋体"/>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排放原因</w:t>
                  </w:r>
                </w:p>
              </w:tc>
              <w:tc>
                <w:tcPr>
                  <w:tcW w:w="589" w:type="pct"/>
                  <w:tcBorders>
                    <w:left w:val="single" w:color="auto" w:sz="4" w:space="0"/>
                    <w:bottom w:val="single" w:color="auto" w:sz="8" w:space="0"/>
                    <w:right w:val="single" w:color="auto" w:sz="4" w:space="0"/>
                  </w:tcBorders>
                  <w:shd w:val="clear" w:color="auto" w:fill="auto"/>
                  <w:noWrap w:val="0"/>
                  <w:vAlign w:val="center"/>
                </w:tcPr>
                <w:p w14:paraId="0BEA57B4">
                  <w:pPr>
                    <w:keepNext w:val="0"/>
                    <w:keepLines w:val="0"/>
                    <w:suppressLineNumbers w:val="0"/>
                    <w:tabs>
                      <w:tab w:val="left" w:pos="3620"/>
                    </w:tabs>
                    <w:adjustRightInd w:val="0"/>
                    <w:snapToGrid w:val="0"/>
                    <w:spacing w:before="0" w:beforeAutospacing="0" w:after="0" w:afterAutospacing="0"/>
                    <w:ind w:left="0" w:leftChars="0" w:right="0" w:rightChars="0"/>
                    <w:jc w:val="center"/>
                    <w:rPr>
                      <w:rFonts w:hint="default"/>
                      <w:b/>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污染物</w:t>
                  </w:r>
                </w:p>
              </w:tc>
              <w:tc>
                <w:tcPr>
                  <w:tcW w:w="810" w:type="pct"/>
                  <w:tcBorders>
                    <w:left w:val="single" w:color="auto" w:sz="4" w:space="0"/>
                    <w:bottom w:val="single" w:color="auto" w:sz="8" w:space="0"/>
                    <w:right w:val="single" w:color="auto" w:sz="4" w:space="0"/>
                  </w:tcBorders>
                  <w:shd w:val="clear" w:color="auto" w:fill="auto"/>
                  <w:noWrap w:val="0"/>
                  <w:vAlign w:val="center"/>
                </w:tcPr>
                <w:p w14:paraId="42575006">
                  <w:pPr>
                    <w:keepNext w:val="0"/>
                    <w:keepLines w:val="0"/>
                    <w:suppressLineNumbers w:val="0"/>
                    <w:tabs>
                      <w:tab w:val="left" w:pos="3620"/>
                    </w:tabs>
                    <w:adjustRightInd w:val="0"/>
                    <w:snapToGrid w:val="0"/>
                    <w:spacing w:before="0" w:beforeAutospacing="0" w:after="0" w:afterAutospacing="0"/>
                    <w:ind w:left="0" w:leftChars="0" w:right="0" w:rightChars="0"/>
                    <w:jc w:val="center"/>
                    <w:rPr>
                      <w:rFonts w:hint="default" w:hAnsi="宋体"/>
                      <w:b/>
                      <w:color w:val="000000" w:themeColor="text1"/>
                      <w:sz w:val="21"/>
                      <w:szCs w:val="21"/>
                      <w:highlight w:val="none"/>
                      <w14:textFill>
                        <w14:solidFill>
                          <w14:schemeClr w14:val="tx1"/>
                        </w14:solidFill>
                      </w14:textFill>
                    </w:rPr>
                  </w:pPr>
                  <w:r>
                    <w:rPr>
                      <w:rFonts w:hint="default" w:hAnsi="宋体"/>
                      <w:b/>
                      <w:color w:val="000000" w:themeColor="text1"/>
                      <w:sz w:val="21"/>
                      <w:szCs w:val="21"/>
                      <w:highlight w:val="none"/>
                      <w14:textFill>
                        <w14:solidFill>
                          <w14:schemeClr w14:val="tx1"/>
                        </w14:solidFill>
                      </w14:textFill>
                    </w:rPr>
                    <w:t>非正常排放速率</w:t>
                  </w:r>
                  <w:r>
                    <w:rPr>
                      <w:rFonts w:hint="default"/>
                      <w:b/>
                      <w:color w:val="000000" w:themeColor="text1"/>
                      <w:sz w:val="21"/>
                      <w:szCs w:val="21"/>
                      <w:highlight w:val="none"/>
                      <w14:textFill>
                        <w14:solidFill>
                          <w14:schemeClr w14:val="tx1"/>
                        </w14:solidFill>
                      </w14:textFill>
                    </w:rPr>
                    <w:t>/</w:t>
                  </w:r>
                  <w:r>
                    <w:rPr>
                      <w:rFonts w:hint="eastAsia"/>
                      <w:b/>
                      <w:color w:val="auto"/>
                      <w:sz w:val="21"/>
                      <w:szCs w:val="21"/>
                      <w:highlight w:val="none"/>
                      <w:lang w:val="en-US" w:eastAsia="zh-CN"/>
                    </w:rPr>
                    <w:t>(</w:t>
                  </w:r>
                  <w:r>
                    <w:rPr>
                      <w:rFonts w:hint="eastAsia" w:eastAsia="宋体"/>
                      <w:b/>
                      <w:color w:val="auto"/>
                      <w:sz w:val="21"/>
                      <w:szCs w:val="21"/>
                      <w:highlight w:val="none"/>
                      <w:lang w:val="en-US" w:eastAsia="zh-CN"/>
                    </w:rPr>
                    <w:t>kg/h</w:t>
                  </w:r>
                  <w:r>
                    <w:rPr>
                      <w:rFonts w:hint="eastAsia"/>
                      <w:b/>
                      <w:color w:val="auto"/>
                      <w:sz w:val="21"/>
                      <w:szCs w:val="21"/>
                      <w:highlight w:val="none"/>
                      <w:lang w:val="en-US" w:eastAsia="zh-CN"/>
                    </w:rPr>
                    <w:t>)</w:t>
                  </w:r>
                </w:p>
              </w:tc>
              <w:tc>
                <w:tcPr>
                  <w:tcW w:w="656" w:type="pct"/>
                  <w:tcBorders>
                    <w:left w:val="single" w:color="auto" w:sz="4" w:space="0"/>
                    <w:bottom w:val="single" w:color="auto" w:sz="8" w:space="0"/>
                    <w:right w:val="single" w:color="auto" w:sz="4" w:space="0"/>
                  </w:tcBorders>
                  <w:shd w:val="clear" w:color="auto" w:fill="auto"/>
                  <w:noWrap w:val="0"/>
                  <w:vAlign w:val="center"/>
                </w:tcPr>
                <w:p w14:paraId="0E4FE35C">
                  <w:pPr>
                    <w:keepNext w:val="0"/>
                    <w:keepLines w:val="0"/>
                    <w:suppressLineNumbers w:val="0"/>
                    <w:tabs>
                      <w:tab w:val="left" w:pos="3620"/>
                    </w:tabs>
                    <w:adjustRightInd w:val="0"/>
                    <w:snapToGrid w:val="0"/>
                    <w:spacing w:before="0" w:beforeAutospacing="0" w:after="0" w:afterAutospacing="0"/>
                    <w:ind w:left="0" w:right="0"/>
                    <w:jc w:val="center"/>
                    <w:rPr>
                      <w:rFonts w:hint="default"/>
                      <w:b/>
                      <w:bCs w:val="0"/>
                      <w:color w:val="000000" w:themeColor="text1"/>
                      <w:sz w:val="21"/>
                      <w:szCs w:val="21"/>
                      <w:highlight w:val="none"/>
                      <w14:textFill>
                        <w14:solidFill>
                          <w14:schemeClr w14:val="tx1"/>
                        </w14:solidFill>
                      </w14:textFill>
                    </w:rPr>
                  </w:pPr>
                  <w:r>
                    <w:rPr>
                      <w:rFonts w:hint="eastAsia" w:hAnsi="宋体"/>
                      <w:b/>
                      <w:bCs w:val="0"/>
                      <w:color w:val="000000" w:themeColor="text1"/>
                      <w:sz w:val="21"/>
                      <w:szCs w:val="21"/>
                      <w:highlight w:val="none"/>
                      <w:lang w:val="en-US" w:eastAsia="zh-CN"/>
                      <w14:textFill>
                        <w14:solidFill>
                          <w14:schemeClr w14:val="tx1"/>
                        </w14:solidFill>
                      </w14:textFill>
                    </w:rPr>
                    <w:t>非正常排放浓度</w:t>
                  </w:r>
                  <w:r>
                    <w:rPr>
                      <w:rFonts w:hint="default"/>
                      <w:b/>
                      <w:bCs w:val="0"/>
                      <w:color w:val="000000" w:themeColor="text1"/>
                      <w:sz w:val="21"/>
                      <w:szCs w:val="21"/>
                      <w:highlight w:val="none"/>
                      <w14:textFill>
                        <w14:solidFill>
                          <w14:schemeClr w14:val="tx1"/>
                        </w14:solidFill>
                      </w14:textFill>
                    </w:rPr>
                    <w:t>/</w:t>
                  </w:r>
                  <w:r>
                    <w:rPr>
                      <w:rFonts w:hint="eastAsia"/>
                      <w:b/>
                      <w:bCs w:val="0"/>
                      <w:color w:val="000000" w:themeColor="text1"/>
                      <w:sz w:val="21"/>
                      <w:szCs w:val="21"/>
                      <w:highlight w:val="none"/>
                      <w:lang w:eastAsia="zh-CN"/>
                      <w14:textFill>
                        <w14:solidFill>
                          <w14:schemeClr w14:val="tx1"/>
                        </w14:solidFill>
                      </w14:textFill>
                    </w:rPr>
                    <w:t>（</w:t>
                  </w:r>
                  <w:r>
                    <w:rPr>
                      <w:rFonts w:hint="eastAsia" w:cs="Times New Roman"/>
                      <w:b/>
                      <w:bCs w:val="0"/>
                      <w:color w:val="000000" w:themeColor="text1"/>
                      <w:sz w:val="21"/>
                      <w:szCs w:val="21"/>
                      <w:lang w:val="en-US" w:eastAsia="zh-CN"/>
                      <w14:textFill>
                        <w14:solidFill>
                          <w14:schemeClr w14:val="tx1"/>
                        </w14:solidFill>
                      </w14:textFill>
                    </w:rPr>
                    <w:t>mg/m</w:t>
                  </w:r>
                  <w:r>
                    <w:rPr>
                      <w:rFonts w:hint="eastAsia" w:cs="Times New Roman"/>
                      <w:b/>
                      <w:bCs w:val="0"/>
                      <w:color w:val="000000" w:themeColor="text1"/>
                      <w:sz w:val="21"/>
                      <w:szCs w:val="21"/>
                      <w:vertAlign w:val="superscript"/>
                      <w:lang w:val="en-US" w:eastAsia="zh-CN"/>
                      <w14:textFill>
                        <w14:solidFill>
                          <w14:schemeClr w14:val="tx1"/>
                        </w14:solidFill>
                      </w14:textFill>
                    </w:rPr>
                    <w:t>3</w:t>
                  </w:r>
                  <w:r>
                    <w:rPr>
                      <w:rFonts w:hint="eastAsia"/>
                      <w:b/>
                      <w:bCs w:val="0"/>
                      <w:color w:val="000000" w:themeColor="text1"/>
                      <w:sz w:val="21"/>
                      <w:szCs w:val="21"/>
                      <w:highlight w:val="none"/>
                      <w:lang w:eastAsia="zh-CN"/>
                      <w14:textFill>
                        <w14:solidFill>
                          <w14:schemeClr w14:val="tx1"/>
                        </w14:solidFill>
                      </w14:textFill>
                    </w:rPr>
                    <w:t>）</w:t>
                  </w:r>
                </w:p>
              </w:tc>
              <w:tc>
                <w:tcPr>
                  <w:tcW w:w="562" w:type="pct"/>
                  <w:tcBorders>
                    <w:left w:val="single" w:color="auto" w:sz="4" w:space="0"/>
                    <w:bottom w:val="single" w:color="auto" w:sz="8" w:space="0"/>
                    <w:right w:val="single" w:color="auto" w:sz="4" w:space="0"/>
                  </w:tcBorders>
                  <w:shd w:val="clear" w:color="auto" w:fill="auto"/>
                  <w:noWrap w:val="0"/>
                  <w:vAlign w:val="center"/>
                </w:tcPr>
                <w:p w14:paraId="263A464F">
                  <w:pPr>
                    <w:keepNext w:val="0"/>
                    <w:keepLines w:val="0"/>
                    <w:suppressLineNumbers w:val="0"/>
                    <w:tabs>
                      <w:tab w:val="left" w:pos="3620"/>
                    </w:tabs>
                    <w:adjustRightInd w:val="0"/>
                    <w:snapToGrid w:val="0"/>
                    <w:spacing w:before="0" w:beforeAutospacing="0" w:after="0" w:afterAutospacing="0"/>
                    <w:ind w:left="0" w:right="0"/>
                    <w:jc w:val="center"/>
                    <w:rPr>
                      <w:rFonts w:hint="default" w:hAnsi="宋体"/>
                      <w:b/>
                      <w:bCs w:val="0"/>
                      <w:color w:val="000000" w:themeColor="text1"/>
                      <w:sz w:val="21"/>
                      <w:szCs w:val="21"/>
                      <w:highlight w:val="none"/>
                      <w14:textFill>
                        <w14:solidFill>
                          <w14:schemeClr w14:val="tx1"/>
                        </w14:solidFill>
                      </w14:textFill>
                    </w:rPr>
                  </w:pPr>
                  <w:r>
                    <w:rPr>
                      <w:rFonts w:hint="default" w:hAnsi="宋体"/>
                      <w:b/>
                      <w:bCs w:val="0"/>
                      <w:color w:val="000000" w:themeColor="text1"/>
                      <w:sz w:val="21"/>
                      <w:szCs w:val="21"/>
                      <w:highlight w:val="none"/>
                      <w14:textFill>
                        <w14:solidFill>
                          <w14:schemeClr w14:val="tx1"/>
                        </w14:solidFill>
                      </w14:textFill>
                    </w:rPr>
                    <w:t>单次持续</w:t>
                  </w:r>
                </w:p>
                <w:p w14:paraId="55FA5876">
                  <w:pPr>
                    <w:keepNext w:val="0"/>
                    <w:keepLines w:val="0"/>
                    <w:suppressLineNumbers w:val="0"/>
                    <w:tabs>
                      <w:tab w:val="left" w:pos="3620"/>
                    </w:tabs>
                    <w:adjustRightInd w:val="0"/>
                    <w:snapToGrid w:val="0"/>
                    <w:spacing w:before="0" w:beforeAutospacing="0" w:after="0" w:afterAutospacing="0"/>
                    <w:ind w:left="0" w:leftChars="0" w:right="0" w:rightChars="0"/>
                    <w:jc w:val="center"/>
                    <w:rPr>
                      <w:rFonts w:hint="default" w:hAnsi="宋体"/>
                      <w:b/>
                      <w:bCs w:val="0"/>
                      <w:color w:val="000000" w:themeColor="text1"/>
                      <w:sz w:val="21"/>
                      <w:szCs w:val="21"/>
                      <w:highlight w:val="none"/>
                      <w14:textFill>
                        <w14:solidFill>
                          <w14:schemeClr w14:val="tx1"/>
                        </w14:solidFill>
                      </w14:textFill>
                    </w:rPr>
                  </w:pPr>
                  <w:r>
                    <w:rPr>
                      <w:rFonts w:hint="default" w:hAnsi="宋体"/>
                      <w:b/>
                      <w:bCs w:val="0"/>
                      <w:color w:val="000000" w:themeColor="text1"/>
                      <w:sz w:val="21"/>
                      <w:szCs w:val="21"/>
                      <w:highlight w:val="none"/>
                      <w14:textFill>
                        <w14:solidFill>
                          <w14:schemeClr w14:val="tx1"/>
                        </w14:solidFill>
                      </w14:textFill>
                    </w:rPr>
                    <w:t>时间</w:t>
                  </w:r>
                  <w:r>
                    <w:rPr>
                      <w:rFonts w:hint="default"/>
                      <w:b/>
                      <w:bCs w:val="0"/>
                      <w:color w:val="000000" w:themeColor="text1"/>
                      <w:sz w:val="21"/>
                      <w:szCs w:val="21"/>
                      <w:highlight w:val="none"/>
                      <w14:textFill>
                        <w14:solidFill>
                          <w14:schemeClr w14:val="tx1"/>
                        </w14:solidFill>
                      </w14:textFill>
                    </w:rPr>
                    <w:t>/h</w:t>
                  </w:r>
                </w:p>
              </w:tc>
              <w:tc>
                <w:tcPr>
                  <w:tcW w:w="509" w:type="pct"/>
                  <w:tcBorders>
                    <w:left w:val="single" w:color="auto" w:sz="4" w:space="0"/>
                    <w:bottom w:val="single" w:color="auto" w:sz="8" w:space="0"/>
                    <w:right w:val="single" w:color="auto" w:sz="4" w:space="0"/>
                  </w:tcBorders>
                  <w:shd w:val="clear" w:color="auto" w:fill="auto"/>
                  <w:noWrap w:val="0"/>
                  <w:vAlign w:val="center"/>
                </w:tcPr>
                <w:p w14:paraId="7434E37F">
                  <w:pPr>
                    <w:keepNext w:val="0"/>
                    <w:keepLines w:val="0"/>
                    <w:suppressLineNumbers w:val="0"/>
                    <w:tabs>
                      <w:tab w:val="left" w:pos="3620"/>
                    </w:tabs>
                    <w:adjustRightInd w:val="0"/>
                    <w:snapToGrid w:val="0"/>
                    <w:spacing w:before="0" w:beforeAutospacing="0" w:after="0" w:afterAutospacing="0"/>
                    <w:ind w:left="0" w:right="0"/>
                    <w:jc w:val="center"/>
                    <w:rPr>
                      <w:rFonts w:hint="default" w:hAnsi="宋体"/>
                      <w:b/>
                      <w:bCs w:val="0"/>
                      <w:color w:val="000000" w:themeColor="text1"/>
                      <w:sz w:val="21"/>
                      <w:szCs w:val="21"/>
                      <w:highlight w:val="none"/>
                      <w14:textFill>
                        <w14:solidFill>
                          <w14:schemeClr w14:val="tx1"/>
                        </w14:solidFill>
                      </w14:textFill>
                    </w:rPr>
                  </w:pPr>
                  <w:r>
                    <w:rPr>
                      <w:rFonts w:hint="default" w:hAnsi="宋体"/>
                      <w:b/>
                      <w:bCs w:val="0"/>
                      <w:color w:val="000000" w:themeColor="text1"/>
                      <w:sz w:val="21"/>
                      <w:szCs w:val="21"/>
                      <w:highlight w:val="none"/>
                      <w14:textFill>
                        <w14:solidFill>
                          <w14:schemeClr w14:val="tx1"/>
                        </w14:solidFill>
                      </w14:textFill>
                    </w:rPr>
                    <w:t>年发生</w:t>
                  </w:r>
                </w:p>
                <w:p w14:paraId="3DFED963">
                  <w:pPr>
                    <w:keepNext w:val="0"/>
                    <w:keepLines w:val="0"/>
                    <w:suppressLineNumbers w:val="0"/>
                    <w:tabs>
                      <w:tab w:val="left" w:pos="3620"/>
                    </w:tabs>
                    <w:adjustRightInd w:val="0"/>
                    <w:snapToGrid w:val="0"/>
                    <w:spacing w:before="0" w:beforeAutospacing="0" w:after="0" w:afterAutospacing="0"/>
                    <w:ind w:left="0" w:right="0"/>
                    <w:jc w:val="center"/>
                    <w:rPr>
                      <w:rFonts w:hint="default"/>
                      <w:b/>
                      <w:bCs w:val="0"/>
                      <w:color w:val="000000" w:themeColor="text1"/>
                      <w:sz w:val="21"/>
                      <w:szCs w:val="21"/>
                      <w:highlight w:val="none"/>
                      <w14:textFill>
                        <w14:solidFill>
                          <w14:schemeClr w14:val="tx1"/>
                        </w14:solidFill>
                      </w14:textFill>
                    </w:rPr>
                  </w:pPr>
                  <w:r>
                    <w:rPr>
                      <w:rFonts w:hint="default" w:hAnsi="宋体"/>
                      <w:b/>
                      <w:bCs w:val="0"/>
                      <w:color w:val="000000" w:themeColor="text1"/>
                      <w:sz w:val="21"/>
                      <w:szCs w:val="21"/>
                      <w:highlight w:val="none"/>
                      <w14:textFill>
                        <w14:solidFill>
                          <w14:schemeClr w14:val="tx1"/>
                        </w14:solidFill>
                      </w14:textFill>
                    </w:rPr>
                    <w:t>频次</w:t>
                  </w:r>
                  <w:r>
                    <w:rPr>
                      <w:rFonts w:hint="default"/>
                      <w:b/>
                      <w:bCs w:val="0"/>
                      <w:color w:val="000000" w:themeColor="text1"/>
                      <w:sz w:val="21"/>
                      <w:szCs w:val="21"/>
                      <w:highlight w:val="none"/>
                      <w14:textFill>
                        <w14:solidFill>
                          <w14:schemeClr w14:val="tx1"/>
                        </w14:solidFill>
                      </w14:textFill>
                    </w:rPr>
                    <w:t>/</w:t>
                  </w:r>
                  <w:r>
                    <w:rPr>
                      <w:rFonts w:hint="default" w:hAnsi="宋体"/>
                      <w:b/>
                      <w:bCs w:val="0"/>
                      <w:color w:val="000000" w:themeColor="text1"/>
                      <w:sz w:val="21"/>
                      <w:szCs w:val="21"/>
                      <w:highlight w:val="none"/>
                      <w14:textFill>
                        <w14:solidFill>
                          <w14:schemeClr w14:val="tx1"/>
                        </w14:solidFill>
                      </w14:textFill>
                    </w:rPr>
                    <w:t>次</w:t>
                  </w:r>
                </w:p>
              </w:tc>
              <w:tc>
                <w:tcPr>
                  <w:tcW w:w="625" w:type="pct"/>
                  <w:tcBorders>
                    <w:left w:val="single" w:color="auto" w:sz="4" w:space="0"/>
                    <w:bottom w:val="single" w:color="auto" w:sz="8" w:space="0"/>
                  </w:tcBorders>
                  <w:shd w:val="clear" w:color="auto" w:fill="auto"/>
                  <w:noWrap w:val="0"/>
                  <w:vAlign w:val="center"/>
                </w:tcPr>
                <w:p w14:paraId="3EFFD0DB">
                  <w:pPr>
                    <w:keepNext w:val="0"/>
                    <w:keepLines w:val="0"/>
                    <w:suppressLineNumbers w:val="0"/>
                    <w:tabs>
                      <w:tab w:val="left" w:pos="3620"/>
                    </w:tabs>
                    <w:adjustRightInd w:val="0"/>
                    <w:snapToGrid w:val="0"/>
                    <w:spacing w:before="0" w:beforeAutospacing="0" w:after="0" w:afterAutospacing="0"/>
                    <w:ind w:left="0" w:right="0"/>
                    <w:jc w:val="center"/>
                    <w:rPr>
                      <w:rFonts w:hint="default" w:hAnsi="宋体" w:eastAsia="宋体"/>
                      <w:b/>
                      <w:bCs w:val="0"/>
                      <w:color w:val="000000" w:themeColor="text1"/>
                      <w:sz w:val="21"/>
                      <w:szCs w:val="21"/>
                      <w:highlight w:val="none"/>
                      <w:lang w:val="en-US" w:eastAsia="zh-CN"/>
                      <w14:textFill>
                        <w14:solidFill>
                          <w14:schemeClr w14:val="tx1"/>
                        </w14:solidFill>
                      </w14:textFill>
                    </w:rPr>
                  </w:pPr>
                  <w:r>
                    <w:rPr>
                      <w:rFonts w:hint="eastAsia" w:hAnsi="宋体"/>
                      <w:b/>
                      <w:bCs w:val="0"/>
                      <w:color w:val="000000" w:themeColor="text1"/>
                      <w:sz w:val="21"/>
                      <w:szCs w:val="21"/>
                      <w:highlight w:val="none"/>
                      <w:lang w:val="en-US" w:eastAsia="zh-CN"/>
                      <w14:textFill>
                        <w14:solidFill>
                          <w14:schemeClr w14:val="tx1"/>
                        </w14:solidFill>
                      </w14:textFill>
                    </w:rPr>
                    <w:t>非正常排放量kg/a</w:t>
                  </w:r>
                </w:p>
              </w:tc>
            </w:tr>
            <w:tr w14:paraId="0712F9C1">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97" w:hRule="atLeast"/>
                <w:jc w:val="center"/>
              </w:trPr>
              <w:tc>
                <w:tcPr>
                  <w:tcW w:w="614" w:type="pct"/>
                  <w:tcBorders>
                    <w:top w:val="single" w:color="auto" w:sz="8" w:space="0"/>
                    <w:bottom w:val="single" w:color="auto" w:sz="8" w:space="0"/>
                    <w:right w:val="single" w:color="auto" w:sz="4" w:space="0"/>
                  </w:tcBorders>
                  <w:shd w:val="clear" w:color="auto" w:fill="auto"/>
                  <w:noWrap w:val="0"/>
                  <w:vAlign w:val="center"/>
                </w:tcPr>
                <w:p w14:paraId="0171875A">
                  <w:pPr>
                    <w:keepNext w:val="0"/>
                    <w:keepLines w:val="0"/>
                    <w:suppressLineNumbers w:val="0"/>
                    <w:adjustRightInd w:val="0"/>
                    <w:snapToGrid w:val="0"/>
                    <w:spacing w:before="0" w:beforeAutospacing="0" w:after="0" w:afterAutospacing="0"/>
                    <w:ind w:left="0" w:right="0"/>
                    <w:jc w:val="center"/>
                    <w:rPr>
                      <w:rFonts w:hint="eastAsia"/>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DA001</w:t>
                  </w:r>
                </w:p>
              </w:tc>
              <w:tc>
                <w:tcPr>
                  <w:tcW w:w="632" w:type="pct"/>
                  <w:tcBorders>
                    <w:top w:val="single" w:color="auto" w:sz="8" w:space="0"/>
                    <w:left w:val="single" w:color="auto" w:sz="4" w:space="0"/>
                    <w:bottom w:val="single" w:color="auto" w:sz="8" w:space="0"/>
                    <w:right w:val="single" w:color="auto" w:sz="4" w:space="0"/>
                  </w:tcBorders>
                  <w:shd w:val="clear" w:color="auto" w:fill="auto"/>
                  <w:noWrap w:val="0"/>
                  <w:vAlign w:val="center"/>
                </w:tcPr>
                <w:p w14:paraId="2E0152C3">
                  <w:pPr>
                    <w:keepNext w:val="0"/>
                    <w:keepLines w:val="0"/>
                    <w:suppressLineNumbers w:val="0"/>
                    <w:tabs>
                      <w:tab w:val="left" w:pos="3620"/>
                    </w:tabs>
                    <w:adjustRightInd w:val="0"/>
                    <w:snapToGrid w:val="0"/>
                    <w:spacing w:before="0" w:beforeAutospacing="0" w:after="0" w:afterAutospacing="0"/>
                    <w:ind w:left="0" w:leftChars="0" w:right="0" w:rightChars="0"/>
                    <w:jc w:val="center"/>
                    <w:rPr>
                      <w:rFonts w:hint="eastAsia" w:hAnsi="宋体"/>
                      <w:color w:val="000000" w:themeColor="text1"/>
                      <w:sz w:val="21"/>
                      <w:szCs w:val="21"/>
                      <w:highlight w:val="yellow"/>
                      <w:lang w:val="en-US" w:eastAsia="zh-CN"/>
                      <w14:textFill>
                        <w14:solidFill>
                          <w14:schemeClr w14:val="tx1"/>
                        </w14:solidFill>
                      </w14:textFill>
                    </w:rPr>
                  </w:pPr>
                  <w:r>
                    <w:rPr>
                      <w:rFonts w:hint="eastAsia" w:hAnsi="宋体"/>
                      <w:color w:val="000000" w:themeColor="text1"/>
                      <w:sz w:val="21"/>
                      <w:szCs w:val="21"/>
                      <w:highlight w:val="none"/>
                      <w:lang w:val="en-US" w:eastAsia="zh-CN"/>
                      <w14:textFill>
                        <w14:solidFill>
                          <w14:schemeClr w14:val="tx1"/>
                        </w14:solidFill>
                      </w14:textFill>
                    </w:rPr>
                    <w:t>设备检修</w:t>
                  </w:r>
                </w:p>
              </w:tc>
              <w:tc>
                <w:tcPr>
                  <w:tcW w:w="589" w:type="pct"/>
                  <w:tcBorders>
                    <w:top w:val="single" w:color="auto" w:sz="8" w:space="0"/>
                    <w:left w:val="single" w:color="auto" w:sz="4" w:space="0"/>
                    <w:bottom w:val="single" w:color="auto" w:sz="8" w:space="0"/>
                    <w:right w:val="single" w:color="auto" w:sz="4" w:space="0"/>
                  </w:tcBorders>
                  <w:shd w:val="clear" w:color="auto" w:fill="auto"/>
                  <w:noWrap w:val="0"/>
                  <w:vAlign w:val="center"/>
                </w:tcPr>
                <w:p w14:paraId="0E625D55">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cs="Times New Roman"/>
                      <w:color w:val="auto"/>
                      <w:sz w:val="21"/>
                      <w:szCs w:val="21"/>
                      <w:highlight w:val="none"/>
                      <w:vertAlign w:val="baseline"/>
                      <w:lang w:val="en-US" w:eastAsia="zh-CN"/>
                    </w:rPr>
                  </w:pPr>
                  <w:r>
                    <w:rPr>
                      <w:rFonts w:hint="eastAsia"/>
                      <w:b w:val="0"/>
                      <w:bCs w:val="0"/>
                      <w:color w:val="auto"/>
                      <w:sz w:val="21"/>
                      <w:szCs w:val="21"/>
                      <w:vertAlign w:val="baseline"/>
                      <w:lang w:val="en-US" w:eastAsia="zh-CN"/>
                    </w:rPr>
                    <w:t>非甲烷总烃</w:t>
                  </w:r>
                </w:p>
              </w:tc>
              <w:tc>
                <w:tcPr>
                  <w:tcW w:w="810" w:type="pct"/>
                  <w:tcBorders>
                    <w:top w:val="single" w:color="auto" w:sz="8" w:space="0"/>
                    <w:left w:val="single" w:color="auto" w:sz="4" w:space="0"/>
                    <w:bottom w:val="single" w:color="auto" w:sz="8" w:space="0"/>
                    <w:right w:val="single" w:color="auto" w:sz="4" w:space="0"/>
                  </w:tcBorders>
                  <w:shd w:val="clear" w:color="auto" w:fill="auto"/>
                  <w:noWrap w:val="0"/>
                  <w:vAlign w:val="center"/>
                </w:tcPr>
                <w:p w14:paraId="017ECEE0">
                  <w:pPr>
                    <w:keepNext w:val="0"/>
                    <w:keepLines w:val="0"/>
                    <w:suppressLineNumbers w:val="0"/>
                    <w:adjustRightInd w:val="0"/>
                    <w:snapToGrid w:val="0"/>
                    <w:spacing w:before="0" w:beforeAutospacing="0" w:after="0" w:afterAutospacing="0"/>
                    <w:ind w:left="0" w:leftChars="0" w:right="0" w:rightChars="0"/>
                    <w:jc w:val="center"/>
                    <w:rPr>
                      <w:rFonts w:hint="default" w:cs="Times New Roman"/>
                      <w:color w:val="auto"/>
                      <w:sz w:val="21"/>
                      <w:szCs w:val="21"/>
                      <w:highlight w:val="none"/>
                      <w:vertAlign w:val="baseline"/>
                      <w:lang w:val="en-US" w:eastAsia="zh-CN"/>
                    </w:rPr>
                  </w:pPr>
                  <w:r>
                    <w:rPr>
                      <w:rFonts w:hint="eastAsia"/>
                      <w:color w:val="auto"/>
                      <w:sz w:val="21"/>
                      <w:szCs w:val="21"/>
                      <w:highlight w:val="none"/>
                      <w:lang w:val="en-US" w:eastAsia="zh-CN"/>
                    </w:rPr>
                    <w:t>0.4945</w:t>
                  </w:r>
                </w:p>
              </w:tc>
              <w:tc>
                <w:tcPr>
                  <w:tcW w:w="656" w:type="pct"/>
                  <w:tcBorders>
                    <w:left w:val="single" w:color="auto" w:sz="4" w:space="0"/>
                    <w:bottom w:val="single" w:color="auto" w:sz="8" w:space="0"/>
                    <w:right w:val="single" w:color="auto" w:sz="4" w:space="0"/>
                  </w:tcBorders>
                  <w:shd w:val="clear" w:color="auto" w:fill="auto"/>
                  <w:noWrap w:val="0"/>
                  <w:vAlign w:val="center"/>
                </w:tcPr>
                <w:p w14:paraId="358E57E7">
                  <w:pPr>
                    <w:keepNext w:val="0"/>
                    <w:keepLines w:val="0"/>
                    <w:suppressLineNumbers w:val="0"/>
                    <w:tabs>
                      <w:tab w:val="left" w:pos="3620"/>
                    </w:tabs>
                    <w:adjustRightInd w:val="0"/>
                    <w:snapToGrid w:val="0"/>
                    <w:spacing w:before="0" w:beforeAutospacing="0" w:after="0" w:afterAutospacing="0"/>
                    <w:ind w:left="0" w:right="0"/>
                    <w:jc w:val="center"/>
                    <w:rPr>
                      <w:rFonts w:hint="default"/>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107.74</w:t>
                  </w:r>
                </w:p>
              </w:tc>
              <w:tc>
                <w:tcPr>
                  <w:tcW w:w="562" w:type="pct"/>
                  <w:tcBorders>
                    <w:left w:val="single" w:color="auto" w:sz="4" w:space="0"/>
                    <w:bottom w:val="single" w:color="auto" w:sz="8" w:space="0"/>
                    <w:right w:val="single" w:color="auto" w:sz="4" w:space="0"/>
                  </w:tcBorders>
                  <w:shd w:val="clear" w:color="auto" w:fill="auto"/>
                  <w:noWrap w:val="0"/>
                  <w:vAlign w:val="center"/>
                </w:tcPr>
                <w:p w14:paraId="1AD83CA1">
                  <w:pPr>
                    <w:keepNext w:val="0"/>
                    <w:keepLines w:val="0"/>
                    <w:suppressLineNumbers w:val="0"/>
                    <w:tabs>
                      <w:tab w:val="left" w:pos="3620"/>
                    </w:tabs>
                    <w:adjustRightInd w:val="0"/>
                    <w:snapToGrid w:val="0"/>
                    <w:spacing w:before="0" w:beforeAutospacing="0" w:after="0" w:afterAutospacing="0"/>
                    <w:ind w:left="0" w:leftChars="0" w:right="0" w:right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0.5</w:t>
                  </w:r>
                </w:p>
              </w:tc>
              <w:tc>
                <w:tcPr>
                  <w:tcW w:w="509" w:type="pct"/>
                  <w:tcBorders>
                    <w:left w:val="single" w:color="auto" w:sz="4" w:space="0"/>
                    <w:bottom w:val="single" w:color="auto" w:sz="8" w:space="0"/>
                    <w:right w:val="single" w:color="auto" w:sz="4" w:space="0"/>
                  </w:tcBorders>
                  <w:shd w:val="clear" w:color="auto" w:fill="auto"/>
                  <w:noWrap w:val="0"/>
                  <w:vAlign w:val="center"/>
                </w:tcPr>
                <w:p w14:paraId="4DB5ED7F">
                  <w:pPr>
                    <w:keepNext w:val="0"/>
                    <w:keepLines w:val="0"/>
                    <w:suppressLineNumbers w:val="0"/>
                    <w:tabs>
                      <w:tab w:val="left" w:pos="3620"/>
                    </w:tabs>
                    <w:adjustRightInd w:val="0"/>
                    <w:snapToGrid w:val="0"/>
                    <w:spacing w:before="0" w:beforeAutospacing="0" w:after="0" w:afterAutospacing="0"/>
                    <w:ind w:left="0" w:right="0"/>
                    <w:jc w:val="center"/>
                    <w:rPr>
                      <w:rFonts w:hint="eastAsia"/>
                      <w:color w:val="000000" w:themeColor="text1"/>
                      <w:sz w:val="21"/>
                      <w:szCs w:val="21"/>
                      <w:highlight w:val="yellow"/>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w:t>
                  </w:r>
                </w:p>
              </w:tc>
              <w:tc>
                <w:tcPr>
                  <w:tcW w:w="625" w:type="pct"/>
                  <w:tcBorders>
                    <w:left w:val="single" w:color="auto" w:sz="4" w:space="0"/>
                    <w:bottom w:val="single" w:color="auto" w:sz="8" w:space="0"/>
                  </w:tcBorders>
                  <w:shd w:val="clear" w:color="auto" w:fill="auto"/>
                  <w:noWrap w:val="0"/>
                  <w:vAlign w:val="center"/>
                </w:tcPr>
                <w:p w14:paraId="6B3810EC">
                  <w:pPr>
                    <w:keepNext w:val="0"/>
                    <w:keepLines w:val="0"/>
                    <w:suppressLineNumbers w:val="0"/>
                    <w:tabs>
                      <w:tab w:val="left" w:pos="3620"/>
                    </w:tabs>
                    <w:adjustRightInd w:val="0"/>
                    <w:snapToGrid w:val="0"/>
                    <w:spacing w:before="0" w:beforeAutospacing="0" w:after="0" w:afterAutospacing="0"/>
                    <w:ind w:left="0" w:right="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0.2473</w:t>
                  </w:r>
                </w:p>
              </w:tc>
            </w:tr>
          </w:tbl>
          <w:p w14:paraId="7A680F73">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rPr>
                <w:rFonts w:hint="default"/>
              </w:rPr>
            </w:pPr>
            <w:r>
              <w:rPr>
                <w:rFonts w:hint="eastAsia"/>
              </w:rPr>
              <w:t>由上表可知，非正常工况下，污染物排放量</w:t>
            </w:r>
            <w:r>
              <w:rPr>
                <w:rFonts w:hint="default"/>
              </w:rPr>
              <w:t>较大</w:t>
            </w:r>
            <w:r>
              <w:rPr>
                <w:rFonts w:hint="eastAsia"/>
              </w:rPr>
              <w:t>。</w:t>
            </w:r>
            <w:r>
              <w:rPr>
                <w:rFonts w:hint="default"/>
              </w:rPr>
              <w:t>为防止生产</w:t>
            </w:r>
            <w:r>
              <w:rPr>
                <w:rFonts w:hint="eastAsia"/>
              </w:rPr>
              <w:t>过程中出现</w:t>
            </w:r>
            <w:r>
              <w:rPr>
                <w:rFonts w:hint="default"/>
              </w:rPr>
              <w:t>废气非正常排放，企业必须加强废气处理设施的管理，定期检修，确保废气处理设施正常运行</w:t>
            </w:r>
            <w:r>
              <w:rPr>
                <w:rFonts w:hint="eastAsia"/>
              </w:rPr>
              <w:t>。</w:t>
            </w:r>
            <w:r>
              <w:rPr>
                <w:rFonts w:hint="default"/>
              </w:rPr>
              <w:t>在废气处理设备停止运行或出现故障时，产生废气的各工序也必须相应停止生产。</w:t>
            </w:r>
          </w:p>
          <w:p w14:paraId="7C641D63">
            <w:pPr>
              <w:keepNext w:val="0"/>
              <w:keepLines w:val="0"/>
              <w:suppressLineNumbers w:val="0"/>
              <w:adjustRightInd w:val="0"/>
              <w:snapToGrid w:val="0"/>
              <w:spacing w:before="0" w:beforeAutospacing="0" w:after="0" w:afterAutospacing="0" w:line="440" w:lineRule="exact"/>
              <w:ind w:left="0" w:right="0" w:firstLine="482" w:firstLineChars="200"/>
              <w:rPr>
                <w:rFonts w:hint="eastAsia" w:hAnsi="宋体" w:eastAsia="宋体"/>
                <w:lang w:val="en-US" w:eastAsia="zh-CN"/>
              </w:rPr>
            </w:pPr>
            <w:r>
              <w:rPr>
                <w:rFonts w:hint="eastAsia" w:hAnsi="宋体"/>
                <w:b/>
                <w:bCs/>
                <w:lang w:val="en-US" w:eastAsia="zh-CN"/>
              </w:rPr>
              <w:t>5、大气环境影响分析</w:t>
            </w:r>
          </w:p>
          <w:p w14:paraId="75B415DC">
            <w:pPr>
              <w:keepNext w:val="0"/>
              <w:keepLines w:val="0"/>
              <w:pageBreakBefore w:val="0"/>
              <w:widowControl w:val="0"/>
              <w:suppressLineNumbers w:val="0"/>
              <w:kinsoku/>
              <w:wordWrap/>
              <w:topLinePunct w:val="0"/>
              <w:autoSpaceDE/>
              <w:autoSpaceDN/>
              <w:bidi w:val="0"/>
              <w:adjustRightInd w:val="0"/>
              <w:snapToGrid w:val="0"/>
              <w:spacing w:before="0" w:beforeAutospacing="0" w:after="0" w:afterAutospacing="0" w:line="440" w:lineRule="exact"/>
              <w:ind w:left="0" w:right="0" w:firstLine="480" w:firstLineChars="200"/>
              <w:jc w:val="both"/>
              <w:textAlignment w:val="auto"/>
              <w:outlineLvl w:val="9"/>
              <w:rPr>
                <w:rFonts w:hint="default" w:hAnsi="宋体"/>
                <w:lang w:val="en-US" w:eastAsia="zh-CN"/>
              </w:rPr>
            </w:pPr>
            <w:r>
              <w:rPr>
                <w:rFonts w:hint="eastAsia" w:hAnsi="宋体"/>
              </w:rPr>
              <w:t>项目所在区域属于空气环境质量</w:t>
            </w:r>
            <w:r>
              <w:rPr>
                <w:rFonts w:hint="eastAsia" w:hAnsi="宋体"/>
                <w:lang w:eastAsia="zh-CN"/>
              </w:rPr>
              <w:t>不</w:t>
            </w:r>
            <w:r>
              <w:rPr>
                <w:rFonts w:hint="eastAsia" w:hAnsi="宋体"/>
              </w:rPr>
              <w:t>达标区，超标污染物为</w:t>
            </w:r>
            <w:r>
              <w:rPr>
                <w:rFonts w:hint="default" w:hAnsi="宋体"/>
              </w:rPr>
              <w:t>PM</w:t>
            </w:r>
            <w:r>
              <w:rPr>
                <w:rFonts w:hint="default" w:hAnsi="宋体"/>
                <w:vertAlign w:val="subscript"/>
              </w:rPr>
              <w:t>10</w:t>
            </w:r>
            <w:r>
              <w:rPr>
                <w:rFonts w:hint="default" w:hAnsi="宋体"/>
              </w:rPr>
              <w:t>、PM</w:t>
            </w:r>
            <w:r>
              <w:rPr>
                <w:rFonts w:hint="default" w:hAnsi="宋体"/>
                <w:vertAlign w:val="subscript"/>
              </w:rPr>
              <w:t>2.5</w:t>
            </w:r>
            <w:r>
              <w:rPr>
                <w:rFonts w:hint="default" w:hAnsi="宋体"/>
              </w:rPr>
              <w:t>、O</w:t>
            </w:r>
            <w:r>
              <w:rPr>
                <w:rFonts w:hint="default" w:hAnsi="宋体"/>
                <w:vertAlign w:val="subscript"/>
              </w:rPr>
              <w:t>3</w:t>
            </w:r>
            <w:r>
              <w:rPr>
                <w:rFonts w:hint="eastAsia" w:hAnsi="宋体"/>
              </w:rPr>
              <w:t>，项目产生的</w:t>
            </w:r>
            <w:r>
              <w:rPr>
                <w:rFonts w:hint="eastAsia" w:hAnsi="宋体"/>
                <w:lang w:val="en-US" w:eastAsia="zh-CN"/>
              </w:rPr>
              <w:t>非甲烷总烃</w:t>
            </w:r>
            <w:r>
              <w:rPr>
                <w:rFonts w:hint="eastAsia" w:hAnsi="宋体"/>
              </w:rPr>
              <w:t>通过削减区域现有污染源排放量进行替代。项目厂区周边</w:t>
            </w:r>
            <w:r>
              <w:rPr>
                <w:rFonts w:hint="eastAsia" w:hAnsi="宋体"/>
                <w:lang w:val="en-US" w:eastAsia="zh-CN"/>
              </w:rPr>
              <w:t>最近的敏感点为南侧距离260米处的南位庄村</w:t>
            </w:r>
            <w:r>
              <w:rPr>
                <w:rFonts w:hint="eastAsia" w:hAnsi="宋体"/>
              </w:rPr>
              <w:t>。</w:t>
            </w:r>
            <w:r>
              <w:rPr>
                <w:rFonts w:hint="eastAsia" w:hAnsi="宋体"/>
                <w:lang w:eastAsia="zh-CN"/>
              </w:rPr>
              <w:t>本项目非甲烷总烃能够满足《合成树脂工业污染物排放标准》（GB31572-2015）表5非甲烷总烃60mg/m</w:t>
            </w:r>
            <w:r>
              <w:rPr>
                <w:rFonts w:hint="eastAsia" w:hAnsi="宋体"/>
                <w:vertAlign w:val="superscript"/>
                <w:lang w:eastAsia="zh-CN"/>
              </w:rPr>
              <w:t>3</w:t>
            </w:r>
            <w:r>
              <w:rPr>
                <w:rFonts w:hint="eastAsia" w:hAnsi="宋体"/>
                <w:lang w:eastAsia="zh-CN"/>
              </w:rPr>
              <w:t>（单位产品非甲烷总烃排放量≤0.3kg/t-产品）及企业边界大气污染物浓度非甲烷总烃4.0mg/m</w:t>
            </w:r>
            <w:r>
              <w:rPr>
                <w:rFonts w:hint="eastAsia" w:hAnsi="宋体"/>
                <w:vertAlign w:val="superscript"/>
                <w:lang w:eastAsia="zh-CN"/>
              </w:rPr>
              <w:t>3</w:t>
            </w:r>
            <w:r>
              <w:rPr>
                <w:rFonts w:hint="eastAsia" w:hAnsi="宋体"/>
                <w:lang w:eastAsia="zh-CN"/>
              </w:rPr>
              <w:t>的限值，满足《关于全省开展工业企业挥发性有机物专项治理工作中排放建议的通知》（豫环攻坚办[2017]162号）工业企业边界非甲烷总烃2.0mg/m</w:t>
            </w:r>
            <w:r>
              <w:rPr>
                <w:rFonts w:hint="eastAsia" w:hAnsi="宋体"/>
                <w:vertAlign w:val="superscript"/>
                <w:lang w:eastAsia="zh-CN"/>
              </w:rPr>
              <w:t>3</w:t>
            </w:r>
            <w:r>
              <w:rPr>
                <w:rFonts w:hint="eastAsia" w:hAnsi="宋体"/>
                <w:lang w:eastAsia="zh-CN"/>
              </w:rPr>
              <w:t>的限值要求；满足河南省重污染天气</w:t>
            </w:r>
            <w:r>
              <w:rPr>
                <w:rFonts w:hint="eastAsia" w:hAnsi="宋体"/>
                <w:lang w:val="en-US" w:eastAsia="zh-CN"/>
              </w:rPr>
              <w:t>通用</w:t>
            </w:r>
            <w:r>
              <w:rPr>
                <w:rFonts w:hint="eastAsia" w:hAnsi="宋体"/>
                <w:lang w:eastAsia="zh-CN"/>
              </w:rPr>
              <w:t>行业应急减排措施制定技术指南（202</w:t>
            </w:r>
            <w:r>
              <w:rPr>
                <w:rFonts w:hint="eastAsia" w:hAnsi="宋体"/>
                <w:lang w:val="en-US" w:eastAsia="zh-CN"/>
              </w:rPr>
              <w:t>4</w:t>
            </w:r>
            <w:r>
              <w:rPr>
                <w:rFonts w:hint="eastAsia" w:hAnsi="宋体"/>
                <w:lang w:eastAsia="zh-CN"/>
              </w:rPr>
              <w:t>年修订版）》中</w:t>
            </w:r>
            <w:r>
              <w:rPr>
                <w:rFonts w:hint="eastAsia" w:hAnsi="宋体"/>
                <w:lang w:val="en-US" w:eastAsia="zh-CN"/>
              </w:rPr>
              <w:t>涉VOCs绩效分级引领性指标</w:t>
            </w:r>
            <w:r>
              <w:rPr>
                <w:rFonts w:hint="eastAsia" w:hAnsi="宋体"/>
                <w:lang w:eastAsia="zh-CN"/>
              </w:rPr>
              <w:t>中非甲烷总烃</w:t>
            </w:r>
            <w:r>
              <w:rPr>
                <w:rFonts w:hint="eastAsia" w:hAnsi="宋体"/>
                <w:lang w:val="en-US" w:eastAsia="zh-CN"/>
              </w:rPr>
              <w:t>30</w:t>
            </w:r>
            <w:r>
              <w:rPr>
                <w:rFonts w:hint="eastAsia" w:hAnsi="宋体"/>
                <w:lang w:eastAsia="zh-CN"/>
              </w:rPr>
              <w:t>mg/m</w:t>
            </w:r>
            <w:r>
              <w:rPr>
                <w:rFonts w:hint="eastAsia" w:hAnsi="宋体"/>
                <w:vertAlign w:val="superscript"/>
                <w:lang w:eastAsia="zh-CN"/>
              </w:rPr>
              <w:t>3</w:t>
            </w:r>
            <w:r>
              <w:rPr>
                <w:rFonts w:hint="eastAsia" w:hAnsi="宋体"/>
                <w:lang w:eastAsia="zh-CN"/>
              </w:rPr>
              <w:t>的要求，满足《挥发性有机物无组织排放控制标准》（GB37822—2019）非甲烷总烃厂房外6.0mg/m</w:t>
            </w:r>
            <w:r>
              <w:rPr>
                <w:rFonts w:hint="eastAsia" w:hAnsi="宋体"/>
                <w:vertAlign w:val="superscript"/>
                <w:lang w:eastAsia="zh-CN"/>
              </w:rPr>
              <w:t>3</w:t>
            </w:r>
            <w:r>
              <w:rPr>
                <w:rFonts w:hint="eastAsia" w:hAnsi="宋体"/>
                <w:lang w:eastAsia="zh-CN"/>
              </w:rPr>
              <w:t>限值要求，</w:t>
            </w:r>
            <w:r>
              <w:rPr>
                <w:rFonts w:hint="eastAsia"/>
                <w:bCs/>
                <w:color w:val="000000"/>
                <w:sz w:val="24"/>
                <w:szCs w:val="24"/>
                <w:highlight w:val="none"/>
                <w:vertAlign w:val="baseline"/>
                <w:lang w:val="en-US" w:eastAsia="zh-CN"/>
              </w:rPr>
              <w:t>《重污染天气重点行业应急减排措施制定技术指南》（2020年修订版）包装装潢及其他印刷A级要求有组织排放浓度为20-30mg/m</w:t>
            </w:r>
            <w:r>
              <w:rPr>
                <w:rFonts w:hint="eastAsia"/>
                <w:bCs/>
                <w:color w:val="000000"/>
                <w:sz w:val="24"/>
                <w:szCs w:val="24"/>
                <w:highlight w:val="none"/>
                <w:vertAlign w:val="superscript"/>
                <w:lang w:val="en-US" w:eastAsia="zh-CN"/>
              </w:rPr>
              <w:t>3</w:t>
            </w:r>
            <w:r>
              <w:rPr>
                <w:rFonts w:hint="eastAsia" w:hAnsi="宋体"/>
                <w:lang w:eastAsia="zh-CN"/>
              </w:rPr>
              <w:t>的</w:t>
            </w:r>
            <w:r>
              <w:rPr>
                <w:rFonts w:hint="eastAsia" w:hAnsi="宋体"/>
                <w:lang w:val="en-US" w:eastAsia="zh-CN"/>
              </w:rPr>
              <w:t>限值要求下，通过区域削减和污染物扩散，不会对周边环境造成明显影响。</w:t>
            </w:r>
          </w:p>
          <w:p w14:paraId="6AF6F8F8">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b/>
                <w:bCs/>
                <w:lang w:val="en-US" w:eastAsia="zh-CN"/>
              </w:rPr>
            </w:pPr>
            <w:r>
              <w:rPr>
                <w:rFonts w:hint="eastAsia" w:hAnsi="宋体"/>
              </w:rPr>
              <w:t>综上所述，评价认为项目建成运行过程中对周围大气环境影响可以接受。</w:t>
            </w:r>
          </w:p>
          <w:p w14:paraId="0BD91079">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2" w:firstLineChars="200"/>
              <w:jc w:val="both"/>
              <w:textAlignment w:val="auto"/>
              <w:rPr>
                <w:rFonts w:hint="default" w:hAnsi="宋体"/>
                <w:b/>
                <w:bCs/>
                <w:color w:val="FF0000"/>
                <w:sz w:val="24"/>
                <w:highlight w:val="none"/>
                <w:lang w:val="en-US" w:eastAsia="zh-CN"/>
              </w:rPr>
            </w:pPr>
            <w:r>
              <w:rPr>
                <w:rFonts w:hint="eastAsia" w:hAnsi="宋体"/>
                <w:b/>
                <w:bCs/>
                <w:color w:val="000000" w:themeColor="text1"/>
                <w:sz w:val="24"/>
                <w:highlight w:val="none"/>
                <w:lang w:val="en-US" w:eastAsia="zh-CN"/>
                <w14:textFill>
                  <w14:solidFill>
                    <w14:schemeClr w14:val="tx1"/>
                  </w14:solidFill>
                </w14:textFill>
              </w:rPr>
              <w:t>6、废气监测要求</w:t>
            </w:r>
          </w:p>
          <w:p w14:paraId="579F0FC6">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rPr>
                <w:rFonts w:hint="default" w:ascii="宋体" w:hAnsi="宋体"/>
                <w:b/>
                <w:color w:val="FF0000"/>
                <w:sz w:val="24"/>
                <w:highlight w:val="none"/>
              </w:rPr>
            </w:pPr>
            <w:r>
              <w:rPr>
                <w:rFonts w:hint="eastAsia"/>
                <w:bCs/>
                <w:color w:val="000000" w:themeColor="text1"/>
                <w:sz w:val="24"/>
                <w14:textFill>
                  <w14:solidFill>
                    <w14:schemeClr w14:val="tx1"/>
                  </w14:solidFill>
                </w14:textFill>
              </w:rPr>
              <w:t>根据</w:t>
            </w:r>
            <w:r>
              <w:rPr>
                <w:rFonts w:hint="default"/>
                <w:bCs/>
                <w:color w:val="000000" w:themeColor="text1"/>
                <w:sz w:val="24"/>
                <w14:textFill>
                  <w14:solidFill>
                    <w14:schemeClr w14:val="tx1"/>
                  </w14:solidFill>
                </w14:textFill>
              </w:rPr>
              <w:t>《</w:t>
            </w:r>
            <w:r>
              <w:rPr>
                <w:rFonts w:hint="eastAsia"/>
                <w:bCs/>
                <w:color w:val="000000" w:themeColor="text1"/>
                <w:sz w:val="24"/>
                <w:lang w:val="en-US" w:eastAsia="zh-CN"/>
                <w14:textFill>
                  <w14:solidFill>
                    <w14:schemeClr w14:val="tx1"/>
                  </w14:solidFill>
                </w14:textFill>
              </w:rPr>
              <w:t>排污单位自行监测技术指南</w:t>
            </w:r>
            <w:r>
              <w:rPr>
                <w:rFonts w:hint="default"/>
                <w:bCs/>
                <w:color w:val="000000" w:themeColor="text1"/>
                <w:sz w:val="24"/>
                <w14:textFill>
                  <w14:solidFill>
                    <w14:schemeClr w14:val="tx1"/>
                  </w14:solidFill>
                </w14:textFill>
              </w:rPr>
              <w:t xml:space="preserve"> </w:t>
            </w:r>
            <w:r>
              <w:rPr>
                <w:rFonts w:hint="eastAsia"/>
                <w:bCs/>
                <w:color w:val="000000" w:themeColor="text1"/>
                <w:sz w:val="24"/>
                <w:lang w:val="en-US" w:eastAsia="zh-CN"/>
                <w14:textFill>
                  <w14:solidFill>
                    <w14:schemeClr w14:val="tx1"/>
                  </w14:solidFill>
                </w14:textFill>
              </w:rPr>
              <w:t>印刷工业</w:t>
            </w:r>
            <w:r>
              <w:rPr>
                <w:rFonts w:hint="default"/>
                <w:bCs/>
                <w:color w:val="000000" w:themeColor="text1"/>
                <w:sz w:val="24"/>
                <w14:textFill>
                  <w14:solidFill>
                    <w14:schemeClr w14:val="tx1"/>
                  </w14:solidFill>
                </w14:textFill>
              </w:rPr>
              <w:t>》（HJ</w:t>
            </w:r>
            <w:r>
              <w:rPr>
                <w:rFonts w:hint="eastAsia"/>
                <w:bCs/>
                <w:color w:val="000000" w:themeColor="text1"/>
                <w:sz w:val="24"/>
                <w:lang w:val="en-US" w:eastAsia="zh-CN"/>
                <w14:textFill>
                  <w14:solidFill>
                    <w14:schemeClr w14:val="tx1"/>
                  </w14:solidFill>
                </w14:textFill>
              </w:rPr>
              <w:t>1246</w:t>
            </w:r>
            <w:r>
              <w:rPr>
                <w:rFonts w:hint="default"/>
                <w:bCs/>
                <w:color w:val="000000" w:themeColor="text1"/>
                <w:sz w:val="24"/>
                <w14:textFill>
                  <w14:solidFill>
                    <w14:schemeClr w14:val="tx1"/>
                  </w14:solidFill>
                </w14:textFill>
              </w:rPr>
              <w:t>—</w:t>
            </w:r>
            <w:r>
              <w:rPr>
                <w:rFonts w:hint="eastAsia"/>
                <w:bCs/>
                <w:color w:val="000000" w:themeColor="text1"/>
                <w:sz w:val="24"/>
                <w:lang w:val="en-US" w:eastAsia="zh-CN"/>
                <w14:textFill>
                  <w14:solidFill>
                    <w14:schemeClr w14:val="tx1"/>
                  </w14:solidFill>
                </w14:textFill>
              </w:rPr>
              <w:t>2022</w:t>
            </w:r>
            <w:r>
              <w:rPr>
                <w:rFonts w:hint="default"/>
                <w:bCs/>
                <w:color w:val="000000" w:themeColor="text1"/>
                <w:sz w:val="24"/>
                <w14:textFill>
                  <w14:solidFill>
                    <w14:schemeClr w14:val="tx1"/>
                  </w14:solidFill>
                </w14:textFill>
              </w:rPr>
              <w:t>）</w:t>
            </w:r>
            <w:r>
              <w:rPr>
                <w:rFonts w:hint="eastAsia"/>
                <w:bCs/>
                <w:color w:val="000000" w:themeColor="text1"/>
                <w:sz w:val="24"/>
                <w:lang w:val="en-US" w:eastAsia="zh-CN"/>
                <w14:textFill>
                  <w14:solidFill>
                    <w14:schemeClr w14:val="tx1"/>
                  </w14:solidFill>
                </w14:textFill>
              </w:rPr>
              <w:t>和</w:t>
            </w:r>
            <w:r>
              <w:rPr>
                <w:rFonts w:hint="default"/>
                <w:bCs/>
                <w:color w:val="000000" w:themeColor="text1"/>
                <w:sz w:val="24"/>
                <w14:textFill>
                  <w14:solidFill>
                    <w14:schemeClr w14:val="tx1"/>
                  </w14:solidFill>
                </w14:textFill>
              </w:rPr>
              <w:t>《</w:t>
            </w:r>
            <w:r>
              <w:rPr>
                <w:rFonts w:hint="eastAsia"/>
                <w:bCs/>
                <w:color w:val="000000" w:themeColor="text1"/>
                <w:sz w:val="24"/>
                <w:lang w:val="en-US" w:eastAsia="zh-CN"/>
                <w14:textFill>
                  <w14:solidFill>
                    <w14:schemeClr w14:val="tx1"/>
                  </w14:solidFill>
                </w14:textFill>
              </w:rPr>
              <w:t>排污单位自行监测技术指南</w:t>
            </w:r>
            <w:r>
              <w:rPr>
                <w:rFonts w:hint="default"/>
                <w:bCs/>
                <w:color w:val="000000" w:themeColor="text1"/>
                <w:sz w:val="24"/>
                <w14:textFill>
                  <w14:solidFill>
                    <w14:schemeClr w14:val="tx1"/>
                  </w14:solidFill>
                </w14:textFill>
              </w:rPr>
              <w:t xml:space="preserve"> </w:t>
            </w:r>
            <w:r>
              <w:rPr>
                <w:rFonts w:hint="eastAsia"/>
                <w:bCs/>
                <w:color w:val="000000" w:themeColor="text1"/>
                <w:sz w:val="24"/>
                <w:lang w:val="en-US" w:eastAsia="zh-CN"/>
                <w14:textFill>
                  <w14:solidFill>
                    <w14:schemeClr w14:val="tx1"/>
                  </w14:solidFill>
                </w14:textFill>
              </w:rPr>
              <w:t>总则</w:t>
            </w:r>
            <w:r>
              <w:rPr>
                <w:rFonts w:hint="default"/>
                <w:bCs/>
                <w:color w:val="000000" w:themeColor="text1"/>
                <w:sz w:val="24"/>
                <w14:textFill>
                  <w14:solidFill>
                    <w14:schemeClr w14:val="tx1"/>
                  </w14:solidFill>
                </w14:textFill>
              </w:rPr>
              <w:t>》（HJ</w:t>
            </w:r>
            <w:r>
              <w:rPr>
                <w:rFonts w:hint="eastAsia"/>
                <w:bCs/>
                <w:color w:val="000000" w:themeColor="text1"/>
                <w:sz w:val="24"/>
                <w:lang w:val="en-US" w:eastAsia="zh-CN"/>
                <w14:textFill>
                  <w14:solidFill>
                    <w14:schemeClr w14:val="tx1"/>
                  </w14:solidFill>
                </w14:textFill>
              </w:rPr>
              <w:t>819</w:t>
            </w:r>
            <w:r>
              <w:rPr>
                <w:rFonts w:hint="default"/>
                <w:bCs/>
                <w:color w:val="000000" w:themeColor="text1"/>
                <w:sz w:val="24"/>
                <w14:textFill>
                  <w14:solidFill>
                    <w14:schemeClr w14:val="tx1"/>
                  </w14:solidFill>
                </w14:textFill>
              </w:rPr>
              <w:t>—</w:t>
            </w:r>
            <w:r>
              <w:rPr>
                <w:rFonts w:hint="eastAsia"/>
                <w:bCs/>
                <w:color w:val="000000" w:themeColor="text1"/>
                <w:sz w:val="24"/>
                <w:lang w:val="en-US" w:eastAsia="zh-CN"/>
                <w14:textFill>
                  <w14:solidFill>
                    <w14:schemeClr w14:val="tx1"/>
                  </w14:solidFill>
                </w14:textFill>
              </w:rPr>
              <w:t>2017</w:t>
            </w:r>
            <w:r>
              <w:rPr>
                <w:rFonts w:hint="default"/>
                <w:bCs/>
                <w:color w:val="000000" w:themeColor="text1"/>
                <w:sz w:val="24"/>
                <w14:textFill>
                  <w14:solidFill>
                    <w14:schemeClr w14:val="tx1"/>
                  </w14:solidFill>
                </w14:textFill>
              </w:rPr>
              <w:t>）</w:t>
            </w:r>
            <w:r>
              <w:rPr>
                <w:rFonts w:hint="eastAsia" w:hAnsi="宋体"/>
                <w:color w:val="000000" w:themeColor="text1"/>
                <w:sz w:val="24"/>
                <w14:textFill>
                  <w14:solidFill>
                    <w14:schemeClr w14:val="tx1"/>
                  </w14:solidFill>
                </w14:textFill>
              </w:rPr>
              <w:t>，</w:t>
            </w:r>
            <w:r>
              <w:rPr>
                <w:rFonts w:hint="default" w:hAnsi="宋体"/>
                <w:color w:val="000000" w:themeColor="text1"/>
                <w:sz w:val="24"/>
                <w:lang w:val="en-GB"/>
                <w14:textFill>
                  <w14:solidFill>
                    <w14:schemeClr w14:val="tx1"/>
                  </w14:solidFill>
                </w14:textFill>
              </w:rPr>
              <w:t>本项目废气监测要求如下表。</w:t>
            </w:r>
          </w:p>
          <w:p w14:paraId="07E95D11">
            <w:pPr>
              <w:keepNext w:val="0"/>
              <w:keepLines w:val="0"/>
              <w:suppressLineNumbers w:val="0"/>
              <w:tabs>
                <w:tab w:val="left" w:pos="3620"/>
              </w:tabs>
              <w:adjustRightInd w:val="0"/>
              <w:snapToGrid w:val="0"/>
              <w:spacing w:before="0" w:beforeAutospacing="0" w:after="0" w:afterAutospacing="0" w:line="440" w:lineRule="exact"/>
              <w:ind w:left="0" w:right="0"/>
              <w:jc w:val="center"/>
              <w:rPr>
                <w:rFonts w:hint="default" w:ascii="宋体" w:hAnsi="宋体"/>
                <w:b/>
                <w:color w:val="000000" w:themeColor="text1"/>
                <w:sz w:val="24"/>
                <w:highlight w:val="none"/>
                <w14:textFill>
                  <w14:solidFill>
                    <w14:schemeClr w14:val="tx1"/>
                  </w14:solidFill>
                </w14:textFill>
              </w:rPr>
            </w:pPr>
          </w:p>
          <w:p w14:paraId="37A7E6D7">
            <w:pPr>
              <w:pStyle w:val="21"/>
              <w:keepNext w:val="0"/>
              <w:keepLines w:val="0"/>
              <w:suppressLineNumbers w:val="0"/>
              <w:spacing w:before="0" w:beforeAutospacing="0" w:afterAutospacing="0"/>
              <w:ind w:right="0"/>
              <w:rPr>
                <w:rFonts w:hint="default"/>
              </w:rPr>
            </w:pPr>
          </w:p>
          <w:p w14:paraId="6900F312">
            <w:pPr>
              <w:keepNext w:val="0"/>
              <w:keepLines w:val="0"/>
              <w:suppressLineNumbers w:val="0"/>
              <w:tabs>
                <w:tab w:val="left" w:pos="3620"/>
              </w:tabs>
              <w:adjustRightInd w:val="0"/>
              <w:snapToGrid w:val="0"/>
              <w:spacing w:before="0" w:beforeAutospacing="0" w:after="0" w:afterAutospacing="0" w:line="440" w:lineRule="exact"/>
              <w:ind w:left="0" w:right="0"/>
              <w:jc w:val="center"/>
              <w:rPr>
                <w:rFonts w:hint="default" w:ascii="宋体" w:hAnsi="宋体"/>
                <w:b/>
                <w:color w:val="000000" w:themeColor="text1"/>
                <w:sz w:val="24"/>
                <w:highlight w:val="none"/>
                <w14:textFill>
                  <w14:solidFill>
                    <w14:schemeClr w14:val="tx1"/>
                  </w14:solidFill>
                </w14:textFill>
              </w:rPr>
            </w:pPr>
            <w:r>
              <w:rPr>
                <w:rFonts w:hint="default" w:ascii="宋体" w:hAnsi="宋体"/>
                <w:b/>
                <w:color w:val="000000" w:themeColor="text1"/>
                <w:sz w:val="24"/>
                <w:highlight w:val="none"/>
                <w14:textFill>
                  <w14:solidFill>
                    <w14:schemeClr w14:val="tx1"/>
                  </w14:solidFill>
                </w14:textFill>
              </w:rPr>
              <w:t>表</w:t>
            </w:r>
            <w:r>
              <w:rPr>
                <w:rFonts w:hint="eastAsia" w:cs="Times New Roman"/>
                <w:b/>
                <w:color w:val="000000" w:themeColor="text1"/>
                <w:sz w:val="24"/>
                <w:highlight w:val="none"/>
                <w:lang w:val="en-US" w:eastAsia="zh-CN"/>
                <w14:textFill>
                  <w14:solidFill>
                    <w14:schemeClr w14:val="tx1"/>
                  </w14:solidFill>
                </w14:textFill>
              </w:rPr>
              <w:t>27</w:t>
            </w:r>
            <w:r>
              <w:rPr>
                <w:rFonts w:hint="eastAsia" w:ascii="宋体" w:hAnsi="宋体"/>
                <w:b/>
                <w:color w:val="000000" w:themeColor="text1"/>
                <w:sz w:val="24"/>
                <w:highlight w:val="none"/>
                <w:lang w:val="en-US" w:eastAsia="zh-CN"/>
                <w14:textFill>
                  <w14:solidFill>
                    <w14:schemeClr w14:val="tx1"/>
                  </w14:solidFill>
                </w14:textFill>
              </w:rPr>
              <w:t xml:space="preserve">  </w:t>
            </w:r>
            <w:r>
              <w:rPr>
                <w:rFonts w:hint="eastAsia" w:ascii="宋体" w:hAnsi="宋体"/>
                <w:b/>
                <w:color w:val="000000" w:themeColor="text1"/>
                <w:sz w:val="24"/>
                <w:highlight w:val="none"/>
                <w14:textFill>
                  <w14:solidFill>
                    <w14:schemeClr w14:val="tx1"/>
                  </w14:solidFill>
                </w14:textFill>
              </w:rPr>
              <w:t>本项目</w:t>
            </w:r>
            <w:r>
              <w:rPr>
                <w:rFonts w:hint="default" w:ascii="宋体" w:hAnsi="宋体"/>
                <w:b/>
                <w:color w:val="000000" w:themeColor="text1"/>
                <w:sz w:val="24"/>
                <w:highlight w:val="none"/>
                <w14:textFill>
                  <w14:solidFill>
                    <w14:schemeClr w14:val="tx1"/>
                  </w14:solidFill>
                </w14:textFill>
              </w:rPr>
              <w:t>废气监测要求</w:t>
            </w:r>
          </w:p>
          <w:tbl>
            <w:tblPr>
              <w:tblStyle w:val="22"/>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Layout w:type="fixed"/>
              <w:tblCellMar>
                <w:top w:w="0" w:type="dxa"/>
                <w:left w:w="108" w:type="dxa"/>
                <w:bottom w:w="0" w:type="dxa"/>
                <w:right w:w="108" w:type="dxa"/>
              </w:tblCellMar>
            </w:tblPr>
            <w:tblGrid>
              <w:gridCol w:w="2445"/>
              <w:gridCol w:w="3377"/>
              <w:gridCol w:w="2794"/>
            </w:tblGrid>
            <w:tr w14:paraId="69A3072A">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97" w:hRule="atLeast"/>
                <w:jc w:val="center"/>
              </w:trPr>
              <w:tc>
                <w:tcPr>
                  <w:tcW w:w="2445" w:type="dxa"/>
                  <w:tcBorders>
                    <w:right w:val="single" w:color="auto" w:sz="4" w:space="0"/>
                  </w:tcBorders>
                  <w:shd w:val="clear" w:color="auto" w:fill="auto"/>
                  <w:noWrap w:val="0"/>
                  <w:vAlign w:val="center"/>
                </w:tcPr>
                <w:p w14:paraId="59F07F18">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监测点位</w:t>
                  </w:r>
                </w:p>
              </w:tc>
              <w:tc>
                <w:tcPr>
                  <w:tcW w:w="3377" w:type="dxa"/>
                  <w:tcBorders>
                    <w:left w:val="single" w:color="auto" w:sz="4" w:space="0"/>
                    <w:right w:val="single" w:color="auto" w:sz="4" w:space="0"/>
                  </w:tcBorders>
                  <w:shd w:val="clear" w:color="auto" w:fill="auto"/>
                  <w:noWrap w:val="0"/>
                  <w:vAlign w:val="center"/>
                </w:tcPr>
                <w:p w14:paraId="3C34A17D">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监测因子</w:t>
                  </w:r>
                </w:p>
              </w:tc>
              <w:tc>
                <w:tcPr>
                  <w:tcW w:w="2794" w:type="dxa"/>
                  <w:tcBorders>
                    <w:left w:val="single" w:color="auto" w:sz="4" w:space="0"/>
                  </w:tcBorders>
                  <w:shd w:val="clear" w:color="auto" w:fill="auto"/>
                  <w:noWrap w:val="0"/>
                  <w:vAlign w:val="center"/>
                </w:tcPr>
                <w:p w14:paraId="2623FCE5">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000000" w:themeColor="text1"/>
                      <w:sz w:val="21"/>
                      <w:szCs w:val="21"/>
                      <w14:textFill>
                        <w14:solidFill>
                          <w14:schemeClr w14:val="tx1"/>
                        </w14:solidFill>
                      </w14:textFill>
                    </w:rPr>
                  </w:pPr>
                  <w:r>
                    <w:rPr>
                      <w:rFonts w:hint="default" w:hAnsi="宋体"/>
                      <w:b/>
                      <w:color w:val="000000" w:themeColor="text1"/>
                      <w:sz w:val="21"/>
                      <w:szCs w:val="21"/>
                      <w14:textFill>
                        <w14:solidFill>
                          <w14:schemeClr w14:val="tx1"/>
                        </w14:solidFill>
                      </w14:textFill>
                    </w:rPr>
                    <w:t>监测频次</w:t>
                  </w:r>
                </w:p>
              </w:tc>
            </w:tr>
            <w:tr w14:paraId="68A5E472">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97" w:hRule="atLeast"/>
                <w:jc w:val="center"/>
              </w:trPr>
              <w:tc>
                <w:tcPr>
                  <w:tcW w:w="2445" w:type="dxa"/>
                  <w:tcBorders>
                    <w:bottom w:val="single" w:color="auto" w:sz="4" w:space="0"/>
                    <w:right w:val="single" w:color="auto" w:sz="4" w:space="0"/>
                  </w:tcBorders>
                  <w:shd w:val="clear" w:color="auto" w:fill="auto"/>
                  <w:noWrap w:val="0"/>
                  <w:vAlign w:val="center"/>
                </w:tcPr>
                <w:p w14:paraId="608F4F30">
                  <w:pPr>
                    <w:keepNext w:val="0"/>
                    <w:keepLines w:val="0"/>
                    <w:suppressLineNumbers w:val="0"/>
                    <w:adjustRightInd w:val="0"/>
                    <w:snapToGrid w:val="0"/>
                    <w:spacing w:before="0" w:beforeAutospacing="0" w:after="0" w:afterAutospacing="0"/>
                    <w:ind w:left="0" w:right="0"/>
                    <w:jc w:val="center"/>
                    <w:rPr>
                      <w:rFonts w:hint="eastAsia" w:eastAsia="宋体"/>
                      <w:color w:val="000000" w:themeColor="text1"/>
                      <w:sz w:val="21"/>
                      <w:szCs w:val="21"/>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DA00</w:t>
                  </w:r>
                  <w:r>
                    <w:rPr>
                      <w:rFonts w:hint="eastAsia"/>
                      <w:color w:val="000000" w:themeColor="text1"/>
                      <w:sz w:val="21"/>
                      <w:szCs w:val="21"/>
                      <w:lang w:val="en-US" w:eastAsia="zh-CN"/>
                      <w14:textFill>
                        <w14:solidFill>
                          <w14:schemeClr w14:val="tx1"/>
                        </w14:solidFill>
                      </w14:textFill>
                    </w:rPr>
                    <w:t>1</w:t>
                  </w:r>
                </w:p>
              </w:tc>
              <w:tc>
                <w:tcPr>
                  <w:tcW w:w="3377" w:type="dxa"/>
                  <w:tcBorders>
                    <w:left w:val="single" w:color="auto" w:sz="4" w:space="0"/>
                    <w:bottom w:val="single" w:color="auto" w:sz="4" w:space="0"/>
                    <w:right w:val="single" w:color="auto" w:sz="4" w:space="0"/>
                  </w:tcBorders>
                  <w:shd w:val="clear" w:color="auto" w:fill="auto"/>
                  <w:noWrap w:val="0"/>
                  <w:vAlign w:val="center"/>
                </w:tcPr>
                <w:p w14:paraId="1CF55047">
                  <w:pPr>
                    <w:keepNext w:val="0"/>
                    <w:keepLines w:val="0"/>
                    <w:suppressLineNumbers w:val="0"/>
                    <w:tabs>
                      <w:tab w:val="left" w:pos="3620"/>
                    </w:tabs>
                    <w:adjustRightInd w:val="0"/>
                    <w:snapToGrid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非甲烷总烃</w:t>
                  </w:r>
                </w:p>
              </w:tc>
              <w:tc>
                <w:tcPr>
                  <w:tcW w:w="2794" w:type="dxa"/>
                  <w:tcBorders>
                    <w:left w:val="single" w:color="auto" w:sz="4" w:space="0"/>
                    <w:bottom w:val="single" w:color="auto" w:sz="4" w:space="0"/>
                  </w:tcBorders>
                  <w:shd w:val="clear" w:color="auto" w:fill="auto"/>
                  <w:noWrap w:val="0"/>
                  <w:vAlign w:val="center"/>
                </w:tcPr>
                <w:p w14:paraId="5C437F95">
                  <w:pPr>
                    <w:keepNext w:val="0"/>
                    <w:keepLines w:val="0"/>
                    <w:suppressLineNumbers w:val="0"/>
                    <w:tabs>
                      <w:tab w:val="left" w:pos="3620"/>
                    </w:tabs>
                    <w:adjustRightInd w:val="0"/>
                    <w:snapToGrid w:val="0"/>
                    <w:spacing w:before="0" w:beforeAutospacing="0" w:after="0" w:afterAutospacing="0"/>
                    <w:ind w:left="0" w:right="0"/>
                    <w:jc w:val="center"/>
                    <w:rPr>
                      <w:rFonts w:hint="default" w:eastAsia="宋体"/>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lang w:val="en-US" w:eastAsia="zh-CN"/>
                      <w14:textFill>
                        <w14:solidFill>
                          <w14:schemeClr w14:val="tx1"/>
                        </w14:solidFill>
                      </w14:textFill>
                    </w:rPr>
                    <w:t>次/</w:t>
                  </w:r>
                  <w:r>
                    <w:rPr>
                      <w:rFonts w:hint="eastAsia" w:ascii="宋体" w:hAnsi="宋体" w:cs="宋体"/>
                      <w:color w:val="000000" w:themeColor="text1"/>
                      <w:sz w:val="21"/>
                      <w:szCs w:val="21"/>
                      <w:lang w:val="en-US" w:eastAsia="zh-CN"/>
                      <w14:textFill>
                        <w14:solidFill>
                          <w14:schemeClr w14:val="tx1"/>
                        </w14:solidFill>
                      </w14:textFill>
                    </w:rPr>
                    <w:t>半</w:t>
                  </w:r>
                  <w:r>
                    <w:rPr>
                      <w:rFonts w:hint="eastAsia" w:ascii="宋体" w:hAnsi="宋体" w:eastAsia="宋体" w:cs="宋体"/>
                      <w:color w:val="000000" w:themeColor="text1"/>
                      <w:sz w:val="21"/>
                      <w:szCs w:val="21"/>
                      <w:lang w:val="en-US" w:eastAsia="zh-CN"/>
                      <w14:textFill>
                        <w14:solidFill>
                          <w14:schemeClr w14:val="tx1"/>
                        </w14:solidFill>
                      </w14:textFill>
                    </w:rPr>
                    <w:t>年</w:t>
                  </w:r>
                </w:p>
              </w:tc>
            </w:tr>
            <w:tr w14:paraId="5AB88A74">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397" w:hRule="atLeast"/>
                <w:jc w:val="center"/>
              </w:trPr>
              <w:tc>
                <w:tcPr>
                  <w:tcW w:w="2445" w:type="dxa"/>
                  <w:tcBorders>
                    <w:top w:val="single" w:color="auto" w:sz="4" w:space="0"/>
                    <w:right w:val="single" w:color="auto" w:sz="4" w:space="0"/>
                  </w:tcBorders>
                  <w:shd w:val="clear" w:color="auto" w:fill="auto"/>
                  <w:noWrap w:val="0"/>
                  <w:vAlign w:val="center"/>
                </w:tcPr>
                <w:p w14:paraId="4B56ED8B">
                  <w:pPr>
                    <w:keepNext w:val="0"/>
                    <w:keepLines w:val="0"/>
                    <w:suppressLineNumbers w:val="0"/>
                    <w:tabs>
                      <w:tab w:val="left" w:pos="3620"/>
                    </w:tabs>
                    <w:adjustRightInd w:val="0"/>
                    <w:snapToGrid w:val="0"/>
                    <w:spacing w:before="0" w:beforeAutospacing="0" w:after="0" w:afterAutospacing="0"/>
                    <w:ind w:left="0" w:leftChars="0" w:right="0" w:rightChars="0"/>
                    <w:jc w:val="center"/>
                    <w:rPr>
                      <w:rFonts w:hint="default" w:hAnsi="宋体"/>
                      <w:color w:val="000000" w:themeColor="text1"/>
                      <w:sz w:val="21"/>
                      <w:szCs w:val="21"/>
                      <w14:textFill>
                        <w14:solidFill>
                          <w14:schemeClr w14:val="tx1"/>
                        </w14:solidFill>
                      </w14:textFill>
                    </w:rPr>
                  </w:pPr>
                  <w:r>
                    <w:rPr>
                      <w:rFonts w:hint="default" w:hAnsi="宋体"/>
                      <w:color w:val="000000" w:themeColor="text1"/>
                      <w:sz w:val="21"/>
                      <w:szCs w:val="21"/>
                      <w14:textFill>
                        <w14:solidFill>
                          <w14:schemeClr w14:val="tx1"/>
                        </w14:solidFill>
                      </w14:textFill>
                    </w:rPr>
                    <w:t>厂界</w:t>
                  </w:r>
                </w:p>
              </w:tc>
              <w:tc>
                <w:tcPr>
                  <w:tcW w:w="3377" w:type="dxa"/>
                  <w:tcBorders>
                    <w:top w:val="single" w:color="auto" w:sz="4" w:space="0"/>
                    <w:left w:val="single" w:color="auto" w:sz="4" w:space="0"/>
                    <w:right w:val="single" w:color="auto" w:sz="4" w:space="0"/>
                  </w:tcBorders>
                  <w:shd w:val="clear" w:color="auto" w:fill="auto"/>
                  <w:noWrap w:val="0"/>
                  <w:vAlign w:val="center"/>
                </w:tcPr>
                <w:p w14:paraId="39F6EEE4">
                  <w:pPr>
                    <w:keepNext w:val="0"/>
                    <w:keepLines w:val="0"/>
                    <w:suppressLineNumbers w:val="0"/>
                    <w:tabs>
                      <w:tab w:val="left" w:pos="3620"/>
                    </w:tabs>
                    <w:adjustRightInd w:val="0"/>
                    <w:snapToGrid w:val="0"/>
                    <w:spacing w:before="0" w:beforeAutospacing="0" w:after="0" w:afterAutospacing="0"/>
                    <w:ind w:left="0" w:leftChars="0" w:right="0" w:rightChars="0"/>
                    <w:jc w:val="center"/>
                    <w:rPr>
                      <w:rFonts w:hint="default" w:hAnsi="宋体"/>
                      <w:color w:val="000000" w:themeColor="text1"/>
                      <w:sz w:val="21"/>
                      <w:szCs w:val="21"/>
                      <w:lang w:val="en-US" w:eastAsia="zh-CN"/>
                      <w14:textFill>
                        <w14:solidFill>
                          <w14:schemeClr w14:val="tx1"/>
                        </w14:solidFill>
                      </w14:textFill>
                    </w:rPr>
                  </w:pPr>
                  <w:r>
                    <w:rPr>
                      <w:rFonts w:hint="eastAsia" w:hAnsi="宋体"/>
                      <w:color w:val="000000" w:themeColor="text1"/>
                      <w:sz w:val="21"/>
                      <w:szCs w:val="21"/>
                      <w:lang w:val="en-US" w:eastAsia="zh-CN"/>
                      <w14:textFill>
                        <w14:solidFill>
                          <w14:schemeClr w14:val="tx1"/>
                        </w14:solidFill>
                      </w14:textFill>
                    </w:rPr>
                    <w:t>非甲烷总烃</w:t>
                  </w:r>
                </w:p>
              </w:tc>
              <w:tc>
                <w:tcPr>
                  <w:tcW w:w="2794" w:type="dxa"/>
                  <w:tcBorders>
                    <w:top w:val="single" w:color="auto" w:sz="4" w:space="0"/>
                    <w:left w:val="single" w:color="auto" w:sz="4" w:space="0"/>
                  </w:tcBorders>
                  <w:shd w:val="clear" w:color="auto" w:fill="auto"/>
                  <w:noWrap w:val="0"/>
                  <w:vAlign w:val="center"/>
                </w:tcPr>
                <w:p w14:paraId="5EF4EF40">
                  <w:pPr>
                    <w:keepNext w:val="0"/>
                    <w:keepLines w:val="0"/>
                    <w:suppressLineNumbers w:val="0"/>
                    <w:tabs>
                      <w:tab w:val="left" w:pos="3620"/>
                    </w:tabs>
                    <w:adjustRightInd w:val="0"/>
                    <w:snapToGrid w:val="0"/>
                    <w:spacing w:before="0" w:beforeAutospacing="0" w:after="0" w:afterAutospacing="0"/>
                    <w:ind w:left="0" w:leftChars="0" w:right="0" w:rightChars="0"/>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lang w:val="en-US" w:eastAsia="zh-CN"/>
                      <w14:textFill>
                        <w14:solidFill>
                          <w14:schemeClr w14:val="tx1"/>
                        </w14:solidFill>
                      </w14:textFill>
                    </w:rPr>
                    <w:t>次/年</w:t>
                  </w:r>
                </w:p>
              </w:tc>
            </w:tr>
          </w:tbl>
          <w:p w14:paraId="2196156E">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2" w:firstLineChars="200"/>
              <w:rPr>
                <w:rFonts w:hint="eastAsia" w:hAnsi="宋体"/>
                <w:b/>
                <w:color w:val="000000" w:themeColor="text1"/>
                <w:sz w:val="24"/>
                <w:highlight w:val="none"/>
                <w14:textFill>
                  <w14:solidFill>
                    <w14:schemeClr w14:val="tx1"/>
                  </w14:solidFill>
                </w14:textFill>
              </w:rPr>
            </w:pPr>
            <w:r>
              <w:rPr>
                <w:rFonts w:hint="default" w:hAnsi="宋体"/>
                <w:b/>
                <w:color w:val="000000" w:themeColor="text1"/>
                <w:sz w:val="24"/>
                <w:highlight w:val="none"/>
                <w14:textFill>
                  <w14:solidFill>
                    <w14:schemeClr w14:val="tx1"/>
                  </w14:solidFill>
                </w14:textFill>
              </w:rPr>
              <w:t>二、废水</w:t>
            </w:r>
          </w:p>
          <w:p w14:paraId="5052AC23">
            <w:pPr>
              <w:keepNext w:val="0"/>
              <w:keepLines w:val="0"/>
              <w:suppressLineNumbers w:val="0"/>
              <w:adjustRightInd w:val="0"/>
              <w:spacing w:before="0" w:beforeAutospacing="0" w:after="0" w:afterAutospacing="0" w:line="440" w:lineRule="exact"/>
              <w:ind w:left="0" w:right="0" w:firstLine="480" w:firstLineChars="200"/>
              <w:jc w:val="both"/>
              <w:rPr>
                <w:rFonts w:hint="default"/>
              </w:rPr>
            </w:pPr>
            <w:r>
              <w:rPr>
                <w:rFonts w:hint="eastAsia"/>
              </w:rPr>
              <w:t>本项目用水主要为生活用水与循环冷却水补充用水，生活用水由村集体统一供水，生活污水经化粪池处理后定期清运。循环冷却系统补充用水外购纯水，循环水在整个冷却循环系统中闭路循环不外排，由于损耗需定期补充新鲜纯水。</w:t>
            </w:r>
          </w:p>
          <w:p w14:paraId="77A8A7A3">
            <w:pPr>
              <w:pStyle w:val="10"/>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firstLine="482" w:firstLineChars="200"/>
              <w:textAlignment w:val="auto"/>
              <w:rPr>
                <w:rFonts w:hint="eastAsia"/>
                <w:sz w:val="24"/>
                <w:lang w:val="en-US" w:eastAsia="zh-CN"/>
              </w:rPr>
            </w:pPr>
            <w:r>
              <w:rPr>
                <w:rFonts w:hint="eastAsia"/>
                <w:b/>
                <w:bCs/>
                <w:sz w:val="24"/>
                <w:lang w:val="en-US" w:eastAsia="zh-CN"/>
              </w:rPr>
              <w:t>1、废水产排情况</w:t>
            </w:r>
          </w:p>
          <w:p w14:paraId="0330BD75">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40" w:lineRule="exact"/>
              <w:ind w:left="0" w:right="0" w:firstLine="470" w:firstLineChars="196"/>
              <w:jc w:val="both"/>
              <w:rPr>
                <w:rFonts w:hint="default" w:ascii="Times New Roman" w:hAnsi="Times New Roman" w:eastAsia="宋体" w:cs="Times New Roman"/>
                <w:sz w:val="24"/>
                <w:lang w:val="en-US" w:eastAsia="zh-CN"/>
              </w:rPr>
            </w:pPr>
            <w:r>
              <w:rPr>
                <w:rFonts w:hint="default" w:ascii="Times New Roman" w:hAnsi="Times New Roman" w:cs="Times New Roman"/>
                <w:sz w:val="24"/>
                <w:lang w:val="en-US" w:eastAsia="zh-CN"/>
              </w:rPr>
              <w:t>①生活污水</w:t>
            </w:r>
          </w:p>
          <w:p w14:paraId="7B6D28B8">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40" w:lineRule="exact"/>
              <w:ind w:left="0" w:right="0" w:firstLine="470" w:firstLineChars="196"/>
              <w:jc w:val="both"/>
              <w:rPr>
                <w:rFonts w:hint="eastAsia"/>
                <w:color w:val="000000"/>
                <w:sz w:val="24"/>
                <w:lang w:val="en-US" w:eastAsia="zh-CN"/>
              </w:rPr>
            </w:pPr>
            <w:r>
              <w:rPr>
                <w:rFonts w:hint="default"/>
                <w:sz w:val="24"/>
              </w:rPr>
              <w:t>本项目</w:t>
            </w:r>
            <w:r>
              <w:rPr>
                <w:rFonts w:hint="eastAsia"/>
                <w:sz w:val="24"/>
                <w:lang w:val="en-US" w:eastAsia="zh-CN"/>
              </w:rPr>
              <w:t>新增</w:t>
            </w:r>
            <w:r>
              <w:rPr>
                <w:rFonts w:hint="default"/>
                <w:sz w:val="24"/>
              </w:rPr>
              <w:t>劳动定员</w:t>
            </w:r>
            <w:r>
              <w:rPr>
                <w:rFonts w:hint="eastAsia"/>
                <w:sz w:val="24"/>
                <w:lang w:val="en-US" w:eastAsia="zh-CN"/>
              </w:rPr>
              <w:t>11</w:t>
            </w:r>
            <w:r>
              <w:rPr>
                <w:rFonts w:hint="default"/>
                <w:sz w:val="24"/>
              </w:rPr>
              <w:t>人</w:t>
            </w:r>
            <w:r>
              <w:rPr>
                <w:rFonts w:hint="eastAsia"/>
                <w:sz w:val="24"/>
                <w:lang w:val="en-US" w:eastAsia="zh-CN"/>
              </w:rPr>
              <w:t>，两班生产，每班8小时，</w:t>
            </w:r>
            <w:r>
              <w:rPr>
                <w:rFonts w:hint="default"/>
                <w:color w:val="000000"/>
                <w:sz w:val="24"/>
              </w:rPr>
              <w:t>年工作</w:t>
            </w:r>
            <w:r>
              <w:rPr>
                <w:rFonts w:hint="eastAsia"/>
                <w:color w:val="000000"/>
                <w:sz w:val="24"/>
                <w:lang w:val="en-US" w:eastAsia="zh-CN"/>
              </w:rPr>
              <w:t>300</w:t>
            </w:r>
            <w:r>
              <w:rPr>
                <w:rFonts w:hint="default"/>
                <w:color w:val="000000"/>
                <w:sz w:val="24"/>
              </w:rPr>
              <w:t>天</w:t>
            </w:r>
            <w:r>
              <w:rPr>
                <w:rFonts w:hint="eastAsia"/>
                <w:color w:val="000000"/>
                <w:sz w:val="24"/>
              </w:rPr>
              <w:t>，员工均不在厂区食宿</w:t>
            </w:r>
            <w:r>
              <w:rPr>
                <w:rFonts w:hint="default"/>
                <w:color w:val="000000"/>
                <w:sz w:val="24"/>
                <w:highlight w:val="none"/>
              </w:rPr>
              <w:t>。</w:t>
            </w:r>
            <w:r>
              <w:rPr>
                <w:rFonts w:hint="default"/>
                <w:sz w:val="24"/>
                <w:highlight w:val="none"/>
              </w:rPr>
              <w:t>职工生活用水量以平均每人</w:t>
            </w:r>
            <w:r>
              <w:rPr>
                <w:rFonts w:hint="eastAsia"/>
                <w:sz w:val="24"/>
                <w:highlight w:val="none"/>
                <w:lang w:val="en-US" w:eastAsia="zh-CN"/>
              </w:rPr>
              <w:t>30</w:t>
            </w:r>
            <w:r>
              <w:rPr>
                <w:rFonts w:hint="default"/>
                <w:sz w:val="24"/>
                <w:highlight w:val="none"/>
              </w:rPr>
              <w:t>L/d计，则</w:t>
            </w:r>
            <w:r>
              <w:rPr>
                <w:rFonts w:hint="eastAsia"/>
                <w:sz w:val="24"/>
                <w:highlight w:val="none"/>
                <w:lang w:val="en-US" w:eastAsia="zh-CN"/>
              </w:rPr>
              <w:t>项目</w:t>
            </w:r>
            <w:r>
              <w:rPr>
                <w:rFonts w:hint="default"/>
                <w:sz w:val="24"/>
                <w:highlight w:val="none"/>
              </w:rPr>
              <w:t>生活用水量为</w:t>
            </w:r>
            <w:r>
              <w:rPr>
                <w:rFonts w:hint="eastAsia"/>
                <w:color w:val="000000"/>
                <w:sz w:val="24"/>
                <w:highlight w:val="none"/>
                <w:lang w:val="en-US" w:eastAsia="zh-CN"/>
              </w:rPr>
              <w:t>0.33</w:t>
            </w:r>
            <w:r>
              <w:rPr>
                <w:rFonts w:hint="eastAsia"/>
                <w:color w:val="000000"/>
                <w:sz w:val="24"/>
                <w:highlight w:val="none"/>
              </w:rPr>
              <w:t>m</w:t>
            </w:r>
            <w:r>
              <w:rPr>
                <w:rFonts w:hint="eastAsia"/>
                <w:color w:val="000000"/>
                <w:sz w:val="24"/>
                <w:highlight w:val="none"/>
                <w:vertAlign w:val="superscript"/>
              </w:rPr>
              <w:t>3</w:t>
            </w:r>
            <w:r>
              <w:rPr>
                <w:rFonts w:hint="default"/>
                <w:color w:val="000000"/>
                <w:sz w:val="24"/>
                <w:highlight w:val="none"/>
              </w:rPr>
              <w:t>/d（</w:t>
            </w:r>
            <w:r>
              <w:rPr>
                <w:rFonts w:hint="eastAsia"/>
                <w:color w:val="000000"/>
                <w:sz w:val="24"/>
                <w:highlight w:val="none"/>
                <w:lang w:val="en-US" w:eastAsia="zh-CN"/>
              </w:rPr>
              <w:t>99</w:t>
            </w:r>
            <w:r>
              <w:rPr>
                <w:rFonts w:hint="eastAsia"/>
                <w:color w:val="000000"/>
                <w:sz w:val="24"/>
                <w:highlight w:val="none"/>
              </w:rPr>
              <w:t>m</w:t>
            </w:r>
            <w:r>
              <w:rPr>
                <w:rFonts w:hint="eastAsia"/>
                <w:color w:val="000000"/>
                <w:sz w:val="24"/>
                <w:highlight w:val="none"/>
                <w:vertAlign w:val="superscript"/>
              </w:rPr>
              <w:t>3</w:t>
            </w:r>
            <w:r>
              <w:rPr>
                <w:rFonts w:hint="default"/>
                <w:color w:val="000000"/>
                <w:sz w:val="24"/>
                <w:highlight w:val="none"/>
              </w:rPr>
              <w:t>/a）</w:t>
            </w:r>
            <w:r>
              <w:rPr>
                <w:rFonts w:hint="default"/>
                <w:sz w:val="24"/>
                <w:highlight w:val="none"/>
              </w:rPr>
              <w:t>，</w:t>
            </w:r>
            <w:r>
              <w:rPr>
                <w:rFonts w:hint="default"/>
                <w:color w:val="000000"/>
                <w:sz w:val="24"/>
                <w:highlight w:val="none"/>
              </w:rPr>
              <w:t>废水排放量按照用水量的80%计算</w:t>
            </w:r>
            <w:r>
              <w:rPr>
                <w:rFonts w:hint="default"/>
                <w:color w:val="000000"/>
                <w:sz w:val="24"/>
              </w:rPr>
              <w:t>，则项目生活污水产生量为</w:t>
            </w:r>
            <w:r>
              <w:rPr>
                <w:rFonts w:hint="eastAsia"/>
                <w:color w:val="000000"/>
                <w:sz w:val="24"/>
                <w:lang w:val="en-US" w:eastAsia="zh-CN"/>
              </w:rPr>
              <w:t>0.264</w:t>
            </w:r>
            <w:r>
              <w:rPr>
                <w:rFonts w:hint="eastAsia"/>
                <w:color w:val="000000"/>
                <w:sz w:val="24"/>
              </w:rPr>
              <w:t>m</w:t>
            </w:r>
            <w:r>
              <w:rPr>
                <w:rFonts w:hint="eastAsia"/>
                <w:color w:val="000000"/>
                <w:sz w:val="24"/>
                <w:vertAlign w:val="superscript"/>
              </w:rPr>
              <w:t>3</w:t>
            </w:r>
            <w:r>
              <w:rPr>
                <w:rFonts w:hint="eastAsia"/>
                <w:color w:val="000000"/>
                <w:sz w:val="24"/>
              </w:rPr>
              <w:t>/d（</w:t>
            </w:r>
            <w:r>
              <w:rPr>
                <w:rFonts w:hint="eastAsia"/>
                <w:color w:val="000000"/>
                <w:sz w:val="24"/>
                <w:lang w:val="en-US" w:eastAsia="zh-CN"/>
              </w:rPr>
              <w:t>79.2</w:t>
            </w:r>
            <w:r>
              <w:rPr>
                <w:rFonts w:hint="eastAsia"/>
                <w:color w:val="000000"/>
                <w:sz w:val="24"/>
              </w:rPr>
              <w:t>m</w:t>
            </w:r>
            <w:r>
              <w:rPr>
                <w:rFonts w:hint="eastAsia"/>
                <w:color w:val="000000"/>
                <w:sz w:val="24"/>
                <w:vertAlign w:val="superscript"/>
              </w:rPr>
              <w:t>3</w:t>
            </w:r>
            <w:r>
              <w:rPr>
                <w:rFonts w:hint="eastAsia"/>
                <w:color w:val="000000"/>
                <w:sz w:val="24"/>
              </w:rPr>
              <w:t>/a）</w:t>
            </w:r>
            <w:r>
              <w:rPr>
                <w:rFonts w:hint="eastAsia"/>
                <w:color w:val="000000"/>
                <w:sz w:val="24"/>
                <w:lang w:eastAsia="zh-CN"/>
              </w:rPr>
              <w:t>。</w:t>
            </w:r>
            <w:r>
              <w:rPr>
                <w:rFonts w:hint="eastAsia"/>
                <w:color w:val="000000"/>
                <w:sz w:val="24"/>
                <w:lang w:val="en-US" w:eastAsia="zh-CN"/>
              </w:rPr>
              <w:t>类比一般生活污水水质，</w:t>
            </w:r>
            <w:r>
              <w:rPr>
                <w:rFonts w:hint="eastAsia"/>
                <w:color w:val="000000"/>
                <w:sz w:val="24"/>
              </w:rPr>
              <w:t>废水</w:t>
            </w:r>
            <w:r>
              <w:rPr>
                <w:rFonts w:hint="eastAsia"/>
                <w:color w:val="000000"/>
                <w:sz w:val="24"/>
                <w:lang w:val="en-US" w:eastAsia="zh-CN"/>
              </w:rPr>
              <w:t>各污染物浓度分别</w:t>
            </w:r>
            <w:r>
              <w:rPr>
                <w:rFonts w:hint="eastAsia"/>
                <w:color w:val="000000"/>
                <w:sz w:val="24"/>
              </w:rPr>
              <w:t>为</w:t>
            </w:r>
            <w:r>
              <w:rPr>
                <w:rFonts w:hint="default"/>
                <w:color w:val="000000"/>
                <w:sz w:val="24"/>
              </w:rPr>
              <w:t>COD</w:t>
            </w:r>
            <w:r>
              <w:rPr>
                <w:rFonts w:hint="eastAsia"/>
                <w:color w:val="000000"/>
                <w:sz w:val="24"/>
              </w:rPr>
              <w:t>3</w:t>
            </w:r>
            <w:r>
              <w:rPr>
                <w:rFonts w:hint="eastAsia"/>
                <w:color w:val="000000"/>
                <w:sz w:val="24"/>
                <w:lang w:val="en-US" w:eastAsia="zh-CN"/>
              </w:rPr>
              <w:t>5</w:t>
            </w:r>
            <w:r>
              <w:rPr>
                <w:rFonts w:hint="eastAsia"/>
                <w:color w:val="000000"/>
                <w:sz w:val="24"/>
              </w:rPr>
              <w:t>0</w:t>
            </w:r>
            <w:r>
              <w:rPr>
                <w:rFonts w:hint="default"/>
                <w:color w:val="000000"/>
                <w:sz w:val="24"/>
              </w:rPr>
              <w:t>mg/L、SS</w:t>
            </w:r>
            <w:r>
              <w:rPr>
                <w:rFonts w:hint="eastAsia"/>
                <w:color w:val="000000"/>
                <w:sz w:val="24"/>
                <w:lang w:val="en-US" w:eastAsia="zh-CN"/>
              </w:rPr>
              <w:t>300</w:t>
            </w:r>
            <w:r>
              <w:rPr>
                <w:rFonts w:hint="default"/>
                <w:color w:val="000000"/>
                <w:sz w:val="24"/>
              </w:rPr>
              <w:t>mg/L、</w:t>
            </w:r>
            <w:r>
              <w:rPr>
                <w:rFonts w:hint="eastAsia"/>
                <w:color w:val="000000"/>
                <w:sz w:val="24"/>
              </w:rPr>
              <w:t>NH</w:t>
            </w:r>
            <w:r>
              <w:rPr>
                <w:rFonts w:hint="eastAsia"/>
                <w:color w:val="000000"/>
                <w:sz w:val="24"/>
                <w:vertAlign w:val="subscript"/>
              </w:rPr>
              <w:t>3</w:t>
            </w:r>
            <w:r>
              <w:rPr>
                <w:rFonts w:hint="eastAsia"/>
                <w:color w:val="000000"/>
                <w:sz w:val="24"/>
              </w:rPr>
              <w:t>-N</w:t>
            </w:r>
            <w:r>
              <w:rPr>
                <w:rFonts w:hint="default"/>
                <w:color w:val="000000"/>
                <w:sz w:val="24"/>
              </w:rPr>
              <w:t>2</w:t>
            </w:r>
            <w:r>
              <w:rPr>
                <w:rFonts w:hint="eastAsia"/>
                <w:color w:val="000000"/>
                <w:sz w:val="24"/>
                <w:lang w:val="en-US" w:eastAsia="zh-CN"/>
              </w:rPr>
              <w:t>5</w:t>
            </w:r>
            <w:r>
              <w:rPr>
                <w:rFonts w:hint="default"/>
                <w:color w:val="000000"/>
                <w:sz w:val="24"/>
              </w:rPr>
              <w:t>mg/L</w:t>
            </w:r>
            <w:r>
              <w:rPr>
                <w:rFonts w:hint="eastAsia"/>
                <w:color w:val="000000"/>
                <w:sz w:val="24"/>
              </w:rPr>
              <w:t>、TP</w:t>
            </w:r>
            <w:r>
              <w:rPr>
                <w:rFonts w:hint="eastAsia"/>
                <w:color w:val="000000"/>
                <w:sz w:val="24"/>
                <w:lang w:val="en-US" w:eastAsia="zh-CN"/>
              </w:rPr>
              <w:t>3</w:t>
            </w:r>
            <w:r>
              <w:rPr>
                <w:rFonts w:hint="default"/>
                <w:color w:val="000000"/>
                <w:sz w:val="24"/>
              </w:rPr>
              <w:t>mg/L</w:t>
            </w:r>
            <w:r>
              <w:rPr>
                <w:rFonts w:hint="eastAsia"/>
                <w:color w:val="000000"/>
                <w:sz w:val="24"/>
              </w:rPr>
              <w:t>、TN3</w:t>
            </w:r>
            <w:r>
              <w:rPr>
                <w:rFonts w:hint="eastAsia"/>
                <w:color w:val="000000"/>
                <w:sz w:val="24"/>
                <w:lang w:val="en-US" w:eastAsia="zh-CN"/>
              </w:rPr>
              <w:t>0</w:t>
            </w:r>
            <w:r>
              <w:rPr>
                <w:rFonts w:hint="default"/>
                <w:color w:val="000000"/>
                <w:sz w:val="24"/>
              </w:rPr>
              <w:t>mg/L</w:t>
            </w:r>
            <w:r>
              <w:rPr>
                <w:rFonts w:hint="eastAsia"/>
                <w:color w:val="000000"/>
                <w:sz w:val="24"/>
              </w:rPr>
              <w:t>，经化粪池处理后废水水质为</w:t>
            </w:r>
            <w:r>
              <w:rPr>
                <w:rFonts w:hint="default"/>
                <w:color w:val="000000"/>
                <w:sz w:val="24"/>
              </w:rPr>
              <w:t>COD</w:t>
            </w:r>
            <w:r>
              <w:rPr>
                <w:rFonts w:hint="eastAsia"/>
                <w:color w:val="000000"/>
                <w:sz w:val="24"/>
              </w:rPr>
              <w:t>2</w:t>
            </w:r>
            <w:r>
              <w:rPr>
                <w:rFonts w:hint="eastAsia"/>
                <w:color w:val="000000"/>
                <w:sz w:val="24"/>
                <w:lang w:val="en-US" w:eastAsia="zh-CN"/>
              </w:rPr>
              <w:t>50</w:t>
            </w:r>
            <w:r>
              <w:rPr>
                <w:rFonts w:hint="default"/>
                <w:color w:val="000000"/>
                <w:sz w:val="24"/>
              </w:rPr>
              <w:t>mg/L、SS</w:t>
            </w:r>
            <w:r>
              <w:rPr>
                <w:rFonts w:hint="eastAsia"/>
                <w:color w:val="000000"/>
                <w:sz w:val="24"/>
                <w:lang w:val="en-US" w:eastAsia="zh-CN"/>
              </w:rPr>
              <w:t>180</w:t>
            </w:r>
            <w:r>
              <w:rPr>
                <w:rFonts w:hint="default"/>
                <w:color w:val="000000"/>
                <w:sz w:val="24"/>
              </w:rPr>
              <w:t>mg/L、</w:t>
            </w:r>
            <w:r>
              <w:rPr>
                <w:rFonts w:hint="eastAsia"/>
                <w:color w:val="000000"/>
                <w:sz w:val="24"/>
              </w:rPr>
              <w:t>NH</w:t>
            </w:r>
            <w:r>
              <w:rPr>
                <w:rFonts w:hint="eastAsia"/>
                <w:color w:val="000000"/>
                <w:sz w:val="24"/>
                <w:vertAlign w:val="subscript"/>
              </w:rPr>
              <w:t>3</w:t>
            </w:r>
            <w:r>
              <w:rPr>
                <w:rFonts w:hint="eastAsia"/>
                <w:color w:val="000000"/>
                <w:sz w:val="24"/>
              </w:rPr>
              <w:t>-N</w:t>
            </w:r>
            <w:r>
              <w:rPr>
                <w:rFonts w:hint="default"/>
                <w:color w:val="000000"/>
                <w:sz w:val="24"/>
              </w:rPr>
              <w:t>2</w:t>
            </w:r>
            <w:r>
              <w:rPr>
                <w:rFonts w:hint="eastAsia"/>
                <w:color w:val="000000"/>
                <w:sz w:val="24"/>
              </w:rPr>
              <w:t>0</w:t>
            </w:r>
            <w:r>
              <w:rPr>
                <w:rFonts w:hint="default"/>
                <w:color w:val="000000"/>
                <w:sz w:val="24"/>
              </w:rPr>
              <w:t>mg/L</w:t>
            </w:r>
            <w:r>
              <w:rPr>
                <w:rFonts w:hint="eastAsia"/>
                <w:color w:val="000000"/>
                <w:sz w:val="24"/>
              </w:rPr>
              <w:t>、TP2</w:t>
            </w:r>
            <w:r>
              <w:rPr>
                <w:rFonts w:hint="default"/>
                <w:color w:val="000000"/>
                <w:sz w:val="24"/>
              </w:rPr>
              <w:t>mg/L</w:t>
            </w:r>
            <w:r>
              <w:rPr>
                <w:rFonts w:hint="eastAsia"/>
                <w:color w:val="000000"/>
                <w:sz w:val="24"/>
              </w:rPr>
              <w:t>、TN</w:t>
            </w:r>
            <w:r>
              <w:rPr>
                <w:rFonts w:hint="eastAsia"/>
                <w:color w:val="000000"/>
                <w:sz w:val="24"/>
                <w:lang w:val="en-US" w:eastAsia="zh-CN"/>
              </w:rPr>
              <w:t>30</w:t>
            </w:r>
            <w:r>
              <w:rPr>
                <w:rFonts w:hint="default"/>
                <w:color w:val="000000"/>
                <w:sz w:val="24"/>
              </w:rPr>
              <w:t>mg/L</w:t>
            </w:r>
            <w:r>
              <w:rPr>
                <w:rFonts w:hint="eastAsia"/>
                <w:color w:val="000000"/>
                <w:sz w:val="24"/>
                <w:lang w:eastAsia="zh-CN"/>
              </w:rPr>
              <w:t>。</w:t>
            </w:r>
            <w:r>
              <w:rPr>
                <w:rFonts w:hint="eastAsia"/>
                <w:color w:val="000000"/>
                <w:sz w:val="24"/>
                <w:lang w:val="en-US" w:eastAsia="zh-CN"/>
              </w:rPr>
              <w:t>生活污水经化粪池处理后定期清运不外排。</w:t>
            </w:r>
          </w:p>
          <w:p w14:paraId="01C436DD">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2" w:firstLineChars="200"/>
              <w:rPr>
                <w:rFonts w:hint="default"/>
                <w:bCs/>
                <w:sz w:val="24"/>
                <w:highlight w:val="none"/>
              </w:rPr>
            </w:pPr>
            <w:r>
              <w:rPr>
                <w:rFonts w:hint="eastAsia" w:hAnsi="宋体"/>
                <w:b/>
                <w:sz w:val="24"/>
                <w:highlight w:val="none"/>
              </w:rPr>
              <w:t>三、噪声</w:t>
            </w:r>
          </w:p>
          <w:p w14:paraId="60F214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right="0" w:firstLine="482" w:firstLineChars="200"/>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lang w:val="en-US" w:eastAsia="zh-CN"/>
              </w:rPr>
              <w:t>1、源强</w:t>
            </w:r>
            <w:r>
              <w:rPr>
                <w:rFonts w:hint="eastAsia" w:ascii="Times New Roman" w:hAnsi="Times New Roman" w:eastAsia="宋体" w:cs="Times New Roman"/>
                <w:b/>
                <w:bCs/>
                <w:sz w:val="24"/>
                <w:lang w:val="en-US" w:eastAsia="zh-CN"/>
              </w:rPr>
              <w:t>源调查</w:t>
            </w:r>
          </w:p>
          <w:p w14:paraId="144DF52A">
            <w:pPr>
              <w:keepNext w:val="0"/>
              <w:keepLines w:val="0"/>
              <w:suppressLineNumbers w:val="0"/>
              <w:spacing w:before="0" w:beforeAutospacing="0" w:after="0" w:afterAutospacing="0" w:line="440" w:lineRule="exact"/>
              <w:ind w:left="0" w:right="0" w:firstLine="480" w:firstLineChars="200"/>
              <w:jc w:val="left"/>
              <w:rPr>
                <w:rFonts w:hint="default" w:hAnsi="宋体"/>
                <w:sz w:val="24"/>
                <w:highlight w:val="none"/>
              </w:rPr>
            </w:pPr>
            <w:r>
              <w:rPr>
                <w:rFonts w:hint="eastAsia"/>
                <w:snapToGrid w:val="0"/>
                <w:color w:val="000000"/>
                <w:sz w:val="24"/>
                <w:szCs w:val="24"/>
                <w:highlight w:val="none"/>
              </w:rPr>
              <w:t>本项目高噪声设备主</w:t>
            </w:r>
            <w:r>
              <w:rPr>
                <w:rFonts w:hint="eastAsia"/>
                <w:snapToGrid w:val="0"/>
                <w:color w:val="auto"/>
                <w:sz w:val="24"/>
                <w:szCs w:val="24"/>
                <w:highlight w:val="none"/>
              </w:rPr>
              <w:t>要为</w:t>
            </w:r>
            <w:r>
              <w:rPr>
                <w:rFonts w:hint="eastAsia"/>
                <w:snapToGrid w:val="0"/>
                <w:color w:val="auto"/>
                <w:sz w:val="24"/>
                <w:szCs w:val="24"/>
                <w:highlight w:val="none"/>
                <w:lang w:val="en-US" w:eastAsia="zh-CN"/>
              </w:rPr>
              <w:t>全自动无轴淋膜机、柔性版印刷机、风机</w:t>
            </w:r>
            <w:r>
              <w:rPr>
                <w:rFonts w:hint="eastAsia"/>
                <w:snapToGrid w:val="0"/>
                <w:color w:val="auto"/>
                <w:sz w:val="24"/>
                <w:szCs w:val="24"/>
                <w:highlight w:val="none"/>
              </w:rPr>
              <w:t>等设</w:t>
            </w:r>
            <w:r>
              <w:rPr>
                <w:rFonts w:hint="eastAsia"/>
                <w:snapToGrid w:val="0"/>
                <w:color w:val="000000"/>
                <w:sz w:val="24"/>
                <w:szCs w:val="24"/>
                <w:highlight w:val="none"/>
              </w:rPr>
              <w:t>备产生的噪声，其运行过程中</w:t>
            </w:r>
            <w:r>
              <w:rPr>
                <w:rFonts w:hint="default"/>
                <w:sz w:val="24"/>
                <w:szCs w:val="24"/>
                <w:highlight w:val="none"/>
              </w:rPr>
              <w:t>噪声约在</w:t>
            </w:r>
            <w:r>
              <w:rPr>
                <w:rFonts w:hint="eastAsia"/>
                <w:color w:val="000000" w:themeColor="text1"/>
                <w:sz w:val="24"/>
                <w:szCs w:val="24"/>
                <w:highlight w:val="none"/>
                <w14:textFill>
                  <w14:solidFill>
                    <w14:schemeClr w14:val="tx1"/>
                  </w14:solidFill>
                </w14:textFill>
              </w:rPr>
              <w:t>70</w:t>
            </w:r>
            <w:r>
              <w:rPr>
                <w:rFonts w:hint="default"/>
                <w:color w:val="000000" w:themeColor="text1"/>
                <w:sz w:val="24"/>
                <w:szCs w:val="24"/>
                <w:highlight w:val="none"/>
                <w14:textFill>
                  <w14:solidFill>
                    <w14:schemeClr w14:val="tx1"/>
                  </w14:solidFill>
                </w14:textFill>
              </w:rPr>
              <w:t>~</w:t>
            </w:r>
            <w:r>
              <w:rPr>
                <w:rFonts w:hint="eastAsia"/>
                <w:color w:val="000000" w:themeColor="text1"/>
                <w:sz w:val="24"/>
                <w:szCs w:val="24"/>
                <w:highlight w:val="none"/>
                <w:lang w:val="en-US" w:eastAsia="zh-CN"/>
                <w14:textFill>
                  <w14:solidFill>
                    <w14:schemeClr w14:val="tx1"/>
                  </w14:solidFill>
                </w14:textFill>
              </w:rPr>
              <w:t>80</w:t>
            </w:r>
            <w:r>
              <w:rPr>
                <w:rFonts w:hint="default"/>
                <w:color w:val="000000" w:themeColor="text1"/>
                <w:sz w:val="24"/>
                <w:szCs w:val="24"/>
                <w:highlight w:val="none"/>
                <w14:textFill>
                  <w14:solidFill>
                    <w14:schemeClr w14:val="tx1"/>
                  </w14:solidFill>
                </w14:textFill>
              </w:rPr>
              <w:t>dB(A)之</w:t>
            </w:r>
            <w:r>
              <w:rPr>
                <w:rFonts w:hint="default"/>
                <w:sz w:val="24"/>
                <w:szCs w:val="24"/>
                <w:highlight w:val="none"/>
              </w:rPr>
              <w:t>间，</w:t>
            </w:r>
            <w:r>
              <w:rPr>
                <w:rFonts w:hint="default" w:hAnsi="宋体"/>
                <w:sz w:val="24"/>
                <w:highlight w:val="none"/>
              </w:rPr>
              <w:t>根据《环境影响评价技术导则</w:t>
            </w:r>
            <w:r>
              <w:rPr>
                <w:rFonts w:hint="eastAsia" w:hAnsi="宋体"/>
                <w:sz w:val="24"/>
                <w:highlight w:val="none"/>
              </w:rPr>
              <w:t>—</w:t>
            </w:r>
            <w:r>
              <w:rPr>
                <w:rFonts w:hint="default" w:hAnsi="宋体"/>
                <w:sz w:val="24"/>
                <w:highlight w:val="none"/>
              </w:rPr>
              <w:t>声环境》（HJ2.4-2021），工业声源应按照室内</w:t>
            </w:r>
            <w:r>
              <w:rPr>
                <w:rFonts w:hint="eastAsia" w:hAnsi="宋体"/>
                <w:sz w:val="24"/>
                <w:highlight w:val="none"/>
                <w:lang w:val="en-US" w:eastAsia="zh-CN"/>
              </w:rPr>
              <w:t>和室外两种声源</w:t>
            </w:r>
            <w:r>
              <w:rPr>
                <w:rFonts w:hint="default" w:hAnsi="宋体"/>
                <w:sz w:val="24"/>
                <w:highlight w:val="none"/>
              </w:rPr>
              <w:t>计算。</w:t>
            </w:r>
          </w:p>
          <w:p w14:paraId="7737E825">
            <w:pPr>
              <w:keepNext w:val="0"/>
              <w:keepLines w:val="0"/>
              <w:suppressLineNumbers w:val="0"/>
              <w:tabs>
                <w:tab w:val="left" w:pos="3620"/>
              </w:tabs>
              <w:adjustRightInd w:val="0"/>
              <w:snapToGrid w:val="0"/>
              <w:spacing w:before="0" w:beforeAutospacing="0" w:after="0" w:afterAutospacing="0" w:line="440" w:lineRule="exact"/>
              <w:ind w:left="0" w:right="0" w:firstLine="482" w:firstLineChars="200"/>
              <w:rPr>
                <w:rFonts w:hint="default" w:hAnsi="宋体"/>
                <w:b/>
                <w:bCs/>
                <w:sz w:val="24"/>
                <w:highlight w:val="none"/>
                <w:lang w:val="en-US" w:eastAsia="zh-CN"/>
              </w:rPr>
            </w:pPr>
            <w:r>
              <w:rPr>
                <w:rFonts w:hint="eastAsia" w:hAnsi="宋体"/>
                <w:b/>
                <w:bCs/>
                <w:sz w:val="24"/>
                <w:highlight w:val="none"/>
                <w:lang w:val="en-US" w:eastAsia="zh-CN"/>
              </w:rPr>
              <w:t>（1）室内</w:t>
            </w:r>
            <w:r>
              <w:rPr>
                <w:rFonts w:hint="default" w:hAnsi="宋体"/>
                <w:b/>
                <w:bCs/>
                <w:sz w:val="24"/>
                <w:highlight w:val="none"/>
                <w:lang w:val="en-US" w:eastAsia="zh-CN"/>
              </w:rPr>
              <w:t>声源等效室外声源声功率级计算</w:t>
            </w:r>
          </w:p>
          <w:p w14:paraId="49EE1248">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highlight w:val="none"/>
              </w:rPr>
            </w:pPr>
            <w:r>
              <w:rPr>
                <w:rFonts w:hint="default" w:hAnsi="宋体"/>
                <w:sz w:val="24"/>
                <w:highlight w:val="none"/>
              </w:rPr>
              <w:t>声源位于室内，室内声源可采用等效室外声源声功率级法进行计算。设靠近开口处（或窗户）室内、室外某倍频带的声压级或A声级分别为L</w:t>
            </w:r>
            <w:r>
              <w:rPr>
                <w:rFonts w:hint="default" w:hAnsi="宋体"/>
                <w:sz w:val="24"/>
                <w:highlight w:val="none"/>
                <w:vertAlign w:val="subscript"/>
              </w:rPr>
              <w:t>p1</w:t>
            </w:r>
            <w:r>
              <w:rPr>
                <w:rFonts w:hint="default" w:hAnsi="宋体"/>
                <w:sz w:val="24"/>
                <w:highlight w:val="none"/>
              </w:rPr>
              <w:t>和L</w:t>
            </w:r>
            <w:r>
              <w:rPr>
                <w:rFonts w:hint="default" w:hAnsi="宋体"/>
                <w:sz w:val="24"/>
                <w:highlight w:val="none"/>
                <w:vertAlign w:val="subscript"/>
              </w:rPr>
              <w:t>p2</w:t>
            </w:r>
            <w:r>
              <w:rPr>
                <w:rFonts w:hint="default" w:hAnsi="宋体"/>
                <w:sz w:val="24"/>
                <w:highlight w:val="none"/>
              </w:rPr>
              <w:t>。</w:t>
            </w:r>
          </w:p>
          <w:p w14:paraId="7BB1AEB7">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eastAsia" w:hAnsi="宋体"/>
                <w:sz w:val="24"/>
              </w:rPr>
            </w:pPr>
            <w:r>
              <w:rPr>
                <w:rFonts w:hint="default" w:hAnsi="宋体"/>
                <w:sz w:val="24"/>
                <w:highlight w:val="none"/>
              </w:rPr>
              <w:t>计算某一室内声源靠近围护结构处产生的倍频带声压级或A声级公式如下：</w:t>
            </w:r>
          </w:p>
          <w:p w14:paraId="4C5D0D1F">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default" w:hAnsi="宋体"/>
                <w:sz w:val="24"/>
              </w:rPr>
              <w:drawing>
                <wp:anchor distT="0" distB="0" distL="114300" distR="114300" simplePos="0" relativeHeight="251660288" behindDoc="1" locked="0" layoutInCell="1" allowOverlap="1">
                  <wp:simplePos x="0" y="0"/>
                  <wp:positionH relativeFrom="column">
                    <wp:posOffset>1604010</wp:posOffset>
                  </wp:positionH>
                  <wp:positionV relativeFrom="paragraph">
                    <wp:posOffset>43180</wp:posOffset>
                  </wp:positionV>
                  <wp:extent cx="2187575" cy="396875"/>
                  <wp:effectExtent l="0" t="0" r="0" b="2540"/>
                  <wp:wrapNone/>
                  <wp:docPr id="76" name="图片 1"/>
                  <wp:cNvGraphicFramePr/>
                  <a:graphic xmlns:a="http://schemas.openxmlformats.org/drawingml/2006/main">
                    <a:graphicData uri="http://schemas.openxmlformats.org/drawingml/2006/picture">
                      <pic:pic xmlns:pic="http://schemas.openxmlformats.org/drawingml/2006/picture">
                        <pic:nvPicPr>
                          <pic:cNvPr id="76" name="图片 1"/>
                          <pic:cNvPicPr/>
                        </pic:nvPicPr>
                        <pic:blipFill>
                          <a:blip r:embed="rId20"/>
                          <a:stretch>
                            <a:fillRect/>
                          </a:stretch>
                        </pic:blipFill>
                        <pic:spPr>
                          <a:xfrm>
                            <a:off x="0" y="0"/>
                            <a:ext cx="2187575" cy="396875"/>
                          </a:xfrm>
                          <a:prstGeom prst="rect">
                            <a:avLst/>
                          </a:prstGeom>
                          <a:noFill/>
                          <a:ln>
                            <a:noFill/>
                          </a:ln>
                        </pic:spPr>
                      </pic:pic>
                    </a:graphicData>
                  </a:graphic>
                </wp:anchor>
              </w:drawing>
            </w:r>
          </w:p>
          <w:p w14:paraId="61784A64">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p>
          <w:p w14:paraId="6BAFF238">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default" w:hAnsi="宋体"/>
                <w:sz w:val="24"/>
              </w:rPr>
              <w:t>式中：L</w:t>
            </w:r>
            <w:r>
              <w:rPr>
                <w:rFonts w:hint="default" w:hAnsi="宋体"/>
                <w:sz w:val="24"/>
                <w:vertAlign w:val="subscript"/>
              </w:rPr>
              <w:t>p1——</w:t>
            </w:r>
            <w:r>
              <w:rPr>
                <w:rFonts w:hint="default" w:hAnsi="宋体"/>
                <w:sz w:val="24"/>
              </w:rPr>
              <w:t>靠近开口处（或窗户）室内某倍频带的声压级或A声级，dB；</w:t>
            </w:r>
          </w:p>
          <w:p w14:paraId="603A7531">
            <w:pPr>
              <w:keepNext w:val="0"/>
              <w:keepLines w:val="0"/>
              <w:suppressLineNumbers w:val="0"/>
              <w:tabs>
                <w:tab w:val="left" w:pos="3620"/>
              </w:tabs>
              <w:adjustRightInd w:val="0"/>
              <w:snapToGrid w:val="0"/>
              <w:spacing w:before="0" w:beforeAutospacing="0" w:after="0" w:afterAutospacing="0" w:line="440" w:lineRule="exact"/>
              <w:ind w:left="0" w:right="0" w:firstLine="960" w:firstLineChars="400"/>
              <w:rPr>
                <w:rFonts w:hint="default" w:hAnsi="宋体"/>
                <w:sz w:val="24"/>
              </w:rPr>
            </w:pPr>
            <w:r>
              <w:rPr>
                <w:rFonts w:hint="eastAsia" w:hAnsi="宋体"/>
                <w:sz w:val="24"/>
              </w:rPr>
              <w:t xml:space="preserve">  </w:t>
            </w:r>
            <w:r>
              <w:rPr>
                <w:rFonts w:hint="default" w:hAnsi="宋体"/>
                <w:sz w:val="24"/>
              </w:rPr>
              <w:t>L</w:t>
            </w:r>
            <w:r>
              <w:rPr>
                <w:rFonts w:hint="default" w:hAnsi="宋体"/>
                <w:sz w:val="24"/>
                <w:vertAlign w:val="subscript"/>
              </w:rPr>
              <w:t>w1</w:t>
            </w:r>
            <w:r>
              <w:rPr>
                <w:rFonts w:hint="default" w:hAnsi="宋体"/>
                <w:sz w:val="24"/>
              </w:rPr>
              <w:t>—点声源声功率级（A计权或倍频带），dB；</w:t>
            </w:r>
          </w:p>
          <w:p w14:paraId="67B7BEBD">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default" w:hAnsi="宋体"/>
                <w:sz w:val="24"/>
              </w:rPr>
              <w:t xml:space="preserve"> </w:t>
            </w:r>
            <w:r>
              <w:rPr>
                <w:rFonts w:hint="eastAsia" w:hAnsi="宋体"/>
                <w:sz w:val="24"/>
              </w:rPr>
              <w:t xml:space="preserve">     </w:t>
            </w:r>
            <w:r>
              <w:rPr>
                <w:rFonts w:hint="default" w:hAnsi="宋体"/>
                <w:sz w:val="24"/>
              </w:rPr>
              <w:t>Q—指向性因数；通常对无指向性声源，当声源放在房间中心时，Q=1；当放在一面墙的中心时，Q=2；当放在两面墙夹角处时，Q=4；当放在三面墙夹角处时，Q=8；本项目</w:t>
            </w:r>
            <w:r>
              <w:rPr>
                <w:rFonts w:hint="eastAsia" w:hAnsi="宋体"/>
                <w:sz w:val="24"/>
              </w:rPr>
              <w:t>Q值取</w:t>
            </w:r>
            <w:r>
              <w:rPr>
                <w:rFonts w:hint="eastAsia" w:hAnsi="宋体"/>
                <w:sz w:val="24"/>
                <w:lang w:val="en-US" w:eastAsia="zh-CN"/>
              </w:rPr>
              <w:t>4</w:t>
            </w:r>
            <w:r>
              <w:rPr>
                <w:rFonts w:hint="eastAsia" w:hAnsi="宋体"/>
                <w:sz w:val="24"/>
              </w:rPr>
              <w:t>。</w:t>
            </w:r>
          </w:p>
          <w:p w14:paraId="5B6E58C1">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hAnsi="宋体"/>
                <w:color w:val="auto"/>
                <w:sz w:val="24"/>
                <w:highlight w:val="yellow"/>
                <w:lang w:val="en-US"/>
              </w:rPr>
            </w:pPr>
            <w:r>
              <w:rPr>
                <w:rFonts w:hint="eastAsia" w:hAnsi="宋体"/>
                <w:sz w:val="24"/>
              </w:rPr>
              <w:t xml:space="preserve">      </w:t>
            </w:r>
            <w:r>
              <w:rPr>
                <w:rFonts w:hint="default" w:hAnsi="宋体"/>
                <w:sz w:val="24"/>
              </w:rPr>
              <w:t>R——房间常数</w:t>
            </w:r>
            <w:r>
              <w:rPr>
                <w:rFonts w:hint="default" w:hAnsi="宋体"/>
                <w:sz w:val="24"/>
                <w:highlight w:val="none"/>
              </w:rPr>
              <w:t>；R=Sα/（1-α），S为房间内表面面积，m</w:t>
            </w:r>
            <w:r>
              <w:rPr>
                <w:rFonts w:hint="default" w:hAnsi="宋体"/>
                <w:sz w:val="24"/>
                <w:highlight w:val="none"/>
                <w:vertAlign w:val="superscript"/>
              </w:rPr>
              <w:t>2</w:t>
            </w:r>
            <w:r>
              <w:rPr>
                <w:rFonts w:hint="default" w:hAnsi="宋体"/>
                <w:sz w:val="24"/>
                <w:highlight w:val="none"/>
              </w:rPr>
              <w:t>；α为平均吸声系数，取平均吸声系数0.</w:t>
            </w:r>
            <w:r>
              <w:rPr>
                <w:rFonts w:hint="eastAsia" w:hAnsi="宋体"/>
                <w:sz w:val="24"/>
                <w:highlight w:val="none"/>
              </w:rPr>
              <w:t>4</w:t>
            </w:r>
            <w:r>
              <w:rPr>
                <w:rFonts w:hint="default" w:hAnsi="宋体"/>
                <w:sz w:val="24"/>
                <w:highlight w:val="none"/>
              </w:rPr>
              <w:t>；</w:t>
            </w:r>
            <w:r>
              <w:rPr>
                <w:rFonts w:hint="eastAsia" w:hAnsi="宋体"/>
                <w:color w:val="auto"/>
                <w:sz w:val="24"/>
                <w:highlight w:val="none"/>
              </w:rPr>
              <w:t>车间</w:t>
            </w:r>
            <w:r>
              <w:rPr>
                <w:rFonts w:hint="default" w:hAnsi="宋体"/>
                <w:color w:val="auto"/>
                <w:sz w:val="24"/>
                <w:highlight w:val="none"/>
              </w:rPr>
              <w:t>内表面积</w:t>
            </w:r>
            <w:r>
              <w:rPr>
                <w:rFonts w:hint="eastAsia" w:hAnsi="宋体"/>
                <w:color w:val="auto"/>
                <w:sz w:val="24"/>
                <w:highlight w:val="none"/>
              </w:rPr>
              <w:t>为</w:t>
            </w:r>
            <w:r>
              <w:rPr>
                <w:rFonts w:hint="eastAsia" w:hAnsi="宋体"/>
                <w:color w:val="auto"/>
                <w:sz w:val="24"/>
                <w:highlight w:val="none"/>
                <w:lang w:val="en-US" w:eastAsia="zh-CN"/>
              </w:rPr>
              <w:t>6586</w:t>
            </w:r>
            <w:r>
              <w:rPr>
                <w:rFonts w:hint="default" w:hAnsi="宋体"/>
                <w:color w:val="auto"/>
                <w:sz w:val="24"/>
                <w:highlight w:val="none"/>
              </w:rPr>
              <w:t>m</w:t>
            </w:r>
            <w:r>
              <w:rPr>
                <w:rFonts w:hint="default" w:hAnsi="宋体"/>
                <w:color w:val="auto"/>
                <w:sz w:val="24"/>
                <w:highlight w:val="none"/>
                <w:vertAlign w:val="superscript"/>
              </w:rPr>
              <w:t>2</w:t>
            </w:r>
            <w:r>
              <w:rPr>
                <w:rFonts w:hint="default" w:hAnsi="宋体"/>
                <w:color w:val="auto"/>
                <w:sz w:val="24"/>
                <w:highlight w:val="none"/>
              </w:rPr>
              <w:t>，则R</w:t>
            </w:r>
            <w:r>
              <w:rPr>
                <w:rFonts w:hint="eastAsia" w:hAnsi="宋体"/>
                <w:color w:val="auto"/>
                <w:sz w:val="24"/>
                <w:highlight w:val="none"/>
                <w:lang w:val="en-US" w:eastAsia="zh-CN"/>
              </w:rPr>
              <w:t>1</w:t>
            </w:r>
            <w:r>
              <w:rPr>
                <w:rFonts w:hint="default" w:hAnsi="宋体"/>
                <w:color w:val="auto"/>
                <w:sz w:val="24"/>
                <w:highlight w:val="none"/>
              </w:rPr>
              <w:t>=</w:t>
            </w:r>
            <w:r>
              <w:rPr>
                <w:rFonts w:hint="eastAsia" w:hAnsi="宋体"/>
                <w:color w:val="auto"/>
                <w:sz w:val="24"/>
                <w:highlight w:val="none"/>
                <w:lang w:val="en-US" w:eastAsia="zh-CN"/>
              </w:rPr>
              <w:t>4390.7。</w:t>
            </w:r>
          </w:p>
          <w:p w14:paraId="7931D21F">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eastAsia" w:hAnsi="宋体" w:eastAsia="宋体"/>
                <w:sz w:val="24"/>
                <w:highlight w:val="none"/>
                <w:lang w:eastAsia="zh-CN"/>
              </w:rPr>
            </w:pPr>
            <w:r>
              <w:rPr>
                <w:rFonts w:hint="eastAsia" w:hAnsi="宋体"/>
                <w:sz w:val="24"/>
                <w:highlight w:val="none"/>
              </w:rPr>
              <w:t xml:space="preserve">      </w:t>
            </w:r>
            <w:r>
              <w:rPr>
                <w:rFonts w:hint="default" w:hAnsi="宋体"/>
                <w:sz w:val="24"/>
                <w:highlight w:val="none"/>
              </w:rPr>
              <w:t>r——声源到靠近围护结构某点处的距离，m</w:t>
            </w:r>
            <w:r>
              <w:rPr>
                <w:rFonts w:hint="eastAsia" w:hAnsi="宋体"/>
                <w:sz w:val="24"/>
                <w:highlight w:val="none"/>
                <w:lang w:eastAsia="zh-CN"/>
              </w:rPr>
              <w:t>；</w:t>
            </w:r>
          </w:p>
          <w:p w14:paraId="438DE6A7">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default" w:hAnsi="宋体"/>
                <w:sz w:val="24"/>
              </w:rPr>
              <w:t>然后按下式计算出所有室内声源在围护结构处产生的i倍频带叠加声压级：</w:t>
            </w:r>
          </w:p>
          <w:p w14:paraId="58480927">
            <w:pPr>
              <w:keepNext w:val="0"/>
              <w:keepLines w:val="0"/>
              <w:suppressLineNumbers w:val="0"/>
              <w:tabs>
                <w:tab w:val="left" w:pos="3620"/>
              </w:tabs>
              <w:adjustRightInd w:val="0"/>
              <w:snapToGrid w:val="0"/>
              <w:spacing w:before="0" w:beforeAutospacing="0" w:after="0" w:afterAutospacing="0"/>
              <w:ind w:left="0" w:right="0"/>
              <w:jc w:val="center"/>
              <w:rPr>
                <w:rFonts w:hint="eastAsia" w:hAnsi="宋体"/>
                <w:sz w:val="24"/>
              </w:rPr>
            </w:pPr>
            <w:r>
              <w:rPr>
                <w:rFonts w:hint="default" w:hAnsi="宋体"/>
                <w:sz w:val="24"/>
              </w:rPr>
              <w:drawing>
                <wp:inline distT="0" distB="0" distL="114300" distR="114300">
                  <wp:extent cx="1801495" cy="476250"/>
                  <wp:effectExtent l="0" t="0" r="8255" b="0"/>
                  <wp:docPr id="75" name="图片 3" descr="167334497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descr="1673344973300"/>
                          <pic:cNvPicPr>
                            <a:picLocks noChangeAspect="1"/>
                          </pic:cNvPicPr>
                        </pic:nvPicPr>
                        <pic:blipFill>
                          <a:blip r:embed="rId21"/>
                          <a:stretch>
                            <a:fillRect/>
                          </a:stretch>
                        </pic:blipFill>
                        <pic:spPr>
                          <a:xfrm>
                            <a:off x="0" y="0"/>
                            <a:ext cx="1801495" cy="476250"/>
                          </a:xfrm>
                          <a:prstGeom prst="rect">
                            <a:avLst/>
                          </a:prstGeom>
                          <a:noFill/>
                          <a:ln>
                            <a:noFill/>
                          </a:ln>
                        </pic:spPr>
                      </pic:pic>
                    </a:graphicData>
                  </a:graphic>
                </wp:inline>
              </w:drawing>
            </w:r>
          </w:p>
          <w:p w14:paraId="7F00C75C">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default" w:hAnsi="宋体"/>
                <w:sz w:val="24"/>
              </w:rPr>
              <w:t>式中：L</w:t>
            </w:r>
            <w:r>
              <w:rPr>
                <w:rFonts w:hint="default" w:hAnsi="宋体"/>
                <w:sz w:val="24"/>
                <w:vertAlign w:val="subscript"/>
              </w:rPr>
              <w:t>p1i</w:t>
            </w:r>
            <w:r>
              <w:rPr>
                <w:rFonts w:hint="default" w:hAnsi="宋体"/>
                <w:sz w:val="24"/>
              </w:rPr>
              <w:t>（T）——靠近围护结构处室内N个声源i倍频带的叠加声压级，dB；</w:t>
            </w:r>
          </w:p>
          <w:p w14:paraId="040F86CA">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default" w:hAnsi="宋体"/>
                <w:sz w:val="24"/>
              </w:rPr>
              <w:t xml:space="preserve">         L</w:t>
            </w:r>
            <w:r>
              <w:rPr>
                <w:rFonts w:hint="default" w:hAnsi="宋体"/>
                <w:sz w:val="24"/>
                <w:vertAlign w:val="subscript"/>
              </w:rPr>
              <w:t>p1ij</w:t>
            </w:r>
            <w:r>
              <w:rPr>
                <w:rFonts w:hint="default" w:hAnsi="宋体"/>
                <w:sz w:val="24"/>
              </w:rPr>
              <w:t>——室内j声源i倍频带的声压级，dB；</w:t>
            </w:r>
          </w:p>
          <w:p w14:paraId="1E990964">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eastAsia" w:hAnsi="宋体"/>
                <w:sz w:val="24"/>
              </w:rPr>
              <w:t xml:space="preserve">   </w:t>
            </w:r>
            <w:r>
              <w:rPr>
                <w:rFonts w:hint="default" w:hAnsi="宋体"/>
                <w:sz w:val="24"/>
              </w:rPr>
              <w:t xml:space="preserve">      N——室内声源总数。</w:t>
            </w:r>
          </w:p>
          <w:p w14:paraId="267DB966">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default" w:hAnsi="宋体"/>
                <w:sz w:val="24"/>
              </w:rPr>
              <w:t>在室内近似为扩散声场时，按下式计算出靠近室外围护结构处的声压级：</w:t>
            </w:r>
          </w:p>
          <w:p w14:paraId="307AF8A0">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jc w:val="center"/>
              <w:rPr>
                <w:rFonts w:hint="default" w:hAnsi="宋体"/>
                <w:sz w:val="24"/>
              </w:rPr>
            </w:pPr>
            <w:r>
              <w:rPr>
                <w:rFonts w:hint="default" w:hAnsi="宋体"/>
                <w:sz w:val="24"/>
              </w:rPr>
              <w:t>L</w:t>
            </w:r>
            <w:r>
              <w:rPr>
                <w:rFonts w:hint="default" w:hAnsi="宋体"/>
                <w:sz w:val="24"/>
                <w:vertAlign w:val="subscript"/>
              </w:rPr>
              <w:t>p2i</w:t>
            </w:r>
            <w:r>
              <w:rPr>
                <w:rFonts w:hint="default" w:hAnsi="宋体"/>
                <w:sz w:val="24"/>
              </w:rPr>
              <w:t>（T）=L</w:t>
            </w:r>
            <w:r>
              <w:rPr>
                <w:rFonts w:hint="default" w:hAnsi="宋体"/>
                <w:sz w:val="24"/>
                <w:vertAlign w:val="subscript"/>
              </w:rPr>
              <w:t>p1i</w:t>
            </w:r>
            <w:r>
              <w:rPr>
                <w:rFonts w:hint="default" w:hAnsi="宋体"/>
                <w:sz w:val="24"/>
              </w:rPr>
              <w:t>（T）-（TL</w:t>
            </w:r>
            <w:r>
              <w:rPr>
                <w:rFonts w:hint="default" w:hAnsi="宋体"/>
                <w:sz w:val="24"/>
                <w:vertAlign w:val="subscript"/>
              </w:rPr>
              <w:t>i</w:t>
            </w:r>
            <w:r>
              <w:rPr>
                <w:rFonts w:hint="default" w:hAnsi="宋体"/>
                <w:sz w:val="24"/>
              </w:rPr>
              <w:t>+6）</w:t>
            </w:r>
          </w:p>
          <w:p w14:paraId="6AC44442">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default" w:hAnsi="宋体"/>
                <w:sz w:val="24"/>
              </w:rPr>
              <w:t>式中：L</w:t>
            </w:r>
            <w:r>
              <w:rPr>
                <w:rFonts w:hint="default" w:hAnsi="宋体"/>
                <w:sz w:val="24"/>
                <w:vertAlign w:val="subscript"/>
              </w:rPr>
              <w:t>p2i</w:t>
            </w:r>
            <w:r>
              <w:rPr>
                <w:rFonts w:hint="default" w:hAnsi="宋体"/>
                <w:sz w:val="24"/>
              </w:rPr>
              <w:t>（T）——靠近围护结构处室外N个声源i倍频带的叠加声压级，dB；</w:t>
            </w:r>
          </w:p>
          <w:p w14:paraId="5C20EA47">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eastAsia" w:hAnsi="宋体"/>
                <w:sz w:val="24"/>
              </w:rPr>
              <w:t xml:space="preserve">      </w:t>
            </w:r>
            <w:r>
              <w:rPr>
                <w:rFonts w:hint="default" w:hAnsi="宋体"/>
                <w:sz w:val="24"/>
              </w:rPr>
              <w:t>L</w:t>
            </w:r>
            <w:r>
              <w:rPr>
                <w:rFonts w:hint="default" w:hAnsi="宋体"/>
                <w:sz w:val="24"/>
                <w:vertAlign w:val="subscript"/>
              </w:rPr>
              <w:t>p1i</w:t>
            </w:r>
            <w:r>
              <w:rPr>
                <w:rFonts w:hint="default" w:hAnsi="宋体"/>
                <w:sz w:val="24"/>
              </w:rPr>
              <w:t>（T）——靠近围护结构处室内N个声源i倍频带的叠加声压级，dB；</w:t>
            </w:r>
          </w:p>
          <w:p w14:paraId="27AE7F8F">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hAnsi="宋体"/>
                <w:sz w:val="24"/>
              </w:rPr>
            </w:pPr>
            <w:r>
              <w:rPr>
                <w:rFonts w:hint="eastAsia" w:hAnsi="宋体"/>
                <w:sz w:val="24"/>
              </w:rPr>
              <w:t xml:space="preserve">      </w:t>
            </w:r>
            <w:r>
              <w:rPr>
                <w:rFonts w:hint="default" w:hAnsi="宋体"/>
                <w:sz w:val="24"/>
              </w:rPr>
              <w:t>TL</w:t>
            </w:r>
            <w:r>
              <w:rPr>
                <w:rFonts w:hint="default" w:hAnsi="宋体"/>
                <w:sz w:val="24"/>
                <w:vertAlign w:val="subscript"/>
              </w:rPr>
              <w:t>i</w:t>
            </w:r>
            <w:r>
              <w:rPr>
                <w:rFonts w:hint="default" w:hAnsi="宋体"/>
                <w:sz w:val="24"/>
              </w:rPr>
              <w:t>——围护结构i倍频带的隔声量，dB；</w:t>
            </w:r>
          </w:p>
          <w:p w14:paraId="4BE876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然后按下式将室外声源的声压级和透过面积换算成等效的室外声源，计算出中心位置位于透声面积（S）处的等效声源的倍频带声功率级：</w:t>
            </w:r>
          </w:p>
          <w:p w14:paraId="6DDD88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center"/>
              <w:textAlignment w:val="baseline"/>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cs="Times New Roman"/>
                <w:color w:val="auto"/>
                <w:kern w:val="2"/>
                <w:sz w:val="24"/>
                <w:szCs w:val="24"/>
                <w:highlight w:val="none"/>
                <w:lang w:val="en-US" w:eastAsia="zh-CN" w:bidi="ar-SA"/>
              </w:rPr>
              <w:t>L</w:t>
            </w:r>
            <w:r>
              <w:rPr>
                <w:rFonts w:hint="eastAsia" w:ascii="Times New Roman" w:hAnsi="Times New Roman" w:cs="Times New Roman"/>
                <w:color w:val="auto"/>
                <w:kern w:val="2"/>
                <w:sz w:val="24"/>
                <w:szCs w:val="24"/>
                <w:highlight w:val="none"/>
                <w:vertAlign w:val="subscript"/>
                <w:lang w:val="en-US" w:eastAsia="zh-CN" w:bidi="ar-SA"/>
              </w:rPr>
              <w:t>w2</w:t>
            </w:r>
            <w:r>
              <w:rPr>
                <w:rFonts w:hint="default" w:ascii="Times New Roman" w:hAnsi="Times New Roman" w:eastAsia="宋体" w:cs="Times New Roman"/>
                <w:color w:val="auto"/>
                <w:kern w:val="2"/>
                <w:sz w:val="24"/>
                <w:szCs w:val="24"/>
                <w:highlight w:val="none"/>
                <w:lang w:val="en-US" w:eastAsia="zh-CN" w:bidi="ar-SA"/>
              </w:rPr>
              <w:t>=L</w:t>
            </w:r>
            <w:r>
              <w:rPr>
                <w:rFonts w:hint="default" w:ascii="Times New Roman" w:hAnsi="Times New Roman" w:eastAsia="宋体" w:cs="Times New Roman"/>
                <w:color w:val="auto"/>
                <w:kern w:val="2"/>
                <w:sz w:val="24"/>
                <w:szCs w:val="24"/>
                <w:highlight w:val="none"/>
                <w:vertAlign w:val="subscript"/>
                <w:lang w:val="en-US" w:eastAsia="zh-CN" w:bidi="ar-SA"/>
              </w:rPr>
              <w:t>p2</w:t>
            </w:r>
            <w:r>
              <w:rPr>
                <w:rFonts w:hint="default" w:ascii="Times New Roman" w:hAnsi="Times New Roman" w:eastAsia="宋体" w:cs="Times New Roman"/>
                <w:color w:val="auto"/>
                <w:kern w:val="2"/>
                <w:sz w:val="24"/>
                <w:szCs w:val="24"/>
                <w:highlight w:val="none"/>
                <w:lang w:val="en-US" w:eastAsia="zh-CN" w:bidi="ar-SA"/>
              </w:rPr>
              <w:t>（T）+10lgS</w:t>
            </w:r>
          </w:p>
          <w:p w14:paraId="7DA9D2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式中：L</w:t>
            </w:r>
            <w:r>
              <w:rPr>
                <w:rFonts w:hint="default" w:ascii="Times New Roman" w:hAnsi="Times New Roman" w:eastAsia="宋体" w:cs="Times New Roman"/>
                <w:color w:val="auto"/>
                <w:kern w:val="2"/>
                <w:sz w:val="24"/>
                <w:szCs w:val="24"/>
                <w:highlight w:val="none"/>
                <w:vertAlign w:val="subscript"/>
                <w:lang w:val="en-US" w:eastAsia="zh-CN" w:bidi="ar-SA"/>
              </w:rPr>
              <w:t>w2</w:t>
            </w:r>
            <w:r>
              <w:rPr>
                <w:rFonts w:hint="default" w:ascii="Times New Roman" w:hAnsi="Times New Roman" w:eastAsia="宋体" w:cs="Times New Roman"/>
                <w:color w:val="auto"/>
                <w:kern w:val="2"/>
                <w:sz w:val="24"/>
                <w:szCs w:val="24"/>
                <w:highlight w:val="none"/>
                <w:lang w:val="en-US" w:eastAsia="zh-CN" w:bidi="ar-SA"/>
              </w:rPr>
              <w:t>——中心位置位于透声面积（S）处的等效声源的倍频带声功率级，dB；</w:t>
            </w:r>
          </w:p>
          <w:p w14:paraId="5795E5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 xml:space="preserve">   L</w:t>
            </w:r>
            <w:r>
              <w:rPr>
                <w:rFonts w:hint="default" w:ascii="Times New Roman" w:hAnsi="Times New Roman" w:eastAsia="宋体" w:cs="Times New Roman"/>
                <w:color w:val="auto"/>
                <w:kern w:val="2"/>
                <w:sz w:val="24"/>
                <w:szCs w:val="24"/>
                <w:highlight w:val="none"/>
                <w:vertAlign w:val="subscript"/>
                <w:lang w:val="en-US" w:eastAsia="zh-CN" w:bidi="ar-SA"/>
              </w:rPr>
              <w:t>p2</w:t>
            </w:r>
            <w:r>
              <w:rPr>
                <w:rFonts w:hint="default" w:ascii="Times New Roman" w:hAnsi="Times New Roman" w:eastAsia="宋体" w:cs="Times New Roman"/>
                <w:color w:val="auto"/>
                <w:kern w:val="2"/>
                <w:sz w:val="24"/>
                <w:szCs w:val="24"/>
                <w:highlight w:val="none"/>
                <w:lang w:val="en-US" w:eastAsia="zh-CN" w:bidi="ar-SA"/>
              </w:rPr>
              <w:t>（T）——靠近围护结构处室外声源的声压级，dB；</w:t>
            </w:r>
          </w:p>
          <w:p w14:paraId="41F707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 xml:space="preserve">   S——透声面积，m</w:t>
            </w:r>
            <w:r>
              <w:rPr>
                <w:rFonts w:hint="default" w:ascii="Times New Roman" w:hAnsi="Times New Roman" w:eastAsia="宋体" w:cs="Times New Roman"/>
                <w:color w:val="auto"/>
                <w:kern w:val="2"/>
                <w:sz w:val="24"/>
                <w:szCs w:val="24"/>
                <w:highlight w:val="none"/>
                <w:vertAlign w:val="superscript"/>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（车间S=10）</w:t>
            </w:r>
          </w:p>
          <w:p w14:paraId="1A4580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如果声源处于半自由声场，则预测点处声压级计算公式如下：</w:t>
            </w:r>
          </w:p>
          <w:p w14:paraId="5CA2ED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 xml:space="preserve">      Lp（r）=Lw-20lgr-8</w:t>
            </w:r>
          </w:p>
          <w:p w14:paraId="34EA34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式中：Lp（r）——预测点处声压级，dB；</w:t>
            </w:r>
          </w:p>
          <w:p w14:paraId="01B072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 xml:space="preserve">      Lw——由点声源产生的倍频带声功率级，dB；</w:t>
            </w:r>
          </w:p>
          <w:p w14:paraId="1697C0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52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 xml:space="preserve">      r——预测点距声源的距离，m。</w:t>
            </w:r>
          </w:p>
          <w:p w14:paraId="2795AD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firstLine="482" w:firstLineChars="200"/>
              <w:jc w:val="left"/>
              <w:textAlignment w:val="baseline"/>
              <w:rPr>
                <w:rFonts w:hint="default" w:ascii="Calibri" w:hAnsi="Calibri" w:eastAsia="宋体" w:cs="Calibri"/>
                <w:b/>
                <w:color w:val="auto"/>
                <w:kern w:val="2"/>
                <w:sz w:val="24"/>
                <w:szCs w:val="24"/>
                <w:lang w:val="en-US" w:eastAsia="zh-CN" w:bidi="ar-SA"/>
              </w:rPr>
            </w:pPr>
            <w:r>
              <w:rPr>
                <w:rFonts w:hint="eastAsia" w:ascii="Calibri" w:hAnsi="Calibri" w:eastAsia="宋体" w:cs="Calibri"/>
                <w:b/>
                <w:color w:val="auto"/>
                <w:kern w:val="2"/>
                <w:sz w:val="24"/>
                <w:szCs w:val="24"/>
                <w:lang w:val="en-US" w:eastAsia="zh-CN" w:bidi="ar-SA"/>
              </w:rPr>
              <w:t>（2）</w:t>
            </w:r>
            <w:r>
              <w:rPr>
                <w:rFonts w:hint="default" w:ascii="Calibri" w:hAnsi="Calibri" w:eastAsia="宋体" w:cs="Calibri"/>
                <w:b/>
                <w:color w:val="auto"/>
                <w:kern w:val="2"/>
                <w:sz w:val="24"/>
                <w:szCs w:val="24"/>
                <w:lang w:val="en-US" w:eastAsia="zh-CN" w:bidi="ar-SA"/>
              </w:rPr>
              <w:t>项目</w:t>
            </w:r>
            <w:r>
              <w:rPr>
                <w:rFonts w:hint="eastAsia" w:ascii="Calibri" w:hAnsi="Calibri" w:eastAsia="宋体" w:cs="Calibri"/>
                <w:b/>
                <w:color w:val="auto"/>
                <w:kern w:val="2"/>
                <w:sz w:val="24"/>
                <w:szCs w:val="24"/>
                <w:lang w:val="en-US" w:eastAsia="zh-CN" w:bidi="ar-SA"/>
              </w:rPr>
              <w:t>噪声源调查</w:t>
            </w:r>
          </w:p>
          <w:p w14:paraId="4AD9BC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firstLine="480" w:firstLineChars="200"/>
              <w:jc w:val="left"/>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本项目室内噪声源强见</w:t>
            </w:r>
            <w:r>
              <w:rPr>
                <w:rFonts w:hint="eastAsia" w:ascii="Times New Roman" w:hAnsi="Times New Roman" w:cs="Times New Roman"/>
                <w:color w:val="auto"/>
                <w:kern w:val="2"/>
                <w:sz w:val="24"/>
                <w:szCs w:val="24"/>
                <w:lang w:val="en-US" w:eastAsia="zh-CN" w:bidi="ar-SA"/>
              </w:rPr>
              <w:t>下表</w:t>
            </w:r>
            <w:r>
              <w:rPr>
                <w:rFonts w:hint="default" w:ascii="Times New Roman" w:hAnsi="Times New Roman" w:eastAsia="宋体" w:cs="Times New Roman"/>
                <w:color w:val="auto"/>
                <w:kern w:val="2"/>
                <w:sz w:val="24"/>
                <w:szCs w:val="24"/>
                <w:lang w:val="en-US" w:eastAsia="zh-CN" w:bidi="ar-SA"/>
              </w:rPr>
              <w:t>。</w:t>
            </w:r>
          </w:p>
          <w:p w14:paraId="1E56A2FD">
            <w:pPr>
              <w:keepNext w:val="0"/>
              <w:keepLines w:val="0"/>
              <w:suppressLineNumbers w:val="0"/>
              <w:adjustRightInd w:val="0"/>
              <w:snapToGrid w:val="0"/>
              <w:spacing w:before="0" w:beforeAutospacing="0" w:after="0" w:afterAutospacing="0" w:line="420" w:lineRule="exact"/>
              <w:ind w:left="0" w:right="0"/>
              <w:jc w:val="center"/>
              <w:textAlignment w:val="baseline"/>
              <w:rPr>
                <w:rFonts w:hint="eastAsia" w:ascii="宋体" w:hAnsi="宋体"/>
                <w:b/>
                <w:color w:val="000000"/>
                <w:sz w:val="24"/>
                <w:highlight w:val="none"/>
              </w:rPr>
            </w:pPr>
            <w:r>
              <w:rPr>
                <w:rFonts w:hint="eastAsia" w:ascii="宋体" w:hAnsi="宋体"/>
                <w:b/>
                <w:color w:val="auto"/>
                <w:sz w:val="24"/>
                <w:highlight w:val="none"/>
              </w:rPr>
              <w:t>表</w:t>
            </w:r>
            <w:r>
              <w:rPr>
                <w:rFonts w:hint="eastAsia" w:cs="Times New Roman"/>
                <w:b/>
                <w:color w:val="auto"/>
                <w:sz w:val="24"/>
                <w:highlight w:val="none"/>
                <w:lang w:val="en-US" w:eastAsia="zh-CN"/>
              </w:rPr>
              <w:t xml:space="preserve">28  </w:t>
            </w:r>
            <w:r>
              <w:rPr>
                <w:rFonts w:hint="eastAsia" w:ascii="宋体" w:hAnsi="宋体"/>
                <w:b/>
                <w:color w:val="auto"/>
                <w:sz w:val="24"/>
                <w:highlight w:val="none"/>
              </w:rPr>
              <w:t>本项</w:t>
            </w:r>
            <w:r>
              <w:rPr>
                <w:rFonts w:hint="eastAsia" w:ascii="宋体" w:hAnsi="宋体"/>
                <w:b/>
                <w:color w:val="000000"/>
                <w:sz w:val="24"/>
                <w:highlight w:val="none"/>
              </w:rPr>
              <w:t>目室内噪音源强调查清单</w:t>
            </w:r>
          </w:p>
          <w:tbl>
            <w:tblPr>
              <w:tblStyle w:val="2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1"/>
              <w:gridCol w:w="670"/>
              <w:gridCol w:w="1881"/>
              <w:gridCol w:w="790"/>
              <w:gridCol w:w="748"/>
              <w:gridCol w:w="772"/>
              <w:gridCol w:w="728"/>
              <w:gridCol w:w="730"/>
              <w:gridCol w:w="790"/>
              <w:gridCol w:w="1046"/>
            </w:tblGrid>
            <w:tr w14:paraId="29D771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vMerge w:val="restart"/>
                  <w:tcBorders>
                    <w:top w:val="single" w:color="auto" w:sz="8" w:space="0"/>
                    <w:bottom w:val="single" w:color="auto" w:sz="8" w:space="0"/>
                    <w:right w:val="single" w:color="auto" w:sz="4" w:space="0"/>
                  </w:tcBorders>
                  <w:noWrap w:val="0"/>
                  <w:vAlign w:val="center"/>
                </w:tcPr>
                <w:p w14:paraId="2BBD909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序号</w:t>
                  </w:r>
                </w:p>
              </w:tc>
              <w:tc>
                <w:tcPr>
                  <w:tcW w:w="670" w:type="dxa"/>
                  <w:vMerge w:val="restart"/>
                  <w:tcBorders>
                    <w:top w:val="single" w:color="auto" w:sz="8" w:space="0"/>
                    <w:left w:val="single" w:color="auto" w:sz="4" w:space="0"/>
                    <w:bottom w:val="single" w:color="auto" w:sz="8" w:space="0"/>
                    <w:right w:val="single" w:color="auto" w:sz="4" w:space="0"/>
                  </w:tcBorders>
                  <w:noWrap w:val="0"/>
                  <w:vAlign w:val="center"/>
                </w:tcPr>
                <w:p w14:paraId="18BE3FC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建筑物名称</w:t>
                  </w:r>
                </w:p>
              </w:tc>
              <w:tc>
                <w:tcPr>
                  <w:tcW w:w="1881" w:type="dxa"/>
                  <w:vMerge w:val="restart"/>
                  <w:tcBorders>
                    <w:top w:val="single" w:color="auto" w:sz="8" w:space="0"/>
                    <w:left w:val="single" w:color="auto" w:sz="4" w:space="0"/>
                    <w:bottom w:val="single" w:color="auto" w:sz="8" w:space="0"/>
                    <w:right w:val="single" w:color="auto" w:sz="4" w:space="0"/>
                  </w:tcBorders>
                  <w:noWrap w:val="0"/>
                  <w:vAlign w:val="center"/>
                </w:tcPr>
                <w:p w14:paraId="47F46B3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声源名称</w:t>
                  </w:r>
                </w:p>
              </w:tc>
              <w:tc>
                <w:tcPr>
                  <w:tcW w:w="790" w:type="dxa"/>
                  <w:vMerge w:val="restart"/>
                  <w:tcBorders>
                    <w:top w:val="single" w:color="auto" w:sz="8" w:space="0"/>
                    <w:left w:val="single" w:color="auto" w:sz="4" w:space="0"/>
                    <w:bottom w:val="single" w:color="auto" w:sz="8" w:space="0"/>
                    <w:right w:val="single" w:color="auto" w:sz="4" w:space="0"/>
                  </w:tcBorders>
                  <w:noWrap w:val="0"/>
                  <w:vAlign w:val="center"/>
                </w:tcPr>
                <w:p w14:paraId="59700BE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声功率级/db（A）</w:t>
                  </w:r>
                </w:p>
              </w:tc>
              <w:tc>
                <w:tcPr>
                  <w:tcW w:w="748" w:type="dxa"/>
                  <w:vMerge w:val="restart"/>
                  <w:tcBorders>
                    <w:top w:val="single" w:color="auto" w:sz="8" w:space="0"/>
                    <w:left w:val="single" w:color="auto" w:sz="4" w:space="0"/>
                    <w:bottom w:val="single" w:color="auto" w:sz="8" w:space="0"/>
                    <w:right w:val="single" w:color="auto" w:sz="4" w:space="0"/>
                  </w:tcBorders>
                  <w:noWrap w:val="0"/>
                  <w:vAlign w:val="center"/>
                </w:tcPr>
                <w:p w14:paraId="71B817B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声源控制措施</w:t>
                  </w:r>
                </w:p>
              </w:tc>
              <w:tc>
                <w:tcPr>
                  <w:tcW w:w="2230" w:type="dxa"/>
                  <w:gridSpan w:val="3"/>
                  <w:tcBorders>
                    <w:top w:val="single" w:color="auto" w:sz="8" w:space="0"/>
                    <w:left w:val="single" w:color="auto" w:sz="4" w:space="0"/>
                    <w:bottom w:val="single" w:color="auto" w:sz="4" w:space="0"/>
                    <w:right w:val="single" w:color="auto" w:sz="4" w:space="0"/>
                  </w:tcBorders>
                  <w:noWrap w:val="0"/>
                  <w:vAlign w:val="center"/>
                </w:tcPr>
                <w:p w14:paraId="68DE879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空间相对位置/m</w:t>
                  </w:r>
                </w:p>
              </w:tc>
              <w:tc>
                <w:tcPr>
                  <w:tcW w:w="790" w:type="dxa"/>
                  <w:vMerge w:val="restart"/>
                  <w:tcBorders>
                    <w:top w:val="single" w:color="auto" w:sz="8" w:space="0"/>
                    <w:left w:val="single" w:color="auto" w:sz="4" w:space="0"/>
                    <w:bottom w:val="single" w:color="auto" w:sz="8" w:space="0"/>
                    <w:right w:val="single" w:color="auto" w:sz="4" w:space="0"/>
                  </w:tcBorders>
                  <w:noWrap w:val="0"/>
                  <w:vAlign w:val="center"/>
                </w:tcPr>
                <w:p w14:paraId="2547032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距室内边界距离/m</w:t>
                  </w:r>
                </w:p>
              </w:tc>
              <w:tc>
                <w:tcPr>
                  <w:tcW w:w="1046" w:type="dxa"/>
                  <w:vMerge w:val="restart"/>
                  <w:tcBorders>
                    <w:top w:val="single" w:color="auto" w:sz="8" w:space="0"/>
                    <w:left w:val="single" w:color="auto" w:sz="4" w:space="0"/>
                    <w:bottom w:val="single" w:color="auto" w:sz="8" w:space="0"/>
                    <w:right w:val="nil"/>
                  </w:tcBorders>
                  <w:noWrap w:val="0"/>
                  <w:vAlign w:val="center"/>
                </w:tcPr>
                <w:p w14:paraId="5218101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室内边界声级/dB（A）</w:t>
                  </w:r>
                </w:p>
              </w:tc>
            </w:tr>
            <w:tr w14:paraId="44FDB9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vMerge w:val="continue"/>
                  <w:tcBorders>
                    <w:top w:val="single" w:color="auto" w:sz="8" w:space="0"/>
                    <w:bottom w:val="single" w:color="auto" w:sz="8" w:space="0"/>
                    <w:right w:val="single" w:color="auto" w:sz="4" w:space="0"/>
                  </w:tcBorders>
                  <w:noWrap w:val="0"/>
                  <w:vAlign w:val="center"/>
                </w:tcPr>
                <w:p w14:paraId="04324C1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p>
              </w:tc>
              <w:tc>
                <w:tcPr>
                  <w:tcW w:w="670" w:type="dxa"/>
                  <w:vMerge w:val="continue"/>
                  <w:tcBorders>
                    <w:top w:val="single" w:color="auto" w:sz="8" w:space="0"/>
                    <w:left w:val="single" w:color="auto" w:sz="4" w:space="0"/>
                    <w:bottom w:val="single" w:color="auto" w:sz="8" w:space="0"/>
                    <w:right w:val="single" w:color="auto" w:sz="4" w:space="0"/>
                  </w:tcBorders>
                  <w:noWrap w:val="0"/>
                  <w:vAlign w:val="center"/>
                </w:tcPr>
                <w:p w14:paraId="7FC35C4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p>
              </w:tc>
              <w:tc>
                <w:tcPr>
                  <w:tcW w:w="1881" w:type="dxa"/>
                  <w:vMerge w:val="continue"/>
                  <w:tcBorders>
                    <w:top w:val="single" w:color="auto" w:sz="8" w:space="0"/>
                    <w:left w:val="single" w:color="auto" w:sz="4" w:space="0"/>
                    <w:bottom w:val="single" w:color="auto" w:sz="8" w:space="0"/>
                    <w:right w:val="single" w:color="auto" w:sz="4" w:space="0"/>
                  </w:tcBorders>
                  <w:noWrap w:val="0"/>
                  <w:vAlign w:val="center"/>
                </w:tcPr>
                <w:p w14:paraId="49963C6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p>
              </w:tc>
              <w:tc>
                <w:tcPr>
                  <w:tcW w:w="790" w:type="dxa"/>
                  <w:vMerge w:val="continue"/>
                  <w:tcBorders>
                    <w:top w:val="single" w:color="auto" w:sz="8" w:space="0"/>
                    <w:left w:val="single" w:color="auto" w:sz="4" w:space="0"/>
                    <w:bottom w:val="single" w:color="auto" w:sz="8" w:space="0"/>
                    <w:right w:val="single" w:color="auto" w:sz="4" w:space="0"/>
                  </w:tcBorders>
                  <w:noWrap w:val="0"/>
                  <w:vAlign w:val="center"/>
                </w:tcPr>
                <w:p w14:paraId="1A2CBB2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p>
              </w:tc>
              <w:tc>
                <w:tcPr>
                  <w:tcW w:w="748" w:type="dxa"/>
                  <w:vMerge w:val="continue"/>
                  <w:tcBorders>
                    <w:top w:val="single" w:color="auto" w:sz="8" w:space="0"/>
                    <w:left w:val="single" w:color="auto" w:sz="4" w:space="0"/>
                    <w:bottom w:val="single" w:color="auto" w:sz="8" w:space="0"/>
                    <w:right w:val="single" w:color="auto" w:sz="4" w:space="0"/>
                  </w:tcBorders>
                  <w:noWrap w:val="0"/>
                  <w:vAlign w:val="center"/>
                </w:tcPr>
                <w:p w14:paraId="0A9BD36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p>
              </w:tc>
              <w:tc>
                <w:tcPr>
                  <w:tcW w:w="772" w:type="dxa"/>
                  <w:tcBorders>
                    <w:top w:val="single" w:color="auto" w:sz="4" w:space="0"/>
                    <w:left w:val="single" w:color="auto" w:sz="4" w:space="0"/>
                    <w:bottom w:val="single" w:color="auto" w:sz="8" w:space="0"/>
                    <w:right w:val="single" w:color="auto" w:sz="4" w:space="0"/>
                  </w:tcBorders>
                  <w:noWrap w:val="0"/>
                  <w:vAlign w:val="center"/>
                </w:tcPr>
                <w:p w14:paraId="2C81C2D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X</w:t>
                  </w:r>
                </w:p>
              </w:tc>
              <w:tc>
                <w:tcPr>
                  <w:tcW w:w="728" w:type="dxa"/>
                  <w:tcBorders>
                    <w:top w:val="single" w:color="auto" w:sz="4" w:space="0"/>
                    <w:left w:val="single" w:color="auto" w:sz="4" w:space="0"/>
                    <w:bottom w:val="single" w:color="auto" w:sz="8" w:space="0"/>
                    <w:right w:val="single" w:color="auto" w:sz="4" w:space="0"/>
                  </w:tcBorders>
                  <w:noWrap w:val="0"/>
                  <w:vAlign w:val="center"/>
                </w:tcPr>
                <w:p w14:paraId="50C3556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Y</w:t>
                  </w:r>
                </w:p>
              </w:tc>
              <w:tc>
                <w:tcPr>
                  <w:tcW w:w="730" w:type="dxa"/>
                  <w:tcBorders>
                    <w:top w:val="single" w:color="auto" w:sz="4" w:space="0"/>
                    <w:left w:val="single" w:color="auto" w:sz="4" w:space="0"/>
                    <w:bottom w:val="single" w:color="auto" w:sz="8" w:space="0"/>
                    <w:right w:val="single" w:color="auto" w:sz="4" w:space="0"/>
                  </w:tcBorders>
                  <w:noWrap w:val="0"/>
                  <w:vAlign w:val="center"/>
                </w:tcPr>
                <w:p w14:paraId="72D47C0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r>
                    <w:rPr>
                      <w:rFonts w:hint="default" w:ascii="Times New Roman" w:hAnsi="Times New Roman" w:eastAsia="宋体" w:cs="Times New Roman"/>
                      <w:b/>
                      <w:kern w:val="0"/>
                      <w:sz w:val="21"/>
                      <w:szCs w:val="21"/>
                      <w:highlight w:val="none"/>
                    </w:rPr>
                    <w:t>Z</w:t>
                  </w:r>
                </w:p>
              </w:tc>
              <w:tc>
                <w:tcPr>
                  <w:tcW w:w="790" w:type="dxa"/>
                  <w:vMerge w:val="continue"/>
                  <w:tcBorders>
                    <w:top w:val="single" w:color="auto" w:sz="8" w:space="0"/>
                    <w:left w:val="single" w:color="auto" w:sz="4" w:space="0"/>
                    <w:bottom w:val="single" w:color="auto" w:sz="8" w:space="0"/>
                    <w:right w:val="single" w:color="auto" w:sz="8" w:space="0"/>
                  </w:tcBorders>
                  <w:noWrap w:val="0"/>
                  <w:vAlign w:val="center"/>
                </w:tcPr>
                <w:p w14:paraId="4780F88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p>
              </w:tc>
              <w:tc>
                <w:tcPr>
                  <w:tcW w:w="1046" w:type="dxa"/>
                  <w:vMerge w:val="continue"/>
                  <w:tcBorders>
                    <w:top w:val="single" w:color="auto" w:sz="8" w:space="0"/>
                    <w:left w:val="single" w:color="auto" w:sz="8" w:space="0"/>
                    <w:bottom w:val="single" w:color="auto" w:sz="8" w:space="0"/>
                    <w:right w:val="nil"/>
                  </w:tcBorders>
                  <w:noWrap w:val="0"/>
                  <w:vAlign w:val="center"/>
                </w:tcPr>
                <w:p w14:paraId="124EE2E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
                      <w:sz w:val="21"/>
                      <w:szCs w:val="21"/>
                      <w:highlight w:val="none"/>
                    </w:rPr>
                  </w:pPr>
                </w:p>
              </w:tc>
            </w:tr>
            <w:tr w14:paraId="0BF68A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8" w:space="0"/>
                    <w:bottom w:val="single" w:color="auto" w:sz="4" w:space="0"/>
                  </w:tcBorders>
                  <w:noWrap w:val="0"/>
                  <w:vAlign w:val="center"/>
                </w:tcPr>
                <w:p w14:paraId="05B4421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rPr>
                    <w:t>1</w:t>
                  </w:r>
                </w:p>
              </w:tc>
              <w:tc>
                <w:tcPr>
                  <w:tcW w:w="670" w:type="dxa"/>
                  <w:vMerge w:val="restart"/>
                  <w:tcBorders>
                    <w:top w:val="single" w:color="auto" w:sz="8" w:space="0"/>
                  </w:tcBorders>
                  <w:noWrap w:val="0"/>
                  <w:vAlign w:val="center"/>
                </w:tcPr>
                <w:p w14:paraId="40F8172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生产车间</w:t>
                  </w:r>
                </w:p>
              </w:tc>
              <w:tc>
                <w:tcPr>
                  <w:tcW w:w="1881" w:type="dxa"/>
                  <w:tcBorders>
                    <w:top w:val="single" w:color="auto" w:sz="8" w:space="0"/>
                    <w:bottom w:val="single" w:color="auto" w:sz="4" w:space="0"/>
                  </w:tcBorders>
                  <w:noWrap w:val="0"/>
                  <w:vAlign w:val="center"/>
                </w:tcPr>
                <w:p w14:paraId="23669B7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sz w:val="21"/>
                      <w:szCs w:val="21"/>
                      <w:highlight w:val="none"/>
                      <w:lang w:val="en-US" w:eastAsia="zh-CN"/>
                    </w:rPr>
                  </w:pPr>
                  <w:r>
                    <w:rPr>
                      <w:rFonts w:hint="eastAsia" w:cs="Times New Roman"/>
                      <w:color w:val="000000"/>
                      <w:sz w:val="21"/>
                      <w:szCs w:val="21"/>
                      <w:lang w:val="en-US" w:eastAsia="zh-CN"/>
                    </w:rPr>
                    <w:t>全自动无轴淋膜机1</w:t>
                  </w:r>
                </w:p>
              </w:tc>
              <w:tc>
                <w:tcPr>
                  <w:tcW w:w="790" w:type="dxa"/>
                  <w:tcBorders>
                    <w:top w:val="single" w:color="auto" w:sz="8" w:space="0"/>
                    <w:bottom w:val="single" w:color="auto" w:sz="4" w:space="0"/>
                  </w:tcBorders>
                  <w:noWrap w:val="0"/>
                  <w:vAlign w:val="center"/>
                </w:tcPr>
                <w:p w14:paraId="231BD73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80</w:t>
                  </w:r>
                </w:p>
              </w:tc>
              <w:tc>
                <w:tcPr>
                  <w:tcW w:w="748" w:type="dxa"/>
                  <w:vMerge w:val="restart"/>
                  <w:tcBorders>
                    <w:top w:val="single" w:color="auto" w:sz="8" w:space="0"/>
                  </w:tcBorders>
                  <w:noWrap w:val="0"/>
                  <w:vAlign w:val="center"/>
                </w:tcPr>
                <w:p w14:paraId="1F327CF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基础减振、</w:t>
                  </w:r>
                </w:p>
                <w:p w14:paraId="2A89414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rPr>
                    <w:t>厂房封闭隔音</w:t>
                  </w:r>
                </w:p>
              </w:tc>
              <w:tc>
                <w:tcPr>
                  <w:tcW w:w="772" w:type="dxa"/>
                  <w:tcBorders>
                    <w:top w:val="single" w:color="auto" w:sz="8" w:space="0"/>
                    <w:bottom w:val="single" w:color="auto" w:sz="4" w:space="0"/>
                  </w:tcBorders>
                  <w:noWrap w:val="0"/>
                  <w:vAlign w:val="center"/>
                </w:tcPr>
                <w:p w14:paraId="2D228CD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8</w:t>
                  </w:r>
                </w:p>
              </w:tc>
              <w:tc>
                <w:tcPr>
                  <w:tcW w:w="728" w:type="dxa"/>
                  <w:tcBorders>
                    <w:top w:val="single" w:color="auto" w:sz="8" w:space="0"/>
                    <w:bottom w:val="single" w:color="auto" w:sz="4" w:space="0"/>
                  </w:tcBorders>
                  <w:noWrap w:val="0"/>
                  <w:vAlign w:val="center"/>
                </w:tcPr>
                <w:p w14:paraId="46289E3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35</w:t>
                  </w:r>
                </w:p>
              </w:tc>
              <w:tc>
                <w:tcPr>
                  <w:tcW w:w="730" w:type="dxa"/>
                  <w:tcBorders>
                    <w:top w:val="single" w:color="auto" w:sz="8" w:space="0"/>
                    <w:bottom w:val="single" w:color="auto" w:sz="4" w:space="0"/>
                  </w:tcBorders>
                  <w:noWrap w:val="0"/>
                  <w:vAlign w:val="center"/>
                </w:tcPr>
                <w:p w14:paraId="0A0575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1.2</w:t>
                  </w:r>
                </w:p>
              </w:tc>
              <w:tc>
                <w:tcPr>
                  <w:tcW w:w="790" w:type="dxa"/>
                  <w:tcBorders>
                    <w:top w:val="single" w:color="auto" w:sz="8" w:space="0"/>
                    <w:bottom w:val="single" w:color="auto" w:sz="4" w:space="0"/>
                  </w:tcBorders>
                  <w:noWrap w:val="0"/>
                  <w:vAlign w:val="center"/>
                </w:tcPr>
                <w:p w14:paraId="4D5E156E">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ascii="Times New Roman" w:hAnsi="Times New Roman" w:eastAsia="宋体" w:cs="Times New Roman"/>
                      <w:sz w:val="21"/>
                      <w:szCs w:val="21"/>
                      <w:highlight w:val="none"/>
                      <w:lang w:val="en-US" w:eastAsia="zh-CN"/>
                    </w:rPr>
                  </w:pPr>
                  <w:r>
                    <w:rPr>
                      <w:rFonts w:hint="eastAsia" w:cs="Times New Roman"/>
                      <w:i w:val="0"/>
                      <w:iCs w:val="0"/>
                      <w:color w:val="000000"/>
                      <w:kern w:val="0"/>
                      <w:sz w:val="21"/>
                      <w:szCs w:val="21"/>
                      <w:u w:val="none"/>
                      <w:lang w:val="en-US" w:eastAsia="zh-CN" w:bidi="ar"/>
                    </w:rPr>
                    <w:t>18.5</w:t>
                  </w:r>
                </w:p>
              </w:tc>
              <w:tc>
                <w:tcPr>
                  <w:tcW w:w="1046" w:type="dxa"/>
                  <w:tcBorders>
                    <w:top w:val="single" w:color="auto" w:sz="8" w:space="0"/>
                    <w:bottom w:val="single" w:color="auto" w:sz="4" w:space="0"/>
                  </w:tcBorders>
                  <w:noWrap w:val="0"/>
                  <w:vAlign w:val="center"/>
                </w:tcPr>
                <w:p w14:paraId="460FFE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54.37 </w:t>
                  </w:r>
                </w:p>
              </w:tc>
            </w:tr>
            <w:tr w14:paraId="356145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24AB722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2</w:t>
                  </w:r>
                </w:p>
              </w:tc>
              <w:tc>
                <w:tcPr>
                  <w:tcW w:w="670" w:type="dxa"/>
                  <w:vMerge w:val="continue"/>
                  <w:noWrap w:val="0"/>
                  <w:vAlign w:val="center"/>
                </w:tcPr>
                <w:p w14:paraId="5728F0D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881" w:type="dxa"/>
                  <w:tcBorders>
                    <w:top w:val="single" w:color="auto" w:sz="4" w:space="0"/>
                    <w:bottom w:val="single" w:color="auto" w:sz="4" w:space="0"/>
                  </w:tcBorders>
                  <w:noWrap w:val="0"/>
                  <w:vAlign w:val="center"/>
                </w:tcPr>
                <w:p w14:paraId="6DF43CF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cs="Times New Roman"/>
                      <w:color w:val="000000"/>
                      <w:sz w:val="21"/>
                      <w:szCs w:val="21"/>
                      <w:lang w:val="en-US" w:eastAsia="zh-CN"/>
                    </w:rPr>
                  </w:pPr>
                  <w:r>
                    <w:rPr>
                      <w:rFonts w:hint="eastAsia" w:cs="Times New Roman"/>
                      <w:color w:val="000000"/>
                      <w:sz w:val="21"/>
                      <w:szCs w:val="21"/>
                      <w:lang w:val="en-US" w:eastAsia="zh-CN"/>
                    </w:rPr>
                    <w:t>全自动无轴淋膜机2</w:t>
                  </w:r>
                </w:p>
              </w:tc>
              <w:tc>
                <w:tcPr>
                  <w:tcW w:w="790" w:type="dxa"/>
                  <w:tcBorders>
                    <w:top w:val="single" w:color="auto" w:sz="4" w:space="0"/>
                    <w:bottom w:val="single" w:color="auto" w:sz="4" w:space="0"/>
                  </w:tcBorders>
                  <w:noWrap w:val="0"/>
                  <w:vAlign w:val="center"/>
                </w:tcPr>
                <w:p w14:paraId="2DE2C4B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80</w:t>
                  </w:r>
                </w:p>
              </w:tc>
              <w:tc>
                <w:tcPr>
                  <w:tcW w:w="748" w:type="dxa"/>
                  <w:vMerge w:val="continue"/>
                  <w:noWrap w:val="0"/>
                  <w:vAlign w:val="center"/>
                </w:tcPr>
                <w:p w14:paraId="27CEC51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12836A6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16</w:t>
                  </w:r>
                </w:p>
              </w:tc>
              <w:tc>
                <w:tcPr>
                  <w:tcW w:w="728" w:type="dxa"/>
                  <w:tcBorders>
                    <w:top w:val="single" w:color="auto" w:sz="4" w:space="0"/>
                    <w:bottom w:val="single" w:color="auto" w:sz="4" w:space="0"/>
                  </w:tcBorders>
                  <w:noWrap w:val="0"/>
                  <w:vAlign w:val="center"/>
                </w:tcPr>
                <w:p w14:paraId="7114DF1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35</w:t>
                  </w:r>
                </w:p>
              </w:tc>
              <w:tc>
                <w:tcPr>
                  <w:tcW w:w="730" w:type="dxa"/>
                  <w:tcBorders>
                    <w:top w:val="single" w:color="auto" w:sz="4" w:space="0"/>
                    <w:bottom w:val="single" w:color="auto" w:sz="4" w:space="0"/>
                  </w:tcBorders>
                  <w:noWrap w:val="0"/>
                  <w:vAlign w:val="center"/>
                </w:tcPr>
                <w:p w14:paraId="600788C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0692850D">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13.2</w:t>
                  </w:r>
                </w:p>
              </w:tc>
              <w:tc>
                <w:tcPr>
                  <w:tcW w:w="1046" w:type="dxa"/>
                  <w:tcBorders>
                    <w:top w:val="single" w:color="auto" w:sz="4" w:space="0"/>
                    <w:bottom w:val="single" w:color="auto" w:sz="4" w:space="0"/>
                  </w:tcBorders>
                  <w:noWrap w:val="0"/>
                  <w:vAlign w:val="center"/>
                </w:tcPr>
                <w:p w14:paraId="06CC9E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55.61 </w:t>
                  </w:r>
                </w:p>
              </w:tc>
            </w:tr>
            <w:tr w14:paraId="4377E5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035C962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kern w:val="0"/>
                      <w:sz w:val="21"/>
                      <w:szCs w:val="21"/>
                      <w:highlight w:val="none"/>
                      <w:lang w:val="en-US" w:eastAsia="zh-CN"/>
                    </w:rPr>
                  </w:pPr>
                  <w:r>
                    <w:rPr>
                      <w:rFonts w:hint="eastAsia" w:cs="Times New Roman"/>
                      <w:kern w:val="0"/>
                      <w:sz w:val="21"/>
                      <w:szCs w:val="21"/>
                      <w:highlight w:val="none"/>
                      <w:lang w:val="en-US" w:eastAsia="zh-CN"/>
                    </w:rPr>
                    <w:t>3</w:t>
                  </w:r>
                </w:p>
              </w:tc>
              <w:tc>
                <w:tcPr>
                  <w:tcW w:w="670" w:type="dxa"/>
                  <w:vMerge w:val="continue"/>
                  <w:noWrap w:val="0"/>
                  <w:vAlign w:val="center"/>
                </w:tcPr>
                <w:p w14:paraId="6B53CC5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881" w:type="dxa"/>
                  <w:tcBorders>
                    <w:top w:val="single" w:color="auto" w:sz="4" w:space="0"/>
                    <w:bottom w:val="single" w:color="auto" w:sz="4" w:space="0"/>
                  </w:tcBorders>
                  <w:noWrap w:val="0"/>
                  <w:vAlign w:val="center"/>
                </w:tcPr>
                <w:p w14:paraId="57CACC0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cs="Times New Roman"/>
                      <w:color w:val="000000"/>
                      <w:sz w:val="21"/>
                      <w:szCs w:val="21"/>
                      <w:lang w:val="en-US" w:eastAsia="zh-CN"/>
                    </w:rPr>
                  </w:pPr>
                  <w:r>
                    <w:rPr>
                      <w:rFonts w:hint="eastAsia" w:cs="Times New Roman"/>
                      <w:color w:val="000000"/>
                      <w:sz w:val="21"/>
                      <w:szCs w:val="21"/>
                      <w:lang w:val="en-US" w:eastAsia="zh-CN"/>
                    </w:rPr>
                    <w:t>高速平张分切机1</w:t>
                  </w:r>
                </w:p>
              </w:tc>
              <w:tc>
                <w:tcPr>
                  <w:tcW w:w="790" w:type="dxa"/>
                  <w:tcBorders>
                    <w:top w:val="single" w:color="auto" w:sz="4" w:space="0"/>
                    <w:bottom w:val="single" w:color="auto" w:sz="4" w:space="0"/>
                  </w:tcBorders>
                  <w:noWrap w:val="0"/>
                  <w:vAlign w:val="center"/>
                </w:tcPr>
                <w:p w14:paraId="623D638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75</w:t>
                  </w:r>
                </w:p>
              </w:tc>
              <w:tc>
                <w:tcPr>
                  <w:tcW w:w="748" w:type="dxa"/>
                  <w:vMerge w:val="continue"/>
                  <w:noWrap w:val="0"/>
                  <w:vAlign w:val="center"/>
                </w:tcPr>
                <w:p w14:paraId="76442C6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44376F6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8</w:t>
                  </w:r>
                </w:p>
              </w:tc>
              <w:tc>
                <w:tcPr>
                  <w:tcW w:w="728" w:type="dxa"/>
                  <w:tcBorders>
                    <w:top w:val="single" w:color="auto" w:sz="4" w:space="0"/>
                    <w:bottom w:val="single" w:color="auto" w:sz="4" w:space="0"/>
                  </w:tcBorders>
                  <w:noWrap w:val="0"/>
                  <w:vAlign w:val="center"/>
                </w:tcPr>
                <w:p w14:paraId="7B31831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25</w:t>
                  </w:r>
                </w:p>
              </w:tc>
              <w:tc>
                <w:tcPr>
                  <w:tcW w:w="730" w:type="dxa"/>
                  <w:tcBorders>
                    <w:top w:val="single" w:color="auto" w:sz="4" w:space="0"/>
                    <w:bottom w:val="single" w:color="auto" w:sz="4" w:space="0"/>
                  </w:tcBorders>
                  <w:noWrap w:val="0"/>
                  <w:vAlign w:val="center"/>
                </w:tcPr>
                <w:p w14:paraId="16282D9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11B26580">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17.1</w:t>
                  </w:r>
                </w:p>
              </w:tc>
              <w:tc>
                <w:tcPr>
                  <w:tcW w:w="1046" w:type="dxa"/>
                  <w:tcBorders>
                    <w:top w:val="single" w:color="auto" w:sz="4" w:space="0"/>
                    <w:bottom w:val="single" w:color="auto" w:sz="4" w:space="0"/>
                  </w:tcBorders>
                  <w:noWrap w:val="0"/>
                  <w:vAlign w:val="center"/>
                </w:tcPr>
                <w:p w14:paraId="667205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49.62 </w:t>
                  </w:r>
                </w:p>
              </w:tc>
            </w:tr>
            <w:tr w14:paraId="30FC38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71B5B6E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kern w:val="0"/>
                      <w:sz w:val="21"/>
                      <w:szCs w:val="21"/>
                      <w:highlight w:val="none"/>
                      <w:lang w:val="en-US" w:eastAsia="zh-CN"/>
                    </w:rPr>
                  </w:pPr>
                  <w:r>
                    <w:rPr>
                      <w:rFonts w:hint="eastAsia" w:cs="Times New Roman"/>
                      <w:kern w:val="0"/>
                      <w:sz w:val="21"/>
                      <w:szCs w:val="21"/>
                      <w:highlight w:val="none"/>
                      <w:lang w:val="en-US" w:eastAsia="zh-CN"/>
                    </w:rPr>
                    <w:t>4</w:t>
                  </w:r>
                </w:p>
              </w:tc>
              <w:tc>
                <w:tcPr>
                  <w:tcW w:w="670" w:type="dxa"/>
                  <w:vMerge w:val="continue"/>
                  <w:noWrap w:val="0"/>
                  <w:vAlign w:val="center"/>
                </w:tcPr>
                <w:p w14:paraId="2735F31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881" w:type="dxa"/>
                  <w:tcBorders>
                    <w:top w:val="single" w:color="auto" w:sz="4" w:space="0"/>
                    <w:bottom w:val="single" w:color="auto" w:sz="4" w:space="0"/>
                  </w:tcBorders>
                  <w:noWrap w:val="0"/>
                  <w:vAlign w:val="center"/>
                </w:tcPr>
                <w:p w14:paraId="75B983A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color w:val="000000"/>
                      <w:sz w:val="21"/>
                      <w:szCs w:val="21"/>
                      <w:lang w:val="en-US" w:eastAsia="zh-CN"/>
                    </w:rPr>
                  </w:pPr>
                  <w:r>
                    <w:rPr>
                      <w:rFonts w:hint="eastAsia" w:cs="Times New Roman"/>
                      <w:color w:val="000000"/>
                      <w:sz w:val="21"/>
                      <w:szCs w:val="21"/>
                      <w:lang w:val="en-US" w:eastAsia="zh-CN"/>
                    </w:rPr>
                    <w:t>高速平张分切机2</w:t>
                  </w:r>
                </w:p>
              </w:tc>
              <w:tc>
                <w:tcPr>
                  <w:tcW w:w="790" w:type="dxa"/>
                  <w:tcBorders>
                    <w:top w:val="single" w:color="auto" w:sz="4" w:space="0"/>
                    <w:bottom w:val="single" w:color="auto" w:sz="4" w:space="0"/>
                  </w:tcBorders>
                  <w:noWrap w:val="0"/>
                  <w:vAlign w:val="center"/>
                </w:tcPr>
                <w:p w14:paraId="5AA2F4E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75</w:t>
                  </w:r>
                </w:p>
              </w:tc>
              <w:tc>
                <w:tcPr>
                  <w:tcW w:w="748" w:type="dxa"/>
                  <w:vMerge w:val="continue"/>
                  <w:noWrap w:val="0"/>
                  <w:vAlign w:val="center"/>
                </w:tcPr>
                <w:p w14:paraId="1A13C82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5FDA1F4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16</w:t>
                  </w:r>
                </w:p>
              </w:tc>
              <w:tc>
                <w:tcPr>
                  <w:tcW w:w="728" w:type="dxa"/>
                  <w:tcBorders>
                    <w:top w:val="single" w:color="auto" w:sz="4" w:space="0"/>
                    <w:bottom w:val="single" w:color="auto" w:sz="4" w:space="0"/>
                  </w:tcBorders>
                  <w:noWrap w:val="0"/>
                  <w:vAlign w:val="center"/>
                </w:tcPr>
                <w:p w14:paraId="72425BB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25</w:t>
                  </w:r>
                </w:p>
              </w:tc>
              <w:tc>
                <w:tcPr>
                  <w:tcW w:w="730" w:type="dxa"/>
                  <w:tcBorders>
                    <w:top w:val="single" w:color="auto" w:sz="4" w:space="0"/>
                    <w:bottom w:val="single" w:color="auto" w:sz="4" w:space="0"/>
                  </w:tcBorders>
                  <w:noWrap w:val="0"/>
                  <w:vAlign w:val="center"/>
                </w:tcPr>
                <w:p w14:paraId="43C9D7F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1BF2F4A2">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9.6</w:t>
                  </w:r>
                </w:p>
              </w:tc>
              <w:tc>
                <w:tcPr>
                  <w:tcW w:w="1046" w:type="dxa"/>
                  <w:tcBorders>
                    <w:top w:val="single" w:color="auto" w:sz="4" w:space="0"/>
                    <w:bottom w:val="single" w:color="auto" w:sz="4" w:space="0"/>
                  </w:tcBorders>
                  <w:noWrap w:val="0"/>
                  <w:vAlign w:val="center"/>
                </w:tcPr>
                <w:p w14:paraId="4AE0CCF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52.21 </w:t>
                  </w:r>
                </w:p>
              </w:tc>
            </w:tr>
            <w:tr w14:paraId="5C0310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42283C6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kern w:val="0"/>
                      <w:sz w:val="21"/>
                      <w:szCs w:val="21"/>
                      <w:highlight w:val="none"/>
                      <w:lang w:val="en-US" w:eastAsia="zh-CN"/>
                    </w:rPr>
                  </w:pPr>
                  <w:r>
                    <w:rPr>
                      <w:rFonts w:hint="eastAsia" w:cs="Times New Roman"/>
                      <w:kern w:val="0"/>
                      <w:sz w:val="21"/>
                      <w:szCs w:val="21"/>
                      <w:highlight w:val="none"/>
                      <w:lang w:val="en-US" w:eastAsia="zh-CN"/>
                    </w:rPr>
                    <w:t>5</w:t>
                  </w:r>
                </w:p>
              </w:tc>
              <w:tc>
                <w:tcPr>
                  <w:tcW w:w="670" w:type="dxa"/>
                  <w:vMerge w:val="continue"/>
                  <w:noWrap w:val="0"/>
                  <w:vAlign w:val="center"/>
                </w:tcPr>
                <w:p w14:paraId="26A4F1B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881" w:type="dxa"/>
                  <w:tcBorders>
                    <w:top w:val="single" w:color="auto" w:sz="4" w:space="0"/>
                    <w:bottom w:val="single" w:color="auto" w:sz="4" w:space="0"/>
                  </w:tcBorders>
                  <w:noWrap w:val="0"/>
                  <w:vAlign w:val="center"/>
                </w:tcPr>
                <w:p w14:paraId="427BB38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cs="Times New Roman"/>
                      <w:color w:val="000000"/>
                      <w:sz w:val="21"/>
                      <w:szCs w:val="21"/>
                      <w:lang w:val="en-US" w:eastAsia="zh-CN"/>
                    </w:rPr>
                  </w:pPr>
                  <w:r>
                    <w:rPr>
                      <w:rFonts w:hint="eastAsia" w:cs="Times New Roman"/>
                      <w:color w:val="000000"/>
                      <w:sz w:val="21"/>
                      <w:szCs w:val="21"/>
                      <w:lang w:val="en-US" w:eastAsia="zh-CN"/>
                    </w:rPr>
                    <w:t>高速分切机1</w:t>
                  </w:r>
                </w:p>
              </w:tc>
              <w:tc>
                <w:tcPr>
                  <w:tcW w:w="790" w:type="dxa"/>
                  <w:tcBorders>
                    <w:top w:val="single" w:color="auto" w:sz="4" w:space="0"/>
                    <w:bottom w:val="single" w:color="auto" w:sz="4" w:space="0"/>
                  </w:tcBorders>
                  <w:noWrap w:val="0"/>
                  <w:vAlign w:val="center"/>
                </w:tcPr>
                <w:p w14:paraId="0B4142A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75</w:t>
                  </w:r>
                </w:p>
              </w:tc>
              <w:tc>
                <w:tcPr>
                  <w:tcW w:w="748" w:type="dxa"/>
                  <w:vMerge w:val="continue"/>
                  <w:noWrap w:val="0"/>
                  <w:vAlign w:val="center"/>
                </w:tcPr>
                <w:p w14:paraId="02808AF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7805307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8</w:t>
                  </w:r>
                </w:p>
              </w:tc>
              <w:tc>
                <w:tcPr>
                  <w:tcW w:w="728" w:type="dxa"/>
                  <w:tcBorders>
                    <w:top w:val="single" w:color="auto" w:sz="4" w:space="0"/>
                    <w:bottom w:val="single" w:color="auto" w:sz="4" w:space="0"/>
                  </w:tcBorders>
                  <w:noWrap w:val="0"/>
                  <w:vAlign w:val="center"/>
                </w:tcPr>
                <w:p w14:paraId="459C91E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10</w:t>
                  </w:r>
                </w:p>
              </w:tc>
              <w:tc>
                <w:tcPr>
                  <w:tcW w:w="730" w:type="dxa"/>
                  <w:tcBorders>
                    <w:top w:val="single" w:color="auto" w:sz="4" w:space="0"/>
                    <w:bottom w:val="single" w:color="auto" w:sz="4" w:space="0"/>
                  </w:tcBorders>
                  <w:noWrap w:val="0"/>
                  <w:vAlign w:val="center"/>
                </w:tcPr>
                <w:p w14:paraId="481CC0D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7E8CE3A7">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18.6</w:t>
                  </w:r>
                </w:p>
              </w:tc>
              <w:tc>
                <w:tcPr>
                  <w:tcW w:w="1046" w:type="dxa"/>
                  <w:tcBorders>
                    <w:top w:val="single" w:color="auto" w:sz="4" w:space="0"/>
                    <w:bottom w:val="single" w:color="auto" w:sz="4" w:space="0"/>
                  </w:tcBorders>
                  <w:noWrap w:val="0"/>
                  <w:vAlign w:val="center"/>
                </w:tcPr>
                <w:p w14:paraId="495CA3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49.36 </w:t>
                  </w:r>
                </w:p>
              </w:tc>
            </w:tr>
            <w:tr w14:paraId="439FDE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013A08A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kern w:val="0"/>
                      <w:sz w:val="21"/>
                      <w:szCs w:val="21"/>
                      <w:highlight w:val="none"/>
                      <w:lang w:val="en-US" w:eastAsia="zh-CN"/>
                    </w:rPr>
                  </w:pPr>
                  <w:r>
                    <w:rPr>
                      <w:rFonts w:hint="eastAsia" w:cs="Times New Roman"/>
                      <w:kern w:val="0"/>
                      <w:sz w:val="21"/>
                      <w:szCs w:val="21"/>
                      <w:highlight w:val="none"/>
                      <w:lang w:val="en-US" w:eastAsia="zh-CN"/>
                    </w:rPr>
                    <w:t>6</w:t>
                  </w:r>
                </w:p>
              </w:tc>
              <w:tc>
                <w:tcPr>
                  <w:tcW w:w="670" w:type="dxa"/>
                  <w:vMerge w:val="continue"/>
                  <w:noWrap w:val="0"/>
                  <w:vAlign w:val="center"/>
                </w:tcPr>
                <w:p w14:paraId="2446725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881" w:type="dxa"/>
                  <w:tcBorders>
                    <w:top w:val="single" w:color="auto" w:sz="4" w:space="0"/>
                    <w:bottom w:val="single" w:color="auto" w:sz="4" w:space="0"/>
                  </w:tcBorders>
                  <w:noWrap w:val="0"/>
                  <w:vAlign w:val="center"/>
                </w:tcPr>
                <w:p w14:paraId="7C3BA9D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cs="Times New Roman"/>
                      <w:color w:val="000000"/>
                      <w:sz w:val="21"/>
                      <w:szCs w:val="21"/>
                      <w:lang w:val="en-US" w:eastAsia="zh-CN"/>
                    </w:rPr>
                  </w:pPr>
                  <w:r>
                    <w:rPr>
                      <w:rFonts w:hint="eastAsia" w:cs="Times New Roman"/>
                      <w:color w:val="000000"/>
                      <w:sz w:val="21"/>
                      <w:szCs w:val="21"/>
                      <w:lang w:val="en-US" w:eastAsia="zh-CN"/>
                    </w:rPr>
                    <w:t>高速分切机2</w:t>
                  </w:r>
                </w:p>
              </w:tc>
              <w:tc>
                <w:tcPr>
                  <w:tcW w:w="790" w:type="dxa"/>
                  <w:tcBorders>
                    <w:top w:val="single" w:color="auto" w:sz="4" w:space="0"/>
                    <w:bottom w:val="single" w:color="auto" w:sz="4" w:space="0"/>
                  </w:tcBorders>
                  <w:noWrap w:val="0"/>
                  <w:vAlign w:val="center"/>
                </w:tcPr>
                <w:p w14:paraId="03DFAF4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75</w:t>
                  </w:r>
                </w:p>
              </w:tc>
              <w:tc>
                <w:tcPr>
                  <w:tcW w:w="748" w:type="dxa"/>
                  <w:vMerge w:val="continue"/>
                  <w:noWrap w:val="0"/>
                  <w:vAlign w:val="center"/>
                </w:tcPr>
                <w:p w14:paraId="55B077B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6DF5FEF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16</w:t>
                  </w:r>
                </w:p>
              </w:tc>
              <w:tc>
                <w:tcPr>
                  <w:tcW w:w="728" w:type="dxa"/>
                  <w:tcBorders>
                    <w:top w:val="single" w:color="auto" w:sz="4" w:space="0"/>
                    <w:bottom w:val="single" w:color="auto" w:sz="4" w:space="0"/>
                  </w:tcBorders>
                  <w:noWrap w:val="0"/>
                  <w:vAlign w:val="center"/>
                </w:tcPr>
                <w:p w14:paraId="23511B4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10</w:t>
                  </w:r>
                </w:p>
              </w:tc>
              <w:tc>
                <w:tcPr>
                  <w:tcW w:w="730" w:type="dxa"/>
                  <w:tcBorders>
                    <w:top w:val="single" w:color="auto" w:sz="4" w:space="0"/>
                    <w:bottom w:val="single" w:color="auto" w:sz="4" w:space="0"/>
                  </w:tcBorders>
                  <w:noWrap w:val="0"/>
                  <w:vAlign w:val="center"/>
                </w:tcPr>
                <w:p w14:paraId="41E2859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2CC8EE6B">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10.7</w:t>
                  </w:r>
                </w:p>
              </w:tc>
              <w:tc>
                <w:tcPr>
                  <w:tcW w:w="1046" w:type="dxa"/>
                  <w:tcBorders>
                    <w:top w:val="single" w:color="auto" w:sz="4" w:space="0"/>
                    <w:bottom w:val="single" w:color="auto" w:sz="4" w:space="0"/>
                  </w:tcBorders>
                  <w:noWrap w:val="0"/>
                  <w:vAlign w:val="center"/>
                </w:tcPr>
                <w:p w14:paraId="2E4AAD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51.62 </w:t>
                  </w:r>
                </w:p>
              </w:tc>
            </w:tr>
            <w:tr w14:paraId="0DD833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16C09D20">
                  <w:pPr>
                    <w:keepNext w:val="0"/>
                    <w:keepLines w:val="0"/>
                    <w:pageBreakBefore w:val="0"/>
                    <w:suppressLineNumbers w:val="0"/>
                    <w:tabs>
                      <w:tab w:val="left" w:pos="3620"/>
                    </w:tabs>
                    <w:kinsoku/>
                    <w:wordWrap/>
                    <w:overflowPunct/>
                    <w:topLinePunct w:val="0"/>
                    <w:autoSpaceDE/>
                    <w:autoSpaceDN/>
                    <w:bidi w:val="0"/>
                    <w:adjustRightInd w:val="0"/>
                    <w:snapToGrid w:val="0"/>
                    <w:spacing w:before="0" w:beforeAutospacing="0" w:after="0" w:afterAutospacing="0"/>
                    <w:ind w:left="0" w:right="0"/>
                    <w:jc w:val="center"/>
                    <w:rPr>
                      <w:rFonts w:hint="default" w:cs="Times New Roman"/>
                      <w:bCs/>
                      <w:sz w:val="21"/>
                      <w:szCs w:val="21"/>
                      <w:lang w:val="en-US" w:eastAsia="zh-CN"/>
                    </w:rPr>
                  </w:pPr>
                  <w:r>
                    <w:rPr>
                      <w:rFonts w:hint="eastAsia" w:cs="Times New Roman"/>
                      <w:bCs/>
                      <w:sz w:val="21"/>
                      <w:szCs w:val="21"/>
                      <w:lang w:val="en-US" w:eastAsia="zh-CN"/>
                    </w:rPr>
                    <w:t>7</w:t>
                  </w:r>
                </w:p>
              </w:tc>
              <w:tc>
                <w:tcPr>
                  <w:tcW w:w="670" w:type="dxa"/>
                  <w:vMerge w:val="continue"/>
                  <w:noWrap w:val="0"/>
                  <w:vAlign w:val="center"/>
                </w:tcPr>
                <w:p w14:paraId="7CC7AD3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sz w:val="21"/>
                      <w:szCs w:val="21"/>
                      <w:highlight w:val="none"/>
                      <w:lang w:val="en-US" w:eastAsia="zh-CN"/>
                    </w:rPr>
                  </w:pPr>
                </w:p>
              </w:tc>
              <w:tc>
                <w:tcPr>
                  <w:tcW w:w="1881" w:type="dxa"/>
                  <w:tcBorders>
                    <w:top w:val="single" w:color="auto" w:sz="4" w:space="0"/>
                    <w:bottom w:val="single" w:color="auto" w:sz="4" w:space="0"/>
                  </w:tcBorders>
                  <w:noWrap w:val="0"/>
                  <w:vAlign w:val="center"/>
                </w:tcPr>
                <w:p w14:paraId="25193B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cs="Times New Roman"/>
                      <w:color w:val="000000"/>
                      <w:sz w:val="21"/>
                      <w:szCs w:val="21"/>
                      <w:lang w:val="en-US" w:eastAsia="zh-CN"/>
                    </w:rPr>
                  </w:pPr>
                  <w:r>
                    <w:rPr>
                      <w:rFonts w:hint="eastAsia" w:cs="Times New Roman"/>
                      <w:color w:val="000000"/>
                      <w:sz w:val="21"/>
                      <w:szCs w:val="21"/>
                      <w:lang w:val="en-US" w:eastAsia="zh-CN"/>
                    </w:rPr>
                    <w:t>柔性版印刷机1</w:t>
                  </w:r>
                </w:p>
              </w:tc>
              <w:tc>
                <w:tcPr>
                  <w:tcW w:w="790" w:type="dxa"/>
                  <w:tcBorders>
                    <w:top w:val="single" w:color="auto" w:sz="4" w:space="0"/>
                    <w:bottom w:val="single" w:color="auto" w:sz="4" w:space="0"/>
                  </w:tcBorders>
                  <w:noWrap w:val="0"/>
                  <w:vAlign w:val="center"/>
                </w:tcPr>
                <w:p w14:paraId="1F643C4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70</w:t>
                  </w:r>
                </w:p>
              </w:tc>
              <w:tc>
                <w:tcPr>
                  <w:tcW w:w="748" w:type="dxa"/>
                  <w:vMerge w:val="continue"/>
                  <w:noWrap w:val="0"/>
                  <w:vAlign w:val="center"/>
                </w:tcPr>
                <w:p w14:paraId="186BB2B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4409321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5</w:t>
                  </w:r>
                </w:p>
              </w:tc>
              <w:tc>
                <w:tcPr>
                  <w:tcW w:w="728" w:type="dxa"/>
                  <w:tcBorders>
                    <w:top w:val="single" w:color="auto" w:sz="4" w:space="0"/>
                    <w:bottom w:val="single" w:color="auto" w:sz="4" w:space="0"/>
                  </w:tcBorders>
                  <w:noWrap w:val="0"/>
                  <w:vAlign w:val="center"/>
                </w:tcPr>
                <w:p w14:paraId="234084B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20</w:t>
                  </w:r>
                </w:p>
              </w:tc>
              <w:tc>
                <w:tcPr>
                  <w:tcW w:w="730" w:type="dxa"/>
                  <w:tcBorders>
                    <w:top w:val="single" w:color="auto" w:sz="4" w:space="0"/>
                    <w:bottom w:val="single" w:color="auto" w:sz="4" w:space="0"/>
                  </w:tcBorders>
                  <w:noWrap w:val="0"/>
                  <w:vAlign w:val="center"/>
                </w:tcPr>
                <w:p w14:paraId="1D4EABB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680B282D">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6.8</w:t>
                  </w:r>
                </w:p>
              </w:tc>
              <w:tc>
                <w:tcPr>
                  <w:tcW w:w="1046" w:type="dxa"/>
                  <w:tcBorders>
                    <w:top w:val="single" w:color="auto" w:sz="4" w:space="0"/>
                    <w:bottom w:val="single" w:color="auto" w:sz="4" w:space="0"/>
                  </w:tcBorders>
                  <w:noWrap w:val="0"/>
                  <w:vAlign w:val="center"/>
                </w:tcPr>
                <w:p w14:paraId="777014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50.39 </w:t>
                  </w:r>
                </w:p>
              </w:tc>
            </w:tr>
            <w:tr w14:paraId="30853A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4C806D36">
                  <w:pPr>
                    <w:keepNext w:val="0"/>
                    <w:keepLines w:val="0"/>
                    <w:pageBreakBefore w:val="0"/>
                    <w:suppressLineNumbers w:val="0"/>
                    <w:tabs>
                      <w:tab w:val="left" w:pos="3620"/>
                    </w:tabs>
                    <w:kinsoku/>
                    <w:wordWrap/>
                    <w:overflowPunct/>
                    <w:topLinePunct w:val="0"/>
                    <w:autoSpaceDE/>
                    <w:autoSpaceDN/>
                    <w:bidi w:val="0"/>
                    <w:adjustRightInd w:val="0"/>
                    <w:snapToGrid w:val="0"/>
                    <w:spacing w:before="0" w:beforeAutospacing="0" w:after="0" w:afterAutospacing="0"/>
                    <w:ind w:left="0" w:right="0"/>
                    <w:jc w:val="center"/>
                    <w:rPr>
                      <w:rFonts w:hint="default" w:cs="Times New Roman"/>
                      <w:bCs/>
                      <w:sz w:val="21"/>
                      <w:szCs w:val="21"/>
                      <w:lang w:val="en-US" w:eastAsia="zh-CN"/>
                    </w:rPr>
                  </w:pPr>
                  <w:r>
                    <w:rPr>
                      <w:rFonts w:hint="eastAsia" w:cs="Times New Roman"/>
                      <w:bCs/>
                      <w:sz w:val="21"/>
                      <w:szCs w:val="21"/>
                      <w:lang w:val="en-US" w:eastAsia="zh-CN"/>
                    </w:rPr>
                    <w:t>8</w:t>
                  </w:r>
                </w:p>
              </w:tc>
              <w:tc>
                <w:tcPr>
                  <w:tcW w:w="670" w:type="dxa"/>
                  <w:vMerge w:val="continue"/>
                  <w:noWrap w:val="0"/>
                  <w:vAlign w:val="center"/>
                </w:tcPr>
                <w:p w14:paraId="4908A13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881" w:type="dxa"/>
                  <w:tcBorders>
                    <w:top w:val="single" w:color="auto" w:sz="4" w:space="0"/>
                    <w:bottom w:val="single" w:color="auto" w:sz="4" w:space="0"/>
                  </w:tcBorders>
                  <w:noWrap w:val="0"/>
                  <w:vAlign w:val="center"/>
                </w:tcPr>
                <w:p w14:paraId="5172A0D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s="Times New Roman"/>
                      <w:color w:val="000000"/>
                      <w:sz w:val="21"/>
                      <w:szCs w:val="21"/>
                      <w:lang w:val="en-US" w:eastAsia="zh-CN"/>
                    </w:rPr>
                  </w:pPr>
                  <w:r>
                    <w:rPr>
                      <w:rFonts w:hint="eastAsia" w:cs="Times New Roman"/>
                      <w:color w:val="000000"/>
                      <w:sz w:val="21"/>
                      <w:szCs w:val="21"/>
                      <w:lang w:val="en-US" w:eastAsia="zh-CN"/>
                    </w:rPr>
                    <w:t>柔性版印刷机2</w:t>
                  </w:r>
                </w:p>
              </w:tc>
              <w:tc>
                <w:tcPr>
                  <w:tcW w:w="790" w:type="dxa"/>
                  <w:tcBorders>
                    <w:top w:val="single" w:color="auto" w:sz="4" w:space="0"/>
                    <w:bottom w:val="single" w:color="auto" w:sz="4" w:space="0"/>
                  </w:tcBorders>
                  <w:noWrap w:val="0"/>
                  <w:vAlign w:val="center"/>
                </w:tcPr>
                <w:p w14:paraId="2538366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70</w:t>
                  </w:r>
                </w:p>
              </w:tc>
              <w:tc>
                <w:tcPr>
                  <w:tcW w:w="748" w:type="dxa"/>
                  <w:vMerge w:val="continue"/>
                  <w:noWrap w:val="0"/>
                  <w:vAlign w:val="center"/>
                </w:tcPr>
                <w:p w14:paraId="312CB7D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38FE6AE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5</w:t>
                  </w:r>
                </w:p>
              </w:tc>
              <w:tc>
                <w:tcPr>
                  <w:tcW w:w="728" w:type="dxa"/>
                  <w:tcBorders>
                    <w:top w:val="single" w:color="auto" w:sz="4" w:space="0"/>
                    <w:bottom w:val="single" w:color="auto" w:sz="4" w:space="0"/>
                  </w:tcBorders>
                  <w:noWrap w:val="0"/>
                  <w:vAlign w:val="center"/>
                </w:tcPr>
                <w:p w14:paraId="54FC5BF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15</w:t>
                  </w:r>
                </w:p>
              </w:tc>
              <w:tc>
                <w:tcPr>
                  <w:tcW w:w="730" w:type="dxa"/>
                  <w:tcBorders>
                    <w:top w:val="single" w:color="auto" w:sz="4" w:space="0"/>
                    <w:bottom w:val="single" w:color="auto" w:sz="4" w:space="0"/>
                  </w:tcBorders>
                  <w:noWrap w:val="0"/>
                  <w:vAlign w:val="center"/>
                </w:tcPr>
                <w:p w14:paraId="3BA357D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441F2425">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6.6</w:t>
                  </w:r>
                </w:p>
              </w:tc>
              <w:tc>
                <w:tcPr>
                  <w:tcW w:w="1046" w:type="dxa"/>
                  <w:tcBorders>
                    <w:top w:val="single" w:color="auto" w:sz="4" w:space="0"/>
                    <w:bottom w:val="single" w:color="auto" w:sz="4" w:space="0"/>
                  </w:tcBorders>
                  <w:noWrap w:val="0"/>
                  <w:vAlign w:val="center"/>
                </w:tcPr>
                <w:p w14:paraId="48E7DC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50.56 </w:t>
                  </w:r>
                </w:p>
              </w:tc>
            </w:tr>
            <w:tr w14:paraId="5E9641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703D4502">
                  <w:pPr>
                    <w:keepNext w:val="0"/>
                    <w:keepLines w:val="0"/>
                    <w:pageBreakBefore w:val="0"/>
                    <w:suppressLineNumbers w:val="0"/>
                    <w:tabs>
                      <w:tab w:val="left" w:pos="3620"/>
                    </w:tabs>
                    <w:kinsoku/>
                    <w:wordWrap/>
                    <w:overflowPunct/>
                    <w:topLinePunct w:val="0"/>
                    <w:autoSpaceDE/>
                    <w:autoSpaceDN/>
                    <w:bidi w:val="0"/>
                    <w:adjustRightInd w:val="0"/>
                    <w:snapToGrid w:val="0"/>
                    <w:spacing w:before="0" w:beforeAutospacing="0" w:after="0" w:afterAutospacing="0"/>
                    <w:ind w:left="0" w:right="0"/>
                    <w:jc w:val="center"/>
                    <w:rPr>
                      <w:rFonts w:hint="default" w:cs="Times New Roman"/>
                      <w:bCs/>
                      <w:sz w:val="21"/>
                      <w:szCs w:val="21"/>
                      <w:lang w:val="en-US" w:eastAsia="zh-CN"/>
                    </w:rPr>
                  </w:pPr>
                  <w:r>
                    <w:rPr>
                      <w:rFonts w:hint="eastAsia" w:cs="Times New Roman"/>
                      <w:bCs/>
                      <w:sz w:val="21"/>
                      <w:szCs w:val="21"/>
                      <w:lang w:val="en-US" w:eastAsia="zh-CN"/>
                    </w:rPr>
                    <w:t>9</w:t>
                  </w:r>
                </w:p>
              </w:tc>
              <w:tc>
                <w:tcPr>
                  <w:tcW w:w="670" w:type="dxa"/>
                  <w:vMerge w:val="continue"/>
                  <w:noWrap w:val="0"/>
                  <w:vAlign w:val="center"/>
                </w:tcPr>
                <w:p w14:paraId="6DE2C1F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881" w:type="dxa"/>
                  <w:tcBorders>
                    <w:top w:val="single" w:color="auto" w:sz="4" w:space="0"/>
                    <w:bottom w:val="single" w:color="auto" w:sz="4" w:space="0"/>
                  </w:tcBorders>
                  <w:noWrap w:val="0"/>
                  <w:vAlign w:val="center"/>
                </w:tcPr>
                <w:p w14:paraId="0DD3B7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eastAsia" w:cs="Times New Roman"/>
                      <w:color w:val="000000"/>
                      <w:sz w:val="21"/>
                      <w:szCs w:val="21"/>
                      <w:lang w:val="en-US" w:eastAsia="zh-CN"/>
                    </w:rPr>
                  </w:pPr>
                  <w:r>
                    <w:rPr>
                      <w:rFonts w:hint="eastAsia" w:cs="Times New Roman"/>
                      <w:color w:val="000000"/>
                      <w:sz w:val="21"/>
                      <w:szCs w:val="21"/>
                      <w:lang w:val="en-US" w:eastAsia="zh-CN"/>
                    </w:rPr>
                    <w:t>柔性版印刷机3</w:t>
                  </w:r>
                </w:p>
              </w:tc>
              <w:tc>
                <w:tcPr>
                  <w:tcW w:w="790" w:type="dxa"/>
                  <w:tcBorders>
                    <w:top w:val="single" w:color="auto" w:sz="4" w:space="0"/>
                    <w:bottom w:val="single" w:color="auto" w:sz="4" w:space="0"/>
                  </w:tcBorders>
                  <w:noWrap w:val="0"/>
                  <w:vAlign w:val="center"/>
                </w:tcPr>
                <w:p w14:paraId="31892AB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70</w:t>
                  </w:r>
                </w:p>
              </w:tc>
              <w:tc>
                <w:tcPr>
                  <w:tcW w:w="748" w:type="dxa"/>
                  <w:vMerge w:val="continue"/>
                  <w:noWrap w:val="0"/>
                  <w:vAlign w:val="center"/>
                </w:tcPr>
                <w:p w14:paraId="648160F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34B6650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5</w:t>
                  </w:r>
                </w:p>
              </w:tc>
              <w:tc>
                <w:tcPr>
                  <w:tcW w:w="728" w:type="dxa"/>
                  <w:tcBorders>
                    <w:top w:val="single" w:color="auto" w:sz="4" w:space="0"/>
                    <w:bottom w:val="single" w:color="auto" w:sz="4" w:space="0"/>
                  </w:tcBorders>
                  <w:noWrap w:val="0"/>
                  <w:vAlign w:val="center"/>
                </w:tcPr>
                <w:p w14:paraId="29C6A0F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10</w:t>
                  </w:r>
                </w:p>
              </w:tc>
              <w:tc>
                <w:tcPr>
                  <w:tcW w:w="730" w:type="dxa"/>
                  <w:tcBorders>
                    <w:top w:val="single" w:color="auto" w:sz="4" w:space="0"/>
                    <w:bottom w:val="single" w:color="auto" w:sz="4" w:space="0"/>
                  </w:tcBorders>
                  <w:noWrap w:val="0"/>
                  <w:vAlign w:val="center"/>
                </w:tcPr>
                <w:p w14:paraId="6F05EF3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29AAC598">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6.9</w:t>
                  </w:r>
                </w:p>
              </w:tc>
              <w:tc>
                <w:tcPr>
                  <w:tcW w:w="1046" w:type="dxa"/>
                  <w:tcBorders>
                    <w:top w:val="single" w:color="auto" w:sz="4" w:space="0"/>
                    <w:bottom w:val="single" w:color="auto" w:sz="4" w:space="0"/>
                  </w:tcBorders>
                  <w:noWrap w:val="0"/>
                  <w:vAlign w:val="center"/>
                </w:tcPr>
                <w:p w14:paraId="6AC1C5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50.31 </w:t>
                  </w:r>
                </w:p>
              </w:tc>
            </w:tr>
            <w:tr w14:paraId="50C613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2203B634">
                  <w:pPr>
                    <w:keepNext w:val="0"/>
                    <w:keepLines w:val="0"/>
                    <w:pageBreakBefore w:val="0"/>
                    <w:suppressLineNumbers w:val="0"/>
                    <w:tabs>
                      <w:tab w:val="left" w:pos="3620"/>
                    </w:tabs>
                    <w:kinsoku/>
                    <w:wordWrap/>
                    <w:overflowPunct/>
                    <w:topLinePunct w:val="0"/>
                    <w:autoSpaceDE/>
                    <w:autoSpaceDN/>
                    <w:bidi w:val="0"/>
                    <w:adjustRightInd w:val="0"/>
                    <w:snapToGrid w:val="0"/>
                    <w:spacing w:before="0" w:beforeAutospacing="0" w:after="0" w:afterAutospacing="0"/>
                    <w:ind w:left="0" w:right="0"/>
                    <w:jc w:val="center"/>
                    <w:rPr>
                      <w:rFonts w:hint="default" w:cs="Times New Roman"/>
                      <w:bCs/>
                      <w:sz w:val="21"/>
                      <w:szCs w:val="21"/>
                      <w:lang w:val="en-US" w:eastAsia="zh-CN"/>
                    </w:rPr>
                  </w:pPr>
                  <w:r>
                    <w:rPr>
                      <w:rFonts w:hint="eastAsia" w:cs="Times New Roman"/>
                      <w:bCs/>
                      <w:sz w:val="21"/>
                      <w:szCs w:val="21"/>
                      <w:lang w:val="en-US" w:eastAsia="zh-CN"/>
                    </w:rPr>
                    <w:t>10</w:t>
                  </w:r>
                </w:p>
              </w:tc>
              <w:tc>
                <w:tcPr>
                  <w:tcW w:w="670" w:type="dxa"/>
                  <w:vMerge w:val="continue"/>
                  <w:noWrap w:val="0"/>
                  <w:vAlign w:val="center"/>
                </w:tcPr>
                <w:p w14:paraId="641C9E2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p>
              </w:tc>
              <w:tc>
                <w:tcPr>
                  <w:tcW w:w="1881" w:type="dxa"/>
                  <w:tcBorders>
                    <w:top w:val="single" w:color="auto" w:sz="4" w:space="0"/>
                    <w:bottom w:val="single" w:color="auto" w:sz="4" w:space="0"/>
                  </w:tcBorders>
                  <w:noWrap w:val="0"/>
                  <w:vAlign w:val="center"/>
                </w:tcPr>
                <w:p w14:paraId="7B8B9BE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cs="Times New Roman"/>
                      <w:color w:val="000000"/>
                      <w:sz w:val="21"/>
                      <w:szCs w:val="21"/>
                      <w:lang w:val="en-US" w:eastAsia="zh-CN"/>
                    </w:rPr>
                  </w:pPr>
                  <w:r>
                    <w:rPr>
                      <w:rFonts w:hint="eastAsia" w:cs="Times New Roman"/>
                      <w:color w:val="000000"/>
                      <w:sz w:val="21"/>
                      <w:szCs w:val="21"/>
                      <w:lang w:val="en-US" w:eastAsia="zh-CN"/>
                    </w:rPr>
                    <w:t>高速模切机1</w:t>
                  </w:r>
                </w:p>
              </w:tc>
              <w:tc>
                <w:tcPr>
                  <w:tcW w:w="790" w:type="dxa"/>
                  <w:tcBorders>
                    <w:top w:val="single" w:color="auto" w:sz="4" w:space="0"/>
                    <w:bottom w:val="single" w:color="auto" w:sz="4" w:space="0"/>
                  </w:tcBorders>
                  <w:noWrap w:val="0"/>
                  <w:vAlign w:val="center"/>
                </w:tcPr>
                <w:p w14:paraId="06F5507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80</w:t>
                  </w:r>
                </w:p>
              </w:tc>
              <w:tc>
                <w:tcPr>
                  <w:tcW w:w="748" w:type="dxa"/>
                  <w:vMerge w:val="continue"/>
                  <w:noWrap w:val="0"/>
                  <w:vAlign w:val="center"/>
                </w:tcPr>
                <w:p w14:paraId="38F4EB3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75FD1D5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11</w:t>
                  </w:r>
                </w:p>
              </w:tc>
              <w:tc>
                <w:tcPr>
                  <w:tcW w:w="728" w:type="dxa"/>
                  <w:tcBorders>
                    <w:top w:val="single" w:color="auto" w:sz="4" w:space="0"/>
                    <w:bottom w:val="single" w:color="auto" w:sz="4" w:space="0"/>
                  </w:tcBorders>
                  <w:noWrap w:val="0"/>
                  <w:vAlign w:val="center"/>
                </w:tcPr>
                <w:p w14:paraId="159665D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5</w:t>
                  </w:r>
                </w:p>
              </w:tc>
              <w:tc>
                <w:tcPr>
                  <w:tcW w:w="730" w:type="dxa"/>
                  <w:tcBorders>
                    <w:top w:val="single" w:color="auto" w:sz="4" w:space="0"/>
                    <w:bottom w:val="single" w:color="auto" w:sz="4" w:space="0"/>
                  </w:tcBorders>
                  <w:noWrap w:val="0"/>
                  <w:vAlign w:val="center"/>
                </w:tcPr>
                <w:p w14:paraId="3F9612D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44907D61">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6.4</w:t>
                  </w:r>
                </w:p>
              </w:tc>
              <w:tc>
                <w:tcPr>
                  <w:tcW w:w="1046" w:type="dxa"/>
                  <w:tcBorders>
                    <w:top w:val="single" w:color="auto" w:sz="4" w:space="0"/>
                    <w:bottom w:val="single" w:color="auto" w:sz="4" w:space="0"/>
                  </w:tcBorders>
                  <w:noWrap w:val="0"/>
                  <w:vAlign w:val="center"/>
                </w:tcPr>
                <w:p w14:paraId="114DAA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59.98 </w:t>
                  </w:r>
                </w:p>
              </w:tc>
            </w:tr>
            <w:tr w14:paraId="787A57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401FA6DA">
                  <w:pPr>
                    <w:keepNext w:val="0"/>
                    <w:keepLines w:val="0"/>
                    <w:pageBreakBefore w:val="0"/>
                    <w:suppressLineNumbers w:val="0"/>
                    <w:tabs>
                      <w:tab w:val="left" w:pos="3620"/>
                    </w:tabs>
                    <w:kinsoku/>
                    <w:wordWrap/>
                    <w:overflowPunct/>
                    <w:topLinePunct w:val="0"/>
                    <w:autoSpaceDE/>
                    <w:autoSpaceDN/>
                    <w:bidi w:val="0"/>
                    <w:adjustRightInd w:val="0"/>
                    <w:snapToGrid w:val="0"/>
                    <w:spacing w:before="0" w:beforeAutospacing="0" w:after="0" w:afterAutospacing="0"/>
                    <w:ind w:left="0" w:right="0"/>
                    <w:jc w:val="center"/>
                    <w:rPr>
                      <w:rFonts w:hint="default" w:cs="Times New Roman"/>
                      <w:bCs/>
                      <w:sz w:val="21"/>
                      <w:szCs w:val="21"/>
                      <w:lang w:val="en-US" w:eastAsia="zh-CN"/>
                    </w:rPr>
                  </w:pPr>
                  <w:r>
                    <w:rPr>
                      <w:rFonts w:hint="eastAsia" w:cs="Times New Roman"/>
                      <w:bCs/>
                      <w:sz w:val="21"/>
                      <w:szCs w:val="21"/>
                      <w:lang w:val="en-US" w:eastAsia="zh-CN"/>
                    </w:rPr>
                    <w:t>11</w:t>
                  </w:r>
                </w:p>
              </w:tc>
              <w:tc>
                <w:tcPr>
                  <w:tcW w:w="670" w:type="dxa"/>
                  <w:vMerge w:val="continue"/>
                  <w:noWrap w:val="0"/>
                  <w:vAlign w:val="center"/>
                </w:tcPr>
                <w:p w14:paraId="029BAB0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881" w:type="dxa"/>
                  <w:tcBorders>
                    <w:top w:val="single" w:color="auto" w:sz="4" w:space="0"/>
                    <w:bottom w:val="single" w:color="auto" w:sz="4" w:space="0"/>
                  </w:tcBorders>
                  <w:noWrap w:val="0"/>
                  <w:vAlign w:val="center"/>
                </w:tcPr>
                <w:p w14:paraId="12B5FA5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cs="Times New Roman"/>
                      <w:color w:val="000000"/>
                      <w:sz w:val="21"/>
                      <w:szCs w:val="21"/>
                      <w:lang w:val="en-US" w:eastAsia="zh-CN"/>
                    </w:rPr>
                  </w:pPr>
                  <w:r>
                    <w:rPr>
                      <w:rFonts w:hint="eastAsia" w:cs="Times New Roman"/>
                      <w:color w:val="000000"/>
                      <w:sz w:val="21"/>
                      <w:szCs w:val="21"/>
                      <w:lang w:val="en-US" w:eastAsia="zh-CN"/>
                    </w:rPr>
                    <w:t>高速模切机2</w:t>
                  </w:r>
                </w:p>
              </w:tc>
              <w:tc>
                <w:tcPr>
                  <w:tcW w:w="790" w:type="dxa"/>
                  <w:tcBorders>
                    <w:top w:val="single" w:color="auto" w:sz="4" w:space="0"/>
                    <w:bottom w:val="single" w:color="auto" w:sz="4" w:space="0"/>
                  </w:tcBorders>
                  <w:noWrap w:val="0"/>
                  <w:vAlign w:val="center"/>
                </w:tcPr>
                <w:p w14:paraId="72AA695F">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80</w:t>
                  </w:r>
                </w:p>
              </w:tc>
              <w:tc>
                <w:tcPr>
                  <w:tcW w:w="748" w:type="dxa"/>
                  <w:vMerge w:val="continue"/>
                  <w:noWrap w:val="0"/>
                  <w:vAlign w:val="center"/>
                </w:tcPr>
                <w:p w14:paraId="607D158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459172E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20</w:t>
                  </w:r>
                </w:p>
              </w:tc>
              <w:tc>
                <w:tcPr>
                  <w:tcW w:w="728" w:type="dxa"/>
                  <w:tcBorders>
                    <w:top w:val="single" w:color="auto" w:sz="4" w:space="0"/>
                    <w:bottom w:val="single" w:color="auto" w:sz="4" w:space="0"/>
                  </w:tcBorders>
                  <w:noWrap w:val="0"/>
                  <w:vAlign w:val="center"/>
                </w:tcPr>
                <w:p w14:paraId="16F7D98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5</w:t>
                  </w:r>
                </w:p>
              </w:tc>
              <w:tc>
                <w:tcPr>
                  <w:tcW w:w="730" w:type="dxa"/>
                  <w:tcBorders>
                    <w:top w:val="single" w:color="auto" w:sz="4" w:space="0"/>
                    <w:bottom w:val="single" w:color="auto" w:sz="4" w:space="0"/>
                  </w:tcBorders>
                  <w:noWrap w:val="0"/>
                  <w:vAlign w:val="center"/>
                </w:tcPr>
                <w:p w14:paraId="3346CC7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6AF085C5">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7.1</w:t>
                  </w:r>
                </w:p>
              </w:tc>
              <w:tc>
                <w:tcPr>
                  <w:tcW w:w="1046" w:type="dxa"/>
                  <w:tcBorders>
                    <w:top w:val="single" w:color="auto" w:sz="4" w:space="0"/>
                    <w:bottom w:val="single" w:color="auto" w:sz="4" w:space="0"/>
                  </w:tcBorders>
                  <w:noWrap w:val="0"/>
                  <w:vAlign w:val="center"/>
                </w:tcPr>
                <w:p w14:paraId="5066D0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59.30 </w:t>
                  </w:r>
                </w:p>
              </w:tc>
            </w:tr>
            <w:tr w14:paraId="18892F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41AA06E3">
                  <w:pPr>
                    <w:keepNext w:val="0"/>
                    <w:keepLines w:val="0"/>
                    <w:pageBreakBefore w:val="0"/>
                    <w:suppressLineNumbers w:val="0"/>
                    <w:tabs>
                      <w:tab w:val="left" w:pos="3620"/>
                    </w:tabs>
                    <w:kinsoku/>
                    <w:wordWrap/>
                    <w:overflowPunct/>
                    <w:topLinePunct w:val="0"/>
                    <w:autoSpaceDE/>
                    <w:autoSpaceDN/>
                    <w:bidi w:val="0"/>
                    <w:adjustRightInd w:val="0"/>
                    <w:snapToGrid w:val="0"/>
                    <w:spacing w:before="0" w:beforeAutospacing="0" w:after="0" w:afterAutospacing="0"/>
                    <w:ind w:left="0" w:right="0"/>
                    <w:jc w:val="center"/>
                    <w:rPr>
                      <w:rFonts w:hint="default" w:cs="Times New Roman"/>
                      <w:bCs/>
                      <w:sz w:val="21"/>
                      <w:szCs w:val="21"/>
                      <w:lang w:val="en-US" w:eastAsia="zh-CN"/>
                    </w:rPr>
                  </w:pPr>
                  <w:r>
                    <w:rPr>
                      <w:rFonts w:hint="eastAsia" w:cs="Times New Roman"/>
                      <w:bCs/>
                      <w:sz w:val="21"/>
                      <w:szCs w:val="21"/>
                      <w:lang w:val="en-US" w:eastAsia="zh-CN"/>
                    </w:rPr>
                    <w:t>12</w:t>
                  </w:r>
                </w:p>
              </w:tc>
              <w:tc>
                <w:tcPr>
                  <w:tcW w:w="670" w:type="dxa"/>
                  <w:vMerge w:val="continue"/>
                  <w:noWrap w:val="0"/>
                  <w:vAlign w:val="center"/>
                </w:tcPr>
                <w:p w14:paraId="631E905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881" w:type="dxa"/>
                  <w:tcBorders>
                    <w:top w:val="single" w:color="auto" w:sz="4" w:space="0"/>
                    <w:bottom w:val="single" w:color="auto" w:sz="4" w:space="0"/>
                  </w:tcBorders>
                  <w:noWrap w:val="0"/>
                  <w:vAlign w:val="center"/>
                </w:tcPr>
                <w:p w14:paraId="4367C3B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cs="Times New Roman"/>
                      <w:color w:val="000000"/>
                      <w:sz w:val="21"/>
                      <w:szCs w:val="21"/>
                      <w:lang w:val="en-US" w:eastAsia="zh-CN"/>
                    </w:rPr>
                  </w:pPr>
                  <w:r>
                    <w:rPr>
                      <w:rFonts w:hint="eastAsia" w:cs="Times New Roman"/>
                      <w:color w:val="000000"/>
                      <w:sz w:val="21"/>
                      <w:szCs w:val="21"/>
                      <w:lang w:val="en-US" w:eastAsia="zh-CN"/>
                    </w:rPr>
                    <w:t>高速模切机3</w:t>
                  </w:r>
                </w:p>
              </w:tc>
              <w:tc>
                <w:tcPr>
                  <w:tcW w:w="790" w:type="dxa"/>
                  <w:tcBorders>
                    <w:top w:val="single" w:color="auto" w:sz="4" w:space="0"/>
                    <w:bottom w:val="single" w:color="auto" w:sz="4" w:space="0"/>
                  </w:tcBorders>
                  <w:noWrap w:val="0"/>
                  <w:vAlign w:val="center"/>
                </w:tcPr>
                <w:p w14:paraId="5562F83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80</w:t>
                  </w:r>
                </w:p>
              </w:tc>
              <w:tc>
                <w:tcPr>
                  <w:tcW w:w="748" w:type="dxa"/>
                  <w:vMerge w:val="continue"/>
                  <w:noWrap w:val="0"/>
                  <w:vAlign w:val="center"/>
                </w:tcPr>
                <w:p w14:paraId="6379EB2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4CF8F23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30</w:t>
                  </w:r>
                </w:p>
              </w:tc>
              <w:tc>
                <w:tcPr>
                  <w:tcW w:w="728" w:type="dxa"/>
                  <w:tcBorders>
                    <w:top w:val="single" w:color="auto" w:sz="4" w:space="0"/>
                    <w:bottom w:val="single" w:color="auto" w:sz="4" w:space="0"/>
                  </w:tcBorders>
                  <w:noWrap w:val="0"/>
                  <w:vAlign w:val="center"/>
                </w:tcPr>
                <w:p w14:paraId="6A65F09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5</w:t>
                  </w:r>
                </w:p>
              </w:tc>
              <w:tc>
                <w:tcPr>
                  <w:tcW w:w="730" w:type="dxa"/>
                  <w:tcBorders>
                    <w:top w:val="single" w:color="auto" w:sz="4" w:space="0"/>
                    <w:bottom w:val="single" w:color="auto" w:sz="4" w:space="0"/>
                  </w:tcBorders>
                  <w:noWrap w:val="0"/>
                  <w:vAlign w:val="center"/>
                </w:tcPr>
                <w:p w14:paraId="1532CB0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4C2A2B13">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7.5</w:t>
                  </w:r>
                </w:p>
              </w:tc>
              <w:tc>
                <w:tcPr>
                  <w:tcW w:w="1046" w:type="dxa"/>
                  <w:tcBorders>
                    <w:top w:val="single" w:color="auto" w:sz="4" w:space="0"/>
                    <w:bottom w:val="single" w:color="auto" w:sz="4" w:space="0"/>
                  </w:tcBorders>
                  <w:noWrap w:val="0"/>
                  <w:vAlign w:val="center"/>
                </w:tcPr>
                <w:p w14:paraId="39505A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58.95 </w:t>
                  </w:r>
                </w:p>
              </w:tc>
            </w:tr>
            <w:tr w14:paraId="2E87C9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24899B3D">
                  <w:pPr>
                    <w:keepNext w:val="0"/>
                    <w:keepLines w:val="0"/>
                    <w:pageBreakBefore w:val="0"/>
                    <w:suppressLineNumbers w:val="0"/>
                    <w:tabs>
                      <w:tab w:val="left" w:pos="3620"/>
                    </w:tabs>
                    <w:kinsoku/>
                    <w:wordWrap/>
                    <w:overflowPunct/>
                    <w:topLinePunct w:val="0"/>
                    <w:autoSpaceDE/>
                    <w:autoSpaceDN/>
                    <w:bidi w:val="0"/>
                    <w:adjustRightInd w:val="0"/>
                    <w:snapToGrid w:val="0"/>
                    <w:spacing w:before="0" w:beforeAutospacing="0" w:after="0" w:afterAutospacing="0"/>
                    <w:ind w:left="0" w:right="0"/>
                    <w:jc w:val="center"/>
                    <w:rPr>
                      <w:rFonts w:hint="default" w:cs="Times New Roman"/>
                      <w:bCs/>
                      <w:sz w:val="21"/>
                      <w:szCs w:val="21"/>
                      <w:lang w:val="en-US" w:eastAsia="zh-CN"/>
                    </w:rPr>
                  </w:pPr>
                  <w:r>
                    <w:rPr>
                      <w:rFonts w:hint="eastAsia" w:cs="Times New Roman"/>
                      <w:bCs/>
                      <w:sz w:val="21"/>
                      <w:szCs w:val="21"/>
                      <w:lang w:val="en-US" w:eastAsia="zh-CN"/>
                    </w:rPr>
                    <w:t>13</w:t>
                  </w:r>
                </w:p>
              </w:tc>
              <w:tc>
                <w:tcPr>
                  <w:tcW w:w="670" w:type="dxa"/>
                  <w:vMerge w:val="continue"/>
                  <w:noWrap w:val="0"/>
                  <w:vAlign w:val="center"/>
                </w:tcPr>
                <w:p w14:paraId="2162903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881" w:type="dxa"/>
                  <w:tcBorders>
                    <w:top w:val="single" w:color="auto" w:sz="4" w:space="0"/>
                    <w:bottom w:val="single" w:color="auto" w:sz="4" w:space="0"/>
                  </w:tcBorders>
                  <w:noWrap w:val="0"/>
                  <w:vAlign w:val="center"/>
                </w:tcPr>
                <w:p w14:paraId="3DFC979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color w:val="000000"/>
                      <w:sz w:val="21"/>
                      <w:szCs w:val="21"/>
                      <w:lang w:val="en-US" w:eastAsia="zh-CN"/>
                    </w:rPr>
                  </w:pPr>
                  <w:r>
                    <w:rPr>
                      <w:rFonts w:hint="eastAsia" w:cs="Times New Roman"/>
                      <w:color w:val="000000"/>
                      <w:sz w:val="21"/>
                      <w:szCs w:val="21"/>
                      <w:lang w:val="en-US" w:eastAsia="zh-CN"/>
                    </w:rPr>
                    <w:t>高速模切机4</w:t>
                  </w:r>
                </w:p>
              </w:tc>
              <w:tc>
                <w:tcPr>
                  <w:tcW w:w="790" w:type="dxa"/>
                  <w:tcBorders>
                    <w:top w:val="single" w:color="auto" w:sz="4" w:space="0"/>
                    <w:bottom w:val="single" w:color="auto" w:sz="4" w:space="0"/>
                  </w:tcBorders>
                  <w:noWrap w:val="0"/>
                  <w:vAlign w:val="center"/>
                </w:tcPr>
                <w:p w14:paraId="0CC9609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80</w:t>
                  </w:r>
                </w:p>
              </w:tc>
              <w:tc>
                <w:tcPr>
                  <w:tcW w:w="748" w:type="dxa"/>
                  <w:vMerge w:val="continue"/>
                  <w:noWrap w:val="0"/>
                  <w:vAlign w:val="center"/>
                </w:tcPr>
                <w:p w14:paraId="11884DB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0F3195E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40</w:t>
                  </w:r>
                </w:p>
              </w:tc>
              <w:tc>
                <w:tcPr>
                  <w:tcW w:w="728" w:type="dxa"/>
                  <w:tcBorders>
                    <w:top w:val="single" w:color="auto" w:sz="4" w:space="0"/>
                    <w:bottom w:val="single" w:color="auto" w:sz="4" w:space="0"/>
                  </w:tcBorders>
                  <w:noWrap w:val="0"/>
                  <w:vAlign w:val="center"/>
                </w:tcPr>
                <w:p w14:paraId="0271E6E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5</w:t>
                  </w:r>
                </w:p>
              </w:tc>
              <w:tc>
                <w:tcPr>
                  <w:tcW w:w="730" w:type="dxa"/>
                  <w:tcBorders>
                    <w:top w:val="single" w:color="auto" w:sz="4" w:space="0"/>
                    <w:bottom w:val="single" w:color="auto" w:sz="4" w:space="0"/>
                  </w:tcBorders>
                  <w:noWrap w:val="0"/>
                  <w:vAlign w:val="center"/>
                </w:tcPr>
                <w:p w14:paraId="45BDDA5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7E194E03">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6.9</w:t>
                  </w:r>
                </w:p>
              </w:tc>
              <w:tc>
                <w:tcPr>
                  <w:tcW w:w="1046" w:type="dxa"/>
                  <w:tcBorders>
                    <w:top w:val="single" w:color="auto" w:sz="4" w:space="0"/>
                    <w:bottom w:val="single" w:color="auto" w:sz="4" w:space="0"/>
                  </w:tcBorders>
                  <w:noWrap w:val="0"/>
                  <w:vAlign w:val="center"/>
                </w:tcPr>
                <w:p w14:paraId="47E27BC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59.48 </w:t>
                  </w:r>
                </w:p>
              </w:tc>
            </w:tr>
            <w:tr w14:paraId="109728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4" w:space="0"/>
                  </w:tcBorders>
                  <w:noWrap w:val="0"/>
                  <w:vAlign w:val="center"/>
                </w:tcPr>
                <w:p w14:paraId="38B014CD">
                  <w:pPr>
                    <w:keepNext w:val="0"/>
                    <w:keepLines w:val="0"/>
                    <w:pageBreakBefore w:val="0"/>
                    <w:suppressLineNumbers w:val="0"/>
                    <w:tabs>
                      <w:tab w:val="left" w:pos="3620"/>
                    </w:tabs>
                    <w:kinsoku/>
                    <w:wordWrap/>
                    <w:overflowPunct/>
                    <w:topLinePunct w:val="0"/>
                    <w:autoSpaceDE/>
                    <w:autoSpaceDN/>
                    <w:bidi w:val="0"/>
                    <w:adjustRightInd w:val="0"/>
                    <w:snapToGrid w:val="0"/>
                    <w:spacing w:before="0" w:beforeAutospacing="0" w:after="0" w:afterAutospacing="0"/>
                    <w:ind w:left="0" w:right="0"/>
                    <w:jc w:val="center"/>
                    <w:rPr>
                      <w:rFonts w:hint="default" w:cs="Times New Roman"/>
                      <w:bCs/>
                      <w:sz w:val="21"/>
                      <w:szCs w:val="21"/>
                      <w:lang w:val="en-US" w:eastAsia="zh-CN"/>
                    </w:rPr>
                  </w:pPr>
                  <w:r>
                    <w:rPr>
                      <w:rFonts w:hint="eastAsia" w:cs="Times New Roman"/>
                      <w:bCs/>
                      <w:sz w:val="21"/>
                      <w:szCs w:val="21"/>
                      <w:lang w:val="en-US" w:eastAsia="zh-CN"/>
                    </w:rPr>
                    <w:t>14</w:t>
                  </w:r>
                </w:p>
              </w:tc>
              <w:tc>
                <w:tcPr>
                  <w:tcW w:w="670" w:type="dxa"/>
                  <w:vMerge w:val="continue"/>
                  <w:noWrap w:val="0"/>
                  <w:vAlign w:val="center"/>
                </w:tcPr>
                <w:p w14:paraId="475D302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881" w:type="dxa"/>
                  <w:tcBorders>
                    <w:top w:val="single" w:color="auto" w:sz="4" w:space="0"/>
                    <w:bottom w:val="single" w:color="auto" w:sz="4" w:space="0"/>
                  </w:tcBorders>
                  <w:noWrap w:val="0"/>
                  <w:vAlign w:val="center"/>
                </w:tcPr>
                <w:p w14:paraId="39CEF0F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color w:val="000000"/>
                      <w:sz w:val="21"/>
                      <w:szCs w:val="21"/>
                      <w:lang w:val="en-US" w:eastAsia="zh-CN"/>
                    </w:rPr>
                  </w:pPr>
                  <w:r>
                    <w:rPr>
                      <w:rFonts w:hint="eastAsia" w:cs="Times New Roman"/>
                      <w:color w:val="000000"/>
                      <w:sz w:val="21"/>
                      <w:szCs w:val="21"/>
                      <w:lang w:val="en-US" w:eastAsia="zh-CN"/>
                    </w:rPr>
                    <w:t>高速模切机5</w:t>
                  </w:r>
                </w:p>
              </w:tc>
              <w:tc>
                <w:tcPr>
                  <w:tcW w:w="790" w:type="dxa"/>
                  <w:tcBorders>
                    <w:top w:val="single" w:color="auto" w:sz="4" w:space="0"/>
                    <w:bottom w:val="single" w:color="auto" w:sz="4" w:space="0"/>
                  </w:tcBorders>
                  <w:noWrap w:val="0"/>
                  <w:vAlign w:val="center"/>
                </w:tcPr>
                <w:p w14:paraId="2E53C24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80</w:t>
                  </w:r>
                </w:p>
              </w:tc>
              <w:tc>
                <w:tcPr>
                  <w:tcW w:w="748" w:type="dxa"/>
                  <w:vMerge w:val="continue"/>
                  <w:noWrap w:val="0"/>
                  <w:vAlign w:val="center"/>
                </w:tcPr>
                <w:p w14:paraId="2F8C9F2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4" w:space="0"/>
                  </w:tcBorders>
                  <w:noWrap w:val="0"/>
                  <w:vAlign w:val="center"/>
                </w:tcPr>
                <w:p w14:paraId="37698BA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50</w:t>
                  </w:r>
                </w:p>
              </w:tc>
              <w:tc>
                <w:tcPr>
                  <w:tcW w:w="728" w:type="dxa"/>
                  <w:tcBorders>
                    <w:top w:val="single" w:color="auto" w:sz="4" w:space="0"/>
                    <w:bottom w:val="single" w:color="auto" w:sz="4" w:space="0"/>
                  </w:tcBorders>
                  <w:noWrap w:val="0"/>
                  <w:vAlign w:val="center"/>
                </w:tcPr>
                <w:p w14:paraId="301010A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5</w:t>
                  </w:r>
                </w:p>
              </w:tc>
              <w:tc>
                <w:tcPr>
                  <w:tcW w:w="730" w:type="dxa"/>
                  <w:tcBorders>
                    <w:top w:val="single" w:color="auto" w:sz="4" w:space="0"/>
                    <w:bottom w:val="single" w:color="auto" w:sz="4" w:space="0"/>
                  </w:tcBorders>
                  <w:noWrap w:val="0"/>
                  <w:vAlign w:val="center"/>
                </w:tcPr>
                <w:p w14:paraId="148EB67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1.2</w:t>
                  </w:r>
                </w:p>
              </w:tc>
              <w:tc>
                <w:tcPr>
                  <w:tcW w:w="790" w:type="dxa"/>
                  <w:tcBorders>
                    <w:top w:val="single" w:color="auto" w:sz="4" w:space="0"/>
                    <w:bottom w:val="single" w:color="auto" w:sz="4" w:space="0"/>
                  </w:tcBorders>
                  <w:noWrap w:val="0"/>
                  <w:vAlign w:val="center"/>
                </w:tcPr>
                <w:p w14:paraId="28256A59">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7.6</w:t>
                  </w:r>
                </w:p>
              </w:tc>
              <w:tc>
                <w:tcPr>
                  <w:tcW w:w="1046" w:type="dxa"/>
                  <w:tcBorders>
                    <w:top w:val="single" w:color="auto" w:sz="4" w:space="0"/>
                    <w:bottom w:val="single" w:color="auto" w:sz="4" w:space="0"/>
                  </w:tcBorders>
                  <w:noWrap w:val="0"/>
                  <w:vAlign w:val="center"/>
                </w:tcPr>
                <w:p w14:paraId="01D68C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58.87 </w:t>
                  </w:r>
                </w:p>
              </w:tc>
            </w:tr>
            <w:tr w14:paraId="416517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1" w:type="dxa"/>
                  <w:tcBorders>
                    <w:top w:val="single" w:color="auto" w:sz="4" w:space="0"/>
                    <w:bottom w:val="single" w:color="auto" w:sz="8" w:space="0"/>
                  </w:tcBorders>
                  <w:noWrap w:val="0"/>
                  <w:vAlign w:val="center"/>
                </w:tcPr>
                <w:p w14:paraId="59B8A0FF">
                  <w:pPr>
                    <w:keepNext w:val="0"/>
                    <w:keepLines w:val="0"/>
                    <w:pageBreakBefore w:val="0"/>
                    <w:suppressLineNumbers w:val="0"/>
                    <w:tabs>
                      <w:tab w:val="left" w:pos="3620"/>
                    </w:tabs>
                    <w:kinsoku/>
                    <w:wordWrap/>
                    <w:overflowPunct/>
                    <w:topLinePunct w:val="0"/>
                    <w:autoSpaceDE/>
                    <w:autoSpaceDN/>
                    <w:bidi w:val="0"/>
                    <w:adjustRightInd w:val="0"/>
                    <w:snapToGrid w:val="0"/>
                    <w:spacing w:before="0" w:beforeAutospacing="0" w:after="0" w:afterAutospacing="0"/>
                    <w:ind w:left="0" w:right="0"/>
                    <w:jc w:val="center"/>
                    <w:rPr>
                      <w:rFonts w:hint="default" w:cs="Times New Roman"/>
                      <w:bCs/>
                      <w:sz w:val="21"/>
                      <w:szCs w:val="21"/>
                      <w:lang w:val="en-US" w:eastAsia="zh-CN"/>
                    </w:rPr>
                  </w:pPr>
                  <w:r>
                    <w:rPr>
                      <w:rFonts w:hint="eastAsia" w:cs="Times New Roman"/>
                      <w:bCs/>
                      <w:sz w:val="21"/>
                      <w:szCs w:val="21"/>
                      <w:lang w:val="en-US" w:eastAsia="zh-CN"/>
                    </w:rPr>
                    <w:t>15</w:t>
                  </w:r>
                </w:p>
              </w:tc>
              <w:tc>
                <w:tcPr>
                  <w:tcW w:w="670" w:type="dxa"/>
                  <w:vMerge w:val="continue"/>
                  <w:tcBorders>
                    <w:bottom w:val="single" w:color="auto" w:sz="8" w:space="0"/>
                  </w:tcBorders>
                  <w:noWrap w:val="0"/>
                  <w:vAlign w:val="center"/>
                </w:tcPr>
                <w:p w14:paraId="38E1402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eastAsia" w:cs="Times New Roman"/>
                      <w:sz w:val="21"/>
                      <w:szCs w:val="21"/>
                      <w:highlight w:val="none"/>
                      <w:lang w:val="en-US" w:eastAsia="zh-CN"/>
                    </w:rPr>
                  </w:pPr>
                </w:p>
              </w:tc>
              <w:tc>
                <w:tcPr>
                  <w:tcW w:w="1881" w:type="dxa"/>
                  <w:tcBorders>
                    <w:top w:val="single" w:color="auto" w:sz="4" w:space="0"/>
                    <w:bottom w:val="single" w:color="auto" w:sz="8" w:space="0"/>
                  </w:tcBorders>
                  <w:noWrap w:val="0"/>
                  <w:vAlign w:val="center"/>
                </w:tcPr>
                <w:p w14:paraId="7D78D51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color w:val="000000"/>
                      <w:sz w:val="21"/>
                      <w:szCs w:val="21"/>
                      <w:lang w:val="en-US" w:eastAsia="zh-CN"/>
                    </w:rPr>
                  </w:pPr>
                  <w:r>
                    <w:rPr>
                      <w:rFonts w:hint="eastAsia" w:cs="Times New Roman"/>
                      <w:color w:val="000000"/>
                      <w:sz w:val="21"/>
                      <w:szCs w:val="21"/>
                      <w:lang w:val="en-US" w:eastAsia="zh-CN"/>
                    </w:rPr>
                    <w:t>高速模切机6</w:t>
                  </w:r>
                </w:p>
              </w:tc>
              <w:tc>
                <w:tcPr>
                  <w:tcW w:w="790" w:type="dxa"/>
                  <w:tcBorders>
                    <w:top w:val="single" w:color="auto" w:sz="4" w:space="0"/>
                    <w:bottom w:val="single" w:color="auto" w:sz="8" w:space="0"/>
                  </w:tcBorders>
                  <w:noWrap w:val="0"/>
                  <w:vAlign w:val="center"/>
                </w:tcPr>
                <w:p w14:paraId="550ACAE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80</w:t>
                  </w:r>
                </w:p>
              </w:tc>
              <w:tc>
                <w:tcPr>
                  <w:tcW w:w="748" w:type="dxa"/>
                  <w:vMerge w:val="continue"/>
                  <w:tcBorders>
                    <w:bottom w:val="single" w:color="auto" w:sz="8" w:space="0"/>
                  </w:tcBorders>
                  <w:noWrap w:val="0"/>
                  <w:vAlign w:val="center"/>
                </w:tcPr>
                <w:p w14:paraId="51BD0DD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kern w:val="0"/>
                      <w:sz w:val="21"/>
                      <w:szCs w:val="21"/>
                      <w:highlight w:val="none"/>
                    </w:rPr>
                  </w:pPr>
                </w:p>
              </w:tc>
              <w:tc>
                <w:tcPr>
                  <w:tcW w:w="772" w:type="dxa"/>
                  <w:tcBorders>
                    <w:top w:val="single" w:color="auto" w:sz="4" w:space="0"/>
                    <w:bottom w:val="single" w:color="auto" w:sz="8" w:space="0"/>
                  </w:tcBorders>
                  <w:noWrap w:val="0"/>
                  <w:vAlign w:val="center"/>
                </w:tcPr>
                <w:p w14:paraId="707D03C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60</w:t>
                  </w:r>
                </w:p>
              </w:tc>
              <w:tc>
                <w:tcPr>
                  <w:tcW w:w="728" w:type="dxa"/>
                  <w:tcBorders>
                    <w:top w:val="single" w:color="auto" w:sz="4" w:space="0"/>
                    <w:bottom w:val="single" w:color="auto" w:sz="8" w:space="0"/>
                  </w:tcBorders>
                  <w:noWrap w:val="0"/>
                  <w:vAlign w:val="center"/>
                </w:tcPr>
                <w:p w14:paraId="42CDB93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jc w:val="center"/>
                    <w:textAlignment w:val="baseline"/>
                    <w:rPr>
                      <w:rFonts w:hint="default" w:cs="Times New Roman"/>
                      <w:sz w:val="21"/>
                      <w:szCs w:val="21"/>
                      <w:highlight w:val="none"/>
                      <w:lang w:val="en-US" w:eastAsia="zh-CN"/>
                    </w:rPr>
                  </w:pPr>
                  <w:r>
                    <w:rPr>
                      <w:rFonts w:hint="eastAsia" w:cs="Times New Roman"/>
                      <w:sz w:val="21"/>
                      <w:szCs w:val="21"/>
                      <w:highlight w:val="none"/>
                      <w:lang w:val="en-US" w:eastAsia="zh-CN"/>
                    </w:rPr>
                    <w:t>5</w:t>
                  </w:r>
                </w:p>
              </w:tc>
              <w:tc>
                <w:tcPr>
                  <w:tcW w:w="730" w:type="dxa"/>
                  <w:tcBorders>
                    <w:top w:val="single" w:color="auto" w:sz="4" w:space="0"/>
                    <w:bottom w:val="single" w:color="auto" w:sz="8" w:space="0"/>
                  </w:tcBorders>
                  <w:noWrap w:val="0"/>
                  <w:vAlign w:val="center"/>
                </w:tcPr>
                <w:p w14:paraId="4FEAAA5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1.2</w:t>
                  </w:r>
                </w:p>
              </w:tc>
              <w:tc>
                <w:tcPr>
                  <w:tcW w:w="790" w:type="dxa"/>
                  <w:tcBorders>
                    <w:top w:val="single" w:color="auto" w:sz="4" w:space="0"/>
                    <w:bottom w:val="single" w:color="auto" w:sz="8" w:space="0"/>
                  </w:tcBorders>
                  <w:noWrap w:val="0"/>
                  <w:vAlign w:val="center"/>
                </w:tcPr>
                <w:p w14:paraId="15366C60">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jc w:val="center"/>
                    <w:textAlignment w:val="center"/>
                    <w:rPr>
                      <w:rFonts w:hint="default"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6.3</w:t>
                  </w:r>
                </w:p>
              </w:tc>
              <w:tc>
                <w:tcPr>
                  <w:tcW w:w="1046" w:type="dxa"/>
                  <w:tcBorders>
                    <w:top w:val="single" w:color="auto" w:sz="4" w:space="0"/>
                    <w:bottom w:val="single" w:color="auto" w:sz="8" w:space="0"/>
                  </w:tcBorders>
                  <w:noWrap w:val="0"/>
                  <w:vAlign w:val="center"/>
                </w:tcPr>
                <w:p w14:paraId="0D29BC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 xml:space="preserve">60.09 </w:t>
                  </w:r>
                </w:p>
              </w:tc>
            </w:tr>
          </w:tbl>
          <w:p w14:paraId="66FFED19">
            <w:pPr>
              <w:keepNext w:val="0"/>
              <w:keepLines w:val="0"/>
              <w:suppressLineNumbers w:val="0"/>
              <w:spacing w:before="0" w:beforeAutospacing="0" w:after="0" w:afterAutospacing="0" w:line="440" w:lineRule="exact"/>
              <w:ind w:left="0" w:right="0" w:firstLine="480" w:firstLineChars="200"/>
              <w:rPr>
                <w:rFonts w:hint="default"/>
                <w:sz w:val="24"/>
              </w:rPr>
            </w:pPr>
            <w:r>
              <w:rPr>
                <w:rFonts w:hint="default"/>
                <w:sz w:val="24"/>
              </w:rPr>
              <w:t>本项目主要噪声源的</w:t>
            </w:r>
            <w:r>
              <w:rPr>
                <w:rFonts w:hint="eastAsia"/>
                <w:sz w:val="24"/>
                <w:lang w:val="en-US" w:eastAsia="zh-CN"/>
              </w:rPr>
              <w:t>叠加</w:t>
            </w:r>
            <w:r>
              <w:rPr>
                <w:rFonts w:hint="default"/>
                <w:sz w:val="24"/>
              </w:rPr>
              <w:t>声级及治理情况见下表。</w:t>
            </w:r>
          </w:p>
          <w:p w14:paraId="654717FE">
            <w:pPr>
              <w:keepNext w:val="0"/>
              <w:keepLines w:val="0"/>
              <w:suppressLineNumbers w:val="0"/>
              <w:spacing w:before="0" w:beforeAutospacing="0" w:after="0" w:afterAutospacing="0" w:line="440" w:lineRule="exact"/>
              <w:ind w:left="0" w:right="0"/>
              <w:jc w:val="center"/>
              <w:rPr>
                <w:rFonts w:hint="default"/>
                <w:b/>
                <w:bCs/>
                <w:color w:val="auto"/>
                <w:highlight w:val="none"/>
              </w:rPr>
            </w:pPr>
            <w:r>
              <w:rPr>
                <w:rFonts w:hint="default"/>
                <w:b/>
                <w:bCs/>
                <w:color w:val="auto"/>
                <w:kern w:val="0"/>
                <w:sz w:val="24"/>
                <w:highlight w:val="none"/>
              </w:rPr>
              <w:t>表</w:t>
            </w:r>
            <w:r>
              <w:rPr>
                <w:rFonts w:hint="eastAsia"/>
                <w:b/>
                <w:bCs/>
                <w:color w:val="auto"/>
                <w:kern w:val="0"/>
                <w:sz w:val="24"/>
                <w:highlight w:val="none"/>
                <w:lang w:val="en-US" w:eastAsia="zh-CN"/>
              </w:rPr>
              <w:t xml:space="preserve">29  </w:t>
            </w:r>
            <w:r>
              <w:rPr>
                <w:rFonts w:hint="default"/>
                <w:b/>
                <w:bCs/>
                <w:color w:val="auto"/>
                <w:kern w:val="0"/>
                <w:sz w:val="24"/>
                <w:highlight w:val="none"/>
              </w:rPr>
              <w:t>本项目主要设备</w:t>
            </w:r>
            <w:r>
              <w:rPr>
                <w:rFonts w:hint="eastAsia"/>
                <w:b/>
                <w:bCs/>
                <w:color w:val="auto"/>
                <w:sz w:val="24"/>
                <w:highlight w:val="none"/>
                <w:lang w:val="en-US" w:eastAsia="zh-CN"/>
              </w:rPr>
              <w:t>叠加</w:t>
            </w:r>
            <w:r>
              <w:rPr>
                <w:rFonts w:hint="default"/>
                <w:b/>
                <w:bCs/>
                <w:color w:val="auto"/>
                <w:sz w:val="24"/>
                <w:highlight w:val="none"/>
              </w:rPr>
              <w:t>声级及治理情况</w:t>
            </w:r>
          </w:p>
          <w:tbl>
            <w:tblPr>
              <w:tblStyle w:val="23"/>
              <w:tblW w:w="4993" w:type="pct"/>
              <w:jc w:val="center"/>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6"/>
              <w:gridCol w:w="1102"/>
              <w:gridCol w:w="1302"/>
              <w:gridCol w:w="1432"/>
              <w:gridCol w:w="1873"/>
              <w:gridCol w:w="1774"/>
            </w:tblGrid>
            <w:tr w14:paraId="077C57C5">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restart"/>
                  <w:tcBorders>
                    <w:top w:val="single" w:color="auto" w:sz="8" w:space="0"/>
                    <w:bottom w:val="single" w:color="auto" w:sz="4" w:space="0"/>
                    <w:right w:val="single" w:color="auto" w:sz="4" w:space="0"/>
                  </w:tcBorders>
                  <w:vAlign w:val="center"/>
                </w:tcPr>
                <w:p w14:paraId="1F491291">
                  <w:pPr>
                    <w:keepNext w:val="0"/>
                    <w:keepLines w:val="0"/>
                    <w:suppressLineNumbers w:val="0"/>
                    <w:spacing w:before="0" w:beforeAutospacing="0" w:after="0" w:afterAutospacing="0" w:line="240" w:lineRule="auto"/>
                    <w:ind w:left="0" w:right="0"/>
                    <w:jc w:val="center"/>
                    <w:rPr>
                      <w:rFonts w:hint="eastAsia"/>
                      <w:b/>
                      <w:bCs w:val="0"/>
                      <w:kern w:val="0"/>
                      <w:sz w:val="21"/>
                      <w:szCs w:val="21"/>
                      <w:lang w:val="en-US" w:eastAsia="zh-CN"/>
                    </w:rPr>
                  </w:pPr>
                  <w:r>
                    <w:rPr>
                      <w:rFonts w:hint="eastAsia"/>
                      <w:b/>
                      <w:bCs w:val="0"/>
                      <w:kern w:val="0"/>
                      <w:sz w:val="21"/>
                      <w:szCs w:val="21"/>
                      <w:lang w:val="en-US" w:eastAsia="zh-CN"/>
                    </w:rPr>
                    <w:t>建筑物</w:t>
                  </w:r>
                </w:p>
                <w:p w14:paraId="5557FA1E">
                  <w:pPr>
                    <w:keepNext w:val="0"/>
                    <w:keepLines w:val="0"/>
                    <w:suppressLineNumbers w:val="0"/>
                    <w:spacing w:before="0" w:beforeAutospacing="0" w:after="0" w:afterAutospacing="0" w:line="240" w:lineRule="auto"/>
                    <w:ind w:left="0" w:right="0"/>
                    <w:jc w:val="center"/>
                    <w:rPr>
                      <w:rFonts w:hint="default" w:eastAsia="宋体"/>
                      <w:b/>
                      <w:bCs w:val="0"/>
                      <w:kern w:val="0"/>
                      <w:sz w:val="21"/>
                      <w:szCs w:val="21"/>
                      <w:lang w:val="en-US" w:eastAsia="zh-CN"/>
                    </w:rPr>
                  </w:pPr>
                  <w:r>
                    <w:rPr>
                      <w:rFonts w:hint="eastAsia"/>
                      <w:b/>
                      <w:bCs w:val="0"/>
                      <w:kern w:val="0"/>
                      <w:sz w:val="21"/>
                      <w:szCs w:val="21"/>
                      <w:lang w:val="en-US" w:eastAsia="zh-CN"/>
                    </w:rPr>
                    <w:t>名称</w:t>
                  </w:r>
                </w:p>
              </w:tc>
              <w:tc>
                <w:tcPr>
                  <w:tcW w:w="1102" w:type="dxa"/>
                  <w:vMerge w:val="restart"/>
                  <w:tcBorders>
                    <w:top w:val="single" w:color="auto" w:sz="8" w:space="0"/>
                    <w:left w:val="single" w:color="auto" w:sz="4" w:space="0"/>
                    <w:bottom w:val="single" w:color="auto" w:sz="4" w:space="0"/>
                    <w:right w:val="single" w:color="auto" w:sz="4" w:space="0"/>
                  </w:tcBorders>
                  <w:vAlign w:val="center"/>
                </w:tcPr>
                <w:p w14:paraId="51B8708E">
                  <w:pPr>
                    <w:keepNext w:val="0"/>
                    <w:keepLines w:val="0"/>
                    <w:suppressLineNumbers w:val="0"/>
                    <w:spacing w:before="0" w:beforeAutospacing="0" w:after="0" w:afterAutospacing="0" w:line="240" w:lineRule="auto"/>
                    <w:ind w:left="0" w:right="0"/>
                    <w:jc w:val="center"/>
                    <w:rPr>
                      <w:rFonts w:hint="default" w:eastAsia="宋体"/>
                      <w:b/>
                      <w:bCs w:val="0"/>
                      <w:kern w:val="0"/>
                      <w:sz w:val="21"/>
                      <w:szCs w:val="21"/>
                      <w:lang w:val="en-US" w:eastAsia="zh-CN"/>
                    </w:rPr>
                  </w:pPr>
                  <w:r>
                    <w:rPr>
                      <w:rFonts w:hint="default"/>
                      <w:b/>
                      <w:bCs w:val="0"/>
                      <w:kern w:val="0"/>
                      <w:sz w:val="21"/>
                      <w:szCs w:val="21"/>
                    </w:rPr>
                    <w:t>室内边界</w:t>
                  </w:r>
                  <w:r>
                    <w:rPr>
                      <w:rFonts w:hint="eastAsia"/>
                      <w:b/>
                      <w:bCs w:val="0"/>
                      <w:kern w:val="0"/>
                      <w:sz w:val="21"/>
                      <w:szCs w:val="21"/>
                    </w:rPr>
                    <w:t>叠加</w:t>
                  </w:r>
                  <w:r>
                    <w:rPr>
                      <w:rFonts w:hint="default"/>
                      <w:b/>
                      <w:bCs w:val="0"/>
                      <w:kern w:val="0"/>
                      <w:sz w:val="21"/>
                      <w:szCs w:val="21"/>
                    </w:rPr>
                    <w:t>声级/dB（A）</w:t>
                  </w:r>
                </w:p>
              </w:tc>
              <w:tc>
                <w:tcPr>
                  <w:tcW w:w="1302" w:type="dxa"/>
                  <w:vMerge w:val="restart"/>
                  <w:tcBorders>
                    <w:top w:val="single" w:color="auto" w:sz="8" w:space="0"/>
                    <w:left w:val="single" w:color="auto" w:sz="4" w:space="0"/>
                    <w:bottom w:val="single" w:color="auto" w:sz="4" w:space="0"/>
                    <w:right w:val="single" w:color="auto" w:sz="4" w:space="0"/>
                  </w:tcBorders>
                  <w:vAlign w:val="center"/>
                </w:tcPr>
                <w:p w14:paraId="60515447">
                  <w:pPr>
                    <w:keepNext w:val="0"/>
                    <w:keepLines w:val="0"/>
                    <w:suppressLineNumbers w:val="0"/>
                    <w:spacing w:before="0" w:beforeAutospacing="0" w:after="0" w:afterAutospacing="0" w:line="240" w:lineRule="auto"/>
                    <w:ind w:left="0" w:right="0"/>
                    <w:jc w:val="center"/>
                    <w:rPr>
                      <w:rFonts w:hint="default"/>
                      <w:b/>
                      <w:bCs w:val="0"/>
                      <w:sz w:val="21"/>
                      <w:szCs w:val="21"/>
                      <w:vertAlign w:val="baseline"/>
                    </w:rPr>
                  </w:pPr>
                  <w:r>
                    <w:rPr>
                      <w:rFonts w:hint="default"/>
                      <w:b/>
                      <w:bCs w:val="0"/>
                      <w:kern w:val="0"/>
                      <w:sz w:val="21"/>
                      <w:szCs w:val="21"/>
                    </w:rPr>
                    <w:t>运行时段</w:t>
                  </w:r>
                </w:p>
              </w:tc>
              <w:tc>
                <w:tcPr>
                  <w:tcW w:w="1432" w:type="dxa"/>
                  <w:vMerge w:val="restart"/>
                  <w:tcBorders>
                    <w:top w:val="single" w:color="auto" w:sz="8" w:space="0"/>
                    <w:left w:val="single" w:color="auto" w:sz="4" w:space="0"/>
                    <w:bottom w:val="single" w:color="auto" w:sz="4" w:space="0"/>
                    <w:right w:val="single" w:color="auto" w:sz="4" w:space="0"/>
                  </w:tcBorders>
                  <w:vAlign w:val="center"/>
                </w:tcPr>
                <w:p w14:paraId="76CB9015">
                  <w:pPr>
                    <w:keepNext w:val="0"/>
                    <w:keepLines w:val="0"/>
                    <w:suppressLineNumbers w:val="0"/>
                    <w:spacing w:before="0" w:beforeAutospacing="0" w:after="0" w:afterAutospacing="0" w:line="240" w:lineRule="auto"/>
                    <w:ind w:left="0" w:right="0"/>
                    <w:jc w:val="center"/>
                    <w:rPr>
                      <w:rFonts w:hint="default"/>
                      <w:b/>
                      <w:bCs w:val="0"/>
                      <w:sz w:val="21"/>
                      <w:szCs w:val="21"/>
                      <w:highlight w:val="none"/>
                      <w:vertAlign w:val="baseline"/>
                    </w:rPr>
                  </w:pPr>
                  <w:r>
                    <w:rPr>
                      <w:rFonts w:hint="default"/>
                      <w:b/>
                      <w:bCs w:val="0"/>
                      <w:kern w:val="0"/>
                      <w:sz w:val="21"/>
                      <w:szCs w:val="21"/>
                      <w:highlight w:val="none"/>
                    </w:rPr>
                    <w:t>建筑物插入损失/dB（A）</w:t>
                  </w:r>
                </w:p>
              </w:tc>
              <w:tc>
                <w:tcPr>
                  <w:tcW w:w="3647" w:type="dxa"/>
                  <w:gridSpan w:val="2"/>
                  <w:tcBorders>
                    <w:top w:val="single" w:color="auto" w:sz="8" w:space="0"/>
                    <w:left w:val="single" w:color="auto" w:sz="4" w:space="0"/>
                    <w:bottom w:val="single" w:color="auto" w:sz="4" w:space="0"/>
                    <w:right w:val="nil"/>
                  </w:tcBorders>
                  <w:vAlign w:val="center"/>
                </w:tcPr>
                <w:p w14:paraId="7777215B">
                  <w:pPr>
                    <w:keepNext w:val="0"/>
                    <w:keepLines w:val="0"/>
                    <w:suppressLineNumbers w:val="0"/>
                    <w:spacing w:before="0" w:beforeAutospacing="0" w:after="0" w:afterAutospacing="0" w:line="240" w:lineRule="auto"/>
                    <w:ind w:left="0" w:right="0"/>
                    <w:jc w:val="center"/>
                    <w:rPr>
                      <w:rFonts w:hint="default" w:eastAsia="宋体"/>
                      <w:b/>
                      <w:bCs w:val="0"/>
                      <w:sz w:val="21"/>
                      <w:szCs w:val="21"/>
                      <w:highlight w:val="none"/>
                      <w:vertAlign w:val="baseline"/>
                      <w:lang w:val="en-US" w:eastAsia="zh-CN"/>
                    </w:rPr>
                  </w:pPr>
                  <w:r>
                    <w:rPr>
                      <w:rFonts w:hint="default"/>
                      <w:b/>
                      <w:bCs w:val="0"/>
                      <w:kern w:val="0"/>
                      <w:sz w:val="21"/>
                      <w:szCs w:val="21"/>
                      <w:highlight w:val="none"/>
                    </w:rPr>
                    <w:t>建筑物外噪声</w:t>
                  </w:r>
                </w:p>
              </w:tc>
            </w:tr>
            <w:tr w14:paraId="24AD853A">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vMerge w:val="continue"/>
                  <w:tcBorders>
                    <w:top w:val="single" w:color="auto" w:sz="4" w:space="0"/>
                    <w:bottom w:val="single" w:color="auto" w:sz="8" w:space="0"/>
                    <w:right w:val="single" w:color="auto" w:sz="4" w:space="0"/>
                  </w:tcBorders>
                  <w:vAlign w:val="center"/>
                </w:tcPr>
                <w:p w14:paraId="771F0BCB">
                  <w:pPr>
                    <w:keepNext w:val="0"/>
                    <w:keepLines w:val="0"/>
                    <w:suppressLineNumbers w:val="0"/>
                    <w:spacing w:before="0" w:beforeAutospacing="0" w:after="0" w:afterAutospacing="0" w:line="240" w:lineRule="auto"/>
                    <w:ind w:left="0" w:right="0"/>
                    <w:jc w:val="center"/>
                    <w:rPr>
                      <w:rFonts w:hint="default"/>
                      <w:b/>
                      <w:bCs w:val="0"/>
                      <w:kern w:val="0"/>
                      <w:sz w:val="21"/>
                      <w:szCs w:val="21"/>
                    </w:rPr>
                  </w:pPr>
                </w:p>
              </w:tc>
              <w:tc>
                <w:tcPr>
                  <w:tcW w:w="1102" w:type="dxa"/>
                  <w:vMerge w:val="continue"/>
                  <w:tcBorders>
                    <w:top w:val="single" w:color="auto" w:sz="4" w:space="0"/>
                    <w:left w:val="single" w:color="auto" w:sz="4" w:space="0"/>
                    <w:bottom w:val="single" w:color="auto" w:sz="8" w:space="0"/>
                    <w:right w:val="single" w:color="auto" w:sz="4" w:space="0"/>
                  </w:tcBorders>
                  <w:vAlign w:val="center"/>
                </w:tcPr>
                <w:p w14:paraId="1AE4BA24">
                  <w:pPr>
                    <w:keepNext w:val="0"/>
                    <w:keepLines w:val="0"/>
                    <w:suppressLineNumbers w:val="0"/>
                    <w:spacing w:before="0" w:beforeAutospacing="0" w:after="0" w:afterAutospacing="0" w:line="240" w:lineRule="auto"/>
                    <w:ind w:left="0" w:right="0"/>
                    <w:jc w:val="center"/>
                    <w:rPr>
                      <w:rFonts w:hint="default"/>
                      <w:b/>
                      <w:bCs w:val="0"/>
                      <w:kern w:val="0"/>
                      <w:sz w:val="21"/>
                      <w:szCs w:val="21"/>
                    </w:rPr>
                  </w:pPr>
                </w:p>
              </w:tc>
              <w:tc>
                <w:tcPr>
                  <w:tcW w:w="1302" w:type="dxa"/>
                  <w:vMerge w:val="continue"/>
                  <w:tcBorders>
                    <w:top w:val="single" w:color="auto" w:sz="4" w:space="0"/>
                    <w:left w:val="single" w:color="auto" w:sz="4" w:space="0"/>
                    <w:bottom w:val="single" w:color="auto" w:sz="8" w:space="0"/>
                    <w:right w:val="single" w:color="auto" w:sz="4" w:space="0"/>
                  </w:tcBorders>
                  <w:vAlign w:val="center"/>
                </w:tcPr>
                <w:p w14:paraId="01AD8A30">
                  <w:pPr>
                    <w:keepNext w:val="0"/>
                    <w:keepLines w:val="0"/>
                    <w:suppressLineNumbers w:val="0"/>
                    <w:spacing w:before="0" w:beforeAutospacing="0" w:after="0" w:afterAutospacing="0" w:line="240" w:lineRule="auto"/>
                    <w:ind w:left="0" w:right="0"/>
                    <w:jc w:val="center"/>
                    <w:rPr>
                      <w:rFonts w:hint="default"/>
                      <w:b/>
                      <w:bCs w:val="0"/>
                      <w:kern w:val="0"/>
                      <w:sz w:val="21"/>
                      <w:szCs w:val="21"/>
                    </w:rPr>
                  </w:pPr>
                </w:p>
              </w:tc>
              <w:tc>
                <w:tcPr>
                  <w:tcW w:w="1432" w:type="dxa"/>
                  <w:vMerge w:val="continue"/>
                  <w:tcBorders>
                    <w:top w:val="single" w:color="auto" w:sz="4" w:space="0"/>
                    <w:left w:val="single" w:color="auto" w:sz="4" w:space="0"/>
                    <w:bottom w:val="single" w:color="auto" w:sz="8" w:space="0"/>
                    <w:right w:val="single" w:color="auto" w:sz="4" w:space="0"/>
                  </w:tcBorders>
                  <w:vAlign w:val="center"/>
                </w:tcPr>
                <w:p w14:paraId="1F8BD515">
                  <w:pPr>
                    <w:keepNext w:val="0"/>
                    <w:keepLines w:val="0"/>
                    <w:suppressLineNumbers w:val="0"/>
                    <w:spacing w:before="0" w:beforeAutospacing="0" w:after="0" w:afterAutospacing="0" w:line="240" w:lineRule="auto"/>
                    <w:ind w:left="0" w:right="0"/>
                    <w:jc w:val="center"/>
                    <w:rPr>
                      <w:rFonts w:hint="default"/>
                      <w:b/>
                      <w:bCs w:val="0"/>
                      <w:kern w:val="0"/>
                      <w:sz w:val="21"/>
                      <w:szCs w:val="21"/>
                      <w:highlight w:val="none"/>
                    </w:rPr>
                  </w:pPr>
                </w:p>
              </w:tc>
              <w:tc>
                <w:tcPr>
                  <w:tcW w:w="1873" w:type="dxa"/>
                  <w:tcBorders>
                    <w:top w:val="single" w:color="auto" w:sz="4" w:space="0"/>
                    <w:left w:val="single" w:color="auto" w:sz="4" w:space="0"/>
                    <w:bottom w:val="single" w:color="auto" w:sz="8" w:space="0"/>
                    <w:right w:val="single" w:color="auto" w:sz="4" w:space="0"/>
                  </w:tcBorders>
                  <w:vAlign w:val="center"/>
                </w:tcPr>
                <w:p w14:paraId="3B1F1D23">
                  <w:pPr>
                    <w:keepNext w:val="0"/>
                    <w:keepLines w:val="0"/>
                    <w:suppressLineNumbers w:val="0"/>
                    <w:spacing w:before="0" w:beforeAutospacing="0" w:after="0" w:afterAutospacing="0" w:line="240" w:lineRule="auto"/>
                    <w:ind w:left="0" w:right="0"/>
                    <w:jc w:val="center"/>
                    <w:rPr>
                      <w:rFonts w:hint="default"/>
                      <w:b/>
                      <w:bCs w:val="0"/>
                      <w:kern w:val="0"/>
                      <w:sz w:val="21"/>
                      <w:szCs w:val="21"/>
                      <w:highlight w:val="none"/>
                      <w:lang w:val="en-US" w:eastAsia="zh-CN"/>
                    </w:rPr>
                  </w:pPr>
                  <w:r>
                    <w:rPr>
                      <w:rFonts w:hint="eastAsia"/>
                      <w:b/>
                      <w:bCs w:val="0"/>
                      <w:kern w:val="0"/>
                      <w:sz w:val="21"/>
                      <w:szCs w:val="21"/>
                      <w:highlight w:val="none"/>
                      <w:lang w:val="en-US" w:eastAsia="zh-CN"/>
                    </w:rPr>
                    <w:t>声功率级</w:t>
                  </w:r>
                  <w:r>
                    <w:rPr>
                      <w:rFonts w:hint="default"/>
                      <w:b/>
                      <w:bCs w:val="0"/>
                      <w:kern w:val="0"/>
                      <w:sz w:val="21"/>
                      <w:szCs w:val="21"/>
                      <w:highlight w:val="none"/>
                    </w:rPr>
                    <w:t>/dB（A）</w:t>
                  </w:r>
                </w:p>
              </w:tc>
              <w:tc>
                <w:tcPr>
                  <w:tcW w:w="1774" w:type="dxa"/>
                  <w:tcBorders>
                    <w:top w:val="single" w:color="auto" w:sz="4" w:space="0"/>
                    <w:left w:val="single" w:color="auto" w:sz="4" w:space="0"/>
                    <w:bottom w:val="single" w:color="auto" w:sz="8" w:space="0"/>
                    <w:right w:val="nil"/>
                  </w:tcBorders>
                  <w:vAlign w:val="center"/>
                </w:tcPr>
                <w:p w14:paraId="4D18133B">
                  <w:pPr>
                    <w:keepNext w:val="0"/>
                    <w:keepLines w:val="0"/>
                    <w:suppressLineNumbers w:val="0"/>
                    <w:spacing w:before="0" w:beforeAutospacing="0" w:after="0" w:afterAutospacing="0" w:line="240" w:lineRule="auto"/>
                    <w:ind w:left="0" w:right="0"/>
                    <w:jc w:val="center"/>
                    <w:rPr>
                      <w:rFonts w:hint="eastAsia"/>
                      <w:b/>
                      <w:bCs w:val="0"/>
                      <w:kern w:val="0"/>
                      <w:sz w:val="21"/>
                      <w:szCs w:val="21"/>
                      <w:highlight w:val="none"/>
                      <w:lang w:val="en-US" w:eastAsia="zh-CN"/>
                    </w:rPr>
                  </w:pPr>
                  <w:r>
                    <w:rPr>
                      <w:rFonts w:hint="default" w:ascii="Times New Roman" w:hAnsi="Times New Roman" w:cs="Times New Roman"/>
                      <w:b/>
                      <w:bCs w:val="0"/>
                      <w:color w:val="auto"/>
                      <w:kern w:val="2"/>
                      <w:sz w:val="21"/>
                      <w:szCs w:val="21"/>
                      <w:highlight w:val="none"/>
                    </w:rPr>
                    <w:t>建筑物外距离/m</w:t>
                  </w:r>
                </w:p>
              </w:tc>
            </w:tr>
            <w:tr w14:paraId="75BC0310">
              <w:tblPrEx>
                <w:tblBorders>
                  <w:top w:val="single" w:color="auto" w:sz="4" w:space="0"/>
                  <w:left w:val="none" w:color="auto" w:sz="0"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6" w:type="dxa"/>
                  <w:tcBorders>
                    <w:top w:val="single" w:color="auto" w:sz="8" w:space="0"/>
                    <w:left w:val="nil"/>
                    <w:bottom w:val="single" w:color="auto" w:sz="8" w:space="0"/>
                    <w:right w:val="single" w:color="auto" w:sz="4" w:space="0"/>
                  </w:tcBorders>
                  <w:vAlign w:val="center"/>
                </w:tcPr>
                <w:p w14:paraId="087ADC6F">
                  <w:pPr>
                    <w:keepNext w:val="0"/>
                    <w:keepLines w:val="0"/>
                    <w:suppressLineNumbers w:val="0"/>
                    <w:spacing w:before="0" w:beforeAutospacing="0" w:after="0" w:afterAutospacing="0" w:line="240" w:lineRule="auto"/>
                    <w:ind w:left="0" w:right="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生产车间</w:t>
                  </w:r>
                </w:p>
              </w:tc>
              <w:tc>
                <w:tcPr>
                  <w:tcW w:w="1102" w:type="dxa"/>
                  <w:tcBorders>
                    <w:top w:val="single" w:color="auto" w:sz="8" w:space="0"/>
                    <w:left w:val="single" w:color="auto" w:sz="4" w:space="0"/>
                    <w:bottom w:val="single" w:color="auto" w:sz="8" w:space="0"/>
                    <w:right w:val="single" w:color="auto" w:sz="4" w:space="0"/>
                  </w:tcBorders>
                  <w:vAlign w:val="center"/>
                </w:tcPr>
                <w:p w14:paraId="0DB5589F">
                  <w:pPr>
                    <w:keepNext w:val="0"/>
                    <w:keepLines w:val="0"/>
                    <w:suppressLineNumbers w:val="0"/>
                    <w:spacing w:before="0" w:beforeAutospacing="0" w:after="0" w:afterAutospacing="0" w:line="240" w:lineRule="auto"/>
                    <w:ind w:left="0" w:right="0"/>
                    <w:jc w:val="center"/>
                    <w:rPr>
                      <w:rFonts w:hint="default"/>
                      <w:b w:val="0"/>
                      <w:bCs w:val="0"/>
                      <w:sz w:val="21"/>
                      <w:szCs w:val="21"/>
                      <w:vertAlign w:val="baseline"/>
                      <w:lang w:val="en-US" w:eastAsia="zh-CN"/>
                    </w:rPr>
                  </w:pPr>
                  <w:r>
                    <w:rPr>
                      <w:rFonts w:hint="eastAsia"/>
                      <w:b w:val="0"/>
                      <w:bCs w:val="0"/>
                      <w:sz w:val="21"/>
                      <w:szCs w:val="21"/>
                      <w:vertAlign w:val="baseline"/>
                      <w:lang w:val="en-US" w:eastAsia="zh-CN"/>
                    </w:rPr>
                    <w:t>68.3</w:t>
                  </w:r>
                </w:p>
              </w:tc>
              <w:tc>
                <w:tcPr>
                  <w:tcW w:w="1302" w:type="dxa"/>
                  <w:tcBorders>
                    <w:top w:val="single" w:color="auto" w:sz="8" w:space="0"/>
                    <w:left w:val="single" w:color="auto" w:sz="4" w:space="0"/>
                    <w:bottom w:val="single" w:color="auto" w:sz="8" w:space="0"/>
                    <w:right w:val="single" w:color="auto" w:sz="4" w:space="0"/>
                  </w:tcBorders>
                  <w:vAlign w:val="center"/>
                </w:tcPr>
                <w:p w14:paraId="5552AEBB">
                  <w:pPr>
                    <w:keepNext w:val="0"/>
                    <w:keepLines w:val="0"/>
                    <w:suppressLineNumbers w:val="0"/>
                    <w:spacing w:before="0" w:beforeAutospacing="0" w:after="0" w:afterAutospacing="0" w:line="240" w:lineRule="auto"/>
                    <w:ind w:left="0" w:right="0"/>
                    <w:jc w:val="center"/>
                    <w:rPr>
                      <w:rFonts w:hint="default" w:eastAsia="宋体"/>
                      <w:b w:val="0"/>
                      <w:bCs w:val="0"/>
                      <w:sz w:val="21"/>
                      <w:szCs w:val="21"/>
                      <w:vertAlign w:val="baseline"/>
                      <w:lang w:val="en-US" w:eastAsia="zh-CN"/>
                    </w:rPr>
                  </w:pPr>
                  <w:r>
                    <w:rPr>
                      <w:rFonts w:hint="eastAsia"/>
                      <w:b w:val="0"/>
                      <w:bCs w:val="0"/>
                      <w:sz w:val="21"/>
                      <w:szCs w:val="21"/>
                      <w:vertAlign w:val="baseline"/>
                      <w:lang w:val="en-US" w:eastAsia="zh-CN"/>
                    </w:rPr>
                    <w:t>8:00—24:00</w:t>
                  </w:r>
                </w:p>
              </w:tc>
              <w:tc>
                <w:tcPr>
                  <w:tcW w:w="1432" w:type="dxa"/>
                  <w:tcBorders>
                    <w:top w:val="single" w:color="auto" w:sz="8" w:space="0"/>
                    <w:left w:val="single" w:color="auto" w:sz="4" w:space="0"/>
                    <w:bottom w:val="single" w:color="auto" w:sz="8" w:space="0"/>
                    <w:right w:val="single" w:color="auto" w:sz="4" w:space="0"/>
                  </w:tcBorders>
                  <w:vAlign w:val="center"/>
                </w:tcPr>
                <w:p w14:paraId="7F764B78">
                  <w:pPr>
                    <w:keepNext w:val="0"/>
                    <w:keepLines w:val="0"/>
                    <w:suppressLineNumbers w:val="0"/>
                    <w:spacing w:before="0" w:beforeAutospacing="0" w:after="0" w:afterAutospacing="0" w:line="240" w:lineRule="auto"/>
                    <w:ind w:left="0" w:right="0"/>
                    <w:jc w:val="center"/>
                    <w:rPr>
                      <w:rFonts w:hint="default" w:eastAsia="宋体"/>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21</w:t>
                  </w:r>
                </w:p>
              </w:tc>
              <w:tc>
                <w:tcPr>
                  <w:tcW w:w="1873" w:type="dxa"/>
                  <w:tcBorders>
                    <w:top w:val="single" w:color="auto" w:sz="8" w:space="0"/>
                    <w:left w:val="single" w:color="auto" w:sz="4" w:space="0"/>
                    <w:bottom w:val="single" w:color="auto" w:sz="8" w:space="0"/>
                    <w:right w:val="single" w:color="auto" w:sz="4" w:space="0"/>
                  </w:tcBorders>
                  <w:vAlign w:val="center"/>
                </w:tcPr>
                <w:p w14:paraId="16638AEE">
                  <w:pPr>
                    <w:keepNext w:val="0"/>
                    <w:keepLines w:val="0"/>
                    <w:suppressLineNumbers w:val="0"/>
                    <w:spacing w:before="0" w:beforeAutospacing="0" w:after="0" w:afterAutospacing="0" w:line="240" w:lineRule="auto"/>
                    <w:ind w:left="0" w:right="0"/>
                    <w:jc w:val="cente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57.3</w:t>
                  </w:r>
                </w:p>
              </w:tc>
              <w:tc>
                <w:tcPr>
                  <w:tcW w:w="1774" w:type="dxa"/>
                  <w:tcBorders>
                    <w:top w:val="single" w:color="auto" w:sz="8" w:space="0"/>
                    <w:left w:val="single" w:color="auto" w:sz="4" w:space="0"/>
                    <w:bottom w:val="single" w:color="auto" w:sz="8" w:space="0"/>
                    <w:right w:val="nil"/>
                  </w:tcBorders>
                  <w:vAlign w:val="center"/>
                </w:tcPr>
                <w:p w14:paraId="78DE3B30">
                  <w:pPr>
                    <w:keepNext w:val="0"/>
                    <w:keepLines w:val="0"/>
                    <w:suppressLineNumbers w:val="0"/>
                    <w:spacing w:before="0" w:beforeAutospacing="0" w:after="0" w:afterAutospacing="0" w:line="240" w:lineRule="auto"/>
                    <w:ind w:left="0" w:right="0"/>
                    <w:jc w:val="cente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1</w:t>
                  </w:r>
                </w:p>
              </w:tc>
            </w:tr>
          </w:tbl>
          <w:p w14:paraId="62CD353B">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b w:val="0"/>
                <w:bCs w:val="0"/>
                <w:color w:val="000000"/>
                <w:sz w:val="24"/>
                <w:lang w:val="en-US" w:eastAsia="zh-CN"/>
              </w:rPr>
            </w:pPr>
            <w:r>
              <w:rPr>
                <w:rFonts w:hint="eastAsia"/>
                <w:b w:val="0"/>
                <w:bCs w:val="0"/>
                <w:color w:val="000000"/>
                <w:sz w:val="24"/>
                <w:lang w:val="en-US" w:eastAsia="zh-CN"/>
              </w:rPr>
              <w:t>室外噪声源强见下表。</w:t>
            </w:r>
          </w:p>
          <w:p w14:paraId="6BA3C205">
            <w:pPr>
              <w:keepNext w:val="0"/>
              <w:keepLines w:val="0"/>
              <w:suppressLineNumbers w:val="0"/>
              <w:tabs>
                <w:tab w:val="left" w:pos="3620"/>
              </w:tabs>
              <w:adjustRightInd w:val="0"/>
              <w:snapToGrid w:val="0"/>
              <w:spacing w:before="0" w:beforeAutospacing="0" w:after="0" w:afterAutospacing="0" w:line="440" w:lineRule="exact"/>
              <w:ind w:left="0" w:right="0" w:firstLine="482" w:firstLineChars="200"/>
              <w:jc w:val="center"/>
              <w:rPr>
                <w:rFonts w:hint="default" w:ascii="Times New Roman" w:hAnsi="黑体" w:eastAsia="黑体" w:cs="Times New Roman"/>
                <w:color w:val="000000"/>
                <w:sz w:val="24"/>
                <w:highlight w:val="none"/>
              </w:rPr>
            </w:pPr>
            <w:r>
              <w:rPr>
                <w:rFonts w:hint="default"/>
                <w:b/>
                <w:bCs/>
                <w:color w:val="000000"/>
                <w:sz w:val="24"/>
                <w:lang w:val="en-US" w:eastAsia="zh-CN"/>
              </w:rPr>
              <w:t>表</w:t>
            </w:r>
            <w:r>
              <w:rPr>
                <w:rFonts w:hint="eastAsia"/>
                <w:b/>
                <w:bCs/>
                <w:color w:val="000000"/>
                <w:sz w:val="24"/>
                <w:lang w:val="en-US" w:eastAsia="zh-CN"/>
              </w:rPr>
              <w:t xml:space="preserve">30     </w:t>
            </w:r>
            <w:r>
              <w:rPr>
                <w:rFonts w:hint="default"/>
                <w:b/>
                <w:bCs/>
                <w:color w:val="000000"/>
                <w:sz w:val="24"/>
                <w:lang w:val="en-US" w:eastAsia="zh-CN"/>
              </w:rPr>
              <w:t>项目室外噪声源强调查清单</w:t>
            </w:r>
          </w:p>
          <w:tbl>
            <w:tblPr>
              <w:tblStyle w:val="2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5"/>
              <w:gridCol w:w="812"/>
              <w:gridCol w:w="860"/>
              <w:gridCol w:w="601"/>
              <w:gridCol w:w="926"/>
              <w:gridCol w:w="757"/>
              <w:gridCol w:w="688"/>
              <w:gridCol w:w="1185"/>
              <w:gridCol w:w="1031"/>
              <w:gridCol w:w="1251"/>
            </w:tblGrid>
            <w:tr w14:paraId="69910ED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5" w:type="dxa"/>
                  <w:vMerge w:val="restart"/>
                  <w:tcBorders>
                    <w:tl2br w:val="nil"/>
                    <w:tr2bl w:val="nil"/>
                  </w:tcBorders>
                  <w:noWrap w:val="0"/>
                  <w:vAlign w:val="center"/>
                </w:tcPr>
                <w:p w14:paraId="7C5376B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val="0"/>
                      <w:color w:val="auto"/>
                      <w:kern w:val="2"/>
                      <w:sz w:val="21"/>
                      <w:szCs w:val="21"/>
                    </w:rPr>
                  </w:pPr>
                  <w:r>
                    <w:rPr>
                      <w:rFonts w:hint="default" w:ascii="Times New Roman" w:hAnsi="Times New Roman" w:cs="Times New Roman"/>
                      <w:b/>
                      <w:bCs w:val="0"/>
                      <w:color w:val="auto"/>
                      <w:kern w:val="2"/>
                      <w:sz w:val="21"/>
                      <w:szCs w:val="21"/>
                    </w:rPr>
                    <w:t>序号</w:t>
                  </w:r>
                </w:p>
              </w:tc>
              <w:tc>
                <w:tcPr>
                  <w:tcW w:w="1672" w:type="dxa"/>
                  <w:gridSpan w:val="2"/>
                  <w:vMerge w:val="restart"/>
                  <w:tcBorders>
                    <w:tl2br w:val="nil"/>
                    <w:tr2bl w:val="nil"/>
                  </w:tcBorders>
                  <w:noWrap w:val="0"/>
                  <w:vAlign w:val="center"/>
                </w:tcPr>
                <w:p w14:paraId="353708D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val="0"/>
                      <w:color w:val="auto"/>
                      <w:kern w:val="2"/>
                      <w:sz w:val="21"/>
                      <w:szCs w:val="21"/>
                    </w:rPr>
                  </w:pPr>
                  <w:r>
                    <w:rPr>
                      <w:rFonts w:hint="default" w:ascii="Times New Roman" w:hAnsi="Times New Roman" w:cs="Times New Roman"/>
                      <w:b/>
                      <w:bCs w:val="0"/>
                      <w:color w:val="auto"/>
                      <w:kern w:val="2"/>
                      <w:sz w:val="21"/>
                      <w:szCs w:val="21"/>
                    </w:rPr>
                    <w:t>声源名称</w:t>
                  </w:r>
                </w:p>
              </w:tc>
              <w:tc>
                <w:tcPr>
                  <w:tcW w:w="601" w:type="dxa"/>
                  <w:vMerge w:val="restart"/>
                  <w:tcBorders>
                    <w:tl2br w:val="nil"/>
                    <w:tr2bl w:val="nil"/>
                  </w:tcBorders>
                  <w:noWrap w:val="0"/>
                  <w:vAlign w:val="center"/>
                </w:tcPr>
                <w:p w14:paraId="3DB2F59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val="0"/>
                      <w:color w:val="auto"/>
                      <w:kern w:val="2"/>
                      <w:sz w:val="21"/>
                      <w:szCs w:val="21"/>
                    </w:rPr>
                  </w:pPr>
                  <w:r>
                    <w:rPr>
                      <w:rFonts w:hint="default" w:ascii="Times New Roman" w:hAnsi="Times New Roman" w:cs="Times New Roman"/>
                      <w:b/>
                      <w:bCs w:val="0"/>
                      <w:color w:val="auto"/>
                      <w:kern w:val="2"/>
                      <w:sz w:val="21"/>
                      <w:szCs w:val="21"/>
                    </w:rPr>
                    <w:t>型号</w:t>
                  </w:r>
                </w:p>
              </w:tc>
              <w:tc>
                <w:tcPr>
                  <w:tcW w:w="2371" w:type="dxa"/>
                  <w:gridSpan w:val="3"/>
                  <w:tcBorders>
                    <w:tl2br w:val="nil"/>
                    <w:tr2bl w:val="nil"/>
                  </w:tcBorders>
                  <w:noWrap w:val="0"/>
                  <w:vAlign w:val="center"/>
                </w:tcPr>
                <w:p w14:paraId="0F32DC2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val="0"/>
                      <w:color w:val="auto"/>
                      <w:kern w:val="2"/>
                      <w:sz w:val="21"/>
                      <w:szCs w:val="21"/>
                    </w:rPr>
                  </w:pPr>
                  <w:r>
                    <w:rPr>
                      <w:rFonts w:hint="default" w:ascii="Times New Roman" w:hAnsi="Times New Roman" w:cs="Times New Roman"/>
                      <w:b/>
                      <w:bCs w:val="0"/>
                      <w:color w:val="auto"/>
                      <w:kern w:val="2"/>
                      <w:sz w:val="21"/>
                      <w:szCs w:val="21"/>
                    </w:rPr>
                    <w:t>空间相对位置/m</w:t>
                  </w:r>
                </w:p>
              </w:tc>
              <w:tc>
                <w:tcPr>
                  <w:tcW w:w="1185" w:type="dxa"/>
                  <w:tcBorders>
                    <w:tl2br w:val="nil"/>
                    <w:tr2bl w:val="nil"/>
                  </w:tcBorders>
                  <w:noWrap w:val="0"/>
                  <w:vAlign w:val="center"/>
                </w:tcPr>
                <w:p w14:paraId="52953DC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val="0"/>
                      <w:color w:val="auto"/>
                      <w:kern w:val="2"/>
                      <w:sz w:val="21"/>
                      <w:szCs w:val="21"/>
                    </w:rPr>
                  </w:pPr>
                  <w:r>
                    <w:rPr>
                      <w:rFonts w:hint="default" w:ascii="Times New Roman" w:hAnsi="Times New Roman" w:cs="Times New Roman"/>
                      <w:b/>
                      <w:bCs w:val="0"/>
                      <w:color w:val="auto"/>
                      <w:kern w:val="2"/>
                      <w:sz w:val="21"/>
                      <w:szCs w:val="21"/>
                    </w:rPr>
                    <w:t>声源源强</w:t>
                  </w:r>
                </w:p>
              </w:tc>
              <w:tc>
                <w:tcPr>
                  <w:tcW w:w="1031" w:type="dxa"/>
                  <w:vMerge w:val="restart"/>
                  <w:tcBorders>
                    <w:tl2br w:val="nil"/>
                    <w:tr2bl w:val="nil"/>
                  </w:tcBorders>
                  <w:noWrap w:val="0"/>
                  <w:vAlign w:val="center"/>
                </w:tcPr>
                <w:p w14:paraId="7A9785D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val="0"/>
                      <w:color w:val="auto"/>
                      <w:kern w:val="2"/>
                      <w:sz w:val="21"/>
                      <w:szCs w:val="21"/>
                    </w:rPr>
                  </w:pPr>
                  <w:r>
                    <w:rPr>
                      <w:rFonts w:hint="default" w:ascii="Times New Roman" w:hAnsi="Times New Roman" w:cs="Times New Roman"/>
                      <w:b/>
                      <w:bCs w:val="0"/>
                      <w:color w:val="auto"/>
                      <w:kern w:val="2"/>
                      <w:sz w:val="21"/>
                      <w:szCs w:val="21"/>
                    </w:rPr>
                    <w:t>声源控制措施</w:t>
                  </w:r>
                </w:p>
              </w:tc>
              <w:tc>
                <w:tcPr>
                  <w:tcW w:w="1251" w:type="dxa"/>
                  <w:vMerge w:val="restart"/>
                  <w:tcBorders>
                    <w:tl2br w:val="nil"/>
                    <w:tr2bl w:val="nil"/>
                  </w:tcBorders>
                  <w:noWrap w:val="0"/>
                  <w:vAlign w:val="center"/>
                </w:tcPr>
                <w:p w14:paraId="19B5D86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val="0"/>
                      <w:color w:val="auto"/>
                      <w:kern w:val="2"/>
                      <w:sz w:val="21"/>
                      <w:szCs w:val="21"/>
                      <w:lang w:val="en-US" w:eastAsia="zh-CN"/>
                    </w:rPr>
                  </w:pPr>
                  <w:r>
                    <w:rPr>
                      <w:rFonts w:hint="default" w:ascii="Times New Roman" w:hAnsi="Times New Roman" w:cs="Times New Roman"/>
                      <w:b/>
                      <w:bCs w:val="0"/>
                      <w:color w:val="auto"/>
                      <w:kern w:val="2"/>
                      <w:sz w:val="21"/>
                      <w:szCs w:val="21"/>
                    </w:rPr>
                    <w:t>运行</w:t>
                  </w:r>
                  <w:r>
                    <w:rPr>
                      <w:rFonts w:hint="eastAsia" w:ascii="Times New Roman" w:hAnsi="Times New Roman" w:cs="Times New Roman"/>
                      <w:b/>
                      <w:bCs w:val="0"/>
                      <w:color w:val="auto"/>
                      <w:kern w:val="2"/>
                      <w:sz w:val="21"/>
                      <w:szCs w:val="21"/>
                      <w:lang w:val="en-US" w:eastAsia="zh-CN"/>
                    </w:rPr>
                    <w:t>时间</w:t>
                  </w:r>
                  <w:r>
                    <w:rPr>
                      <w:rFonts w:hint="eastAsia" w:cs="Times New Roman"/>
                      <w:b/>
                      <w:bCs w:val="0"/>
                      <w:color w:val="auto"/>
                      <w:kern w:val="2"/>
                      <w:sz w:val="21"/>
                      <w:szCs w:val="21"/>
                      <w:lang w:val="en-US" w:eastAsia="zh-CN"/>
                    </w:rPr>
                    <w:t>h</w:t>
                  </w:r>
                  <w:r>
                    <w:rPr>
                      <w:rFonts w:hint="eastAsia" w:ascii="Times New Roman" w:hAnsi="Times New Roman" w:cs="Times New Roman"/>
                      <w:b/>
                      <w:bCs w:val="0"/>
                      <w:color w:val="auto"/>
                      <w:kern w:val="2"/>
                      <w:sz w:val="21"/>
                      <w:szCs w:val="21"/>
                      <w:lang w:val="en-US" w:eastAsia="zh-CN"/>
                    </w:rPr>
                    <w:t>/d</w:t>
                  </w:r>
                </w:p>
              </w:tc>
            </w:tr>
            <w:tr w14:paraId="4BDDB00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505" w:type="dxa"/>
                  <w:vMerge w:val="continue"/>
                  <w:tcBorders>
                    <w:bottom w:val="single" w:color="auto" w:sz="8" w:space="0"/>
                    <w:tl2br w:val="nil"/>
                    <w:tr2bl w:val="nil"/>
                  </w:tcBorders>
                  <w:noWrap w:val="0"/>
                  <w:vAlign w:val="center"/>
                </w:tcPr>
                <w:p w14:paraId="0387732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val="0"/>
                      <w:color w:val="auto"/>
                      <w:kern w:val="2"/>
                      <w:sz w:val="21"/>
                      <w:szCs w:val="21"/>
                    </w:rPr>
                  </w:pPr>
                </w:p>
              </w:tc>
              <w:tc>
                <w:tcPr>
                  <w:tcW w:w="1672" w:type="dxa"/>
                  <w:gridSpan w:val="2"/>
                  <w:vMerge w:val="continue"/>
                  <w:tcBorders>
                    <w:bottom w:val="single" w:color="auto" w:sz="8" w:space="0"/>
                    <w:tl2br w:val="nil"/>
                    <w:tr2bl w:val="nil"/>
                  </w:tcBorders>
                  <w:noWrap w:val="0"/>
                  <w:vAlign w:val="center"/>
                </w:tcPr>
                <w:p w14:paraId="7BBE25F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val="0"/>
                      <w:color w:val="auto"/>
                      <w:kern w:val="2"/>
                      <w:sz w:val="21"/>
                      <w:szCs w:val="21"/>
                    </w:rPr>
                  </w:pPr>
                </w:p>
              </w:tc>
              <w:tc>
                <w:tcPr>
                  <w:tcW w:w="601" w:type="dxa"/>
                  <w:vMerge w:val="continue"/>
                  <w:tcBorders>
                    <w:bottom w:val="single" w:color="auto" w:sz="8" w:space="0"/>
                    <w:tl2br w:val="nil"/>
                    <w:tr2bl w:val="nil"/>
                  </w:tcBorders>
                  <w:noWrap w:val="0"/>
                  <w:vAlign w:val="center"/>
                </w:tcPr>
                <w:p w14:paraId="5C00F5E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val="0"/>
                      <w:color w:val="auto"/>
                      <w:kern w:val="2"/>
                      <w:sz w:val="21"/>
                      <w:szCs w:val="21"/>
                    </w:rPr>
                  </w:pPr>
                </w:p>
              </w:tc>
              <w:tc>
                <w:tcPr>
                  <w:tcW w:w="926" w:type="dxa"/>
                  <w:tcBorders>
                    <w:bottom w:val="single" w:color="auto" w:sz="8" w:space="0"/>
                    <w:tl2br w:val="nil"/>
                    <w:tr2bl w:val="nil"/>
                  </w:tcBorders>
                  <w:noWrap w:val="0"/>
                  <w:vAlign w:val="center"/>
                </w:tcPr>
                <w:p w14:paraId="726D990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val="0"/>
                      <w:color w:val="auto"/>
                      <w:kern w:val="2"/>
                      <w:sz w:val="21"/>
                      <w:szCs w:val="21"/>
                    </w:rPr>
                  </w:pPr>
                  <w:r>
                    <w:rPr>
                      <w:rFonts w:hint="default" w:ascii="Times New Roman" w:hAnsi="Times New Roman" w:cs="Times New Roman"/>
                      <w:b/>
                      <w:bCs w:val="0"/>
                      <w:color w:val="auto"/>
                      <w:kern w:val="2"/>
                      <w:sz w:val="21"/>
                      <w:szCs w:val="21"/>
                    </w:rPr>
                    <w:t>X</w:t>
                  </w:r>
                </w:p>
              </w:tc>
              <w:tc>
                <w:tcPr>
                  <w:tcW w:w="757" w:type="dxa"/>
                  <w:tcBorders>
                    <w:bottom w:val="single" w:color="auto" w:sz="8" w:space="0"/>
                    <w:tl2br w:val="nil"/>
                    <w:tr2bl w:val="nil"/>
                  </w:tcBorders>
                  <w:noWrap w:val="0"/>
                  <w:vAlign w:val="center"/>
                </w:tcPr>
                <w:p w14:paraId="374EFB3C">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bCs w:val="0"/>
                      <w:color w:val="auto"/>
                      <w:kern w:val="2"/>
                      <w:sz w:val="21"/>
                      <w:szCs w:val="21"/>
                      <w:lang w:eastAsia="zh-CN"/>
                    </w:rPr>
                  </w:pPr>
                  <w:r>
                    <w:rPr>
                      <w:rFonts w:hint="eastAsia" w:cs="Times New Roman"/>
                      <w:b/>
                      <w:bCs w:val="0"/>
                      <w:color w:val="auto"/>
                      <w:kern w:val="2"/>
                      <w:sz w:val="21"/>
                      <w:szCs w:val="21"/>
                      <w:lang w:val="en-US" w:eastAsia="zh-CN"/>
                    </w:rPr>
                    <w:t>Y</w:t>
                  </w:r>
                </w:p>
              </w:tc>
              <w:tc>
                <w:tcPr>
                  <w:tcW w:w="688" w:type="dxa"/>
                  <w:tcBorders>
                    <w:bottom w:val="single" w:color="auto" w:sz="8" w:space="0"/>
                    <w:tl2br w:val="nil"/>
                    <w:tr2bl w:val="nil"/>
                  </w:tcBorders>
                  <w:noWrap w:val="0"/>
                  <w:vAlign w:val="center"/>
                </w:tcPr>
                <w:p w14:paraId="5106F48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b/>
                      <w:bCs w:val="0"/>
                      <w:color w:val="auto"/>
                      <w:kern w:val="2"/>
                      <w:sz w:val="21"/>
                      <w:szCs w:val="21"/>
                      <w:lang w:eastAsia="zh-CN"/>
                    </w:rPr>
                  </w:pPr>
                  <w:r>
                    <w:rPr>
                      <w:rFonts w:hint="eastAsia" w:cs="Times New Roman"/>
                      <w:b/>
                      <w:bCs w:val="0"/>
                      <w:color w:val="auto"/>
                      <w:kern w:val="2"/>
                      <w:sz w:val="21"/>
                      <w:szCs w:val="21"/>
                      <w:lang w:val="en-US" w:eastAsia="zh-CN"/>
                    </w:rPr>
                    <w:t>Z</w:t>
                  </w:r>
                </w:p>
              </w:tc>
              <w:tc>
                <w:tcPr>
                  <w:tcW w:w="1185" w:type="dxa"/>
                  <w:tcBorders>
                    <w:bottom w:val="single" w:color="auto" w:sz="8" w:space="0"/>
                    <w:tl2br w:val="nil"/>
                    <w:tr2bl w:val="nil"/>
                  </w:tcBorders>
                  <w:noWrap w:val="0"/>
                  <w:vAlign w:val="center"/>
                </w:tcPr>
                <w:p w14:paraId="421D7C1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val="0"/>
                      <w:color w:val="auto"/>
                      <w:kern w:val="2"/>
                      <w:sz w:val="21"/>
                      <w:szCs w:val="21"/>
                    </w:rPr>
                  </w:pPr>
                  <w:r>
                    <w:rPr>
                      <w:rFonts w:hint="default" w:ascii="Times New Roman" w:hAnsi="Times New Roman" w:cs="Times New Roman"/>
                      <w:b/>
                      <w:bCs w:val="0"/>
                      <w:color w:val="auto"/>
                      <w:kern w:val="2"/>
                      <w:sz w:val="21"/>
                      <w:szCs w:val="21"/>
                    </w:rPr>
                    <w:t>声功率级/dB（A）</w:t>
                  </w:r>
                </w:p>
              </w:tc>
              <w:tc>
                <w:tcPr>
                  <w:tcW w:w="1031" w:type="dxa"/>
                  <w:vMerge w:val="continue"/>
                  <w:tcBorders>
                    <w:bottom w:val="single" w:color="auto" w:sz="8" w:space="0"/>
                    <w:tl2br w:val="nil"/>
                    <w:tr2bl w:val="nil"/>
                  </w:tcBorders>
                  <w:noWrap w:val="0"/>
                  <w:vAlign w:val="center"/>
                </w:tcPr>
                <w:p w14:paraId="5DF63F4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Cs/>
                      <w:color w:val="auto"/>
                      <w:kern w:val="2"/>
                      <w:sz w:val="21"/>
                      <w:szCs w:val="21"/>
                    </w:rPr>
                  </w:pPr>
                </w:p>
              </w:tc>
              <w:tc>
                <w:tcPr>
                  <w:tcW w:w="1251" w:type="dxa"/>
                  <w:vMerge w:val="continue"/>
                  <w:tcBorders>
                    <w:bottom w:val="single" w:color="auto" w:sz="8" w:space="0"/>
                    <w:tl2br w:val="nil"/>
                    <w:tr2bl w:val="nil"/>
                  </w:tcBorders>
                  <w:noWrap w:val="0"/>
                  <w:vAlign w:val="center"/>
                </w:tcPr>
                <w:p w14:paraId="5ED5DD95">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Cs/>
                      <w:color w:val="auto"/>
                      <w:kern w:val="2"/>
                      <w:sz w:val="21"/>
                      <w:szCs w:val="21"/>
                    </w:rPr>
                  </w:pPr>
                </w:p>
              </w:tc>
            </w:tr>
            <w:tr w14:paraId="5E0B5F4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505" w:type="dxa"/>
                  <w:tcBorders>
                    <w:top w:val="single" w:color="auto" w:sz="8" w:space="0"/>
                    <w:bottom w:val="single" w:color="auto" w:sz="8" w:space="0"/>
                  </w:tcBorders>
                  <w:noWrap w:val="0"/>
                  <w:vAlign w:val="center"/>
                </w:tcPr>
                <w:p w14:paraId="1617347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kern w:val="2"/>
                      <w:sz w:val="21"/>
                      <w:szCs w:val="21"/>
                      <w:lang w:val="en-US" w:eastAsia="zh-CN"/>
                    </w:rPr>
                  </w:pPr>
                  <w:r>
                    <w:rPr>
                      <w:rFonts w:hint="default" w:ascii="Times New Roman" w:hAnsi="Times New Roman" w:cs="Times New Roman"/>
                      <w:bCs/>
                      <w:color w:val="auto"/>
                      <w:kern w:val="2"/>
                      <w:sz w:val="21"/>
                      <w:szCs w:val="21"/>
                      <w:lang w:val="en-US" w:eastAsia="zh-CN"/>
                    </w:rPr>
                    <w:t>1</w:t>
                  </w:r>
                </w:p>
              </w:tc>
              <w:tc>
                <w:tcPr>
                  <w:tcW w:w="812" w:type="dxa"/>
                  <w:tcBorders>
                    <w:top w:val="single" w:color="auto" w:sz="8" w:space="0"/>
                    <w:bottom w:val="single" w:color="auto" w:sz="8" w:space="0"/>
                  </w:tcBorders>
                  <w:noWrap w:val="0"/>
                  <w:vAlign w:val="center"/>
                </w:tcPr>
                <w:p w14:paraId="1436DA4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废气处理区</w:t>
                  </w:r>
                </w:p>
              </w:tc>
              <w:tc>
                <w:tcPr>
                  <w:tcW w:w="860" w:type="dxa"/>
                  <w:tcBorders>
                    <w:top w:val="single" w:color="auto" w:sz="8" w:space="0"/>
                    <w:bottom w:val="single" w:color="auto" w:sz="8" w:space="0"/>
                  </w:tcBorders>
                  <w:noWrap w:val="0"/>
                  <w:vAlign w:val="center"/>
                </w:tcPr>
                <w:p w14:paraId="63ACAB3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kern w:val="2"/>
                      <w:sz w:val="21"/>
                      <w:szCs w:val="21"/>
                      <w:lang w:val="en-US" w:eastAsia="zh-CN"/>
                    </w:rPr>
                  </w:pPr>
                  <w:r>
                    <w:rPr>
                      <w:rFonts w:hint="eastAsia" w:ascii="Times New Roman" w:hAnsi="Times New Roman" w:cs="Times New Roman"/>
                      <w:color w:val="auto"/>
                      <w:kern w:val="2"/>
                      <w:sz w:val="21"/>
                      <w:szCs w:val="21"/>
                      <w:lang w:val="en-US" w:eastAsia="zh-CN"/>
                    </w:rPr>
                    <w:t>DA001</w:t>
                  </w:r>
                  <w:r>
                    <w:rPr>
                      <w:rFonts w:hint="default" w:ascii="Times New Roman" w:hAnsi="Times New Roman" w:cs="Times New Roman"/>
                      <w:color w:val="auto"/>
                      <w:kern w:val="2"/>
                      <w:sz w:val="21"/>
                      <w:szCs w:val="21"/>
                    </w:rPr>
                    <w:t>风机</w:t>
                  </w:r>
                </w:p>
              </w:tc>
              <w:tc>
                <w:tcPr>
                  <w:tcW w:w="601" w:type="dxa"/>
                  <w:tcBorders>
                    <w:top w:val="single" w:color="auto" w:sz="8" w:space="0"/>
                    <w:bottom w:val="single" w:color="auto" w:sz="8" w:space="0"/>
                  </w:tcBorders>
                  <w:noWrap w:val="0"/>
                  <w:vAlign w:val="center"/>
                </w:tcPr>
                <w:p w14:paraId="57A4C06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Cs/>
                      <w:color w:val="auto"/>
                      <w:kern w:val="2"/>
                      <w:sz w:val="21"/>
                      <w:szCs w:val="21"/>
                    </w:rPr>
                  </w:pPr>
                  <w:r>
                    <w:rPr>
                      <w:rFonts w:hint="default" w:ascii="Times New Roman" w:hAnsi="Times New Roman" w:cs="Times New Roman"/>
                      <w:color w:val="auto"/>
                      <w:kern w:val="2"/>
                      <w:sz w:val="21"/>
                      <w:szCs w:val="21"/>
                    </w:rPr>
                    <w:t>/</w:t>
                  </w:r>
                </w:p>
              </w:tc>
              <w:tc>
                <w:tcPr>
                  <w:tcW w:w="926" w:type="dxa"/>
                  <w:tcBorders>
                    <w:top w:val="single" w:color="auto" w:sz="8" w:space="0"/>
                    <w:bottom w:val="single" w:color="auto" w:sz="8" w:space="0"/>
                  </w:tcBorders>
                  <w:noWrap w:val="0"/>
                  <w:vAlign w:val="center"/>
                </w:tcPr>
                <w:p w14:paraId="40349F6C">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rPr>
                  </w:pPr>
                  <w:r>
                    <w:rPr>
                      <w:rFonts w:hint="eastAsia"/>
                      <w:bCs/>
                      <w:sz w:val="21"/>
                      <w:szCs w:val="21"/>
                      <w:lang w:val="en-US" w:eastAsia="zh-CN"/>
                    </w:rPr>
                    <w:t>25</w:t>
                  </w:r>
                </w:p>
              </w:tc>
              <w:tc>
                <w:tcPr>
                  <w:tcW w:w="757" w:type="dxa"/>
                  <w:tcBorders>
                    <w:top w:val="single" w:color="auto" w:sz="8" w:space="0"/>
                    <w:bottom w:val="single" w:color="auto" w:sz="8" w:space="0"/>
                  </w:tcBorders>
                  <w:noWrap w:val="0"/>
                  <w:vAlign w:val="center"/>
                </w:tcPr>
                <w:p w14:paraId="0A603328">
                  <w:pPr>
                    <w:keepNext w:val="0"/>
                    <w:keepLines w:val="0"/>
                    <w:suppressLineNumbers w:val="0"/>
                    <w:tabs>
                      <w:tab w:val="left" w:pos="3620"/>
                    </w:tabs>
                    <w:adjustRightInd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rPr>
                  </w:pPr>
                  <w:r>
                    <w:rPr>
                      <w:rFonts w:hint="eastAsia"/>
                      <w:bCs/>
                      <w:sz w:val="21"/>
                      <w:szCs w:val="21"/>
                      <w:lang w:val="en-US" w:eastAsia="zh-CN"/>
                    </w:rPr>
                    <w:t>77</w:t>
                  </w:r>
                </w:p>
              </w:tc>
              <w:tc>
                <w:tcPr>
                  <w:tcW w:w="688" w:type="dxa"/>
                  <w:tcBorders>
                    <w:top w:val="single" w:color="auto" w:sz="8" w:space="0"/>
                    <w:bottom w:val="single" w:color="auto" w:sz="8" w:space="0"/>
                  </w:tcBorders>
                  <w:noWrap w:val="0"/>
                  <w:vAlign w:val="center"/>
                </w:tcPr>
                <w:p w14:paraId="1D83209B">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Cs/>
                      <w:color w:val="auto"/>
                      <w:kern w:val="2"/>
                      <w:sz w:val="21"/>
                      <w:szCs w:val="21"/>
                      <w:lang w:eastAsia="zh-CN"/>
                    </w:rPr>
                  </w:pPr>
                  <w:r>
                    <w:rPr>
                      <w:rFonts w:hint="eastAsia"/>
                      <w:bCs/>
                      <w:sz w:val="21"/>
                      <w:szCs w:val="21"/>
                      <w:lang w:val="en-US" w:eastAsia="zh-CN"/>
                    </w:rPr>
                    <w:t>1.2</w:t>
                  </w:r>
                </w:p>
              </w:tc>
              <w:tc>
                <w:tcPr>
                  <w:tcW w:w="1185" w:type="dxa"/>
                  <w:tcBorders>
                    <w:top w:val="single" w:color="auto" w:sz="8" w:space="0"/>
                    <w:bottom w:val="single" w:color="auto" w:sz="8" w:space="0"/>
                  </w:tcBorders>
                  <w:noWrap w:val="0"/>
                  <w:vAlign w:val="center"/>
                </w:tcPr>
                <w:p w14:paraId="01DFB6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80</w:t>
                  </w:r>
                </w:p>
              </w:tc>
              <w:tc>
                <w:tcPr>
                  <w:tcW w:w="1031" w:type="dxa"/>
                  <w:tcBorders>
                    <w:top w:val="single" w:color="auto" w:sz="8" w:space="0"/>
                    <w:bottom w:val="single" w:color="auto" w:sz="8" w:space="0"/>
                  </w:tcBorders>
                  <w:noWrap w:val="0"/>
                  <w:vAlign w:val="center"/>
                </w:tcPr>
                <w:p w14:paraId="2C04278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Cs/>
                      <w:color w:val="auto"/>
                      <w:kern w:val="2"/>
                      <w:sz w:val="21"/>
                      <w:szCs w:val="21"/>
                    </w:rPr>
                  </w:pPr>
                  <w:r>
                    <w:rPr>
                      <w:rFonts w:hint="default" w:ascii="Times New Roman" w:hAnsi="Times New Roman" w:cs="Times New Roman"/>
                      <w:bCs/>
                      <w:color w:val="auto"/>
                      <w:kern w:val="2"/>
                      <w:sz w:val="21"/>
                      <w:szCs w:val="21"/>
                    </w:rPr>
                    <w:t>基础减振、消声</w:t>
                  </w:r>
                </w:p>
              </w:tc>
              <w:tc>
                <w:tcPr>
                  <w:tcW w:w="1251" w:type="dxa"/>
                  <w:tcBorders>
                    <w:top w:val="single" w:color="auto" w:sz="8" w:space="0"/>
                    <w:bottom w:val="single" w:color="auto" w:sz="8" w:space="0"/>
                  </w:tcBorders>
                  <w:noWrap w:val="0"/>
                  <w:vAlign w:val="center"/>
                </w:tcPr>
                <w:p w14:paraId="63325AA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eastAsia" w:cs="Times New Roman"/>
                      <w:color w:val="auto"/>
                      <w:kern w:val="2"/>
                      <w:sz w:val="21"/>
                      <w:szCs w:val="21"/>
                      <w:lang w:val="en-US" w:eastAsia="zh-CN"/>
                    </w:rPr>
                    <w:t>16</w:t>
                  </w:r>
                </w:p>
              </w:tc>
            </w:tr>
          </w:tbl>
          <w:p w14:paraId="713145F4">
            <w:pPr>
              <w:keepNext w:val="0"/>
              <w:keepLines w:val="0"/>
              <w:suppressLineNumbers w:val="0"/>
              <w:spacing w:before="0" w:beforeAutospacing="0" w:after="0" w:afterAutospacing="0" w:line="440" w:lineRule="exact"/>
              <w:ind w:left="0" w:right="0" w:firstLine="480" w:firstLineChars="200"/>
              <w:rPr>
                <w:rFonts w:hint="default"/>
                <w:sz w:val="24"/>
                <w:highlight w:val="none"/>
              </w:rPr>
            </w:pPr>
            <w:r>
              <w:rPr>
                <w:rFonts w:hint="default"/>
                <w:sz w:val="24"/>
                <w:highlight w:val="none"/>
              </w:rPr>
              <w:t>根据本项目主要高噪声设备的分布状况和房间外源强，</w:t>
            </w:r>
            <w:r>
              <w:rPr>
                <w:rFonts w:hint="eastAsia"/>
                <w:sz w:val="24"/>
                <w:highlight w:val="none"/>
              </w:rPr>
              <w:t>根据导则中</w:t>
            </w:r>
            <w:r>
              <w:rPr>
                <w:rFonts w:hint="default"/>
                <w:sz w:val="24"/>
                <w:highlight w:val="none"/>
              </w:rPr>
              <w:t>噪声预测模型</w:t>
            </w:r>
            <w:r>
              <w:rPr>
                <w:rFonts w:hint="eastAsia"/>
                <w:sz w:val="24"/>
                <w:highlight w:val="none"/>
              </w:rPr>
              <w:t>，</w:t>
            </w:r>
            <w:r>
              <w:rPr>
                <w:rFonts w:hint="default"/>
                <w:sz w:val="24"/>
                <w:highlight w:val="none"/>
              </w:rPr>
              <w:t>计算出各声源对</w:t>
            </w:r>
            <w:r>
              <w:rPr>
                <w:rFonts w:hint="eastAsia"/>
                <w:sz w:val="24"/>
                <w:highlight w:val="none"/>
              </w:rPr>
              <w:t>厂界的噪声</w:t>
            </w:r>
            <w:r>
              <w:rPr>
                <w:rFonts w:hint="default"/>
                <w:sz w:val="24"/>
                <w:highlight w:val="none"/>
              </w:rPr>
              <w:t>贡献值</w:t>
            </w:r>
            <w:r>
              <w:rPr>
                <w:rFonts w:hint="eastAsia"/>
                <w:sz w:val="24"/>
                <w:highlight w:val="none"/>
              </w:rPr>
              <w:t>。</w:t>
            </w:r>
          </w:p>
          <w:p w14:paraId="4A08F5C1">
            <w:pPr>
              <w:keepNext w:val="0"/>
              <w:keepLines w:val="0"/>
              <w:suppressLineNumbers w:val="0"/>
              <w:spacing w:before="0" w:beforeAutospacing="0" w:after="0" w:afterAutospacing="0" w:line="440" w:lineRule="exact"/>
              <w:ind w:left="0" w:right="0" w:firstLine="480" w:firstLineChars="200"/>
              <w:rPr>
                <w:rFonts w:hint="default"/>
                <w:sz w:val="24"/>
                <w:highlight w:val="none"/>
              </w:rPr>
            </w:pPr>
            <w:r>
              <w:rPr>
                <w:rFonts w:hint="eastAsia"/>
                <w:sz w:val="24"/>
                <w:highlight w:val="none"/>
              </w:rPr>
              <w:t>点声源</w:t>
            </w:r>
            <w:r>
              <w:rPr>
                <w:rFonts w:hint="default"/>
                <w:sz w:val="24"/>
                <w:highlight w:val="none"/>
              </w:rPr>
              <w:t>的</w:t>
            </w:r>
            <w:r>
              <w:rPr>
                <w:rFonts w:hint="eastAsia"/>
                <w:sz w:val="24"/>
                <w:highlight w:val="none"/>
              </w:rPr>
              <w:t>几何</w:t>
            </w:r>
            <w:r>
              <w:rPr>
                <w:rFonts w:hint="default"/>
                <w:sz w:val="24"/>
                <w:highlight w:val="none"/>
              </w:rPr>
              <w:t>发散衰减的</w:t>
            </w:r>
            <w:r>
              <w:rPr>
                <w:rFonts w:hint="eastAsia"/>
                <w:sz w:val="24"/>
                <w:highlight w:val="none"/>
              </w:rPr>
              <w:t>基本公式</w:t>
            </w:r>
            <w:r>
              <w:rPr>
                <w:rFonts w:hint="default"/>
                <w:sz w:val="24"/>
                <w:highlight w:val="none"/>
              </w:rPr>
              <w:t>如下：</w:t>
            </w:r>
          </w:p>
          <w:p w14:paraId="7EE97801">
            <w:pPr>
              <w:keepNext w:val="0"/>
              <w:keepLines w:val="0"/>
              <w:suppressLineNumbers w:val="0"/>
              <w:spacing w:before="0" w:beforeAutospacing="0" w:after="0" w:afterAutospacing="0" w:line="440" w:lineRule="exact"/>
              <w:ind w:left="0" w:right="0"/>
              <w:jc w:val="center"/>
              <w:rPr>
                <w:rFonts w:hint="default"/>
                <w:sz w:val="24"/>
                <w:highlight w:val="none"/>
              </w:rPr>
            </w:pPr>
            <w:r>
              <w:rPr>
                <w:rFonts w:hint="default"/>
                <w:sz w:val="24"/>
                <w:highlight w:val="none"/>
              </w:rPr>
              <w:t>Lp（</w:t>
            </w:r>
            <w:r>
              <w:rPr>
                <w:rFonts w:hint="eastAsia"/>
                <w:sz w:val="24"/>
                <w:highlight w:val="none"/>
              </w:rPr>
              <w:t>r</w:t>
            </w:r>
            <w:r>
              <w:rPr>
                <w:rFonts w:hint="default"/>
                <w:sz w:val="24"/>
                <w:highlight w:val="none"/>
              </w:rPr>
              <w:t>）</w:t>
            </w:r>
            <w:r>
              <w:rPr>
                <w:rFonts w:hint="eastAsia"/>
                <w:sz w:val="24"/>
                <w:highlight w:val="none"/>
              </w:rPr>
              <w:t>=</w:t>
            </w:r>
            <w:r>
              <w:rPr>
                <w:rFonts w:hint="default"/>
                <w:sz w:val="24"/>
                <w:highlight w:val="none"/>
              </w:rPr>
              <w:t>L</w:t>
            </w:r>
            <w:r>
              <w:rPr>
                <w:rFonts w:hint="eastAsia"/>
                <w:sz w:val="24"/>
                <w:highlight w:val="none"/>
              </w:rPr>
              <w:t>w-20</w:t>
            </w:r>
            <w:r>
              <w:rPr>
                <w:rFonts w:hint="default"/>
                <w:sz w:val="24"/>
                <w:highlight w:val="none"/>
              </w:rPr>
              <w:t>lg</w:t>
            </w:r>
            <w:r>
              <w:rPr>
                <w:rFonts w:hint="eastAsia"/>
                <w:sz w:val="24"/>
                <w:highlight w:val="none"/>
              </w:rPr>
              <w:t>r-8</w:t>
            </w:r>
          </w:p>
          <w:p w14:paraId="76943D08">
            <w:pPr>
              <w:keepNext w:val="0"/>
              <w:keepLines w:val="0"/>
              <w:suppressLineNumbers w:val="0"/>
              <w:spacing w:before="0" w:beforeAutospacing="0" w:after="0" w:afterAutospacing="0" w:line="440" w:lineRule="exact"/>
              <w:ind w:left="0" w:right="0"/>
              <w:rPr>
                <w:rFonts w:hint="default"/>
                <w:sz w:val="24"/>
                <w:highlight w:val="none"/>
              </w:rPr>
            </w:pPr>
            <w:r>
              <w:rPr>
                <w:rFonts w:hint="eastAsia"/>
                <w:sz w:val="24"/>
                <w:highlight w:val="none"/>
              </w:rPr>
              <w:t>式中</w:t>
            </w:r>
            <w:r>
              <w:rPr>
                <w:rFonts w:hint="default"/>
                <w:sz w:val="24"/>
                <w:highlight w:val="none"/>
              </w:rPr>
              <w:t>：Lp（</w:t>
            </w:r>
            <w:r>
              <w:rPr>
                <w:rFonts w:hint="eastAsia"/>
                <w:sz w:val="24"/>
                <w:highlight w:val="none"/>
              </w:rPr>
              <w:t>r</w:t>
            </w:r>
            <w:r>
              <w:rPr>
                <w:rFonts w:hint="default"/>
                <w:sz w:val="24"/>
                <w:highlight w:val="none"/>
              </w:rPr>
              <w:t>）</w:t>
            </w:r>
            <w:r>
              <w:rPr>
                <w:rFonts w:hint="eastAsia"/>
                <w:sz w:val="24"/>
                <w:highlight w:val="none"/>
                <w:lang w:eastAsia="zh-CN"/>
              </w:rPr>
              <w:t>—</w:t>
            </w:r>
            <w:r>
              <w:rPr>
                <w:rFonts w:hint="eastAsia"/>
                <w:sz w:val="24"/>
                <w:highlight w:val="none"/>
              </w:rPr>
              <w:t>预测点处声压级，dB；</w:t>
            </w:r>
          </w:p>
          <w:p w14:paraId="6AF95102">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L</w:t>
            </w:r>
            <w:r>
              <w:rPr>
                <w:rFonts w:hint="eastAsia"/>
                <w:sz w:val="24"/>
                <w:highlight w:val="none"/>
              </w:rPr>
              <w:t>w—由点声源产生的倍频带声功率级，dB；</w:t>
            </w:r>
          </w:p>
          <w:p w14:paraId="05DD6B99">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r—</w:t>
            </w:r>
            <w:r>
              <w:rPr>
                <w:rFonts w:hint="eastAsia"/>
                <w:sz w:val="24"/>
                <w:highlight w:val="none"/>
              </w:rPr>
              <w:t>预测点距声源的距离，</w:t>
            </w:r>
            <w:r>
              <w:rPr>
                <w:rFonts w:hint="default"/>
                <w:sz w:val="24"/>
                <w:highlight w:val="none"/>
              </w:rPr>
              <w:t>m；</w:t>
            </w:r>
          </w:p>
          <w:p w14:paraId="52AF2DD2">
            <w:pPr>
              <w:keepNext w:val="0"/>
              <w:keepLines w:val="0"/>
              <w:suppressLineNumbers w:val="0"/>
              <w:spacing w:before="0" w:beforeAutospacing="0" w:after="0" w:afterAutospacing="0" w:line="440" w:lineRule="exact"/>
              <w:ind w:left="0" w:right="0" w:firstLine="480" w:firstLineChars="200"/>
              <w:rPr>
                <w:rFonts w:hint="eastAsia"/>
                <w:sz w:val="24"/>
                <w:highlight w:val="none"/>
                <w:lang w:eastAsia="zh-CN"/>
              </w:rPr>
            </w:pPr>
            <w:r>
              <w:rPr>
                <w:rFonts w:hint="eastAsia"/>
                <w:sz w:val="24"/>
                <w:highlight w:val="none"/>
              </w:rPr>
              <w:t>本项目</w:t>
            </w:r>
            <w:r>
              <w:rPr>
                <w:rFonts w:hint="default"/>
                <w:sz w:val="24"/>
                <w:highlight w:val="none"/>
              </w:rPr>
              <w:t>声源在预测点产生的贡献值（Leqg）计算公式</w:t>
            </w:r>
            <w:r>
              <w:rPr>
                <w:rFonts w:hint="eastAsia"/>
                <w:sz w:val="24"/>
                <w:highlight w:val="none"/>
                <w:lang w:eastAsia="zh-CN"/>
              </w:rPr>
              <w:t>：</w:t>
            </w:r>
          </w:p>
          <w:p w14:paraId="4933F60F">
            <w:pPr>
              <w:keepNext w:val="0"/>
              <w:keepLines w:val="0"/>
              <w:suppressLineNumbers w:val="0"/>
              <w:spacing w:before="0" w:beforeAutospacing="0" w:after="0" w:afterAutospacing="0" w:line="360" w:lineRule="auto"/>
              <w:ind w:left="0" w:right="0"/>
              <w:jc w:val="center"/>
              <w:rPr>
                <w:rFonts w:hint="default" w:hAnsi="Cambria Math" w:cs="Times New Roman"/>
                <w:i w:val="0"/>
                <w:color w:val="0C0C0C"/>
                <w:sz w:val="24"/>
                <w:szCs w:val="24"/>
                <w:highlight w:val="none"/>
              </w:rPr>
            </w:pPr>
            <w:r>
              <w:rPr>
                <w:rFonts w:hint="default" w:ascii="Times New Roman" w:hAnsi="Times New Roman" w:cs="Times New Roman"/>
                <w:color w:val="0C0C0C"/>
                <w:sz w:val="24"/>
                <w:szCs w:val="24"/>
                <w:highlight w:val="none"/>
              </w:rPr>
              <w:t>L</w:t>
            </w:r>
            <w:r>
              <w:rPr>
                <w:rFonts w:hint="eastAsia" w:ascii="Times New Roman" w:hAnsi="Times New Roman" w:cs="Times New Roman"/>
                <w:color w:val="0C0C0C"/>
                <w:sz w:val="24"/>
                <w:szCs w:val="24"/>
                <w:highlight w:val="none"/>
                <w:vertAlign w:val="subscript"/>
              </w:rPr>
              <w:t>eqg</w:t>
            </w:r>
            <w:r>
              <w:rPr>
                <w:rFonts w:hint="default" w:ascii="Times New Roman" w:hAnsi="Times New Roman" w:cs="Times New Roman"/>
                <w:color w:val="0C0C0C"/>
                <w:sz w:val="24"/>
                <w:szCs w:val="24"/>
                <w:highlight w:val="none"/>
              </w:rPr>
              <w:t>=10lg</w:t>
            </w:r>
            <m:oMath>
              <m:d>
                <m:dPr>
                  <m:begChr m:val="["/>
                  <m:endChr m:val="]"/>
                  <m:ctrlPr>
                    <w:rPr>
                      <w:rFonts w:hint="default" w:ascii="Cambria Math" w:hAnsi="Cambria Math" w:cs="Times New Roman"/>
                      <w:color w:val="0C0C0C"/>
                      <w:sz w:val="24"/>
                      <w:szCs w:val="24"/>
                      <w:highlight w:val="none"/>
                    </w:rPr>
                  </m:ctrlPr>
                </m:dPr>
                <m:e>
                  <m:f>
                    <m:fPr>
                      <m:ctrlPr>
                        <w:rPr>
                          <w:rFonts w:hint="default" w:ascii="Cambria Math" w:hAnsi="Cambria Math" w:cs="Times New Roman"/>
                          <w:i/>
                          <w:color w:val="0C0C0C"/>
                          <w:sz w:val="24"/>
                          <w:szCs w:val="24"/>
                          <w:highlight w:val="none"/>
                        </w:rPr>
                      </m:ctrlPr>
                    </m:fPr>
                    <m:num>
                      <m:r>
                        <m:rPr/>
                        <w:rPr>
                          <w:rFonts w:hint="default" w:ascii="Cambria Math" w:hAnsi="Cambria Math" w:cs="Times New Roman"/>
                          <w:color w:val="0C0C0C"/>
                          <w:sz w:val="24"/>
                          <w:szCs w:val="24"/>
                          <w:highlight w:val="none"/>
                        </w:rPr>
                        <m:t>1</m:t>
                      </m:r>
                      <m:ctrlPr>
                        <w:rPr>
                          <w:rFonts w:hint="default" w:ascii="Cambria Math" w:hAnsi="Cambria Math" w:cs="Times New Roman"/>
                          <w:i/>
                          <w:color w:val="0C0C0C"/>
                          <w:sz w:val="24"/>
                          <w:szCs w:val="24"/>
                          <w:highlight w:val="none"/>
                        </w:rPr>
                      </m:ctrlPr>
                    </m:num>
                    <m:den>
                      <m:r>
                        <m:rPr/>
                        <w:rPr>
                          <w:rFonts w:hint="default" w:ascii="Cambria Math" w:hAnsi="Cambria Math" w:cs="Times New Roman"/>
                          <w:color w:val="0C0C0C"/>
                          <w:sz w:val="24"/>
                          <w:szCs w:val="24"/>
                          <w:highlight w:val="none"/>
                        </w:rPr>
                        <m:t>T</m:t>
                      </m:r>
                      <m:ctrlPr>
                        <w:rPr>
                          <w:rFonts w:hint="default" w:ascii="Cambria Math" w:hAnsi="Cambria Math" w:cs="Times New Roman"/>
                          <w:i/>
                          <w:color w:val="0C0C0C"/>
                          <w:sz w:val="24"/>
                          <w:szCs w:val="24"/>
                          <w:highlight w:val="none"/>
                        </w:rPr>
                      </m:ctrlPr>
                    </m:den>
                  </m:f>
                  <m:d>
                    <m:dPr>
                      <m:begChr m:val="{"/>
                      <m:endChr m:val="}"/>
                      <m:ctrlPr>
                        <w:rPr>
                          <w:rFonts w:hint="default" w:ascii="Cambria Math" w:hAnsi="Cambria Math" w:cs="Times New Roman"/>
                          <w:i/>
                          <w:color w:val="0C0C0C"/>
                          <w:sz w:val="24"/>
                          <w:szCs w:val="24"/>
                          <w:highlight w:val="none"/>
                        </w:rPr>
                      </m:ctrlPr>
                    </m:dPr>
                    <m:e>
                      <m:limLow>
                        <m:limLowPr>
                          <m:ctrlPr>
                            <w:rPr>
                              <w:rFonts w:hint="default" w:ascii="Cambria Math" w:hAnsi="Cambria Math" w:cs="Times New Roman"/>
                              <w:color w:val="0C0C0C"/>
                              <w:sz w:val="24"/>
                              <w:szCs w:val="24"/>
                              <w:highlight w:val="none"/>
                            </w:rPr>
                          </m:ctrlPr>
                        </m:limLowPr>
                        <m:e>
                          <m:limUpp>
                            <m:limUppPr>
                              <m:ctrlPr>
                                <w:rPr>
                                  <w:rFonts w:hint="default" w:ascii="Cambria Math" w:hAnsi="Cambria Math" w:cs="Times New Roman"/>
                                  <w:i/>
                                  <w:color w:val="0C0C0C"/>
                                  <w:sz w:val="24"/>
                                  <w:szCs w:val="24"/>
                                  <w:highlight w:val="none"/>
                                </w:rPr>
                              </m:ctrlPr>
                            </m:limUppPr>
                            <m:e>
                              <m:r>
                                <m:rPr/>
                                <w:rPr>
                                  <w:rFonts w:hint="default" w:ascii="Cambria Math" w:hAnsi="Cambria Math" w:cs="Times New Roman"/>
                                  <w:color w:val="0C0C0C"/>
                                  <w:sz w:val="24"/>
                                  <w:szCs w:val="24"/>
                                  <w:highlight w:val="none"/>
                                </w:rPr>
                                <m:t>∑</m:t>
                              </m:r>
                              <m:ctrlPr>
                                <w:rPr>
                                  <w:rFonts w:hint="default" w:ascii="Cambria Math" w:hAnsi="Cambria Math" w:cs="Times New Roman"/>
                                  <w:i/>
                                  <w:color w:val="0C0C0C"/>
                                  <w:sz w:val="24"/>
                                  <w:szCs w:val="24"/>
                                  <w:highlight w:val="none"/>
                                </w:rPr>
                              </m:ctrlPr>
                            </m:e>
                            <m:lim>
                              <m:r>
                                <m:rPr/>
                                <w:rPr>
                                  <w:rFonts w:hint="default" w:ascii="Cambria Math" w:hAnsi="Cambria Math" w:cs="Times New Roman"/>
                                  <w:color w:val="0C0C0C"/>
                                  <w:sz w:val="24"/>
                                  <w:szCs w:val="24"/>
                                  <w:highlight w:val="none"/>
                                </w:rPr>
                                <m:t>N</m:t>
                              </m:r>
                              <m:ctrlPr>
                                <w:rPr>
                                  <w:rFonts w:hint="default" w:ascii="Cambria Math" w:hAnsi="Cambria Math" w:cs="Times New Roman"/>
                                  <w:i/>
                                  <w:color w:val="0C0C0C"/>
                                  <w:sz w:val="24"/>
                                  <w:szCs w:val="24"/>
                                  <w:highlight w:val="none"/>
                                </w:rPr>
                              </m:ctrlPr>
                            </m:lim>
                          </m:limUpp>
                          <m:ctrlPr>
                            <w:rPr>
                              <w:rFonts w:hint="default" w:ascii="Cambria Math" w:hAnsi="Cambria Math" w:cs="Times New Roman"/>
                              <w:i/>
                              <w:sz w:val="24"/>
                              <w:szCs w:val="24"/>
                              <w:highlight w:val="none"/>
                            </w:rPr>
                          </m:ctrlPr>
                        </m:e>
                        <m:lim>
                          <m:r>
                            <m:rPr/>
                            <w:rPr>
                              <w:rFonts w:hint="default" w:ascii="Cambria Math" w:hAnsi="Cambria Math" w:cs="Times New Roman"/>
                              <w:sz w:val="24"/>
                              <w:szCs w:val="24"/>
                              <w:highlight w:val="none"/>
                            </w:rPr>
                            <m:t>i=1</m:t>
                          </m:r>
                          <m:ctrlPr>
                            <w:rPr>
                              <w:rFonts w:hint="default" w:ascii="Cambria Math" w:hAnsi="Cambria Math" w:cs="Times New Roman"/>
                              <w:color w:val="0C0C0C"/>
                              <w:sz w:val="24"/>
                              <w:szCs w:val="24"/>
                              <w:highlight w:val="none"/>
                            </w:rPr>
                          </m:ctrlPr>
                        </m:lim>
                      </m:limLow>
                      <m:sSub>
                        <m:sSubPr>
                          <m:ctrlPr>
                            <w:rPr>
                              <w:rFonts w:hint="default" w:ascii="Cambria Math" w:hAnsi="Cambria Math" w:cs="Times New Roman"/>
                              <w:i/>
                              <w:color w:val="0C0C0C"/>
                              <w:sz w:val="24"/>
                              <w:szCs w:val="24"/>
                              <w:highlight w:val="none"/>
                            </w:rPr>
                          </m:ctrlPr>
                        </m:sSubPr>
                        <m:e>
                          <m:r>
                            <m:rPr/>
                            <w:rPr>
                              <w:rFonts w:hint="default" w:ascii="Cambria Math" w:hAnsi="Cambria Math" w:cs="Times New Roman"/>
                              <w:color w:val="0C0C0C"/>
                              <w:sz w:val="24"/>
                              <w:szCs w:val="24"/>
                              <w:highlight w:val="none"/>
                            </w:rPr>
                            <m:t>t</m:t>
                          </m:r>
                          <m:ctrlPr>
                            <w:rPr>
                              <w:rFonts w:hint="default" w:ascii="Cambria Math" w:hAnsi="Cambria Math" w:cs="Times New Roman"/>
                              <w:i/>
                              <w:color w:val="0C0C0C"/>
                              <w:sz w:val="24"/>
                              <w:szCs w:val="24"/>
                              <w:highlight w:val="none"/>
                            </w:rPr>
                          </m:ctrlPr>
                        </m:e>
                        <m:sub>
                          <m:r>
                            <m:rPr/>
                            <w:rPr>
                              <w:rFonts w:hint="default" w:ascii="Cambria Math" w:hAnsi="Cambria Math" w:cs="Times New Roman"/>
                              <w:color w:val="0C0C0C"/>
                              <w:sz w:val="24"/>
                              <w:szCs w:val="24"/>
                              <w:highlight w:val="none"/>
                            </w:rPr>
                            <m:t>i</m:t>
                          </m:r>
                          <m:ctrlPr>
                            <w:rPr>
                              <w:rFonts w:hint="default" w:ascii="Cambria Math" w:hAnsi="Cambria Math" w:cs="Times New Roman"/>
                              <w:i/>
                              <w:color w:val="0C0C0C"/>
                              <w:sz w:val="24"/>
                              <w:szCs w:val="24"/>
                              <w:highlight w:val="none"/>
                            </w:rPr>
                          </m:ctrlPr>
                        </m:sub>
                      </m:sSub>
                      <m:sSup>
                        <m:sSupPr>
                          <m:ctrlPr>
                            <w:rPr>
                              <w:rFonts w:hint="default" w:ascii="Cambria Math" w:hAnsi="Cambria Math" w:cs="Times New Roman"/>
                              <w:i/>
                              <w:color w:val="0C0C0C"/>
                              <w:sz w:val="24"/>
                              <w:szCs w:val="24"/>
                              <w:highlight w:val="none"/>
                            </w:rPr>
                          </m:ctrlPr>
                        </m:sSupPr>
                        <m:e>
                          <m:r>
                            <m:rPr/>
                            <w:rPr>
                              <w:rFonts w:hint="default" w:ascii="Cambria Math" w:hAnsi="Cambria Math" w:cs="Times New Roman"/>
                              <w:color w:val="0C0C0C"/>
                              <w:sz w:val="24"/>
                              <w:szCs w:val="24"/>
                              <w:highlight w:val="none"/>
                            </w:rPr>
                            <m:t>10</m:t>
                          </m:r>
                          <m:ctrlPr>
                            <w:rPr>
                              <w:rFonts w:hint="default" w:ascii="Cambria Math" w:hAnsi="Cambria Math" w:cs="Times New Roman"/>
                              <w:i/>
                              <w:color w:val="0C0C0C"/>
                              <w:sz w:val="24"/>
                              <w:szCs w:val="24"/>
                              <w:highlight w:val="none"/>
                            </w:rPr>
                          </m:ctrlPr>
                        </m:e>
                        <m:sup>
                          <m:sSub>
                            <m:sSubPr>
                              <m:ctrlPr>
                                <w:rPr>
                                  <w:rFonts w:hint="default" w:ascii="Cambria Math" w:hAnsi="Cambria Math" w:cs="Times New Roman"/>
                                  <w:i/>
                                  <w:color w:val="0C0C0C"/>
                                  <w:sz w:val="24"/>
                                  <w:szCs w:val="24"/>
                                  <w:highlight w:val="none"/>
                                </w:rPr>
                              </m:ctrlPr>
                            </m:sSubPr>
                            <m:e>
                              <m:r>
                                <m:rPr/>
                                <w:rPr>
                                  <w:rFonts w:hint="default" w:ascii="Cambria Math" w:hAnsi="Cambria Math" w:cs="Times New Roman"/>
                                  <w:color w:val="0C0C0C"/>
                                  <w:sz w:val="24"/>
                                  <w:szCs w:val="24"/>
                                  <w:highlight w:val="none"/>
                                </w:rPr>
                                <m:t>0.1L</m:t>
                              </m:r>
                              <m:ctrlPr>
                                <w:rPr>
                                  <w:rFonts w:hint="default" w:ascii="Cambria Math" w:hAnsi="Cambria Math" w:cs="Times New Roman"/>
                                  <w:i/>
                                  <w:color w:val="0C0C0C"/>
                                  <w:sz w:val="24"/>
                                  <w:szCs w:val="24"/>
                                  <w:highlight w:val="none"/>
                                </w:rPr>
                              </m:ctrlPr>
                            </m:e>
                            <m:sub>
                              <m:r>
                                <m:rPr/>
                                <w:rPr>
                                  <w:rFonts w:hint="default" w:ascii="Cambria Math" w:hAnsi="Cambria Math" w:cs="Times New Roman"/>
                                  <w:color w:val="0C0C0C"/>
                                  <w:sz w:val="24"/>
                                  <w:szCs w:val="24"/>
                                  <w:highlight w:val="none"/>
                                </w:rPr>
                                <m:t>Ai</m:t>
                              </m:r>
                              <m:ctrlPr>
                                <w:rPr>
                                  <w:rFonts w:hint="default" w:ascii="Cambria Math" w:hAnsi="Cambria Math" w:cs="Times New Roman"/>
                                  <w:i/>
                                  <w:color w:val="0C0C0C"/>
                                  <w:sz w:val="24"/>
                                  <w:szCs w:val="24"/>
                                  <w:highlight w:val="none"/>
                                </w:rPr>
                              </m:ctrlPr>
                            </m:sub>
                          </m:sSub>
                          <m:ctrlPr>
                            <w:rPr>
                              <w:rFonts w:hint="default" w:ascii="Cambria Math" w:hAnsi="Cambria Math" w:cs="Times New Roman"/>
                              <w:i/>
                              <w:color w:val="0C0C0C"/>
                              <w:sz w:val="24"/>
                              <w:szCs w:val="24"/>
                              <w:highlight w:val="none"/>
                            </w:rPr>
                          </m:ctrlPr>
                        </m:sup>
                      </m:sSup>
                      <m:r>
                        <m:rPr/>
                        <w:rPr>
                          <w:rFonts w:hint="default" w:ascii="Cambria Math" w:hAnsi="Cambria Math" w:cs="Times New Roman"/>
                          <w:color w:val="0C0C0C"/>
                          <w:sz w:val="24"/>
                          <w:szCs w:val="24"/>
                          <w:highlight w:val="none"/>
                        </w:rPr>
                        <m:t>+</m:t>
                      </m:r>
                      <m:limLow>
                        <m:limLowPr>
                          <m:ctrlPr>
                            <w:rPr>
                              <w:rFonts w:hint="default" w:ascii="Cambria Math" w:hAnsi="Cambria Math" w:cs="Times New Roman"/>
                              <w:color w:val="0C0C0C"/>
                              <w:sz w:val="24"/>
                              <w:szCs w:val="24"/>
                              <w:highlight w:val="none"/>
                            </w:rPr>
                          </m:ctrlPr>
                        </m:limLowPr>
                        <m:e>
                          <m:limUpp>
                            <m:limUppPr>
                              <m:ctrlPr>
                                <w:rPr>
                                  <w:rFonts w:hint="default" w:ascii="Cambria Math" w:hAnsi="Cambria Math" w:cs="Times New Roman"/>
                                  <w:i/>
                                  <w:color w:val="0C0C0C"/>
                                  <w:sz w:val="24"/>
                                  <w:szCs w:val="24"/>
                                  <w:highlight w:val="none"/>
                                </w:rPr>
                              </m:ctrlPr>
                            </m:limUppPr>
                            <m:e>
                              <m:r>
                                <m:rPr/>
                                <w:rPr>
                                  <w:rFonts w:hint="default" w:ascii="Cambria Math" w:hAnsi="Cambria Math" w:cs="Times New Roman"/>
                                  <w:color w:val="0C0C0C"/>
                                  <w:sz w:val="24"/>
                                  <w:szCs w:val="24"/>
                                  <w:highlight w:val="none"/>
                                </w:rPr>
                                <m:t>∑</m:t>
                              </m:r>
                              <m:ctrlPr>
                                <w:rPr>
                                  <w:rFonts w:hint="default" w:ascii="Cambria Math" w:hAnsi="Cambria Math" w:cs="Times New Roman"/>
                                  <w:i/>
                                  <w:color w:val="0C0C0C"/>
                                  <w:sz w:val="24"/>
                                  <w:szCs w:val="24"/>
                                  <w:highlight w:val="none"/>
                                </w:rPr>
                              </m:ctrlPr>
                            </m:e>
                            <m:lim>
                              <m:r>
                                <m:rPr/>
                                <w:rPr>
                                  <w:rFonts w:hint="default" w:ascii="Cambria Math" w:hAnsi="Cambria Math" w:cs="Times New Roman"/>
                                  <w:color w:val="0C0C0C"/>
                                  <w:sz w:val="24"/>
                                  <w:szCs w:val="24"/>
                                  <w:highlight w:val="none"/>
                                </w:rPr>
                                <m:t>M</m:t>
                              </m:r>
                              <m:ctrlPr>
                                <w:rPr>
                                  <w:rFonts w:hint="default" w:ascii="Cambria Math" w:hAnsi="Cambria Math" w:cs="Times New Roman"/>
                                  <w:i/>
                                  <w:color w:val="0C0C0C"/>
                                  <w:sz w:val="24"/>
                                  <w:szCs w:val="24"/>
                                  <w:highlight w:val="none"/>
                                </w:rPr>
                              </m:ctrlPr>
                            </m:lim>
                          </m:limUpp>
                          <m:ctrlPr>
                            <w:rPr>
                              <w:rFonts w:hint="default" w:ascii="Cambria Math" w:hAnsi="Cambria Math" w:cs="Times New Roman"/>
                              <w:i/>
                              <w:sz w:val="24"/>
                              <w:szCs w:val="24"/>
                              <w:highlight w:val="none"/>
                            </w:rPr>
                          </m:ctrlPr>
                        </m:e>
                        <m:lim>
                          <m:r>
                            <m:rPr/>
                            <w:rPr>
                              <w:rFonts w:hint="default" w:ascii="Cambria Math" w:hAnsi="Cambria Math" w:cs="Times New Roman"/>
                              <w:sz w:val="24"/>
                              <w:szCs w:val="24"/>
                              <w:highlight w:val="none"/>
                            </w:rPr>
                            <m:t>j=1</m:t>
                          </m:r>
                          <m:ctrlPr>
                            <w:rPr>
                              <w:rFonts w:hint="default" w:ascii="Cambria Math" w:hAnsi="Cambria Math" w:cs="Times New Roman"/>
                              <w:color w:val="0C0C0C"/>
                              <w:sz w:val="24"/>
                              <w:szCs w:val="24"/>
                              <w:highlight w:val="none"/>
                            </w:rPr>
                          </m:ctrlPr>
                        </m:lim>
                      </m:limLow>
                      <m:sSub>
                        <m:sSubPr>
                          <m:ctrlPr>
                            <w:rPr>
                              <w:rFonts w:hint="default" w:ascii="Cambria Math" w:hAnsi="Cambria Math" w:cs="Times New Roman"/>
                              <w:i/>
                              <w:color w:val="0C0C0C"/>
                              <w:sz w:val="24"/>
                              <w:szCs w:val="24"/>
                              <w:highlight w:val="none"/>
                            </w:rPr>
                          </m:ctrlPr>
                        </m:sSubPr>
                        <m:e>
                          <m:r>
                            <m:rPr/>
                            <w:rPr>
                              <w:rFonts w:hint="default" w:ascii="Cambria Math" w:hAnsi="Cambria Math" w:cs="Times New Roman"/>
                              <w:color w:val="0C0C0C"/>
                              <w:sz w:val="24"/>
                              <w:szCs w:val="24"/>
                              <w:highlight w:val="none"/>
                            </w:rPr>
                            <m:t>t</m:t>
                          </m:r>
                          <m:ctrlPr>
                            <w:rPr>
                              <w:rFonts w:hint="default" w:ascii="Cambria Math" w:hAnsi="Cambria Math" w:cs="Times New Roman"/>
                              <w:i/>
                              <w:color w:val="0C0C0C"/>
                              <w:sz w:val="24"/>
                              <w:szCs w:val="24"/>
                              <w:highlight w:val="none"/>
                            </w:rPr>
                          </m:ctrlPr>
                        </m:e>
                        <m:sub>
                          <m:r>
                            <m:rPr/>
                            <w:rPr>
                              <w:rFonts w:hint="default" w:ascii="Cambria Math" w:hAnsi="Cambria Math" w:cs="Times New Roman"/>
                              <w:color w:val="0C0C0C"/>
                              <w:sz w:val="24"/>
                              <w:szCs w:val="24"/>
                              <w:highlight w:val="none"/>
                            </w:rPr>
                            <m:t>j</m:t>
                          </m:r>
                          <m:ctrlPr>
                            <w:rPr>
                              <w:rFonts w:hint="default" w:ascii="Cambria Math" w:hAnsi="Cambria Math" w:cs="Times New Roman"/>
                              <w:i/>
                              <w:color w:val="0C0C0C"/>
                              <w:sz w:val="24"/>
                              <w:szCs w:val="24"/>
                              <w:highlight w:val="none"/>
                            </w:rPr>
                          </m:ctrlPr>
                        </m:sub>
                      </m:sSub>
                      <m:sSup>
                        <m:sSupPr>
                          <m:ctrlPr>
                            <w:rPr>
                              <w:rFonts w:hint="default" w:ascii="Cambria Math" w:hAnsi="Cambria Math" w:cs="Times New Roman"/>
                              <w:i/>
                              <w:color w:val="0C0C0C"/>
                              <w:sz w:val="24"/>
                              <w:szCs w:val="24"/>
                              <w:highlight w:val="none"/>
                            </w:rPr>
                          </m:ctrlPr>
                        </m:sSupPr>
                        <m:e>
                          <m:r>
                            <m:rPr/>
                            <w:rPr>
                              <w:rFonts w:hint="default" w:ascii="Cambria Math" w:hAnsi="Cambria Math" w:cs="Times New Roman"/>
                              <w:color w:val="0C0C0C"/>
                              <w:sz w:val="24"/>
                              <w:szCs w:val="24"/>
                              <w:highlight w:val="none"/>
                            </w:rPr>
                            <m:t>10</m:t>
                          </m:r>
                          <m:ctrlPr>
                            <w:rPr>
                              <w:rFonts w:hint="default" w:ascii="Cambria Math" w:hAnsi="Cambria Math" w:cs="Times New Roman"/>
                              <w:i/>
                              <w:color w:val="0C0C0C"/>
                              <w:sz w:val="24"/>
                              <w:szCs w:val="24"/>
                              <w:highlight w:val="none"/>
                            </w:rPr>
                          </m:ctrlPr>
                        </m:e>
                        <m:sup>
                          <m:sSub>
                            <m:sSubPr>
                              <m:ctrlPr>
                                <w:rPr>
                                  <w:rFonts w:hint="default" w:ascii="Cambria Math" w:hAnsi="Cambria Math" w:cs="Times New Roman"/>
                                  <w:i/>
                                  <w:color w:val="0C0C0C"/>
                                  <w:sz w:val="24"/>
                                  <w:szCs w:val="24"/>
                                  <w:highlight w:val="none"/>
                                </w:rPr>
                              </m:ctrlPr>
                            </m:sSubPr>
                            <m:e>
                              <m:r>
                                <m:rPr/>
                                <w:rPr>
                                  <w:rFonts w:hint="default" w:ascii="Cambria Math" w:hAnsi="Cambria Math" w:cs="Times New Roman"/>
                                  <w:color w:val="0C0C0C"/>
                                  <w:sz w:val="24"/>
                                  <w:szCs w:val="24"/>
                                  <w:highlight w:val="none"/>
                                </w:rPr>
                                <m:t>0.1L</m:t>
                              </m:r>
                              <m:ctrlPr>
                                <w:rPr>
                                  <w:rFonts w:hint="default" w:ascii="Cambria Math" w:hAnsi="Cambria Math" w:cs="Times New Roman"/>
                                  <w:i/>
                                  <w:color w:val="0C0C0C"/>
                                  <w:sz w:val="24"/>
                                  <w:szCs w:val="24"/>
                                  <w:highlight w:val="none"/>
                                </w:rPr>
                              </m:ctrlPr>
                            </m:e>
                            <m:sub>
                              <m:r>
                                <m:rPr/>
                                <w:rPr>
                                  <w:rFonts w:hint="default" w:ascii="Cambria Math" w:hAnsi="Cambria Math" w:cs="Times New Roman"/>
                                  <w:color w:val="0C0C0C"/>
                                  <w:sz w:val="24"/>
                                  <w:szCs w:val="24"/>
                                  <w:highlight w:val="none"/>
                                </w:rPr>
                                <m:t>Aj</m:t>
                              </m:r>
                              <m:ctrlPr>
                                <w:rPr>
                                  <w:rFonts w:hint="default" w:ascii="Cambria Math" w:hAnsi="Cambria Math" w:cs="Times New Roman"/>
                                  <w:i/>
                                  <w:color w:val="0C0C0C"/>
                                  <w:sz w:val="24"/>
                                  <w:szCs w:val="24"/>
                                  <w:highlight w:val="none"/>
                                </w:rPr>
                              </m:ctrlPr>
                            </m:sub>
                          </m:sSub>
                          <m:ctrlPr>
                            <w:rPr>
                              <w:rFonts w:hint="default" w:ascii="Cambria Math" w:hAnsi="Cambria Math" w:cs="Times New Roman"/>
                              <w:i/>
                              <w:color w:val="0C0C0C"/>
                              <w:sz w:val="24"/>
                              <w:szCs w:val="24"/>
                              <w:highlight w:val="none"/>
                            </w:rPr>
                          </m:ctrlPr>
                        </m:sup>
                      </m:sSup>
                      <m:ctrlPr>
                        <w:rPr>
                          <w:rFonts w:hint="default" w:ascii="Cambria Math" w:hAnsi="Cambria Math" w:cs="Times New Roman"/>
                          <w:i/>
                          <w:color w:val="0C0C0C"/>
                          <w:sz w:val="24"/>
                          <w:szCs w:val="24"/>
                          <w:highlight w:val="none"/>
                        </w:rPr>
                      </m:ctrlPr>
                    </m:e>
                  </m:d>
                  <m:ctrlPr>
                    <w:rPr>
                      <w:rFonts w:hint="default" w:ascii="Cambria Math" w:hAnsi="Cambria Math" w:cs="Times New Roman"/>
                      <w:color w:val="0C0C0C"/>
                      <w:sz w:val="24"/>
                      <w:szCs w:val="24"/>
                      <w:highlight w:val="none"/>
                    </w:rPr>
                  </m:ctrlPr>
                </m:e>
              </m:d>
            </m:oMath>
          </w:p>
          <w:p w14:paraId="18B76AFC">
            <w:pPr>
              <w:keepNext w:val="0"/>
              <w:keepLines w:val="0"/>
              <w:suppressLineNumbers w:val="0"/>
              <w:spacing w:before="0" w:beforeAutospacing="0" w:after="0" w:afterAutospacing="0" w:line="440" w:lineRule="exact"/>
              <w:ind w:left="0" w:right="0"/>
              <w:rPr>
                <w:rFonts w:hint="default"/>
                <w:sz w:val="24"/>
                <w:highlight w:val="none"/>
              </w:rPr>
            </w:pPr>
            <w:r>
              <w:rPr>
                <w:rFonts w:hint="default"/>
                <w:sz w:val="24"/>
                <w:highlight w:val="none"/>
              </w:rPr>
              <w:t>式中：Leqg—建设项目声源在预测的产生的噪声贡献值，dB；</w:t>
            </w:r>
          </w:p>
          <w:p w14:paraId="1E4E790A">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T—用于计算等效声级的时间，s；</w:t>
            </w:r>
          </w:p>
          <w:p w14:paraId="3E697E0F">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N—室外声源个数；</w:t>
            </w:r>
          </w:p>
          <w:p w14:paraId="0DD1CE77">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ti—在T时间内i声源内工作时间，s；</w:t>
            </w:r>
          </w:p>
          <w:p w14:paraId="045DF1DA">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M—等效室外声源个数；</w:t>
            </w:r>
          </w:p>
          <w:p w14:paraId="686A77FF">
            <w:pPr>
              <w:keepNext w:val="0"/>
              <w:keepLines w:val="0"/>
              <w:suppressLineNumbers w:val="0"/>
              <w:spacing w:before="0" w:beforeAutospacing="0" w:after="0" w:afterAutospacing="0" w:line="440" w:lineRule="exact"/>
              <w:ind w:left="0" w:right="0" w:firstLine="720" w:firstLineChars="300"/>
              <w:rPr>
                <w:rFonts w:hint="default"/>
                <w:sz w:val="24"/>
                <w:highlight w:val="none"/>
              </w:rPr>
            </w:pPr>
            <w:r>
              <w:rPr>
                <w:rFonts w:hint="default"/>
                <w:sz w:val="24"/>
                <w:highlight w:val="none"/>
              </w:rPr>
              <w:t>ti—在T时间内j声源内工作时间，s；</w:t>
            </w:r>
          </w:p>
          <w:p w14:paraId="2B6FF7D8">
            <w:pPr>
              <w:keepNext w:val="0"/>
              <w:keepLines w:val="0"/>
              <w:suppressLineNumbers w:val="0"/>
              <w:tabs>
                <w:tab w:val="left" w:pos="8370"/>
                <w:tab w:val="left" w:pos="8600"/>
              </w:tabs>
              <w:spacing w:before="0" w:beforeAutospacing="0" w:after="0" w:afterAutospacing="0" w:line="440" w:lineRule="exact"/>
              <w:ind w:left="0" w:right="0" w:firstLine="480" w:firstLineChars="200"/>
              <w:rPr>
                <w:rFonts w:hint="eastAsia"/>
                <w:sz w:val="24"/>
                <w:highlight w:val="none"/>
              </w:rPr>
            </w:pPr>
            <w:r>
              <w:rPr>
                <w:rFonts w:hint="default"/>
                <w:sz w:val="24"/>
                <w:highlight w:val="none"/>
              </w:rPr>
              <w:t>根据本</w:t>
            </w:r>
            <w:r>
              <w:rPr>
                <w:rFonts w:hint="eastAsia"/>
                <w:sz w:val="24"/>
                <w:highlight w:val="none"/>
              </w:rPr>
              <w:t>项目</w:t>
            </w:r>
            <w:r>
              <w:rPr>
                <w:rFonts w:hint="default"/>
                <w:sz w:val="24"/>
                <w:highlight w:val="none"/>
              </w:rPr>
              <w:t>噪声源的分布，对项目四周厂界噪声</w:t>
            </w:r>
            <w:r>
              <w:rPr>
                <w:rFonts w:hint="eastAsia"/>
                <w:sz w:val="24"/>
                <w:highlight w:val="none"/>
              </w:rPr>
              <w:t>贡献值</w:t>
            </w:r>
            <w:r>
              <w:rPr>
                <w:rFonts w:hint="default"/>
                <w:sz w:val="24"/>
                <w:highlight w:val="none"/>
              </w:rPr>
              <w:t>进行计算，</w:t>
            </w:r>
            <w:r>
              <w:rPr>
                <w:rFonts w:hint="eastAsia"/>
                <w:sz w:val="24"/>
                <w:highlight w:val="none"/>
              </w:rPr>
              <w:t>本次评价</w:t>
            </w:r>
            <w:r>
              <w:rPr>
                <w:rFonts w:hint="default"/>
                <w:sz w:val="24"/>
                <w:highlight w:val="none"/>
              </w:rPr>
              <w:t>厂界噪声的预测结果见</w:t>
            </w:r>
            <w:r>
              <w:rPr>
                <w:rFonts w:hint="eastAsia"/>
                <w:sz w:val="24"/>
                <w:highlight w:val="none"/>
              </w:rPr>
              <w:t>下</w:t>
            </w:r>
            <w:r>
              <w:rPr>
                <w:rFonts w:hint="default"/>
                <w:sz w:val="24"/>
                <w:highlight w:val="none"/>
              </w:rPr>
              <w:t>表。</w:t>
            </w:r>
          </w:p>
          <w:p w14:paraId="46BA22DE">
            <w:pPr>
              <w:keepNext w:val="0"/>
              <w:keepLines w:val="0"/>
              <w:suppressLineNumbers w:val="0"/>
              <w:adjustRightInd w:val="0"/>
              <w:snapToGrid w:val="0"/>
              <w:spacing w:before="0" w:beforeAutospacing="0" w:after="0" w:afterAutospacing="0" w:line="420" w:lineRule="exact"/>
              <w:ind w:left="0" w:right="0"/>
              <w:jc w:val="center"/>
              <w:textAlignment w:val="baseline"/>
              <w:rPr>
                <w:rFonts w:hint="default" w:eastAsia="黑体"/>
                <w:sz w:val="24"/>
                <w:highlight w:val="none"/>
              </w:rPr>
            </w:pPr>
            <w:r>
              <w:rPr>
                <w:rFonts w:hint="default" w:ascii="宋体" w:hAnsi="宋体"/>
                <w:b/>
                <w:color w:val="000000"/>
                <w:sz w:val="24"/>
                <w:highlight w:val="none"/>
              </w:rPr>
              <w:t>表</w:t>
            </w:r>
            <w:r>
              <w:rPr>
                <w:rFonts w:hint="eastAsia" w:cs="Times New Roman"/>
                <w:b/>
                <w:color w:val="000000"/>
                <w:sz w:val="24"/>
                <w:highlight w:val="none"/>
                <w:lang w:val="en-US" w:eastAsia="zh-CN"/>
              </w:rPr>
              <w:t xml:space="preserve">31 </w:t>
            </w:r>
            <w:r>
              <w:rPr>
                <w:rFonts w:hint="eastAsia" w:ascii="宋体" w:hAnsi="宋体"/>
                <w:b/>
                <w:color w:val="000000"/>
                <w:sz w:val="24"/>
                <w:highlight w:val="none"/>
              </w:rPr>
              <w:t>各厂界噪声预测值</w:t>
            </w:r>
            <w:r>
              <w:rPr>
                <w:rFonts w:hint="eastAsia" w:ascii="宋体" w:hAnsi="宋体"/>
                <w:b/>
                <w:color w:val="000000"/>
                <w:sz w:val="24"/>
                <w:highlight w:val="none"/>
                <w:lang w:val="en-US" w:eastAsia="zh-CN"/>
              </w:rPr>
              <w:t xml:space="preserve">  </w:t>
            </w:r>
            <w:r>
              <w:rPr>
                <w:rFonts w:hint="default" w:ascii="宋体" w:hAnsi="宋体"/>
                <w:b/>
                <w:color w:val="000000"/>
                <w:sz w:val="24"/>
                <w:highlight w:val="none"/>
              </w:rPr>
              <w:t>单位：</w:t>
            </w:r>
            <w:r>
              <w:rPr>
                <w:rFonts w:hint="default" w:ascii="Times New Roman" w:hAnsi="Times New Roman" w:cs="Times New Roman"/>
                <w:b/>
                <w:color w:val="000000"/>
                <w:sz w:val="24"/>
                <w:highlight w:val="none"/>
              </w:rPr>
              <w:t>dB（A）</w:t>
            </w:r>
          </w:p>
          <w:tbl>
            <w:tblPr>
              <w:tblStyle w:val="22"/>
              <w:tblW w:w="4998"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380"/>
              <w:gridCol w:w="1335"/>
              <w:gridCol w:w="1815"/>
              <w:gridCol w:w="1406"/>
              <w:gridCol w:w="1406"/>
            </w:tblGrid>
            <w:tr w14:paraId="705C61D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tcBorders>
                    <w:bottom w:val="single" w:color="auto" w:sz="8" w:space="0"/>
                  </w:tcBorders>
                  <w:noWrap w:val="0"/>
                  <w:vAlign w:val="center"/>
                </w:tcPr>
                <w:p w14:paraId="755C7766">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点位</w:t>
                  </w:r>
                </w:p>
              </w:tc>
              <w:tc>
                <w:tcPr>
                  <w:tcW w:w="801" w:type="pct"/>
                  <w:tcBorders>
                    <w:bottom w:val="single" w:color="auto" w:sz="8" w:space="0"/>
                  </w:tcBorders>
                  <w:noWrap w:val="0"/>
                  <w:vAlign w:val="center"/>
                </w:tcPr>
                <w:p w14:paraId="65581D65">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噪声源</w:t>
                  </w:r>
                </w:p>
              </w:tc>
              <w:tc>
                <w:tcPr>
                  <w:tcW w:w="774" w:type="pct"/>
                  <w:tcBorders>
                    <w:bottom w:val="single" w:color="auto" w:sz="8" w:space="0"/>
                  </w:tcBorders>
                  <w:noWrap w:val="0"/>
                  <w:vAlign w:val="center"/>
                </w:tcPr>
                <w:p w14:paraId="0C22E9A0">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声功率级/dB（A）</w:t>
                  </w:r>
                </w:p>
              </w:tc>
              <w:tc>
                <w:tcPr>
                  <w:tcW w:w="1053" w:type="pct"/>
                  <w:tcBorders>
                    <w:bottom w:val="single" w:color="auto" w:sz="8" w:space="0"/>
                  </w:tcBorders>
                  <w:noWrap w:val="0"/>
                  <w:vAlign w:val="center"/>
                </w:tcPr>
                <w:p w14:paraId="2B2A513E">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与厂界距离（m）</w:t>
                  </w:r>
                </w:p>
              </w:tc>
              <w:tc>
                <w:tcPr>
                  <w:tcW w:w="816" w:type="pct"/>
                  <w:tcBorders>
                    <w:bottom w:val="single" w:color="auto" w:sz="8" w:space="0"/>
                  </w:tcBorders>
                  <w:noWrap w:val="0"/>
                  <w:vAlign w:val="center"/>
                </w:tcPr>
                <w:p w14:paraId="77240630">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贡献值/dB（A）</w:t>
                  </w:r>
                </w:p>
              </w:tc>
              <w:tc>
                <w:tcPr>
                  <w:tcW w:w="816" w:type="pct"/>
                  <w:tcBorders>
                    <w:bottom w:val="single" w:color="auto" w:sz="8" w:space="0"/>
                  </w:tcBorders>
                  <w:noWrap w:val="0"/>
                  <w:vAlign w:val="center"/>
                </w:tcPr>
                <w:p w14:paraId="5F1F9E57">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叠加值/dB（A）</w:t>
                  </w:r>
                </w:p>
              </w:tc>
            </w:tr>
            <w:tr w14:paraId="6FBA9D1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restart"/>
                  <w:tcBorders>
                    <w:top w:val="single" w:color="auto" w:sz="8" w:space="0"/>
                    <w:tl2br w:val="nil"/>
                    <w:tr2bl w:val="nil"/>
                  </w:tcBorders>
                  <w:noWrap w:val="0"/>
                  <w:vAlign w:val="center"/>
                </w:tcPr>
                <w:p w14:paraId="6841979D">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东厂界</w:t>
                  </w:r>
                </w:p>
              </w:tc>
              <w:tc>
                <w:tcPr>
                  <w:tcW w:w="801" w:type="pct"/>
                  <w:tcBorders>
                    <w:top w:val="single" w:color="auto" w:sz="8" w:space="0"/>
                    <w:bottom w:val="single" w:color="auto" w:sz="4" w:space="0"/>
                  </w:tcBorders>
                  <w:noWrap w:val="0"/>
                  <w:vAlign w:val="center"/>
                </w:tcPr>
                <w:p w14:paraId="72C02BF2">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生产车间</w:t>
                  </w:r>
                </w:p>
              </w:tc>
              <w:tc>
                <w:tcPr>
                  <w:tcW w:w="774" w:type="pct"/>
                  <w:tcBorders>
                    <w:top w:val="single" w:color="auto" w:sz="8" w:space="0"/>
                    <w:bottom w:val="single" w:color="auto" w:sz="4" w:space="0"/>
                  </w:tcBorders>
                  <w:noWrap w:val="0"/>
                  <w:vAlign w:val="center"/>
                </w:tcPr>
                <w:p w14:paraId="0507256C">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eastAsia"/>
                      <w:b w:val="0"/>
                      <w:bCs w:val="0"/>
                      <w:sz w:val="21"/>
                      <w:szCs w:val="21"/>
                      <w:highlight w:val="none"/>
                      <w:vertAlign w:val="baseline"/>
                      <w:lang w:val="en-US" w:eastAsia="zh-CN"/>
                    </w:rPr>
                    <w:t>57.3</w:t>
                  </w:r>
                </w:p>
              </w:tc>
              <w:tc>
                <w:tcPr>
                  <w:tcW w:w="1053" w:type="pct"/>
                  <w:tcBorders>
                    <w:top w:val="single" w:color="auto" w:sz="8" w:space="0"/>
                    <w:bottom w:val="single" w:color="auto" w:sz="4" w:space="0"/>
                  </w:tcBorders>
                  <w:noWrap w:val="0"/>
                  <w:vAlign w:val="center"/>
                </w:tcPr>
                <w:p w14:paraId="0E8EC841">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45</w:t>
                  </w:r>
                </w:p>
              </w:tc>
              <w:tc>
                <w:tcPr>
                  <w:tcW w:w="1406" w:type="dxa"/>
                  <w:tcBorders>
                    <w:top w:val="single" w:color="auto" w:sz="8" w:space="0"/>
                    <w:bottom w:val="single" w:color="auto" w:sz="4" w:space="0"/>
                  </w:tcBorders>
                  <w:noWrap w:val="0"/>
                  <w:vAlign w:val="center"/>
                </w:tcPr>
                <w:p w14:paraId="6AAB1027">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16.24</w:t>
                  </w:r>
                </w:p>
              </w:tc>
              <w:tc>
                <w:tcPr>
                  <w:tcW w:w="816" w:type="pct"/>
                  <w:vMerge w:val="restart"/>
                  <w:tcBorders>
                    <w:top w:val="single" w:color="auto" w:sz="8" w:space="0"/>
                    <w:tl2br w:val="nil"/>
                    <w:tr2bl w:val="nil"/>
                  </w:tcBorders>
                  <w:noWrap w:val="0"/>
                  <w:vAlign w:val="center"/>
                </w:tcPr>
                <w:p w14:paraId="50B9CA1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38.76</w:t>
                  </w:r>
                </w:p>
              </w:tc>
            </w:tr>
            <w:tr w14:paraId="72F3400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344BCAF5">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801" w:type="pct"/>
                  <w:tcBorders>
                    <w:tl2br w:val="nil"/>
                    <w:tr2bl w:val="nil"/>
                  </w:tcBorders>
                  <w:noWrap w:val="0"/>
                  <w:vAlign w:val="center"/>
                </w:tcPr>
                <w:p w14:paraId="72E6AC6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color w:val="auto"/>
                      <w:kern w:val="2"/>
                      <w:sz w:val="21"/>
                      <w:szCs w:val="21"/>
                    </w:rPr>
                    <w:t>风机</w:t>
                  </w:r>
                </w:p>
              </w:tc>
              <w:tc>
                <w:tcPr>
                  <w:tcW w:w="774" w:type="pct"/>
                  <w:tcBorders>
                    <w:tl2br w:val="nil"/>
                    <w:tr2bl w:val="nil"/>
                  </w:tcBorders>
                  <w:noWrap w:val="0"/>
                  <w:vAlign w:val="center"/>
                </w:tcPr>
                <w:p w14:paraId="09B7C3FA">
                  <w:pPr>
                    <w:keepNext w:val="0"/>
                    <w:keepLines w:val="0"/>
                    <w:suppressLineNumbers w:val="0"/>
                    <w:spacing w:before="0" w:beforeAutospacing="0" w:after="0" w:afterAutospacing="0" w:line="240" w:lineRule="auto"/>
                    <w:ind w:left="0" w:leftChars="0" w:right="0" w:rightChars="0"/>
                    <w:jc w:val="center"/>
                    <w:rPr>
                      <w:rFonts w:hint="default"/>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80</w:t>
                  </w:r>
                </w:p>
              </w:tc>
              <w:tc>
                <w:tcPr>
                  <w:tcW w:w="1053" w:type="pct"/>
                  <w:tcBorders>
                    <w:tl2br w:val="nil"/>
                    <w:tr2bl w:val="nil"/>
                  </w:tcBorders>
                  <w:noWrap w:val="0"/>
                  <w:vAlign w:val="center"/>
                </w:tcPr>
                <w:p w14:paraId="12C56B62">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46</w:t>
                  </w:r>
                </w:p>
              </w:tc>
              <w:tc>
                <w:tcPr>
                  <w:tcW w:w="1406" w:type="dxa"/>
                  <w:tcBorders>
                    <w:tl2br w:val="nil"/>
                    <w:tr2bl w:val="nil"/>
                  </w:tcBorders>
                  <w:noWrap w:val="0"/>
                  <w:vAlign w:val="center"/>
                </w:tcPr>
                <w:p w14:paraId="22B67627">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38.74</w:t>
                  </w:r>
                </w:p>
              </w:tc>
              <w:tc>
                <w:tcPr>
                  <w:tcW w:w="816" w:type="pct"/>
                  <w:vMerge w:val="continue"/>
                  <w:tcBorders>
                    <w:tl2br w:val="nil"/>
                    <w:tr2bl w:val="nil"/>
                  </w:tcBorders>
                  <w:noWrap w:val="0"/>
                  <w:vAlign w:val="center"/>
                </w:tcPr>
                <w:p w14:paraId="56AB084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14:paraId="18B0C1D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restart"/>
                  <w:tcBorders>
                    <w:tl2br w:val="nil"/>
                    <w:tr2bl w:val="nil"/>
                  </w:tcBorders>
                  <w:noWrap w:val="0"/>
                  <w:vAlign w:val="center"/>
                </w:tcPr>
                <w:p w14:paraId="59952345">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南厂界</w:t>
                  </w:r>
                </w:p>
              </w:tc>
              <w:tc>
                <w:tcPr>
                  <w:tcW w:w="801" w:type="pct"/>
                  <w:tcBorders>
                    <w:tl2br w:val="nil"/>
                    <w:tr2bl w:val="nil"/>
                  </w:tcBorders>
                  <w:noWrap w:val="0"/>
                  <w:vAlign w:val="center"/>
                </w:tcPr>
                <w:p w14:paraId="4124364F">
                  <w:pPr>
                    <w:keepNext w:val="0"/>
                    <w:keepLines w:val="0"/>
                    <w:suppressLineNumbers w:val="0"/>
                    <w:tabs>
                      <w:tab w:val="left" w:pos="8370"/>
                      <w:tab w:val="left" w:pos="8600"/>
                    </w:tabs>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生产车间</w:t>
                  </w:r>
                </w:p>
              </w:tc>
              <w:tc>
                <w:tcPr>
                  <w:tcW w:w="1335" w:type="dxa"/>
                  <w:tcBorders>
                    <w:tl2br w:val="nil"/>
                    <w:tr2bl w:val="nil"/>
                  </w:tcBorders>
                  <w:noWrap w:val="0"/>
                  <w:vAlign w:val="center"/>
                </w:tcPr>
                <w:p w14:paraId="3693889F">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eastAsia"/>
                      <w:b w:val="0"/>
                      <w:bCs w:val="0"/>
                      <w:sz w:val="21"/>
                      <w:szCs w:val="21"/>
                      <w:highlight w:val="none"/>
                      <w:vertAlign w:val="baseline"/>
                      <w:lang w:val="en-US" w:eastAsia="zh-CN"/>
                    </w:rPr>
                    <w:t>57.3</w:t>
                  </w:r>
                </w:p>
              </w:tc>
              <w:tc>
                <w:tcPr>
                  <w:tcW w:w="1053" w:type="pct"/>
                  <w:tcBorders>
                    <w:tl2br w:val="nil"/>
                    <w:tr2bl w:val="nil"/>
                  </w:tcBorders>
                  <w:noWrap w:val="0"/>
                  <w:vAlign w:val="center"/>
                </w:tcPr>
                <w:p w14:paraId="10780685">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35</w:t>
                  </w:r>
                </w:p>
              </w:tc>
              <w:tc>
                <w:tcPr>
                  <w:tcW w:w="1406" w:type="dxa"/>
                  <w:tcBorders>
                    <w:tl2br w:val="nil"/>
                    <w:tr2bl w:val="nil"/>
                  </w:tcBorders>
                  <w:noWrap w:val="0"/>
                  <w:vAlign w:val="center"/>
                </w:tcPr>
                <w:p w14:paraId="2DC3D8C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18.42</w:t>
                  </w:r>
                </w:p>
              </w:tc>
              <w:tc>
                <w:tcPr>
                  <w:tcW w:w="816" w:type="pct"/>
                  <w:vMerge w:val="restart"/>
                  <w:tcBorders>
                    <w:tl2br w:val="nil"/>
                    <w:tr2bl w:val="nil"/>
                  </w:tcBorders>
                  <w:noWrap w:val="0"/>
                  <w:vAlign w:val="center"/>
                </w:tcPr>
                <w:p w14:paraId="2F66F192">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36.51</w:t>
                  </w:r>
                </w:p>
              </w:tc>
            </w:tr>
            <w:tr w14:paraId="106E943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7C14B35C">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801" w:type="pct"/>
                  <w:tcBorders>
                    <w:tl2br w:val="nil"/>
                    <w:tr2bl w:val="nil"/>
                  </w:tcBorders>
                  <w:noWrap w:val="0"/>
                  <w:vAlign w:val="center"/>
                </w:tcPr>
                <w:p w14:paraId="23AEB03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color w:val="auto"/>
                      <w:kern w:val="2"/>
                      <w:sz w:val="21"/>
                      <w:szCs w:val="21"/>
                    </w:rPr>
                    <w:t>风机</w:t>
                  </w:r>
                </w:p>
              </w:tc>
              <w:tc>
                <w:tcPr>
                  <w:tcW w:w="1335" w:type="dxa"/>
                  <w:tcBorders>
                    <w:tl2br w:val="nil"/>
                    <w:tr2bl w:val="nil"/>
                  </w:tcBorders>
                  <w:noWrap w:val="0"/>
                  <w:vAlign w:val="center"/>
                </w:tcPr>
                <w:p w14:paraId="4B1A3326">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80</w:t>
                  </w:r>
                </w:p>
              </w:tc>
              <w:tc>
                <w:tcPr>
                  <w:tcW w:w="1053" w:type="pct"/>
                  <w:tcBorders>
                    <w:tl2br w:val="nil"/>
                    <w:tr2bl w:val="nil"/>
                  </w:tcBorders>
                  <w:noWrap w:val="0"/>
                  <w:vAlign w:val="center"/>
                </w:tcPr>
                <w:p w14:paraId="35A4E75A">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60</w:t>
                  </w:r>
                </w:p>
              </w:tc>
              <w:tc>
                <w:tcPr>
                  <w:tcW w:w="1406" w:type="dxa"/>
                  <w:tcBorders>
                    <w:tl2br w:val="nil"/>
                    <w:tr2bl w:val="nil"/>
                  </w:tcBorders>
                  <w:noWrap w:val="0"/>
                  <w:vAlign w:val="center"/>
                </w:tcPr>
                <w:p w14:paraId="0DCCDA6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36.44</w:t>
                  </w:r>
                </w:p>
              </w:tc>
              <w:tc>
                <w:tcPr>
                  <w:tcW w:w="816" w:type="pct"/>
                  <w:vMerge w:val="continue"/>
                  <w:tcBorders>
                    <w:tl2br w:val="nil"/>
                    <w:tr2bl w:val="nil"/>
                  </w:tcBorders>
                  <w:noWrap w:val="0"/>
                  <w:vAlign w:val="center"/>
                </w:tcPr>
                <w:p w14:paraId="052B3D6E">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7A52214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restart"/>
                  <w:tcBorders>
                    <w:tl2br w:val="nil"/>
                    <w:tr2bl w:val="nil"/>
                  </w:tcBorders>
                  <w:noWrap w:val="0"/>
                  <w:vAlign w:val="center"/>
                </w:tcPr>
                <w:p w14:paraId="66935F21">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西厂界</w:t>
                  </w:r>
                </w:p>
              </w:tc>
              <w:tc>
                <w:tcPr>
                  <w:tcW w:w="801" w:type="pct"/>
                  <w:tcBorders>
                    <w:tl2br w:val="nil"/>
                    <w:tr2bl w:val="nil"/>
                  </w:tcBorders>
                  <w:noWrap w:val="0"/>
                  <w:vAlign w:val="center"/>
                </w:tcPr>
                <w:p w14:paraId="1F8DE715">
                  <w:pPr>
                    <w:keepNext w:val="0"/>
                    <w:keepLines w:val="0"/>
                    <w:suppressLineNumbers w:val="0"/>
                    <w:tabs>
                      <w:tab w:val="left" w:pos="8370"/>
                      <w:tab w:val="left" w:pos="8600"/>
                    </w:tabs>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生产车间</w:t>
                  </w:r>
                </w:p>
              </w:tc>
              <w:tc>
                <w:tcPr>
                  <w:tcW w:w="1335" w:type="dxa"/>
                  <w:tcBorders>
                    <w:tl2br w:val="nil"/>
                    <w:tr2bl w:val="nil"/>
                  </w:tcBorders>
                  <w:noWrap w:val="0"/>
                  <w:vAlign w:val="center"/>
                </w:tcPr>
                <w:p w14:paraId="15C4DF39">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b w:val="0"/>
                      <w:bCs w:val="0"/>
                      <w:color w:val="auto"/>
                      <w:sz w:val="21"/>
                      <w:szCs w:val="21"/>
                      <w:highlight w:val="none"/>
                      <w:lang w:val="en-US" w:eastAsia="zh-CN"/>
                    </w:rPr>
                  </w:pPr>
                  <w:r>
                    <w:rPr>
                      <w:rFonts w:hint="eastAsia"/>
                      <w:b w:val="0"/>
                      <w:bCs w:val="0"/>
                      <w:sz w:val="21"/>
                      <w:szCs w:val="21"/>
                      <w:highlight w:val="none"/>
                      <w:vertAlign w:val="baseline"/>
                      <w:lang w:val="en-US" w:eastAsia="zh-CN"/>
                    </w:rPr>
                    <w:t>57.3</w:t>
                  </w:r>
                </w:p>
              </w:tc>
              <w:tc>
                <w:tcPr>
                  <w:tcW w:w="1053" w:type="pct"/>
                  <w:tcBorders>
                    <w:tl2br w:val="nil"/>
                    <w:tr2bl w:val="nil"/>
                  </w:tcBorders>
                  <w:noWrap w:val="0"/>
                  <w:vAlign w:val="center"/>
                </w:tcPr>
                <w:p w14:paraId="39DF35AB">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60</w:t>
                  </w:r>
                </w:p>
              </w:tc>
              <w:tc>
                <w:tcPr>
                  <w:tcW w:w="1406" w:type="dxa"/>
                  <w:tcBorders>
                    <w:tl2br w:val="nil"/>
                    <w:tr2bl w:val="nil"/>
                  </w:tcBorders>
                  <w:noWrap w:val="0"/>
                  <w:vAlign w:val="center"/>
                </w:tcPr>
                <w:p w14:paraId="0E19CB7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13.74</w:t>
                  </w:r>
                </w:p>
              </w:tc>
              <w:tc>
                <w:tcPr>
                  <w:tcW w:w="816" w:type="pct"/>
                  <w:vMerge w:val="restart"/>
                  <w:tcBorders>
                    <w:tl2br w:val="nil"/>
                    <w:tr2bl w:val="nil"/>
                  </w:tcBorders>
                  <w:noWrap w:val="0"/>
                  <w:vAlign w:val="center"/>
                </w:tcPr>
                <w:p w14:paraId="3B99235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36.46</w:t>
                  </w:r>
                </w:p>
              </w:tc>
            </w:tr>
            <w:tr w14:paraId="44D6469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20FF0FC9">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801" w:type="pct"/>
                  <w:tcBorders>
                    <w:tl2br w:val="nil"/>
                    <w:tr2bl w:val="nil"/>
                  </w:tcBorders>
                  <w:noWrap w:val="0"/>
                  <w:vAlign w:val="center"/>
                </w:tcPr>
                <w:p w14:paraId="07F9569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color w:val="auto"/>
                      <w:kern w:val="2"/>
                      <w:sz w:val="21"/>
                      <w:szCs w:val="21"/>
                    </w:rPr>
                    <w:t>风机</w:t>
                  </w:r>
                </w:p>
              </w:tc>
              <w:tc>
                <w:tcPr>
                  <w:tcW w:w="1335" w:type="dxa"/>
                  <w:tcBorders>
                    <w:tl2br w:val="nil"/>
                    <w:tr2bl w:val="nil"/>
                  </w:tcBorders>
                  <w:noWrap w:val="0"/>
                  <w:vAlign w:val="center"/>
                </w:tcPr>
                <w:p w14:paraId="3829ABE7">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80</w:t>
                  </w:r>
                </w:p>
              </w:tc>
              <w:tc>
                <w:tcPr>
                  <w:tcW w:w="1053" w:type="pct"/>
                  <w:tcBorders>
                    <w:tl2br w:val="nil"/>
                    <w:tr2bl w:val="nil"/>
                  </w:tcBorders>
                  <w:noWrap w:val="0"/>
                  <w:vAlign w:val="center"/>
                </w:tcPr>
                <w:p w14:paraId="2076C261">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60</w:t>
                  </w:r>
                </w:p>
              </w:tc>
              <w:tc>
                <w:tcPr>
                  <w:tcW w:w="1406" w:type="dxa"/>
                  <w:tcBorders>
                    <w:tl2br w:val="nil"/>
                    <w:tr2bl w:val="nil"/>
                  </w:tcBorders>
                  <w:noWrap w:val="0"/>
                  <w:vAlign w:val="center"/>
                </w:tcPr>
                <w:p w14:paraId="25A954CB">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36.44</w:t>
                  </w:r>
                </w:p>
              </w:tc>
              <w:tc>
                <w:tcPr>
                  <w:tcW w:w="816" w:type="pct"/>
                  <w:vMerge w:val="continue"/>
                  <w:tcBorders>
                    <w:tl2br w:val="nil"/>
                    <w:tr2bl w:val="nil"/>
                  </w:tcBorders>
                  <w:noWrap w:val="0"/>
                  <w:vAlign w:val="center"/>
                </w:tcPr>
                <w:p w14:paraId="0598DCC8">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r w14:paraId="68374E1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restart"/>
                  <w:tcBorders>
                    <w:tl2br w:val="nil"/>
                    <w:tr2bl w:val="nil"/>
                  </w:tcBorders>
                  <w:noWrap w:val="0"/>
                  <w:vAlign w:val="center"/>
                </w:tcPr>
                <w:p w14:paraId="5D367B58">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北厂界</w:t>
                  </w:r>
                </w:p>
              </w:tc>
              <w:tc>
                <w:tcPr>
                  <w:tcW w:w="801" w:type="pct"/>
                  <w:tcBorders>
                    <w:tl2br w:val="nil"/>
                    <w:tr2bl w:val="nil"/>
                  </w:tcBorders>
                  <w:noWrap w:val="0"/>
                  <w:vAlign w:val="center"/>
                </w:tcPr>
                <w:p w14:paraId="236228D3">
                  <w:pPr>
                    <w:keepNext w:val="0"/>
                    <w:keepLines w:val="0"/>
                    <w:suppressLineNumbers w:val="0"/>
                    <w:tabs>
                      <w:tab w:val="left" w:pos="8370"/>
                      <w:tab w:val="left" w:pos="8600"/>
                    </w:tabs>
                    <w:adjustRightInd w:val="0"/>
                    <w:snapToGrid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highlight w:val="none"/>
                      <w:lang w:eastAsia="zh-CN"/>
                    </w:rPr>
                  </w:pPr>
                  <w:r>
                    <w:rPr>
                      <w:rFonts w:hint="eastAsia" w:cs="Times New Roman"/>
                      <w:b w:val="0"/>
                      <w:bCs w:val="0"/>
                      <w:color w:val="auto"/>
                      <w:sz w:val="21"/>
                      <w:szCs w:val="21"/>
                      <w:highlight w:val="none"/>
                      <w:lang w:val="en-US" w:eastAsia="zh-CN"/>
                    </w:rPr>
                    <w:t>生产车间</w:t>
                  </w:r>
                </w:p>
              </w:tc>
              <w:tc>
                <w:tcPr>
                  <w:tcW w:w="1335" w:type="dxa"/>
                  <w:tcBorders>
                    <w:tl2br w:val="nil"/>
                    <w:tr2bl w:val="nil"/>
                  </w:tcBorders>
                  <w:noWrap w:val="0"/>
                  <w:vAlign w:val="center"/>
                </w:tcPr>
                <w:p w14:paraId="13A4BBF6">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57.3</w:t>
                  </w:r>
                </w:p>
              </w:tc>
              <w:tc>
                <w:tcPr>
                  <w:tcW w:w="1053" w:type="pct"/>
                  <w:tcBorders>
                    <w:tl2br w:val="nil"/>
                    <w:tr2bl w:val="nil"/>
                  </w:tcBorders>
                  <w:noWrap w:val="0"/>
                  <w:vAlign w:val="center"/>
                </w:tcPr>
                <w:p w14:paraId="562E0EE5">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35</w:t>
                  </w:r>
                </w:p>
              </w:tc>
              <w:tc>
                <w:tcPr>
                  <w:tcW w:w="1406" w:type="dxa"/>
                  <w:tcBorders>
                    <w:tl2br w:val="nil"/>
                    <w:tr2bl w:val="nil"/>
                  </w:tcBorders>
                  <w:noWrap w:val="0"/>
                  <w:vAlign w:val="center"/>
                </w:tcPr>
                <w:p w14:paraId="47386E31">
                  <w:pPr>
                    <w:keepNext w:val="0"/>
                    <w:keepLines w:val="0"/>
                    <w:widowControl/>
                    <w:suppressLineNumbers w:val="0"/>
                    <w:spacing w:before="0" w:beforeAutospacing="0" w:after="0" w:afterAutospacing="0"/>
                    <w:ind w:left="0" w:right="0"/>
                    <w:jc w:val="center"/>
                    <w:textAlignment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i w:val="0"/>
                      <w:iCs w:val="0"/>
                      <w:color w:val="000000"/>
                      <w:kern w:val="0"/>
                      <w:sz w:val="21"/>
                      <w:szCs w:val="21"/>
                      <w:u w:val="none"/>
                      <w:lang w:val="en-US" w:eastAsia="zh-CN" w:bidi="ar"/>
                    </w:rPr>
                    <w:t>18.42</w:t>
                  </w:r>
                </w:p>
              </w:tc>
              <w:tc>
                <w:tcPr>
                  <w:tcW w:w="816" w:type="pct"/>
                  <w:vMerge w:val="restart"/>
                  <w:tcBorders>
                    <w:tl2br w:val="nil"/>
                    <w:tr2bl w:val="nil"/>
                  </w:tcBorders>
                  <w:noWrap w:val="0"/>
                  <w:vAlign w:val="center"/>
                </w:tcPr>
                <w:p w14:paraId="0FF3172E">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48.48</w:t>
                  </w:r>
                </w:p>
              </w:tc>
            </w:tr>
            <w:tr w14:paraId="7EC42D9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37" w:type="pct"/>
                  <w:vMerge w:val="continue"/>
                  <w:tcBorders>
                    <w:tl2br w:val="nil"/>
                    <w:tr2bl w:val="nil"/>
                  </w:tcBorders>
                  <w:noWrap w:val="0"/>
                  <w:vAlign w:val="center"/>
                </w:tcPr>
                <w:p w14:paraId="32D5C6C3">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ascii="Times New Roman" w:hAnsi="Times New Roman" w:eastAsia="宋体" w:cs="Times New Roman"/>
                      <w:b w:val="0"/>
                      <w:bCs w:val="0"/>
                      <w:color w:val="auto"/>
                      <w:sz w:val="21"/>
                      <w:szCs w:val="21"/>
                      <w:highlight w:val="none"/>
                      <w:lang w:val="en-US" w:eastAsia="zh-CN"/>
                    </w:rPr>
                  </w:pPr>
                </w:p>
              </w:tc>
              <w:tc>
                <w:tcPr>
                  <w:tcW w:w="801" w:type="pct"/>
                  <w:tcBorders>
                    <w:tl2br w:val="nil"/>
                    <w:tr2bl w:val="nil"/>
                  </w:tcBorders>
                  <w:noWrap w:val="0"/>
                  <w:vAlign w:val="center"/>
                </w:tcPr>
                <w:p w14:paraId="4FCCC43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color w:val="auto"/>
                      <w:kern w:val="2"/>
                      <w:sz w:val="21"/>
                      <w:szCs w:val="21"/>
                    </w:rPr>
                    <w:t>风机</w:t>
                  </w:r>
                </w:p>
              </w:tc>
              <w:tc>
                <w:tcPr>
                  <w:tcW w:w="1335" w:type="dxa"/>
                  <w:tcBorders>
                    <w:tl2br w:val="nil"/>
                    <w:tr2bl w:val="nil"/>
                  </w:tcBorders>
                  <w:noWrap w:val="0"/>
                  <w:vAlign w:val="center"/>
                </w:tcPr>
                <w:p w14:paraId="46E4C998">
                  <w:pPr>
                    <w:keepNext w:val="0"/>
                    <w:keepLines w:val="0"/>
                    <w:suppressLineNumbers w:val="0"/>
                    <w:spacing w:before="0" w:beforeAutospacing="0" w:after="0" w:afterAutospacing="0" w:line="240" w:lineRule="auto"/>
                    <w:ind w:left="0" w:leftChars="0" w:right="0" w:rightChars="0"/>
                    <w:jc w:val="center"/>
                    <w:rPr>
                      <w:rFonts w:hint="eastAsia"/>
                      <w:b w:val="0"/>
                      <w:bCs w:val="0"/>
                      <w:sz w:val="21"/>
                      <w:szCs w:val="21"/>
                      <w:highlight w:val="none"/>
                      <w:vertAlign w:val="baseline"/>
                      <w:lang w:val="en-US" w:eastAsia="zh-CN"/>
                    </w:rPr>
                  </w:pPr>
                  <w:r>
                    <w:rPr>
                      <w:rFonts w:hint="eastAsia"/>
                      <w:b w:val="0"/>
                      <w:bCs w:val="0"/>
                      <w:sz w:val="21"/>
                      <w:szCs w:val="21"/>
                      <w:highlight w:val="none"/>
                      <w:vertAlign w:val="baseline"/>
                      <w:lang w:val="en-US" w:eastAsia="zh-CN"/>
                    </w:rPr>
                    <w:t>80</w:t>
                  </w:r>
                </w:p>
              </w:tc>
              <w:tc>
                <w:tcPr>
                  <w:tcW w:w="1053" w:type="pct"/>
                  <w:tcBorders>
                    <w:tl2br w:val="nil"/>
                    <w:tr2bl w:val="nil"/>
                  </w:tcBorders>
                  <w:noWrap w:val="0"/>
                  <w:vAlign w:val="center"/>
                </w:tcPr>
                <w:p w14:paraId="17B9EAE3">
                  <w:pPr>
                    <w:keepNext w:val="0"/>
                    <w:keepLines w:val="0"/>
                    <w:suppressLineNumbers w:val="0"/>
                    <w:tabs>
                      <w:tab w:val="left" w:pos="8370"/>
                      <w:tab w:val="left" w:pos="8600"/>
                    </w:tabs>
                    <w:adjustRightInd w:val="0"/>
                    <w:snapToGrid w:val="0"/>
                    <w:spacing w:before="0" w:beforeAutospacing="0" w:after="0" w:afterAutospacing="0"/>
                    <w:ind w:left="0" w:right="0"/>
                    <w:jc w:val="center"/>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15</w:t>
                  </w:r>
                </w:p>
              </w:tc>
              <w:tc>
                <w:tcPr>
                  <w:tcW w:w="1406" w:type="dxa"/>
                  <w:tcBorders>
                    <w:tl2br w:val="nil"/>
                    <w:tr2bl w:val="nil"/>
                  </w:tcBorders>
                  <w:noWrap w:val="0"/>
                  <w:vAlign w:val="center"/>
                </w:tcPr>
                <w:p w14:paraId="03428D24">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cs="Times New Roman"/>
                      <w:i w:val="0"/>
                      <w:iCs w:val="0"/>
                      <w:color w:val="000000"/>
                      <w:kern w:val="0"/>
                      <w:sz w:val="21"/>
                      <w:szCs w:val="21"/>
                      <w:u w:val="none"/>
                      <w:lang w:val="en-US" w:eastAsia="zh-CN" w:bidi="ar"/>
                    </w:rPr>
                    <w:t>48.48</w:t>
                  </w:r>
                </w:p>
              </w:tc>
              <w:tc>
                <w:tcPr>
                  <w:tcW w:w="816" w:type="pct"/>
                  <w:vMerge w:val="continue"/>
                  <w:tcBorders>
                    <w:tl2br w:val="nil"/>
                    <w:tr2bl w:val="nil"/>
                  </w:tcBorders>
                  <w:noWrap w:val="0"/>
                  <w:vAlign w:val="center"/>
                </w:tcPr>
                <w:p w14:paraId="641BBE39">
                  <w:pPr>
                    <w:keepNext w:val="0"/>
                    <w:keepLines w:val="0"/>
                    <w:widowControl/>
                    <w:suppressLineNumbers w:val="0"/>
                    <w:spacing w:before="0" w:beforeAutospacing="0" w:after="0" w:afterAutospacing="0"/>
                    <w:ind w:left="0" w:right="0"/>
                    <w:jc w:val="center"/>
                    <w:textAlignment w:val="center"/>
                    <w:rPr>
                      <w:rFonts w:hint="eastAsia" w:cs="Times New Roman"/>
                      <w:i w:val="0"/>
                      <w:iCs w:val="0"/>
                      <w:color w:val="000000"/>
                      <w:kern w:val="0"/>
                      <w:sz w:val="21"/>
                      <w:szCs w:val="21"/>
                      <w:u w:val="none"/>
                      <w:lang w:val="en-US" w:eastAsia="zh-CN" w:bidi="ar"/>
                    </w:rPr>
                  </w:pPr>
                </w:p>
              </w:tc>
            </w:tr>
          </w:tbl>
          <w:p w14:paraId="608CFAAA">
            <w:pPr>
              <w:keepNext w:val="0"/>
              <w:keepLines w:val="0"/>
              <w:suppressLineNumbers w:val="0"/>
              <w:adjustRightInd w:val="0"/>
              <w:snapToGrid w:val="0"/>
              <w:spacing w:before="0" w:beforeAutospacing="0" w:after="0" w:afterAutospacing="0" w:line="440" w:lineRule="exact"/>
              <w:ind w:left="0" w:right="0" w:firstLine="480" w:firstLineChars="200"/>
              <w:jc w:val="both"/>
              <w:rPr>
                <w:rFonts w:hint="default"/>
                <w:sz w:val="24"/>
                <w:highlight w:val="none"/>
              </w:rPr>
            </w:pPr>
            <w:r>
              <w:rPr>
                <w:rFonts w:hint="eastAsia"/>
                <w:sz w:val="24"/>
                <w:highlight w:val="none"/>
              </w:rPr>
              <w:t>由上表可知，</w:t>
            </w:r>
            <w:r>
              <w:rPr>
                <w:rFonts w:hint="default"/>
                <w:sz w:val="24"/>
                <w:highlight w:val="none"/>
              </w:rPr>
              <w:t>经过车间</w:t>
            </w:r>
            <w:r>
              <w:rPr>
                <w:rFonts w:hint="eastAsia"/>
                <w:sz w:val="24"/>
                <w:highlight w:val="none"/>
                <w:lang w:val="en-US" w:eastAsia="zh-CN"/>
              </w:rPr>
              <w:t>封闭</w:t>
            </w:r>
            <w:r>
              <w:rPr>
                <w:rFonts w:hint="default"/>
                <w:sz w:val="24"/>
                <w:highlight w:val="none"/>
              </w:rPr>
              <w:t>、距离衰减等措施后，项目厂区四周噪声值</w:t>
            </w:r>
            <w:r>
              <w:rPr>
                <w:rFonts w:hint="eastAsia"/>
                <w:sz w:val="24"/>
                <w:highlight w:val="none"/>
              </w:rPr>
              <w:t>均</w:t>
            </w:r>
            <w:r>
              <w:rPr>
                <w:rFonts w:hint="default"/>
                <w:sz w:val="24"/>
                <w:highlight w:val="none"/>
              </w:rPr>
              <w:t>满足《工业企业厂界环境噪声排放标准》（GB12348-2008）</w:t>
            </w:r>
            <w:r>
              <w:rPr>
                <w:rFonts w:hint="eastAsia"/>
                <w:sz w:val="24"/>
                <w:highlight w:val="none"/>
                <w:lang w:val="en-US" w:eastAsia="zh-CN"/>
              </w:rPr>
              <w:t>2</w:t>
            </w:r>
            <w:r>
              <w:rPr>
                <w:rFonts w:hint="default"/>
                <w:sz w:val="24"/>
                <w:highlight w:val="none"/>
              </w:rPr>
              <w:t>类标准</w:t>
            </w:r>
            <w:r>
              <w:rPr>
                <w:rFonts w:hint="eastAsia"/>
                <w:sz w:val="24"/>
                <w:highlight w:val="none"/>
                <w:lang w:val="en-US" w:eastAsia="zh-CN"/>
              </w:rPr>
              <w:t>昼间60</w:t>
            </w:r>
            <w:r>
              <w:rPr>
                <w:rFonts w:hint="default"/>
                <w:sz w:val="24"/>
                <w:highlight w:val="none"/>
              </w:rPr>
              <w:t>dB（A）</w:t>
            </w:r>
            <w:r>
              <w:rPr>
                <w:rFonts w:hint="eastAsia"/>
                <w:sz w:val="24"/>
                <w:highlight w:val="none"/>
                <w:lang w:eastAsia="zh-CN"/>
              </w:rPr>
              <w:t>、</w:t>
            </w:r>
            <w:r>
              <w:rPr>
                <w:rFonts w:hint="eastAsia"/>
                <w:sz w:val="24"/>
                <w:highlight w:val="none"/>
                <w:lang w:val="en-US" w:eastAsia="zh-CN"/>
              </w:rPr>
              <w:t>夜间50</w:t>
            </w:r>
            <w:r>
              <w:rPr>
                <w:rFonts w:hint="default"/>
                <w:sz w:val="24"/>
                <w:highlight w:val="none"/>
              </w:rPr>
              <w:t>dB（A）的要求</w:t>
            </w:r>
            <w:r>
              <w:rPr>
                <w:rFonts w:hint="eastAsia"/>
                <w:sz w:val="24"/>
                <w:highlight w:val="none"/>
              </w:rPr>
              <w:t>。</w:t>
            </w:r>
          </w:p>
          <w:p w14:paraId="744BA4BB">
            <w:pPr>
              <w:keepNext w:val="0"/>
              <w:keepLines w:val="0"/>
              <w:suppressLineNumbers w:val="0"/>
              <w:tabs>
                <w:tab w:val="left" w:pos="3620"/>
              </w:tabs>
              <w:adjustRightInd w:val="0"/>
              <w:snapToGrid w:val="0"/>
              <w:spacing w:before="0" w:beforeAutospacing="0" w:after="0" w:afterAutospacing="0" w:line="440" w:lineRule="exact"/>
              <w:ind w:left="0" w:right="0" w:firstLine="480" w:firstLineChars="200"/>
              <w:rPr>
                <w:rFonts w:hint="default"/>
                <w:color w:val="auto"/>
                <w:sz w:val="24"/>
                <w:highlight w:val="none"/>
              </w:rPr>
            </w:pPr>
            <w:r>
              <w:rPr>
                <w:rFonts w:hint="eastAsia"/>
                <w:color w:val="auto"/>
                <w:sz w:val="24"/>
                <w:highlight w:val="none"/>
              </w:rPr>
              <w:t>根据</w:t>
            </w:r>
            <w:r>
              <w:rPr>
                <w:rFonts w:hint="eastAsia"/>
                <w:color w:val="auto"/>
                <w:sz w:val="24"/>
                <w:highlight w:val="none"/>
                <w:lang w:eastAsia="zh-CN"/>
              </w:rPr>
              <w:t>《</w:t>
            </w:r>
            <w:r>
              <w:rPr>
                <w:rFonts w:hint="eastAsia"/>
                <w:color w:val="auto"/>
                <w:sz w:val="24"/>
                <w:highlight w:val="none"/>
              </w:rPr>
              <w:t>排污许可证申请与核发技术规范 工业噪声</w:t>
            </w:r>
            <w:r>
              <w:rPr>
                <w:rFonts w:hint="eastAsia"/>
                <w:color w:val="auto"/>
                <w:sz w:val="24"/>
                <w:highlight w:val="none"/>
                <w:lang w:eastAsia="zh-CN"/>
              </w:rPr>
              <w:t>》</w:t>
            </w:r>
            <w:r>
              <w:rPr>
                <w:rFonts w:hint="eastAsia"/>
                <w:color w:val="auto"/>
                <w:sz w:val="24"/>
                <w:highlight w:val="none"/>
              </w:rPr>
              <w:t>（HJ 1301—2023）</w:t>
            </w:r>
            <w:r>
              <w:rPr>
                <w:rFonts w:hint="default"/>
                <w:color w:val="auto"/>
                <w:sz w:val="24"/>
                <w:highlight w:val="none"/>
              </w:rPr>
              <w:t>，本项目噪声监测要求见下表。</w:t>
            </w:r>
          </w:p>
          <w:p w14:paraId="4CE4B307">
            <w:pPr>
              <w:keepNext w:val="0"/>
              <w:keepLines w:val="0"/>
              <w:suppressLineNumbers w:val="0"/>
              <w:adjustRightInd w:val="0"/>
              <w:snapToGrid w:val="0"/>
              <w:spacing w:before="0" w:beforeAutospacing="0" w:after="0" w:afterAutospacing="0" w:line="420" w:lineRule="exact"/>
              <w:ind w:left="0" w:right="0"/>
              <w:jc w:val="center"/>
              <w:textAlignment w:val="baseline"/>
              <w:rPr>
                <w:rFonts w:hint="default" w:ascii="宋体" w:hAnsi="宋体"/>
                <w:b/>
                <w:color w:val="auto"/>
                <w:sz w:val="24"/>
                <w:highlight w:val="none"/>
              </w:rPr>
            </w:pPr>
            <w:r>
              <w:rPr>
                <w:rFonts w:hint="default" w:ascii="宋体" w:hAnsi="宋体"/>
                <w:b/>
                <w:color w:val="auto"/>
                <w:sz w:val="24"/>
                <w:highlight w:val="none"/>
              </w:rPr>
              <w:t>表</w:t>
            </w:r>
            <w:r>
              <w:rPr>
                <w:rFonts w:hint="eastAsia" w:cs="Times New Roman"/>
                <w:b/>
                <w:color w:val="auto"/>
                <w:sz w:val="24"/>
                <w:highlight w:val="none"/>
                <w:lang w:val="en-US" w:eastAsia="zh-CN"/>
              </w:rPr>
              <w:t>32</w:t>
            </w:r>
            <w:r>
              <w:rPr>
                <w:rFonts w:hint="eastAsia" w:ascii="宋体" w:hAnsi="宋体"/>
                <w:b/>
                <w:color w:val="auto"/>
                <w:sz w:val="24"/>
                <w:highlight w:val="none"/>
                <w:lang w:val="en-US" w:eastAsia="zh-CN"/>
              </w:rPr>
              <w:t xml:space="preserve">  </w:t>
            </w:r>
            <w:r>
              <w:rPr>
                <w:rFonts w:hint="default" w:ascii="宋体" w:hAnsi="宋体"/>
                <w:b/>
                <w:color w:val="auto"/>
                <w:sz w:val="24"/>
                <w:highlight w:val="none"/>
              </w:rPr>
              <w:t>本项目噪声监测要求</w:t>
            </w:r>
          </w:p>
          <w:tbl>
            <w:tblPr>
              <w:tblStyle w:val="22"/>
              <w:tblW w:w="5000" w:type="pct"/>
              <w:tblInd w:w="0" w:type="dxa"/>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85"/>
              <w:gridCol w:w="1883"/>
              <w:gridCol w:w="2597"/>
              <w:gridCol w:w="2251"/>
            </w:tblGrid>
            <w:tr w14:paraId="41F4CBBB">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94" w:type="pct"/>
                  <w:tcBorders>
                    <w:bottom w:val="single" w:color="auto" w:sz="8" w:space="0"/>
                    <w:right w:val="single" w:color="auto" w:sz="4" w:space="0"/>
                  </w:tcBorders>
                  <w:noWrap w:val="0"/>
                  <w:vAlign w:val="center"/>
                </w:tcPr>
                <w:p w14:paraId="307982FD">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污染物</w:t>
                  </w:r>
                </w:p>
              </w:tc>
              <w:tc>
                <w:tcPr>
                  <w:tcW w:w="1093" w:type="pct"/>
                  <w:tcBorders>
                    <w:left w:val="single" w:color="auto" w:sz="4" w:space="0"/>
                    <w:bottom w:val="single" w:color="auto" w:sz="8" w:space="0"/>
                    <w:right w:val="single" w:color="auto" w:sz="4" w:space="0"/>
                  </w:tcBorders>
                  <w:noWrap w:val="0"/>
                  <w:vAlign w:val="center"/>
                </w:tcPr>
                <w:p w14:paraId="04E2F362">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监测点位</w:t>
                  </w:r>
                </w:p>
              </w:tc>
              <w:tc>
                <w:tcPr>
                  <w:tcW w:w="1507" w:type="pct"/>
                  <w:tcBorders>
                    <w:left w:val="single" w:color="auto" w:sz="4" w:space="0"/>
                    <w:bottom w:val="single" w:color="auto" w:sz="8" w:space="0"/>
                    <w:right w:val="single" w:color="auto" w:sz="4" w:space="0"/>
                  </w:tcBorders>
                  <w:noWrap w:val="0"/>
                  <w:vAlign w:val="center"/>
                </w:tcPr>
                <w:p w14:paraId="28756A90">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监测因子</w:t>
                  </w:r>
                </w:p>
              </w:tc>
              <w:tc>
                <w:tcPr>
                  <w:tcW w:w="1307" w:type="pct"/>
                  <w:tcBorders>
                    <w:left w:val="single" w:color="auto" w:sz="4" w:space="0"/>
                    <w:bottom w:val="single" w:color="auto" w:sz="8" w:space="0"/>
                  </w:tcBorders>
                  <w:noWrap w:val="0"/>
                  <w:vAlign w:val="center"/>
                </w:tcPr>
                <w:p w14:paraId="1FA41055">
                  <w:pPr>
                    <w:keepNext w:val="0"/>
                    <w:keepLines w:val="0"/>
                    <w:suppressLineNumbers w:val="0"/>
                    <w:tabs>
                      <w:tab w:val="left" w:pos="3620"/>
                    </w:tabs>
                    <w:adjustRightInd w:val="0"/>
                    <w:snapToGrid w:val="0"/>
                    <w:spacing w:before="0" w:beforeAutospacing="0" w:after="0" w:afterAutospacing="0"/>
                    <w:ind w:left="0" w:right="0"/>
                    <w:jc w:val="center"/>
                    <w:rPr>
                      <w:rFonts w:hint="default"/>
                      <w:b/>
                      <w:color w:val="auto"/>
                      <w:sz w:val="21"/>
                      <w:szCs w:val="21"/>
                      <w:highlight w:val="none"/>
                    </w:rPr>
                  </w:pPr>
                  <w:r>
                    <w:rPr>
                      <w:rFonts w:hint="default" w:hAnsi="宋体"/>
                      <w:b/>
                      <w:color w:val="auto"/>
                      <w:sz w:val="21"/>
                      <w:szCs w:val="21"/>
                      <w:highlight w:val="none"/>
                    </w:rPr>
                    <w:t>监测频率</w:t>
                  </w:r>
                </w:p>
              </w:tc>
            </w:tr>
            <w:tr w14:paraId="347250DF">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094" w:type="pct"/>
                  <w:tcBorders>
                    <w:top w:val="single" w:color="auto" w:sz="8" w:space="0"/>
                  </w:tcBorders>
                  <w:noWrap w:val="0"/>
                  <w:vAlign w:val="center"/>
                </w:tcPr>
                <w:p w14:paraId="2F6A39FE">
                  <w:pPr>
                    <w:keepNext w:val="0"/>
                    <w:keepLines w:val="0"/>
                    <w:suppressLineNumbers w:val="0"/>
                    <w:tabs>
                      <w:tab w:val="left" w:pos="3620"/>
                    </w:tabs>
                    <w:adjustRightInd w:val="0"/>
                    <w:snapToGrid w:val="0"/>
                    <w:spacing w:before="0" w:beforeAutospacing="0" w:after="0" w:afterAutospacing="0"/>
                    <w:ind w:left="0" w:right="0"/>
                    <w:jc w:val="center"/>
                    <w:rPr>
                      <w:rFonts w:hint="default"/>
                      <w:color w:val="auto"/>
                      <w:sz w:val="21"/>
                      <w:szCs w:val="21"/>
                      <w:highlight w:val="none"/>
                    </w:rPr>
                  </w:pPr>
                  <w:r>
                    <w:rPr>
                      <w:rFonts w:hint="default" w:hAnsi="宋体"/>
                      <w:color w:val="auto"/>
                      <w:sz w:val="21"/>
                      <w:szCs w:val="21"/>
                      <w:highlight w:val="none"/>
                    </w:rPr>
                    <w:t>噪声</w:t>
                  </w:r>
                </w:p>
              </w:tc>
              <w:tc>
                <w:tcPr>
                  <w:tcW w:w="1093" w:type="pct"/>
                  <w:tcBorders>
                    <w:top w:val="single" w:color="auto" w:sz="8" w:space="0"/>
                  </w:tcBorders>
                  <w:noWrap w:val="0"/>
                  <w:vAlign w:val="center"/>
                </w:tcPr>
                <w:p w14:paraId="665776A5">
                  <w:pPr>
                    <w:keepNext w:val="0"/>
                    <w:keepLines w:val="0"/>
                    <w:suppressLineNumbers w:val="0"/>
                    <w:tabs>
                      <w:tab w:val="left" w:pos="3620"/>
                    </w:tabs>
                    <w:adjustRightInd w:val="0"/>
                    <w:snapToGrid w:val="0"/>
                    <w:spacing w:before="0" w:beforeAutospacing="0" w:after="0" w:afterAutospacing="0"/>
                    <w:ind w:left="0" w:right="0"/>
                    <w:jc w:val="center"/>
                    <w:rPr>
                      <w:rFonts w:hint="default"/>
                      <w:color w:val="auto"/>
                      <w:sz w:val="21"/>
                      <w:szCs w:val="21"/>
                      <w:highlight w:val="none"/>
                      <w:lang w:val="en-GB"/>
                    </w:rPr>
                  </w:pPr>
                  <w:r>
                    <w:rPr>
                      <w:rFonts w:hint="default" w:hAnsi="宋体"/>
                      <w:color w:val="auto"/>
                      <w:sz w:val="21"/>
                      <w:szCs w:val="21"/>
                      <w:highlight w:val="none"/>
                      <w:lang w:val="en-GB"/>
                    </w:rPr>
                    <w:t>厂界四周外</w:t>
                  </w:r>
                  <w:r>
                    <w:rPr>
                      <w:rFonts w:hint="default"/>
                      <w:color w:val="auto"/>
                      <w:sz w:val="21"/>
                      <w:szCs w:val="21"/>
                      <w:highlight w:val="none"/>
                      <w:lang w:val="en-GB"/>
                    </w:rPr>
                    <w:t>1</w:t>
                  </w:r>
                  <w:r>
                    <w:rPr>
                      <w:rFonts w:hint="default" w:hAnsi="宋体"/>
                      <w:color w:val="auto"/>
                      <w:sz w:val="21"/>
                      <w:szCs w:val="21"/>
                      <w:highlight w:val="none"/>
                      <w:lang w:val="en-GB"/>
                    </w:rPr>
                    <w:t>米</w:t>
                  </w:r>
                </w:p>
              </w:tc>
              <w:tc>
                <w:tcPr>
                  <w:tcW w:w="1507" w:type="pct"/>
                  <w:tcBorders>
                    <w:top w:val="single" w:color="auto" w:sz="8" w:space="0"/>
                  </w:tcBorders>
                  <w:noWrap w:val="0"/>
                  <w:vAlign w:val="center"/>
                </w:tcPr>
                <w:p w14:paraId="5971262A">
                  <w:pPr>
                    <w:keepNext w:val="0"/>
                    <w:keepLines w:val="0"/>
                    <w:suppressLineNumbers w:val="0"/>
                    <w:tabs>
                      <w:tab w:val="left" w:pos="3620"/>
                    </w:tabs>
                    <w:adjustRightInd w:val="0"/>
                    <w:snapToGrid w:val="0"/>
                    <w:spacing w:before="0" w:beforeAutospacing="0" w:after="0" w:afterAutospacing="0"/>
                    <w:ind w:left="0" w:right="0"/>
                    <w:jc w:val="center"/>
                    <w:rPr>
                      <w:rFonts w:hint="default"/>
                      <w:color w:val="auto"/>
                      <w:sz w:val="21"/>
                      <w:szCs w:val="21"/>
                      <w:highlight w:val="none"/>
                      <w:lang w:val="en-GB"/>
                    </w:rPr>
                  </w:pPr>
                  <w:r>
                    <w:rPr>
                      <w:rFonts w:hint="default" w:hAnsi="宋体"/>
                      <w:color w:val="auto"/>
                      <w:sz w:val="21"/>
                      <w:szCs w:val="21"/>
                      <w:highlight w:val="none"/>
                      <w:lang w:val="en-GB"/>
                    </w:rPr>
                    <w:t>等效连续</w:t>
                  </w:r>
                  <w:r>
                    <w:rPr>
                      <w:rFonts w:hint="default"/>
                      <w:color w:val="auto"/>
                      <w:sz w:val="21"/>
                      <w:szCs w:val="21"/>
                      <w:highlight w:val="none"/>
                      <w:lang w:val="en-GB"/>
                    </w:rPr>
                    <w:t>A</w:t>
                  </w:r>
                  <w:r>
                    <w:rPr>
                      <w:rFonts w:hint="default" w:hAnsi="宋体"/>
                      <w:color w:val="auto"/>
                      <w:sz w:val="21"/>
                      <w:szCs w:val="21"/>
                      <w:highlight w:val="none"/>
                      <w:lang w:val="en-GB"/>
                    </w:rPr>
                    <w:t>声级</w:t>
                  </w:r>
                </w:p>
              </w:tc>
              <w:tc>
                <w:tcPr>
                  <w:tcW w:w="1307" w:type="pct"/>
                  <w:tcBorders>
                    <w:top w:val="single" w:color="auto" w:sz="8" w:space="0"/>
                  </w:tcBorders>
                  <w:noWrap w:val="0"/>
                  <w:vAlign w:val="center"/>
                </w:tcPr>
                <w:p w14:paraId="1A1AFA3C">
                  <w:pPr>
                    <w:keepNext w:val="0"/>
                    <w:keepLines w:val="0"/>
                    <w:suppressLineNumbers w:val="0"/>
                    <w:tabs>
                      <w:tab w:val="left" w:pos="3620"/>
                    </w:tabs>
                    <w:adjustRightInd w:val="0"/>
                    <w:snapToGrid w:val="0"/>
                    <w:spacing w:before="0" w:beforeAutospacing="0" w:after="0" w:afterAutospacing="0"/>
                    <w:ind w:left="0" w:right="0"/>
                    <w:jc w:val="center"/>
                    <w:rPr>
                      <w:rFonts w:hint="default"/>
                      <w:color w:val="auto"/>
                      <w:sz w:val="21"/>
                      <w:szCs w:val="21"/>
                      <w:highlight w:val="none"/>
                      <w:lang w:val="en-GB"/>
                    </w:rPr>
                  </w:pPr>
                  <w:r>
                    <w:rPr>
                      <w:rFonts w:hint="default" w:hAnsi="宋体"/>
                      <w:color w:val="auto"/>
                      <w:sz w:val="21"/>
                      <w:szCs w:val="21"/>
                      <w:highlight w:val="none"/>
                      <w:lang w:val="en-GB"/>
                    </w:rPr>
                    <w:t>每季度</w:t>
                  </w:r>
                  <w:r>
                    <w:rPr>
                      <w:rFonts w:hint="default" w:hAnsi="宋体"/>
                      <w:color w:val="auto"/>
                      <w:sz w:val="21"/>
                      <w:szCs w:val="21"/>
                      <w:highlight w:val="none"/>
                    </w:rPr>
                    <w:t>一</w:t>
                  </w:r>
                  <w:r>
                    <w:rPr>
                      <w:rFonts w:hint="default" w:hAnsi="宋体"/>
                      <w:color w:val="auto"/>
                      <w:sz w:val="21"/>
                      <w:szCs w:val="21"/>
                      <w:highlight w:val="none"/>
                      <w:lang w:val="en-GB"/>
                    </w:rPr>
                    <w:t>次</w:t>
                  </w:r>
                </w:p>
              </w:tc>
            </w:tr>
          </w:tbl>
          <w:p w14:paraId="0ADB1CA3">
            <w:pPr>
              <w:keepNext w:val="0"/>
              <w:keepLines w:val="0"/>
              <w:suppressLineNumbers w:val="0"/>
              <w:shd w:val="clear"/>
              <w:tabs>
                <w:tab w:val="left" w:pos="3620"/>
              </w:tabs>
              <w:adjustRightInd w:val="0"/>
              <w:snapToGrid w:val="0"/>
              <w:spacing w:before="0" w:beforeAutospacing="0" w:after="0" w:afterAutospacing="0" w:line="440" w:lineRule="exact"/>
              <w:ind w:left="0" w:right="0" w:firstLine="482" w:firstLineChars="200"/>
              <w:rPr>
                <w:rFonts w:hint="default"/>
                <w:color w:val="auto"/>
                <w:sz w:val="24"/>
                <w:highlight w:val="none"/>
                <w:lang w:val="en-US" w:eastAsia="zh-CN"/>
              </w:rPr>
            </w:pPr>
            <w:r>
              <w:rPr>
                <w:rFonts w:hint="eastAsia" w:ascii="宋体" w:hAnsi="宋体"/>
                <w:b/>
                <w:sz w:val="24"/>
                <w:highlight w:val="none"/>
              </w:rPr>
              <w:t>四、固废</w:t>
            </w:r>
          </w:p>
          <w:p w14:paraId="25CB350F">
            <w:pPr>
              <w:keepNext w:val="0"/>
              <w:keepLines w:val="0"/>
              <w:pageBreakBefore w:val="0"/>
              <w:widowControl w:val="0"/>
              <w:suppressLineNumbers w:val="0"/>
              <w:kinsoku/>
              <w:wordWrap/>
              <w:overflowPunct/>
              <w:topLinePunct w:val="0"/>
              <w:bidi w:val="0"/>
              <w:snapToGrid/>
              <w:spacing w:before="0" w:beforeAutospacing="0" w:after="0" w:afterAutospacing="0" w:line="440" w:lineRule="exact"/>
              <w:ind w:left="0" w:right="0" w:firstLine="480" w:firstLineChars="200"/>
              <w:contextualSpacing/>
              <w:textAlignment w:val="auto"/>
              <w:rPr>
                <w:rFonts w:hint="eastAsia"/>
                <w:color w:val="auto"/>
                <w:sz w:val="24"/>
              </w:rPr>
            </w:pPr>
            <w:r>
              <w:rPr>
                <w:rFonts w:hint="eastAsia"/>
                <w:color w:val="auto"/>
                <w:sz w:val="24"/>
                <w:lang w:val="en-US" w:eastAsia="zh-CN"/>
              </w:rPr>
              <w:t>本项目运营期固体废物包括一般固废和危险废物。一般固废主要为淋膜环节产生的废包装袋和分切、模切工序产生的废边角料；危险废物主要为印刷工序产生的废包装桶、废柔印版、废抹布及废气处理措施产生的废活性炭和废催化剂</w:t>
            </w:r>
            <w:r>
              <w:rPr>
                <w:rFonts w:hint="eastAsia"/>
                <w:color w:val="auto"/>
                <w:sz w:val="24"/>
              </w:rPr>
              <w:t>。</w:t>
            </w:r>
          </w:p>
          <w:p w14:paraId="041CD9BE">
            <w:pPr>
              <w:keepNext w:val="0"/>
              <w:keepLines w:val="0"/>
              <w:suppressLineNumbers w:val="0"/>
              <w:adjustRightInd w:val="0"/>
              <w:snapToGrid w:val="0"/>
              <w:spacing w:before="0" w:beforeAutospacing="0" w:after="0" w:afterAutospacing="0" w:line="440" w:lineRule="exact"/>
              <w:ind w:left="0" w:right="0" w:firstLine="482" w:firstLineChars="200"/>
              <w:rPr>
                <w:rFonts w:hint="default" w:ascii="Times New Roman" w:hAnsi="Times New Roman" w:eastAsia="宋体" w:cs="Times New Roman"/>
                <w:b/>
                <w:bCs/>
                <w:color w:val="auto"/>
                <w:sz w:val="24"/>
                <w:lang w:val="en-US" w:eastAsia="zh-CN"/>
              </w:rPr>
            </w:pPr>
            <w:r>
              <w:rPr>
                <w:rFonts w:hint="eastAsia" w:cs="Times New Roman"/>
                <w:b/>
                <w:bCs/>
                <w:color w:val="auto"/>
                <w:sz w:val="24"/>
                <w:lang w:val="en-US" w:eastAsia="zh-CN"/>
              </w:rPr>
              <w:t>1、一般固废</w:t>
            </w:r>
          </w:p>
          <w:p w14:paraId="13AADE28">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废包装物：根据企业提供材料，原料包装材</w:t>
            </w:r>
            <w:r>
              <w:rPr>
                <w:rFonts w:hint="eastAsia"/>
                <w:sz w:val="24"/>
                <w:highlight w:val="none"/>
                <w:lang w:val="en-US" w:eastAsia="zh-CN"/>
              </w:rPr>
              <w:t>料总产生量约为25t/a</w:t>
            </w:r>
            <w:r>
              <w:rPr>
                <w:rFonts w:hint="eastAsia"/>
                <w:sz w:val="24"/>
                <w:lang w:val="en-US" w:eastAsia="zh-CN"/>
              </w:rPr>
              <w:t>，属于一般固废，经集中收集后一般固废暂存间暂存，定期出售。</w:t>
            </w:r>
          </w:p>
          <w:p w14:paraId="4BA49238">
            <w:pPr>
              <w:keepNext w:val="0"/>
              <w:keepLines w:val="0"/>
              <w:suppressLineNumbers w:val="0"/>
              <w:adjustRightInd w:val="0"/>
              <w:snapToGrid w:val="0"/>
              <w:spacing w:before="0" w:beforeAutospacing="0" w:after="0" w:afterAutospacing="0" w:line="440" w:lineRule="exact"/>
              <w:ind w:left="0" w:right="0" w:firstLine="480" w:firstLineChars="200"/>
              <w:jc w:val="both"/>
              <w:rPr>
                <w:rFonts w:hint="default"/>
                <w:sz w:val="24"/>
                <w:lang w:val="en-US" w:eastAsia="zh-CN"/>
              </w:rPr>
            </w:pPr>
            <w:r>
              <w:rPr>
                <w:rFonts w:hint="eastAsia"/>
                <w:sz w:val="24"/>
                <w:lang w:val="en-US" w:eastAsia="zh-CN"/>
              </w:rPr>
              <w:t>废边角料：本项目分切和模切工序产生废</w:t>
            </w:r>
            <w:r>
              <w:rPr>
                <w:rFonts w:hint="eastAsia"/>
                <w:sz w:val="24"/>
                <w:highlight w:val="none"/>
                <w:lang w:val="en-US" w:eastAsia="zh-CN"/>
              </w:rPr>
              <w:t>边角料，废边角料产生量为11.6t/a，</w:t>
            </w:r>
            <w:r>
              <w:rPr>
                <w:rFonts w:hint="eastAsia"/>
                <w:sz w:val="24"/>
                <w:lang w:val="en-US" w:eastAsia="zh-CN"/>
              </w:rPr>
              <w:t>经收集后一般固废暂存间暂存，定期出售。</w:t>
            </w:r>
          </w:p>
          <w:p w14:paraId="2C135722">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评价要求：企业应严格按照《一般工业固体废物贮存和填埋污染控制标准》（GB18599-2020）的相关要求对一般固废进行暂存，本项目设置一般固废暂存间（面积为20m</w:t>
            </w:r>
            <w:r>
              <w:rPr>
                <w:rFonts w:hint="eastAsia"/>
                <w:sz w:val="24"/>
                <w:vertAlign w:val="superscript"/>
                <w:lang w:val="en-US" w:eastAsia="zh-CN"/>
              </w:rPr>
              <w:t>2</w:t>
            </w:r>
            <w:r>
              <w:rPr>
                <w:rFonts w:hint="eastAsia"/>
                <w:sz w:val="24"/>
                <w:lang w:val="en-US" w:eastAsia="zh-CN"/>
              </w:rPr>
              <w:t>），一般固废暂存间做到防风、防雨、防渗漏等措施。综上所述，本项目所产生的固体废物经收集后外可以妥善处理，能够避免固体废物排放对环境的二次污染，不会对当地环境产生不利影响。</w:t>
            </w:r>
          </w:p>
          <w:p w14:paraId="1B493133">
            <w:pPr>
              <w:keepNext w:val="0"/>
              <w:keepLines w:val="0"/>
              <w:suppressLineNumbers w:val="0"/>
              <w:adjustRightInd w:val="0"/>
              <w:snapToGrid w:val="0"/>
              <w:spacing w:before="0" w:beforeAutospacing="0" w:after="0" w:afterAutospacing="0" w:line="440" w:lineRule="exact"/>
              <w:ind w:left="0" w:right="0" w:firstLine="482" w:firstLineChars="200"/>
              <w:rPr>
                <w:rFonts w:hint="default" w:ascii="Times New Roman" w:hAnsi="Times New Roman" w:eastAsia="宋体" w:cs="Times New Roman"/>
                <w:b/>
                <w:bCs/>
                <w:color w:val="auto"/>
                <w:sz w:val="24"/>
                <w:lang w:val="en-US" w:eastAsia="zh-CN"/>
              </w:rPr>
            </w:pPr>
            <w:r>
              <w:rPr>
                <w:rFonts w:hint="eastAsia" w:cs="Times New Roman"/>
                <w:b/>
                <w:bCs/>
                <w:color w:val="auto"/>
                <w:sz w:val="24"/>
                <w:lang w:val="en-US" w:eastAsia="zh-CN"/>
              </w:rPr>
              <w:t>2、危险废物</w:t>
            </w:r>
          </w:p>
          <w:p w14:paraId="416ADC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eastAsia"/>
                <w:color w:val="auto"/>
                <w:sz w:val="24"/>
                <w:lang w:val="en-US"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rFonts w:hint="eastAsia"/>
                <w:color w:val="auto"/>
                <w:sz w:val="24"/>
                <w:lang w:val="en-US" w:eastAsia="zh-CN"/>
              </w:rPr>
              <w:t>废活性炭：</w:t>
            </w:r>
          </w:p>
          <w:p w14:paraId="06FBD0E4">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ascii="Times New Roman" w:hAnsi="Times New Roman" w:eastAsia="宋体" w:cs="Times New Roman"/>
                <w:color w:val="auto"/>
                <w:sz w:val="24"/>
                <w:lang w:eastAsia="zh-CN"/>
              </w:rPr>
            </w:pPr>
            <w:r>
              <w:rPr>
                <w:rFonts w:hint="eastAsia" w:cs="Times New Roman"/>
                <w:color w:val="auto"/>
                <w:sz w:val="24"/>
                <w:lang w:val="en-US" w:eastAsia="zh-CN"/>
              </w:rPr>
              <w:t>本项目有机废气经一套</w:t>
            </w:r>
            <w:r>
              <w:rPr>
                <w:rFonts w:hint="eastAsia"/>
                <w:color w:val="auto"/>
                <w:sz w:val="24"/>
                <w:lang w:val="en-US" w:eastAsia="zh-CN"/>
              </w:rPr>
              <w:t>活性炭吸附脱附+催化燃烧装置</w:t>
            </w:r>
            <w:r>
              <w:rPr>
                <w:rFonts w:hint="eastAsia" w:cs="Times New Roman"/>
                <w:color w:val="auto"/>
                <w:sz w:val="24"/>
                <w:lang w:val="en-US" w:eastAsia="zh-CN"/>
              </w:rPr>
              <w:t>进行处理，产生废活性炭</w:t>
            </w:r>
            <w:r>
              <w:rPr>
                <w:rFonts w:hint="eastAsia" w:ascii="Times New Roman" w:hAnsi="Times New Roman" w:eastAsia="宋体" w:cs="Times New Roman"/>
                <w:color w:val="auto"/>
                <w:sz w:val="24"/>
                <w:highlight w:val="none"/>
                <w:lang w:eastAsia="zh-CN"/>
              </w:rPr>
              <w:t>。项目活性炭装载量</w:t>
            </w:r>
            <w:r>
              <w:rPr>
                <w:rFonts w:hint="eastAsia" w:cs="Times New Roman"/>
                <w:color w:val="auto"/>
                <w:sz w:val="24"/>
                <w:highlight w:val="none"/>
                <w:lang w:val="en-US" w:eastAsia="zh-CN"/>
              </w:rPr>
              <w:t>约</w:t>
            </w:r>
            <w:r>
              <w:rPr>
                <w:rFonts w:hint="eastAsia" w:ascii="Times New Roman" w:hAnsi="Times New Roman" w:eastAsia="宋体" w:cs="Times New Roman"/>
                <w:color w:val="auto"/>
                <w:sz w:val="24"/>
                <w:highlight w:val="none"/>
                <w:lang w:eastAsia="zh-CN"/>
              </w:rPr>
              <w:t>为0.</w:t>
            </w:r>
            <w:r>
              <w:rPr>
                <w:rFonts w:hint="eastAsia" w:cs="Times New Roman"/>
                <w:color w:val="auto"/>
                <w:sz w:val="24"/>
                <w:highlight w:val="none"/>
                <w:lang w:val="en-US" w:eastAsia="zh-CN"/>
              </w:rPr>
              <w:t>6</w:t>
            </w:r>
            <w:r>
              <w:rPr>
                <w:rFonts w:hint="eastAsia" w:ascii="Times New Roman" w:hAnsi="Times New Roman" w:eastAsia="宋体" w:cs="Times New Roman"/>
                <w:color w:val="auto"/>
                <w:sz w:val="24"/>
                <w:highlight w:val="none"/>
                <w:lang w:eastAsia="zh-CN"/>
              </w:rPr>
              <w:t>t/套(共</w:t>
            </w:r>
            <w:r>
              <w:rPr>
                <w:rFonts w:hint="eastAsia" w:cs="Times New Roman"/>
                <w:color w:val="auto"/>
                <w:sz w:val="24"/>
                <w:highlight w:val="none"/>
                <w:lang w:val="en-US" w:eastAsia="zh-CN"/>
              </w:rPr>
              <w:t>1</w:t>
            </w:r>
            <w:r>
              <w:rPr>
                <w:rFonts w:hint="eastAsia" w:ascii="Times New Roman" w:hAnsi="Times New Roman" w:eastAsia="宋体" w:cs="Times New Roman"/>
                <w:color w:val="auto"/>
                <w:sz w:val="24"/>
                <w:highlight w:val="none"/>
                <w:lang w:eastAsia="zh-CN"/>
              </w:rPr>
              <w:t>套)，更换量为0.</w:t>
            </w:r>
            <w:r>
              <w:rPr>
                <w:rFonts w:hint="eastAsia" w:cs="Times New Roman"/>
                <w:color w:val="auto"/>
                <w:sz w:val="24"/>
                <w:highlight w:val="none"/>
                <w:lang w:val="en-US" w:eastAsia="zh-CN"/>
              </w:rPr>
              <w:t>6</w:t>
            </w:r>
            <w:r>
              <w:rPr>
                <w:rFonts w:hint="eastAsia" w:ascii="Times New Roman" w:hAnsi="Times New Roman" w:eastAsia="宋体" w:cs="Times New Roman"/>
                <w:color w:val="auto"/>
                <w:sz w:val="24"/>
                <w:highlight w:val="none"/>
                <w:lang w:eastAsia="zh-CN"/>
              </w:rPr>
              <w:t>t</w:t>
            </w:r>
            <w:r>
              <w:rPr>
                <w:rFonts w:hint="eastAsia" w:cs="Times New Roman"/>
                <w:color w:val="auto"/>
                <w:sz w:val="24"/>
                <w:highlight w:val="none"/>
                <w:lang w:val="en-US" w:eastAsia="zh-CN"/>
              </w:rPr>
              <w:t>/2a（</w:t>
            </w:r>
            <w:r>
              <w:rPr>
                <w:rFonts w:hint="eastAsia" w:ascii="Times New Roman" w:hAnsi="Times New Roman" w:eastAsia="宋体" w:cs="Times New Roman"/>
                <w:color w:val="auto"/>
                <w:sz w:val="24"/>
                <w:highlight w:val="none"/>
                <w:lang w:eastAsia="zh-CN"/>
              </w:rPr>
              <w:t>0.</w:t>
            </w:r>
            <w:r>
              <w:rPr>
                <w:rFonts w:hint="eastAsia" w:cs="Times New Roman"/>
                <w:color w:val="auto"/>
                <w:sz w:val="24"/>
                <w:highlight w:val="none"/>
                <w:lang w:val="en-US" w:eastAsia="zh-CN"/>
              </w:rPr>
              <w:t>3</w:t>
            </w:r>
            <w:r>
              <w:rPr>
                <w:rFonts w:hint="eastAsia" w:ascii="Times New Roman" w:hAnsi="Times New Roman" w:eastAsia="宋体" w:cs="Times New Roman"/>
                <w:color w:val="auto"/>
                <w:sz w:val="24"/>
                <w:highlight w:val="none"/>
                <w:lang w:eastAsia="zh-CN"/>
              </w:rPr>
              <w:t>t</w:t>
            </w:r>
            <w:r>
              <w:rPr>
                <w:rFonts w:hint="eastAsia" w:cs="Times New Roman"/>
                <w:color w:val="auto"/>
                <w:sz w:val="24"/>
                <w:highlight w:val="none"/>
                <w:lang w:val="en-US" w:eastAsia="zh-CN"/>
              </w:rPr>
              <w:t>/a），故本项目活性炭产生量为0.3t/a。</w:t>
            </w:r>
            <w:r>
              <w:rPr>
                <w:rFonts w:hint="eastAsia" w:ascii="Times New Roman" w:hAnsi="Times New Roman" w:eastAsia="宋体" w:cs="Times New Roman"/>
                <w:color w:val="auto"/>
                <w:sz w:val="24"/>
                <w:lang w:eastAsia="zh-CN"/>
              </w:rPr>
              <w:t>根据《国家危险废物名录》（202</w:t>
            </w:r>
            <w:r>
              <w:rPr>
                <w:rFonts w:hint="eastAsia" w:cs="Times New Roman"/>
                <w:color w:val="auto"/>
                <w:sz w:val="24"/>
                <w:lang w:val="en-US" w:eastAsia="zh-CN"/>
              </w:rPr>
              <w:t>5</w:t>
            </w:r>
            <w:r>
              <w:rPr>
                <w:rFonts w:hint="eastAsia" w:ascii="Times New Roman" w:hAnsi="Times New Roman" w:eastAsia="宋体" w:cs="Times New Roman"/>
                <w:color w:val="auto"/>
                <w:sz w:val="24"/>
                <w:lang w:eastAsia="zh-CN"/>
              </w:rPr>
              <w:t>年版）可知，废活性炭属于《国家危险废物名录》中HW49“其他废物”，废物代码为“900-039-49”“VOC</w:t>
            </w:r>
            <w:r>
              <w:rPr>
                <w:rFonts w:hint="eastAsia" w:ascii="Times New Roman" w:hAnsi="Times New Roman" w:eastAsia="宋体" w:cs="Times New Roman"/>
                <w:color w:val="auto"/>
                <w:sz w:val="24"/>
                <w:vertAlign w:val="subscript"/>
                <w:lang w:val="en-US" w:eastAsia="zh-CN"/>
              </w:rPr>
              <w:t>S</w:t>
            </w:r>
            <w:r>
              <w:rPr>
                <w:rFonts w:hint="eastAsia" w:ascii="Times New Roman" w:hAnsi="Times New Roman" w:eastAsia="宋体" w:cs="Times New Roman"/>
                <w:color w:val="auto"/>
                <w:sz w:val="24"/>
                <w:lang w:eastAsia="zh-CN"/>
              </w:rPr>
              <w:t>治理过程（不包括餐饮行业油烟治理过程）产生的废活性炭”，废活性炭集中收集后暂存于危险废物暂存间，</w:t>
            </w:r>
            <w:r>
              <w:rPr>
                <w:rFonts w:hint="eastAsia"/>
                <w:bCs/>
                <w:color w:val="000000"/>
                <w:sz w:val="24"/>
              </w:rPr>
              <w:t>定期交由有资质的单位处置</w:t>
            </w:r>
            <w:r>
              <w:rPr>
                <w:rFonts w:hint="eastAsia" w:cs="Times New Roman"/>
                <w:color w:val="auto"/>
                <w:sz w:val="24"/>
                <w:lang w:eastAsia="zh-CN"/>
              </w:rPr>
              <w:t>。</w:t>
            </w:r>
          </w:p>
          <w:p w14:paraId="36E941E2">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440" w:lineRule="exact"/>
              <w:ind w:left="480" w:leftChars="200" w:right="0" w:rightChars="0"/>
              <w:jc w:val="both"/>
              <w:textAlignment w:val="auto"/>
              <w:rPr>
                <w:rFonts w:hint="eastAsia" w:cs="Times New Roman"/>
                <w:color w:val="auto"/>
                <w:sz w:val="24"/>
                <w:lang w:val="en-US" w:eastAsia="zh-CN"/>
              </w:rPr>
            </w:pPr>
            <w:r>
              <w:rPr>
                <w:rFonts w:hint="eastAsia" w:cs="Times New Roman"/>
                <w:color w:val="auto"/>
                <w:sz w:val="24"/>
                <w:lang w:val="en-US" w:eastAsia="zh-CN"/>
              </w:rPr>
              <w:t>（2）废催化剂：</w:t>
            </w:r>
          </w:p>
          <w:p w14:paraId="13BCE20D">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cs="Times New Roman"/>
                <w:color w:val="auto"/>
                <w:sz w:val="24"/>
                <w:lang w:eastAsia="zh-CN"/>
              </w:rPr>
            </w:pPr>
            <w:r>
              <w:rPr>
                <w:rFonts w:hint="eastAsia" w:hAnsi="宋体"/>
                <w:color w:val="auto"/>
                <w:sz w:val="24"/>
              </w:rPr>
              <w:t>本项目</w:t>
            </w:r>
            <w:r>
              <w:rPr>
                <w:rFonts w:hint="eastAsia"/>
                <w:color w:val="auto"/>
                <w:sz w:val="24"/>
              </w:rPr>
              <w:t>“活性炭吸附脱附+催化燃烧”装置</w:t>
            </w:r>
            <w:r>
              <w:rPr>
                <w:rFonts w:hint="eastAsia" w:hAnsi="宋体"/>
                <w:color w:val="auto"/>
                <w:sz w:val="24"/>
              </w:rPr>
              <w:t>在废气处理过程中会产生废催化剂</w:t>
            </w:r>
            <w:r>
              <w:rPr>
                <w:rFonts w:hint="eastAsia" w:cs="Times New Roman"/>
                <w:color w:val="auto"/>
                <w:sz w:val="24"/>
                <w:lang w:val="en-US" w:eastAsia="zh-CN"/>
              </w:rPr>
              <w:t>。催化剂每两年更换一次，更换量为0.3t/2a（0.15t/a），故本项目废催化剂产生量为0.15t/a。</w:t>
            </w:r>
            <w:r>
              <w:rPr>
                <w:rFonts w:hint="eastAsia" w:ascii="Times New Roman" w:hAnsi="Times New Roman" w:eastAsia="宋体" w:cs="Times New Roman"/>
                <w:color w:val="auto"/>
                <w:sz w:val="24"/>
                <w:lang w:eastAsia="zh-CN"/>
              </w:rPr>
              <w:t>根据《国家危险废物名录》（202</w:t>
            </w:r>
            <w:r>
              <w:rPr>
                <w:rFonts w:hint="eastAsia" w:cs="Times New Roman"/>
                <w:color w:val="auto"/>
                <w:sz w:val="24"/>
                <w:lang w:val="en-US" w:eastAsia="zh-CN"/>
              </w:rPr>
              <w:t>5</w:t>
            </w:r>
            <w:r>
              <w:rPr>
                <w:rFonts w:hint="eastAsia" w:ascii="Times New Roman" w:hAnsi="Times New Roman" w:eastAsia="宋体" w:cs="Times New Roman"/>
                <w:color w:val="auto"/>
                <w:sz w:val="24"/>
                <w:lang w:eastAsia="zh-CN"/>
              </w:rPr>
              <w:t>年版）可知，</w:t>
            </w:r>
            <w:r>
              <w:rPr>
                <w:rFonts w:hint="eastAsia" w:cs="Times New Roman"/>
                <w:color w:val="auto"/>
                <w:sz w:val="24"/>
                <w:lang w:val="en-US" w:eastAsia="zh-CN"/>
              </w:rPr>
              <w:t>废催化剂</w:t>
            </w:r>
            <w:r>
              <w:rPr>
                <w:rFonts w:hint="eastAsia" w:cs="Times New Roman"/>
                <w:color w:val="auto"/>
                <w:sz w:val="24"/>
                <w:lang w:eastAsia="zh-CN"/>
              </w:rPr>
              <w:t>参照</w:t>
            </w:r>
            <w:r>
              <w:rPr>
                <w:rFonts w:hint="eastAsia" w:ascii="Times New Roman" w:hAnsi="Times New Roman" w:eastAsia="宋体" w:cs="Times New Roman"/>
                <w:color w:val="auto"/>
                <w:sz w:val="24"/>
                <w:lang w:eastAsia="zh-CN"/>
              </w:rPr>
              <w:t>《国家危险废物名录》中</w:t>
            </w:r>
            <w:r>
              <w:rPr>
                <w:rFonts w:hint="eastAsia"/>
                <w:bCs/>
                <w:color w:val="000000"/>
                <w:sz w:val="24"/>
              </w:rPr>
              <w:t>HW50</w:t>
            </w:r>
            <w:r>
              <w:rPr>
                <w:rFonts w:hint="eastAsia" w:ascii="Times New Roman" w:hAnsi="Times New Roman" w:eastAsia="宋体" w:cs="Times New Roman"/>
                <w:color w:val="auto"/>
                <w:sz w:val="24"/>
                <w:lang w:eastAsia="zh-CN"/>
              </w:rPr>
              <w:t>“废催化剂”，废物代码为“</w:t>
            </w:r>
            <w:r>
              <w:rPr>
                <w:rFonts w:hint="eastAsia"/>
                <w:bCs/>
                <w:color w:val="000000"/>
                <w:sz w:val="24"/>
              </w:rPr>
              <w:t>772-007-50</w:t>
            </w:r>
            <w:r>
              <w:rPr>
                <w:rFonts w:hint="eastAsia" w:ascii="Times New Roman" w:hAnsi="Times New Roman" w:eastAsia="宋体" w:cs="Times New Roman"/>
                <w:color w:val="auto"/>
                <w:sz w:val="24"/>
                <w:lang w:eastAsia="zh-CN"/>
              </w:rPr>
              <w:t>”“烟气脱硝过程中产生的废钒钛系催化剂”，废催化剂集中收集后暂存于危险废物暂存间，</w:t>
            </w:r>
            <w:r>
              <w:rPr>
                <w:rFonts w:hint="eastAsia"/>
                <w:bCs/>
                <w:color w:val="000000"/>
                <w:sz w:val="24"/>
              </w:rPr>
              <w:t>定期交由有资质的单位处置</w:t>
            </w:r>
            <w:r>
              <w:rPr>
                <w:rFonts w:hint="eastAsia" w:cs="Times New Roman"/>
                <w:color w:val="auto"/>
                <w:sz w:val="24"/>
                <w:lang w:eastAsia="zh-CN"/>
              </w:rPr>
              <w:t>。</w:t>
            </w:r>
          </w:p>
          <w:p w14:paraId="5D896650">
            <w:pPr>
              <w:pStyle w:val="21"/>
              <w:keepNext w:val="0"/>
              <w:keepLines w:val="0"/>
              <w:pageBreakBefore w:val="0"/>
              <w:widowControl w:val="0"/>
              <w:numPr>
                <w:ilvl w:val="0"/>
                <w:numId w:val="3"/>
              </w:numPr>
              <w:suppressLineNumbers w:val="0"/>
              <w:kinsoku/>
              <w:wordWrap/>
              <w:overflowPunct/>
              <w:topLinePunct w:val="0"/>
              <w:autoSpaceDE/>
              <w:autoSpaceDN/>
              <w:bidi w:val="0"/>
              <w:adjustRightInd/>
              <w:snapToGrid/>
              <w:spacing w:before="0" w:beforeAutospacing="0" w:after="0" w:afterAutospacing="0" w:line="440" w:lineRule="exact"/>
              <w:ind w:left="0" w:leftChars="0" w:right="0" w:firstLine="480" w:firstLineChars="200"/>
              <w:jc w:val="both"/>
              <w:textAlignment w:val="auto"/>
              <w:rPr>
                <w:rFonts w:hint="eastAsia"/>
                <w:sz w:val="24"/>
                <w:szCs w:val="24"/>
                <w:lang w:val="en-US" w:eastAsia="zh-CN"/>
              </w:rPr>
            </w:pPr>
            <w:r>
              <w:rPr>
                <w:rFonts w:hint="eastAsia"/>
                <w:sz w:val="24"/>
                <w:szCs w:val="24"/>
                <w:lang w:val="en-US" w:eastAsia="zh-CN"/>
              </w:rPr>
              <w:t>废包装桶：</w:t>
            </w:r>
          </w:p>
          <w:p w14:paraId="16E48C2B">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cs="Times New Roman"/>
                <w:color w:val="auto"/>
                <w:sz w:val="24"/>
                <w:lang w:eastAsia="zh-CN"/>
              </w:rPr>
            </w:pPr>
            <w:r>
              <w:rPr>
                <w:rFonts w:hint="eastAsia" w:hAnsi="宋体"/>
                <w:color w:val="auto"/>
                <w:sz w:val="24"/>
              </w:rPr>
              <w:t>本项目</w:t>
            </w:r>
            <w:r>
              <w:rPr>
                <w:rFonts w:hint="eastAsia"/>
                <w:color w:val="auto"/>
                <w:sz w:val="24"/>
                <w:lang w:val="en-US" w:eastAsia="zh-CN"/>
              </w:rPr>
              <w:t>印刷</w:t>
            </w:r>
            <w:r>
              <w:rPr>
                <w:rFonts w:hint="eastAsia" w:hAnsi="宋体"/>
                <w:color w:val="auto"/>
                <w:sz w:val="24"/>
              </w:rPr>
              <w:t>过程中会产生</w:t>
            </w:r>
            <w:r>
              <w:rPr>
                <w:rFonts w:hint="eastAsia" w:hAnsi="宋体"/>
                <w:color w:val="auto"/>
                <w:sz w:val="24"/>
                <w:lang w:val="en-US" w:eastAsia="zh-CN"/>
              </w:rPr>
              <w:t>油墨废包装桶</w:t>
            </w:r>
            <w:r>
              <w:rPr>
                <w:rFonts w:hint="eastAsia" w:cs="Times New Roman"/>
                <w:color w:val="auto"/>
                <w:sz w:val="24"/>
                <w:lang w:val="en-US" w:eastAsia="zh-CN"/>
              </w:rPr>
              <w:t>。废包装桶产生量为2.4t/a。</w:t>
            </w:r>
            <w:r>
              <w:rPr>
                <w:rFonts w:hint="eastAsia" w:ascii="Times New Roman" w:hAnsi="Times New Roman" w:eastAsia="宋体" w:cs="Times New Roman"/>
                <w:color w:val="auto"/>
                <w:sz w:val="24"/>
                <w:lang w:eastAsia="zh-CN"/>
              </w:rPr>
              <w:t>根据《国家危险废物名录》（202</w:t>
            </w:r>
            <w:r>
              <w:rPr>
                <w:rFonts w:hint="eastAsia" w:cs="Times New Roman"/>
                <w:color w:val="auto"/>
                <w:sz w:val="24"/>
                <w:lang w:val="en-US" w:eastAsia="zh-CN"/>
              </w:rPr>
              <w:t>5</w:t>
            </w:r>
            <w:r>
              <w:rPr>
                <w:rFonts w:hint="eastAsia" w:ascii="Times New Roman" w:hAnsi="Times New Roman" w:eastAsia="宋体" w:cs="Times New Roman"/>
                <w:color w:val="auto"/>
                <w:sz w:val="24"/>
                <w:lang w:eastAsia="zh-CN"/>
              </w:rPr>
              <w:t>年版）可知，</w:t>
            </w:r>
            <w:r>
              <w:rPr>
                <w:rFonts w:hint="eastAsia" w:cs="Times New Roman"/>
                <w:color w:val="auto"/>
                <w:sz w:val="24"/>
                <w:lang w:val="en-US" w:eastAsia="zh-CN"/>
              </w:rPr>
              <w:t>废包装桶</w:t>
            </w:r>
            <w:r>
              <w:rPr>
                <w:rFonts w:hint="eastAsia" w:cs="Times New Roman"/>
                <w:color w:val="auto"/>
                <w:sz w:val="24"/>
                <w:lang w:eastAsia="zh-CN"/>
              </w:rPr>
              <w:t>参照</w:t>
            </w:r>
            <w:r>
              <w:rPr>
                <w:rFonts w:hint="eastAsia" w:ascii="Times New Roman" w:hAnsi="Times New Roman" w:eastAsia="宋体" w:cs="Times New Roman"/>
                <w:color w:val="auto"/>
                <w:sz w:val="24"/>
                <w:lang w:eastAsia="zh-CN"/>
              </w:rPr>
              <w:t>《国家危险废物名录》中</w:t>
            </w:r>
            <w:r>
              <w:rPr>
                <w:rFonts w:hint="eastAsia"/>
                <w:bCs/>
                <w:color w:val="000000"/>
                <w:sz w:val="24"/>
              </w:rPr>
              <w:t>HW</w:t>
            </w:r>
            <w:r>
              <w:rPr>
                <w:rFonts w:hint="eastAsia"/>
                <w:bCs/>
                <w:color w:val="000000"/>
                <w:sz w:val="24"/>
                <w:lang w:val="en-US" w:eastAsia="zh-CN"/>
              </w:rPr>
              <w:t>49</w:t>
            </w:r>
            <w:r>
              <w:rPr>
                <w:rFonts w:hint="eastAsia" w:ascii="Times New Roman" w:hAnsi="Times New Roman" w:eastAsia="宋体" w:cs="Times New Roman"/>
                <w:color w:val="auto"/>
                <w:sz w:val="24"/>
                <w:lang w:eastAsia="zh-CN"/>
              </w:rPr>
              <w:t>“</w:t>
            </w:r>
            <w:r>
              <w:rPr>
                <w:rFonts w:hint="eastAsia" w:cs="Times New Roman"/>
                <w:color w:val="auto"/>
                <w:sz w:val="24"/>
                <w:lang w:val="en-US" w:eastAsia="zh-CN"/>
              </w:rPr>
              <w:t>其他废物</w:t>
            </w:r>
            <w:r>
              <w:rPr>
                <w:rFonts w:hint="eastAsia" w:ascii="Times New Roman" w:hAnsi="Times New Roman" w:eastAsia="宋体" w:cs="Times New Roman"/>
                <w:color w:val="auto"/>
                <w:sz w:val="24"/>
                <w:lang w:eastAsia="zh-CN"/>
              </w:rPr>
              <w:t>”，废物代码为“</w:t>
            </w:r>
            <w:r>
              <w:rPr>
                <w:rFonts w:hint="eastAsia" w:cs="Times New Roman"/>
                <w:color w:val="auto"/>
                <w:sz w:val="24"/>
                <w:lang w:val="en-US" w:eastAsia="zh-CN"/>
              </w:rPr>
              <w:t>900</w:t>
            </w:r>
            <w:r>
              <w:rPr>
                <w:rFonts w:hint="eastAsia"/>
                <w:bCs/>
                <w:color w:val="000000"/>
                <w:sz w:val="24"/>
              </w:rPr>
              <w:t>-0</w:t>
            </w:r>
            <w:r>
              <w:rPr>
                <w:rFonts w:hint="eastAsia"/>
                <w:bCs/>
                <w:color w:val="000000"/>
                <w:sz w:val="24"/>
                <w:lang w:val="en-US" w:eastAsia="zh-CN"/>
              </w:rPr>
              <w:t>41</w:t>
            </w:r>
            <w:r>
              <w:rPr>
                <w:rFonts w:hint="eastAsia"/>
                <w:bCs/>
                <w:color w:val="000000"/>
                <w:sz w:val="24"/>
              </w:rPr>
              <w:t>-</w:t>
            </w:r>
            <w:r>
              <w:rPr>
                <w:rFonts w:hint="eastAsia"/>
                <w:bCs/>
                <w:color w:val="000000"/>
                <w:sz w:val="24"/>
                <w:lang w:val="en-US" w:eastAsia="zh-CN"/>
              </w:rPr>
              <w:t>49</w:t>
            </w:r>
            <w:r>
              <w:rPr>
                <w:rFonts w:hint="eastAsia" w:ascii="Times New Roman" w:hAnsi="Times New Roman" w:eastAsia="宋体" w:cs="Times New Roman"/>
                <w:color w:val="auto"/>
                <w:sz w:val="24"/>
                <w:lang w:eastAsia="zh-CN"/>
              </w:rPr>
              <w:t>”“</w:t>
            </w:r>
            <w:r>
              <w:rPr>
                <w:rFonts w:hint="eastAsia" w:cs="Times New Roman"/>
                <w:color w:val="auto"/>
                <w:sz w:val="24"/>
                <w:lang w:val="en-US" w:eastAsia="zh-CN"/>
              </w:rPr>
              <w:t>含有或者沾染毒性、感染性危险废物的废弃的包装物、容器、过滤吸附介质</w:t>
            </w:r>
            <w:r>
              <w:rPr>
                <w:rFonts w:hint="eastAsia" w:ascii="Times New Roman" w:hAnsi="Times New Roman" w:eastAsia="宋体" w:cs="Times New Roman"/>
                <w:color w:val="auto"/>
                <w:sz w:val="24"/>
                <w:lang w:eastAsia="zh-CN"/>
              </w:rPr>
              <w:t>”，废</w:t>
            </w:r>
            <w:r>
              <w:rPr>
                <w:rFonts w:hint="eastAsia" w:cs="Times New Roman"/>
                <w:color w:val="auto"/>
                <w:sz w:val="24"/>
                <w:lang w:val="en-US" w:eastAsia="zh-CN"/>
              </w:rPr>
              <w:t>包装桶</w:t>
            </w:r>
            <w:r>
              <w:rPr>
                <w:rFonts w:hint="eastAsia" w:ascii="Times New Roman" w:hAnsi="Times New Roman" w:eastAsia="宋体" w:cs="Times New Roman"/>
                <w:color w:val="auto"/>
                <w:sz w:val="24"/>
                <w:lang w:eastAsia="zh-CN"/>
              </w:rPr>
              <w:t>集中收集后暂存于危险废物暂存间，</w:t>
            </w:r>
            <w:r>
              <w:rPr>
                <w:rFonts w:hint="eastAsia"/>
                <w:bCs/>
                <w:color w:val="000000"/>
                <w:sz w:val="24"/>
              </w:rPr>
              <w:t>定期交由有资质的单位处置</w:t>
            </w:r>
            <w:r>
              <w:rPr>
                <w:rFonts w:hint="eastAsia" w:cs="Times New Roman"/>
                <w:color w:val="auto"/>
                <w:sz w:val="24"/>
                <w:lang w:eastAsia="zh-CN"/>
              </w:rPr>
              <w:t>。</w:t>
            </w:r>
          </w:p>
          <w:p w14:paraId="59BAE6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rPr>
            </w:pPr>
            <w:r>
              <w:rPr>
                <w:rFonts w:hint="eastAsia"/>
              </w:rPr>
              <w:t>（4）废柔印版</w:t>
            </w:r>
          </w:p>
          <w:p w14:paraId="72A9FDD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rPr>
            </w:pPr>
            <w:r>
              <w:rPr>
                <w:rFonts w:hint="eastAsia"/>
              </w:rPr>
              <w:t>本项目印刷过程中会产生废柔印版，产生量为0.002t/a。根据《国家危险废物名录》（2025年版）可知，废柔印版属于《国家危险废物名录》中</w:t>
            </w:r>
            <w:r>
              <w:rPr>
                <w:rFonts w:hint="default"/>
              </w:rPr>
              <w:t>HW12</w:t>
            </w:r>
            <w:r>
              <w:rPr>
                <w:rFonts w:hint="eastAsia"/>
              </w:rPr>
              <w:t>“染料、涂料废物”，废物代码为“</w:t>
            </w:r>
            <w:r>
              <w:rPr>
                <w:rFonts w:hint="default"/>
              </w:rPr>
              <w:t>900-253-12</w:t>
            </w:r>
            <w:r>
              <w:rPr>
                <w:rFonts w:hint="eastAsia"/>
              </w:rPr>
              <w:t>”，废柔印版集中收集后暂存于危险废物暂存间，定期交由有资质的单位处置。</w:t>
            </w:r>
          </w:p>
          <w:p w14:paraId="4D7BEF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rPr>
            </w:pPr>
            <w:r>
              <w:rPr>
                <w:rFonts w:hint="eastAsia"/>
              </w:rPr>
              <w:t>（5）废抹布</w:t>
            </w:r>
          </w:p>
          <w:p w14:paraId="455B18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default" w:ascii="Times New Roman" w:hAnsi="Times New Roman" w:eastAsia="宋体" w:cs="Times New Roman"/>
                <w:sz w:val="24"/>
              </w:rPr>
            </w:pPr>
            <w:r>
              <w:rPr>
                <w:rFonts w:hint="eastAsia"/>
              </w:rPr>
              <w:t>本项目印刷过程中会产生沾染油墨的废抹布，产生量为0.03t/a。根据《国家危险废物名录》（2025年版）可知，废抹布参照《国家危险废物名录》中HW49“其他废物”，废物代码为“900-041-49”“含有或者沾染毒性、感染性危险废物的废弃的包装物、容器、过滤吸附介质”，废抹布集中收集后暂存于危险废物暂存间，定期交由有资质的单位处置。</w:t>
            </w:r>
          </w:p>
          <w:p w14:paraId="6F2298C8">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default" w:ascii="Times New Roman" w:hAnsi="Times New Roman" w:eastAsia="宋体" w:cs="Times New Roman"/>
                <w:sz w:val="24"/>
              </w:rPr>
              <w:t>按照《危险废物贮存污染控制标准》（GB</w:t>
            </w:r>
            <w:r>
              <w:rPr>
                <w:rFonts w:hint="eastAsia" w:cs="Times New Roman"/>
                <w:sz w:val="24"/>
                <w:lang w:val="en-US" w:eastAsia="zh-CN"/>
              </w:rPr>
              <w:t xml:space="preserve"> 18597</w:t>
            </w:r>
            <w:r>
              <w:rPr>
                <w:rFonts w:hint="default" w:ascii="Times New Roman" w:hAnsi="Times New Roman" w:eastAsia="宋体" w:cs="Times New Roman"/>
                <w:sz w:val="24"/>
              </w:rPr>
              <w:t>-</w:t>
            </w:r>
            <w:r>
              <w:rPr>
                <w:rFonts w:hint="eastAsia" w:cs="Times New Roman"/>
                <w:sz w:val="24"/>
                <w:lang w:val="en-US" w:eastAsia="zh-CN"/>
              </w:rPr>
              <w:t>2023</w:t>
            </w:r>
            <w:r>
              <w:rPr>
                <w:rFonts w:hint="default" w:ascii="Times New Roman" w:hAnsi="Times New Roman" w:eastAsia="宋体" w:cs="Times New Roman"/>
                <w:sz w:val="24"/>
              </w:rPr>
              <w:t>）规定，要求企业将危险废物分装于专门的容器内，存放在厂区内</w:t>
            </w:r>
            <w:r>
              <w:rPr>
                <w:rFonts w:hint="default" w:ascii="Times New Roman" w:hAnsi="Times New Roman" w:eastAsia="宋体" w:cs="Times New Roman"/>
                <w:sz w:val="24"/>
                <w:lang w:val="en-US" w:eastAsia="zh-CN"/>
              </w:rPr>
              <w:t>危险废物暂存间</w:t>
            </w:r>
            <w:r>
              <w:rPr>
                <w:rFonts w:hint="default" w:ascii="Times New Roman" w:hAnsi="Times New Roman" w:eastAsia="宋体" w:cs="Times New Roman"/>
                <w:sz w:val="24"/>
              </w:rPr>
              <w:t>内，贮存期间注意防风、防晒、防雨、防渗措施，并设立危险废物标志。建设单位须做好危险废物情况的记录，记录上注明危险废物的名称、来源、数量、特征和包装容器的类别、入库日期、存放库位、废物出库日期及接受单位名称；必须定期对贮存危险废物的包装容器及危废暂存室进行检查，发现破损应及时采取措施清理更换。</w:t>
            </w:r>
            <w:r>
              <w:rPr>
                <w:rFonts w:hint="eastAsia" w:cs="Times New Roman"/>
                <w:sz w:val="24"/>
                <w:lang w:val="en-US" w:eastAsia="zh-CN"/>
              </w:rPr>
              <w:t>企业</w:t>
            </w:r>
            <w:r>
              <w:rPr>
                <w:rFonts w:hint="eastAsia" w:ascii="Times New Roman" w:hAnsi="Times New Roman" w:eastAsia="宋体" w:cs="Times New Roman"/>
                <w:sz w:val="24"/>
                <w:lang w:val="en-US" w:eastAsia="zh-CN"/>
              </w:rPr>
              <w:t>建设危险废物暂存间1座</w:t>
            </w:r>
            <w:r>
              <w:rPr>
                <w:rFonts w:hint="default" w:ascii="Times New Roman" w:hAnsi="Times New Roman" w:eastAsia="宋体" w:cs="Times New Roman"/>
                <w:sz w:val="24"/>
              </w:rPr>
              <w:t>，面积</w:t>
            </w:r>
            <w:r>
              <w:rPr>
                <w:rFonts w:hint="eastAsia" w:cs="Times New Roman"/>
                <w:sz w:val="24"/>
                <w:lang w:val="en-US" w:eastAsia="zh-CN"/>
              </w:rPr>
              <w:t>约10</w:t>
            </w:r>
            <w:r>
              <w:rPr>
                <w:rFonts w:hint="default" w:ascii="Times New Roman" w:hAnsi="Times New Roman" w:eastAsia="宋体" w:cs="Times New Roman"/>
                <w:sz w:val="24"/>
              </w:rPr>
              <w:t>m</w:t>
            </w:r>
            <w:r>
              <w:rPr>
                <w:rFonts w:hint="default" w:ascii="Times New Roman" w:hAnsi="Times New Roman" w:eastAsia="宋体" w:cs="Times New Roman"/>
                <w:sz w:val="24"/>
                <w:vertAlign w:val="superscript"/>
              </w:rPr>
              <w:t>2</w:t>
            </w:r>
            <w:r>
              <w:rPr>
                <w:rFonts w:hint="default" w:ascii="Times New Roman" w:hAnsi="Times New Roman" w:eastAsia="宋体" w:cs="Times New Roman"/>
                <w:sz w:val="24"/>
              </w:rPr>
              <w:t>，危险废物统一收集后定期送往有资质单位进行处理。</w:t>
            </w:r>
          </w:p>
          <w:p w14:paraId="08FDFF5F">
            <w:pPr>
              <w:keepNext w:val="0"/>
              <w:keepLines w:val="0"/>
              <w:suppressLineNumbers w:val="0"/>
              <w:adjustRightInd w:val="0"/>
              <w:snapToGrid w:val="0"/>
              <w:spacing w:before="0" w:beforeAutospacing="0" w:after="0" w:afterAutospacing="0" w:line="440" w:lineRule="exact"/>
              <w:ind w:left="0" w:right="0"/>
              <w:jc w:val="center"/>
              <w:rPr>
                <w:rFonts w:hint="eastAsia"/>
                <w:b/>
                <w:bCs/>
                <w:sz w:val="24"/>
                <w:lang w:val="en-US" w:eastAsia="zh-CN"/>
              </w:rPr>
            </w:pPr>
            <w:r>
              <w:rPr>
                <w:rFonts w:hint="eastAsia"/>
                <w:b/>
                <w:bCs/>
                <w:sz w:val="24"/>
                <w:lang w:val="en-US" w:eastAsia="zh-CN"/>
              </w:rPr>
              <w:t>表33  项目危险废物汇总一览表</w:t>
            </w:r>
          </w:p>
          <w:tbl>
            <w:tblPr>
              <w:tblStyle w:val="22"/>
              <w:tblW w:w="4997"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7" w:type="dxa"/>
                <w:bottom w:w="0" w:type="dxa"/>
                <w:right w:w="17" w:type="dxa"/>
              </w:tblCellMar>
            </w:tblPr>
            <w:tblGrid>
              <w:gridCol w:w="361"/>
              <w:gridCol w:w="984"/>
              <w:gridCol w:w="795"/>
              <w:gridCol w:w="1152"/>
              <w:gridCol w:w="790"/>
              <w:gridCol w:w="541"/>
              <w:gridCol w:w="1233"/>
              <w:gridCol w:w="674"/>
              <w:gridCol w:w="1209"/>
              <w:gridCol w:w="872"/>
            </w:tblGrid>
            <w:tr w14:paraId="4A1F854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7" w:type="dxa"/>
                  <w:bottom w:w="0" w:type="dxa"/>
                  <w:right w:w="17" w:type="dxa"/>
                </w:tblCellMar>
              </w:tblPrEx>
              <w:trPr>
                <w:trHeight w:val="397" w:hRule="atLeast"/>
                <w:jc w:val="center"/>
              </w:trPr>
              <w:tc>
                <w:tcPr>
                  <w:tcW w:w="209" w:type="pct"/>
                  <w:tcBorders>
                    <w:bottom w:val="single" w:color="auto" w:sz="8" w:space="0"/>
                  </w:tcBorders>
                  <w:noWrap w:val="0"/>
                  <w:vAlign w:val="center"/>
                </w:tcPr>
                <w:p w14:paraId="284AB2C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571" w:type="pct"/>
                  <w:tcBorders>
                    <w:bottom w:val="single" w:color="auto" w:sz="8" w:space="0"/>
                  </w:tcBorders>
                  <w:noWrap w:val="0"/>
                  <w:vAlign w:val="center"/>
                </w:tcPr>
                <w:p w14:paraId="54B4DC20">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危险废物名称</w:t>
                  </w:r>
                </w:p>
              </w:tc>
              <w:tc>
                <w:tcPr>
                  <w:tcW w:w="461" w:type="pct"/>
                  <w:tcBorders>
                    <w:bottom w:val="single" w:color="auto" w:sz="8" w:space="0"/>
                  </w:tcBorders>
                  <w:noWrap w:val="0"/>
                  <w:vAlign w:val="center"/>
                </w:tcPr>
                <w:p w14:paraId="7F7BBD36">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危险废物类别</w:t>
                  </w:r>
                </w:p>
              </w:tc>
              <w:tc>
                <w:tcPr>
                  <w:tcW w:w="668" w:type="pct"/>
                  <w:tcBorders>
                    <w:bottom w:val="single" w:color="auto" w:sz="8" w:space="0"/>
                  </w:tcBorders>
                  <w:noWrap w:val="0"/>
                  <w:vAlign w:val="center"/>
                </w:tcPr>
                <w:p w14:paraId="4D955E4A">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危险废物代码</w:t>
                  </w:r>
                </w:p>
              </w:tc>
              <w:tc>
                <w:tcPr>
                  <w:tcW w:w="458" w:type="pct"/>
                  <w:tcBorders>
                    <w:bottom w:val="single" w:color="auto" w:sz="8" w:space="0"/>
                  </w:tcBorders>
                  <w:noWrap w:val="0"/>
                  <w:vAlign w:val="center"/>
                </w:tcPr>
                <w:p w14:paraId="4D8077AD">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eastAsia" w:ascii="Times New Roman" w:hAnsi="Times New Roman" w:eastAsia="宋体" w:cs="Times New Roman"/>
                      <w:b/>
                      <w:bCs/>
                      <w:color w:val="auto"/>
                      <w:kern w:val="2"/>
                      <w:sz w:val="21"/>
                      <w:szCs w:val="21"/>
                      <w:lang w:val="en-US" w:eastAsia="zh-CN" w:bidi="ar-SA"/>
                    </w:rPr>
                  </w:pPr>
                  <w:r>
                    <w:rPr>
                      <w:rFonts w:hint="eastAsia" w:cs="Times New Roman"/>
                      <w:b/>
                      <w:bCs/>
                      <w:color w:val="auto"/>
                      <w:sz w:val="21"/>
                      <w:szCs w:val="21"/>
                      <w:lang w:val="en-US" w:eastAsia="zh-CN"/>
                    </w:rPr>
                    <w:t>年</w:t>
                  </w:r>
                  <w:r>
                    <w:rPr>
                      <w:rFonts w:hint="default" w:ascii="Times New Roman" w:hAnsi="Times New Roman" w:eastAsia="宋体" w:cs="Times New Roman"/>
                      <w:b/>
                      <w:bCs/>
                      <w:color w:val="auto"/>
                      <w:sz w:val="21"/>
                      <w:szCs w:val="21"/>
                    </w:rPr>
                    <w:t>产生量</w:t>
                  </w:r>
                </w:p>
              </w:tc>
              <w:tc>
                <w:tcPr>
                  <w:tcW w:w="314" w:type="pct"/>
                  <w:tcBorders>
                    <w:bottom w:val="single" w:color="auto" w:sz="8" w:space="0"/>
                  </w:tcBorders>
                  <w:noWrap w:val="0"/>
                  <w:vAlign w:val="center"/>
                </w:tcPr>
                <w:p w14:paraId="0B0C9D5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形态</w:t>
                  </w:r>
                </w:p>
              </w:tc>
              <w:tc>
                <w:tcPr>
                  <w:tcW w:w="715" w:type="pct"/>
                  <w:tcBorders>
                    <w:bottom w:val="single" w:color="auto" w:sz="8" w:space="0"/>
                  </w:tcBorders>
                  <w:noWrap w:val="0"/>
                  <w:vAlign w:val="center"/>
                </w:tcPr>
                <w:p w14:paraId="30CEA5A6">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主要有毒有害物质名称</w:t>
                  </w:r>
                </w:p>
              </w:tc>
              <w:tc>
                <w:tcPr>
                  <w:tcW w:w="391" w:type="pct"/>
                  <w:tcBorders>
                    <w:bottom w:val="single" w:color="auto" w:sz="8" w:space="0"/>
                  </w:tcBorders>
                  <w:noWrap w:val="0"/>
                  <w:vAlign w:val="center"/>
                </w:tcPr>
                <w:p w14:paraId="416EE706">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危险特性</w:t>
                  </w:r>
                </w:p>
              </w:tc>
              <w:tc>
                <w:tcPr>
                  <w:tcW w:w="702" w:type="pct"/>
                  <w:tcBorders>
                    <w:bottom w:val="single" w:color="auto" w:sz="8" w:space="0"/>
                  </w:tcBorders>
                  <w:noWrap w:val="0"/>
                  <w:vAlign w:val="center"/>
                </w:tcPr>
                <w:p w14:paraId="215BF8D5">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污染防治措施</w:t>
                  </w:r>
                </w:p>
              </w:tc>
              <w:tc>
                <w:tcPr>
                  <w:tcW w:w="506" w:type="pct"/>
                  <w:tcBorders>
                    <w:bottom w:val="single" w:color="auto" w:sz="8" w:space="0"/>
                  </w:tcBorders>
                  <w:noWrap w:val="0"/>
                  <w:vAlign w:val="center"/>
                </w:tcPr>
                <w:p w14:paraId="5290F01D">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利用或处置t/a</w:t>
                  </w:r>
                </w:p>
              </w:tc>
            </w:tr>
            <w:tr w14:paraId="4739D1C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7" w:type="dxa"/>
                  <w:bottom w:w="0" w:type="dxa"/>
                  <w:right w:w="17" w:type="dxa"/>
                </w:tblCellMar>
              </w:tblPrEx>
              <w:trPr>
                <w:trHeight w:val="780" w:hRule="atLeast"/>
                <w:jc w:val="center"/>
              </w:trPr>
              <w:tc>
                <w:tcPr>
                  <w:tcW w:w="209" w:type="pct"/>
                  <w:tcBorders>
                    <w:top w:val="single" w:color="auto" w:sz="8" w:space="0"/>
                    <w:tl2br w:val="nil"/>
                    <w:tr2bl w:val="nil"/>
                  </w:tcBorders>
                  <w:noWrap w:val="0"/>
                  <w:vAlign w:val="center"/>
                </w:tcPr>
                <w:p w14:paraId="60B822A2">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c>
                <w:tcPr>
                  <w:tcW w:w="571" w:type="pct"/>
                  <w:tcBorders>
                    <w:top w:val="single" w:color="auto" w:sz="8" w:space="0"/>
                    <w:tl2br w:val="nil"/>
                    <w:tr2bl w:val="nil"/>
                  </w:tcBorders>
                  <w:noWrap w:val="0"/>
                  <w:vAlign w:val="center"/>
                </w:tcPr>
                <w:p w14:paraId="5C6BBC26">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废活性炭</w:t>
                  </w:r>
                </w:p>
              </w:tc>
              <w:tc>
                <w:tcPr>
                  <w:tcW w:w="461" w:type="pct"/>
                  <w:tcBorders>
                    <w:top w:val="single" w:color="auto" w:sz="8" w:space="0"/>
                    <w:tl2br w:val="nil"/>
                    <w:tr2bl w:val="nil"/>
                  </w:tcBorders>
                  <w:noWrap w:val="0"/>
                  <w:vAlign w:val="center"/>
                </w:tcPr>
                <w:p w14:paraId="6861ADCF">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lang w:val="en-US" w:eastAsia="zh-CN" w:bidi="ar"/>
                    </w:rPr>
                    <w:t>HW49</w:t>
                  </w:r>
                </w:p>
              </w:tc>
              <w:tc>
                <w:tcPr>
                  <w:tcW w:w="668" w:type="pct"/>
                  <w:tcBorders>
                    <w:top w:val="single" w:color="auto" w:sz="8" w:space="0"/>
                    <w:tl2br w:val="nil"/>
                    <w:tr2bl w:val="nil"/>
                  </w:tcBorders>
                  <w:noWrap w:val="0"/>
                  <w:vAlign w:val="center"/>
                </w:tcPr>
                <w:p w14:paraId="75C2D399">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2"/>
                      <w:sz w:val="21"/>
                      <w:szCs w:val="21"/>
                      <w:lang w:val="en-US" w:eastAsia="zh-CN" w:bidi="ar"/>
                    </w:rPr>
                    <w:t>900-039-49</w:t>
                  </w:r>
                </w:p>
              </w:tc>
              <w:tc>
                <w:tcPr>
                  <w:tcW w:w="458" w:type="pct"/>
                  <w:tcBorders>
                    <w:top w:val="single" w:color="auto" w:sz="8" w:space="0"/>
                    <w:tl2br w:val="nil"/>
                    <w:tr2bl w:val="nil"/>
                  </w:tcBorders>
                  <w:noWrap w:val="0"/>
                  <w:vAlign w:val="center"/>
                </w:tcPr>
                <w:p w14:paraId="6D00E8F8">
                  <w:pPr>
                    <w:keepNext w:val="0"/>
                    <w:keepLines w:val="0"/>
                    <w:widowControl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
                    </w:rPr>
                    <w:t>0.</w:t>
                  </w:r>
                  <w:r>
                    <w:rPr>
                      <w:rFonts w:hint="eastAsia" w:cs="Times New Roman"/>
                      <w:color w:val="auto"/>
                      <w:kern w:val="2"/>
                      <w:sz w:val="21"/>
                      <w:szCs w:val="21"/>
                      <w:lang w:val="en-US" w:eastAsia="zh-CN" w:bidi="ar"/>
                    </w:rPr>
                    <w:t>3</w:t>
                  </w:r>
                  <w:r>
                    <w:rPr>
                      <w:rFonts w:hint="default" w:ascii="Times New Roman" w:hAnsi="Times New Roman" w:eastAsia="宋体" w:cs="Times New Roman"/>
                      <w:color w:val="auto"/>
                      <w:kern w:val="2"/>
                      <w:sz w:val="21"/>
                      <w:szCs w:val="21"/>
                      <w:lang w:val="en-US" w:eastAsia="zh-CN" w:bidi="ar"/>
                    </w:rPr>
                    <w:t>t/a</w:t>
                  </w:r>
                </w:p>
              </w:tc>
              <w:tc>
                <w:tcPr>
                  <w:tcW w:w="314" w:type="pct"/>
                  <w:tcBorders>
                    <w:top w:val="single" w:color="auto" w:sz="8" w:space="0"/>
                    <w:tl2br w:val="nil"/>
                    <w:tr2bl w:val="nil"/>
                  </w:tcBorders>
                  <w:noWrap w:val="0"/>
                  <w:vAlign w:val="center"/>
                </w:tcPr>
                <w:p w14:paraId="6028F918">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
                    </w:rPr>
                    <w:t>固态</w:t>
                  </w:r>
                </w:p>
              </w:tc>
              <w:tc>
                <w:tcPr>
                  <w:tcW w:w="715" w:type="pct"/>
                  <w:tcBorders>
                    <w:top w:val="single" w:color="auto" w:sz="8" w:space="0"/>
                    <w:tl2br w:val="nil"/>
                    <w:tr2bl w:val="nil"/>
                  </w:tcBorders>
                  <w:noWrap w:val="0"/>
                  <w:vAlign w:val="center"/>
                </w:tcPr>
                <w:p w14:paraId="0CDF1B1B">
                  <w:pPr>
                    <w:keepNext w:val="0"/>
                    <w:keepLines w:val="0"/>
                    <w:widowControl w:val="0"/>
                    <w:suppressLineNumbers w:val="0"/>
                    <w:topLinePunct/>
                    <w:adjustRightInd w:val="0"/>
                    <w:snapToGrid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宋体"/>
                      <w:color w:val="auto"/>
                      <w:kern w:val="0"/>
                      <w:sz w:val="21"/>
                      <w:szCs w:val="21"/>
                      <w:highlight w:val="none"/>
                      <w:lang w:val="en-US" w:eastAsia="zh-CN" w:bidi="ar"/>
                    </w:rPr>
                    <w:t>有机</w:t>
                  </w:r>
                  <w:r>
                    <w:rPr>
                      <w:rFonts w:hint="eastAsia" w:cs="宋体"/>
                      <w:color w:val="auto"/>
                      <w:kern w:val="0"/>
                      <w:sz w:val="21"/>
                      <w:szCs w:val="21"/>
                      <w:highlight w:val="none"/>
                      <w:lang w:val="en-US" w:eastAsia="zh-CN" w:bidi="ar"/>
                    </w:rPr>
                    <w:t>物质</w:t>
                  </w:r>
                </w:p>
              </w:tc>
              <w:tc>
                <w:tcPr>
                  <w:tcW w:w="391" w:type="pct"/>
                  <w:tcBorders>
                    <w:top w:val="single" w:color="auto" w:sz="8" w:space="0"/>
                    <w:tl2br w:val="nil"/>
                    <w:tr2bl w:val="nil"/>
                  </w:tcBorders>
                  <w:noWrap w:val="0"/>
                  <w:vAlign w:val="center"/>
                </w:tcPr>
                <w:p w14:paraId="090137B5">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2"/>
                      <w:sz w:val="21"/>
                      <w:szCs w:val="21"/>
                      <w:lang w:val="en-US" w:eastAsia="zh-CN" w:bidi="ar"/>
                    </w:rPr>
                    <w:t>T</w:t>
                  </w:r>
                </w:p>
              </w:tc>
              <w:tc>
                <w:tcPr>
                  <w:tcW w:w="702" w:type="pct"/>
                  <w:vMerge w:val="restart"/>
                  <w:tcBorders>
                    <w:top w:val="single" w:color="auto" w:sz="8" w:space="0"/>
                    <w:tl2br w:val="nil"/>
                    <w:tr2bl w:val="nil"/>
                  </w:tcBorders>
                  <w:noWrap w:val="0"/>
                  <w:vAlign w:val="center"/>
                </w:tcPr>
                <w:p w14:paraId="66991F8B">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分区存放于危废暂存间</w:t>
                  </w:r>
                  <w:r>
                    <w:rPr>
                      <w:rFonts w:hint="eastAsia" w:cs="Times New Roman"/>
                      <w:color w:val="auto"/>
                      <w:sz w:val="21"/>
                      <w:szCs w:val="21"/>
                      <w:lang w:eastAsia="zh-CN"/>
                    </w:rPr>
                    <w:t>（</w:t>
                  </w:r>
                  <w:r>
                    <w:rPr>
                      <w:rFonts w:hint="eastAsia" w:cs="Times New Roman"/>
                      <w:color w:val="auto"/>
                      <w:sz w:val="21"/>
                      <w:szCs w:val="21"/>
                      <w:lang w:val="en-US" w:eastAsia="zh-CN"/>
                    </w:rPr>
                    <w:t>10m</w:t>
                  </w:r>
                  <w:r>
                    <w:rPr>
                      <w:rFonts w:hint="eastAsia" w:cs="Times New Roman"/>
                      <w:color w:val="auto"/>
                      <w:sz w:val="21"/>
                      <w:szCs w:val="21"/>
                      <w:vertAlign w:val="superscript"/>
                      <w:lang w:val="en-US" w:eastAsia="zh-CN"/>
                    </w:rPr>
                    <w:t>2</w:t>
                  </w:r>
                  <w:r>
                    <w:rPr>
                      <w:rFonts w:hint="eastAsia" w:cs="Times New Roman"/>
                      <w:color w:val="auto"/>
                      <w:sz w:val="21"/>
                      <w:szCs w:val="21"/>
                      <w:lang w:eastAsia="zh-CN"/>
                    </w:rPr>
                    <w:t>）</w:t>
                  </w:r>
                  <w:r>
                    <w:rPr>
                      <w:rFonts w:hint="default" w:ascii="Times New Roman" w:hAnsi="Times New Roman" w:eastAsia="宋体" w:cs="Times New Roman"/>
                      <w:color w:val="auto"/>
                      <w:sz w:val="21"/>
                      <w:szCs w:val="21"/>
                    </w:rPr>
                    <w:t>，交由具有资质的单位</w:t>
                  </w:r>
                  <w:r>
                    <w:rPr>
                      <w:rFonts w:hint="eastAsia" w:cs="Times New Roman"/>
                      <w:color w:val="auto"/>
                      <w:sz w:val="21"/>
                      <w:szCs w:val="21"/>
                      <w:lang w:val="en-US" w:eastAsia="zh-CN"/>
                    </w:rPr>
                    <w:t>处置</w:t>
                  </w:r>
                </w:p>
              </w:tc>
              <w:tc>
                <w:tcPr>
                  <w:tcW w:w="506" w:type="pct"/>
                  <w:tcBorders>
                    <w:top w:val="single" w:color="auto" w:sz="8" w:space="0"/>
                    <w:tl2br w:val="nil"/>
                    <w:tr2bl w:val="nil"/>
                  </w:tcBorders>
                  <w:noWrap w:val="0"/>
                  <w:vAlign w:val="center"/>
                </w:tcPr>
                <w:p w14:paraId="40450303">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2"/>
                      <w:sz w:val="21"/>
                      <w:szCs w:val="21"/>
                      <w:lang w:val="en-US" w:eastAsia="zh-CN" w:bidi="ar"/>
                    </w:rPr>
                    <w:t>0.</w:t>
                  </w:r>
                  <w:r>
                    <w:rPr>
                      <w:rFonts w:hint="eastAsia" w:cs="Times New Roman"/>
                      <w:color w:val="auto"/>
                      <w:kern w:val="2"/>
                      <w:sz w:val="21"/>
                      <w:szCs w:val="21"/>
                      <w:lang w:val="en-US" w:eastAsia="zh-CN" w:bidi="ar"/>
                    </w:rPr>
                    <w:t>3</w:t>
                  </w:r>
                  <w:r>
                    <w:rPr>
                      <w:rFonts w:hint="default" w:ascii="Times New Roman" w:hAnsi="Times New Roman" w:eastAsia="宋体" w:cs="Times New Roman"/>
                      <w:color w:val="auto"/>
                      <w:kern w:val="2"/>
                      <w:sz w:val="21"/>
                      <w:szCs w:val="21"/>
                      <w:lang w:val="en-US" w:eastAsia="zh-CN" w:bidi="ar"/>
                    </w:rPr>
                    <w:t>t/a</w:t>
                  </w:r>
                </w:p>
              </w:tc>
            </w:tr>
            <w:tr w14:paraId="049EB3F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7" w:type="dxa"/>
                  <w:bottom w:w="0" w:type="dxa"/>
                  <w:right w:w="17" w:type="dxa"/>
                </w:tblCellMar>
              </w:tblPrEx>
              <w:trPr>
                <w:trHeight w:val="397" w:hRule="atLeast"/>
                <w:jc w:val="center"/>
              </w:trPr>
              <w:tc>
                <w:tcPr>
                  <w:tcW w:w="209" w:type="pct"/>
                  <w:tcBorders>
                    <w:tl2br w:val="nil"/>
                    <w:tr2bl w:val="nil"/>
                  </w:tcBorders>
                  <w:noWrap w:val="0"/>
                  <w:vAlign w:val="center"/>
                </w:tcPr>
                <w:p w14:paraId="0AD434CE">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571" w:type="pct"/>
                  <w:tcBorders>
                    <w:tl2br w:val="nil"/>
                    <w:tr2bl w:val="nil"/>
                  </w:tcBorders>
                  <w:noWrap w:val="0"/>
                  <w:vAlign w:val="center"/>
                </w:tcPr>
                <w:p w14:paraId="135357D0">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废催化剂</w:t>
                  </w:r>
                </w:p>
              </w:tc>
              <w:tc>
                <w:tcPr>
                  <w:tcW w:w="461" w:type="pct"/>
                  <w:tcBorders>
                    <w:tl2br w:val="nil"/>
                    <w:tr2bl w:val="nil"/>
                  </w:tcBorders>
                  <w:noWrap w:val="0"/>
                  <w:vAlign w:val="center"/>
                </w:tcPr>
                <w:p w14:paraId="3FAB8627">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
                    </w:rPr>
                    <w:t>HW50</w:t>
                  </w:r>
                </w:p>
              </w:tc>
              <w:tc>
                <w:tcPr>
                  <w:tcW w:w="668" w:type="pct"/>
                  <w:tcBorders>
                    <w:tl2br w:val="nil"/>
                    <w:tr2bl w:val="nil"/>
                  </w:tcBorders>
                  <w:noWrap w:val="0"/>
                  <w:vAlign w:val="center"/>
                </w:tcPr>
                <w:p w14:paraId="0641C686">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
                    </w:rPr>
                    <w:t>772-007-50</w:t>
                  </w:r>
                </w:p>
              </w:tc>
              <w:tc>
                <w:tcPr>
                  <w:tcW w:w="458" w:type="pct"/>
                  <w:tcBorders>
                    <w:tl2br w:val="nil"/>
                    <w:tr2bl w:val="nil"/>
                  </w:tcBorders>
                  <w:noWrap w:val="0"/>
                  <w:vAlign w:val="center"/>
                </w:tcPr>
                <w:p w14:paraId="4ED27EA0">
                  <w:pPr>
                    <w:keepNext w:val="0"/>
                    <w:keepLines w:val="0"/>
                    <w:widowControl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
                    </w:rPr>
                    <w:t>0.15t/a</w:t>
                  </w:r>
                </w:p>
              </w:tc>
              <w:tc>
                <w:tcPr>
                  <w:tcW w:w="314" w:type="pct"/>
                  <w:tcBorders>
                    <w:tl2br w:val="nil"/>
                    <w:tr2bl w:val="nil"/>
                  </w:tcBorders>
                  <w:noWrap w:val="0"/>
                  <w:vAlign w:val="center"/>
                </w:tcPr>
                <w:p w14:paraId="6B1623B2">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宋体"/>
                      <w:color w:val="auto"/>
                      <w:kern w:val="2"/>
                      <w:sz w:val="21"/>
                      <w:szCs w:val="21"/>
                      <w:lang w:val="en-US" w:eastAsia="zh-CN" w:bidi="ar"/>
                    </w:rPr>
                    <w:t>固态</w:t>
                  </w:r>
                </w:p>
              </w:tc>
              <w:tc>
                <w:tcPr>
                  <w:tcW w:w="715" w:type="pct"/>
                  <w:tcBorders>
                    <w:tl2br w:val="nil"/>
                    <w:tr2bl w:val="nil"/>
                  </w:tcBorders>
                  <w:noWrap w:val="0"/>
                  <w:vAlign w:val="center"/>
                </w:tcPr>
                <w:p w14:paraId="337A6153">
                  <w:pPr>
                    <w:keepNext w:val="0"/>
                    <w:keepLines w:val="0"/>
                    <w:widowControl w:val="0"/>
                    <w:suppressLineNumbers w:val="0"/>
                    <w:topLinePunct/>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宋体"/>
                      <w:color w:val="auto"/>
                      <w:kern w:val="0"/>
                      <w:sz w:val="21"/>
                      <w:szCs w:val="21"/>
                      <w:highlight w:val="none"/>
                      <w:lang w:val="en-US" w:eastAsia="zh-CN" w:bidi="ar"/>
                    </w:rPr>
                    <w:t>重金属</w:t>
                  </w:r>
                </w:p>
              </w:tc>
              <w:tc>
                <w:tcPr>
                  <w:tcW w:w="391" w:type="pct"/>
                  <w:tcBorders>
                    <w:tl2br w:val="nil"/>
                    <w:tr2bl w:val="nil"/>
                  </w:tcBorders>
                  <w:noWrap w:val="0"/>
                  <w:vAlign w:val="center"/>
                </w:tcPr>
                <w:p w14:paraId="77B27515">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
                    </w:rPr>
                    <w:t>T</w:t>
                  </w:r>
                </w:p>
              </w:tc>
              <w:tc>
                <w:tcPr>
                  <w:tcW w:w="702" w:type="pct"/>
                  <w:vMerge w:val="continue"/>
                  <w:tcBorders>
                    <w:tl2br w:val="nil"/>
                    <w:tr2bl w:val="nil"/>
                  </w:tcBorders>
                  <w:noWrap w:val="0"/>
                  <w:vAlign w:val="center"/>
                </w:tcPr>
                <w:p w14:paraId="630E85D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506" w:type="pct"/>
                  <w:tcBorders>
                    <w:tl2br w:val="nil"/>
                    <w:tr2bl w:val="nil"/>
                  </w:tcBorders>
                  <w:noWrap w:val="0"/>
                  <w:vAlign w:val="center"/>
                </w:tcPr>
                <w:p w14:paraId="2E482304">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
                    </w:rPr>
                  </w:pPr>
                  <w:r>
                    <w:rPr>
                      <w:rFonts w:hint="eastAsia" w:cs="Times New Roman"/>
                      <w:color w:val="auto"/>
                      <w:kern w:val="2"/>
                      <w:sz w:val="21"/>
                      <w:szCs w:val="21"/>
                      <w:lang w:val="en-US" w:eastAsia="zh-CN" w:bidi="ar"/>
                    </w:rPr>
                    <w:t>0.15t/a</w:t>
                  </w:r>
                </w:p>
              </w:tc>
            </w:tr>
            <w:tr w14:paraId="29112F5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7" w:type="dxa"/>
                  <w:bottom w:w="0" w:type="dxa"/>
                  <w:right w:w="17" w:type="dxa"/>
                </w:tblCellMar>
              </w:tblPrEx>
              <w:trPr>
                <w:trHeight w:val="397" w:hRule="atLeast"/>
                <w:jc w:val="center"/>
              </w:trPr>
              <w:tc>
                <w:tcPr>
                  <w:tcW w:w="209" w:type="pct"/>
                  <w:tcBorders>
                    <w:tl2br w:val="nil"/>
                    <w:tr2bl w:val="nil"/>
                  </w:tcBorders>
                  <w:noWrap w:val="0"/>
                  <w:vAlign w:val="center"/>
                </w:tcPr>
                <w:p w14:paraId="570ECA2C">
                  <w:pPr>
                    <w:keepNext w:val="0"/>
                    <w:keepLines w:val="0"/>
                    <w:suppressLineNumbers w:val="0"/>
                    <w:spacing w:before="0" w:beforeAutospacing="0" w:after="0" w:afterAutospacing="0"/>
                    <w:ind w:left="0" w:right="0"/>
                    <w:jc w:val="center"/>
                    <w:rPr>
                      <w:rFonts w:hint="default" w:cs="Times New Roman"/>
                      <w:color w:val="auto"/>
                      <w:sz w:val="21"/>
                      <w:szCs w:val="21"/>
                      <w:lang w:val="en-US" w:eastAsia="zh-CN"/>
                    </w:rPr>
                  </w:pPr>
                  <w:r>
                    <w:rPr>
                      <w:rFonts w:hint="eastAsia" w:cs="Times New Roman"/>
                      <w:color w:val="auto"/>
                      <w:sz w:val="21"/>
                      <w:szCs w:val="21"/>
                      <w:lang w:val="en-US" w:eastAsia="zh-CN"/>
                    </w:rPr>
                    <w:t>3</w:t>
                  </w:r>
                </w:p>
              </w:tc>
              <w:tc>
                <w:tcPr>
                  <w:tcW w:w="571" w:type="pct"/>
                  <w:tcBorders>
                    <w:tl2br w:val="nil"/>
                    <w:tr2bl w:val="nil"/>
                  </w:tcBorders>
                  <w:noWrap w:val="0"/>
                  <w:vAlign w:val="center"/>
                </w:tcPr>
                <w:p w14:paraId="16915C96">
                  <w:pPr>
                    <w:keepNext w:val="0"/>
                    <w:keepLines w:val="0"/>
                    <w:suppressLineNumbers w:val="0"/>
                    <w:spacing w:before="0" w:beforeAutospacing="0" w:after="0" w:afterAutospacing="0"/>
                    <w:ind w:left="0" w:leftChars="0" w:right="0" w:rightChars="0"/>
                    <w:jc w:val="center"/>
                    <w:rPr>
                      <w:rFonts w:hint="default" w:cs="Times New Roman"/>
                      <w:color w:val="auto"/>
                      <w:sz w:val="21"/>
                      <w:szCs w:val="21"/>
                      <w:lang w:val="en-US" w:eastAsia="zh-CN"/>
                    </w:rPr>
                  </w:pPr>
                  <w:r>
                    <w:rPr>
                      <w:rFonts w:hint="eastAsia" w:cs="Times New Roman"/>
                      <w:color w:val="auto"/>
                      <w:sz w:val="21"/>
                      <w:szCs w:val="21"/>
                      <w:lang w:val="en-US" w:eastAsia="zh-CN"/>
                    </w:rPr>
                    <w:t>废包装桶</w:t>
                  </w:r>
                </w:p>
              </w:tc>
              <w:tc>
                <w:tcPr>
                  <w:tcW w:w="461" w:type="pct"/>
                  <w:tcBorders>
                    <w:tl2br w:val="nil"/>
                    <w:tr2bl w:val="nil"/>
                  </w:tcBorders>
                  <w:noWrap w:val="0"/>
                  <w:vAlign w:val="center"/>
                </w:tcPr>
                <w:p w14:paraId="440482EC">
                  <w:pPr>
                    <w:keepNext w:val="0"/>
                    <w:keepLines w:val="0"/>
                    <w:widowControl w:val="0"/>
                    <w:suppressLineNumbers w:val="0"/>
                    <w:spacing w:before="0" w:beforeAutospacing="0" w:after="0" w:afterAutospacing="0"/>
                    <w:ind w:left="0" w:leftChars="0" w:right="0" w:rightChars="0"/>
                    <w:jc w:val="center"/>
                    <w:rPr>
                      <w:rFonts w:hint="eastAsia"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HW49</w:t>
                  </w:r>
                </w:p>
              </w:tc>
              <w:tc>
                <w:tcPr>
                  <w:tcW w:w="668" w:type="pct"/>
                  <w:tcBorders>
                    <w:tl2br w:val="nil"/>
                    <w:tr2bl w:val="nil"/>
                  </w:tcBorders>
                  <w:noWrap w:val="0"/>
                  <w:vAlign w:val="center"/>
                </w:tcPr>
                <w:p w14:paraId="702D74EC">
                  <w:pPr>
                    <w:keepNext w:val="0"/>
                    <w:keepLines w:val="0"/>
                    <w:widowControl w:val="0"/>
                    <w:suppressLineNumbers w:val="0"/>
                    <w:spacing w:before="0" w:beforeAutospacing="0" w:after="0" w:afterAutospacing="0"/>
                    <w:ind w:left="0" w:leftChars="0" w:right="0" w:rightChars="0"/>
                    <w:jc w:val="center"/>
                    <w:rPr>
                      <w:rFonts w:hint="eastAsia"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900-0</w:t>
                  </w:r>
                  <w:r>
                    <w:rPr>
                      <w:rFonts w:hint="eastAsia" w:cs="Times New Roman"/>
                      <w:color w:val="auto"/>
                      <w:kern w:val="2"/>
                      <w:sz w:val="21"/>
                      <w:szCs w:val="21"/>
                      <w:lang w:val="en-US" w:eastAsia="zh-CN" w:bidi="ar"/>
                    </w:rPr>
                    <w:t>41</w:t>
                  </w:r>
                  <w:r>
                    <w:rPr>
                      <w:rFonts w:hint="default" w:ascii="Times New Roman" w:hAnsi="Times New Roman" w:eastAsia="宋体" w:cs="Times New Roman"/>
                      <w:color w:val="auto"/>
                      <w:kern w:val="2"/>
                      <w:sz w:val="21"/>
                      <w:szCs w:val="21"/>
                      <w:lang w:val="en-US" w:eastAsia="zh-CN" w:bidi="ar"/>
                    </w:rPr>
                    <w:t>-49</w:t>
                  </w:r>
                </w:p>
              </w:tc>
              <w:tc>
                <w:tcPr>
                  <w:tcW w:w="458" w:type="pct"/>
                  <w:tcBorders>
                    <w:tl2br w:val="nil"/>
                    <w:tr2bl w:val="nil"/>
                  </w:tcBorders>
                  <w:noWrap w:val="0"/>
                  <w:vAlign w:val="center"/>
                </w:tcPr>
                <w:p w14:paraId="0CA191B6">
                  <w:pPr>
                    <w:keepNext w:val="0"/>
                    <w:keepLines w:val="0"/>
                    <w:widowControl w:val="0"/>
                    <w:suppressLineNumbers w:val="0"/>
                    <w:spacing w:before="0" w:beforeAutospacing="0" w:after="0" w:afterAutospacing="0"/>
                    <w:ind w:left="0" w:leftChars="0" w:right="0" w:rightChars="0"/>
                    <w:jc w:val="center"/>
                    <w:rPr>
                      <w:rFonts w:hint="eastAsia" w:cs="Times New Roman"/>
                      <w:color w:val="auto"/>
                      <w:kern w:val="2"/>
                      <w:sz w:val="21"/>
                      <w:szCs w:val="21"/>
                      <w:lang w:val="en-US" w:eastAsia="zh-CN" w:bidi="ar"/>
                    </w:rPr>
                  </w:pPr>
                  <w:r>
                    <w:rPr>
                      <w:rFonts w:hint="eastAsia" w:cs="Times New Roman"/>
                      <w:color w:val="auto"/>
                      <w:kern w:val="2"/>
                      <w:sz w:val="21"/>
                      <w:szCs w:val="21"/>
                      <w:lang w:val="en-US" w:eastAsia="zh-CN" w:bidi="ar"/>
                    </w:rPr>
                    <w:t>2.4</w:t>
                  </w:r>
                  <w:r>
                    <w:rPr>
                      <w:rFonts w:hint="default" w:ascii="Times New Roman" w:hAnsi="Times New Roman" w:eastAsia="宋体" w:cs="Times New Roman"/>
                      <w:color w:val="auto"/>
                      <w:kern w:val="2"/>
                      <w:sz w:val="21"/>
                      <w:szCs w:val="21"/>
                      <w:lang w:val="en-US" w:eastAsia="zh-CN" w:bidi="ar"/>
                    </w:rPr>
                    <w:t>t/a</w:t>
                  </w:r>
                </w:p>
              </w:tc>
              <w:tc>
                <w:tcPr>
                  <w:tcW w:w="314" w:type="pct"/>
                  <w:tcBorders>
                    <w:tl2br w:val="nil"/>
                    <w:tr2bl w:val="nil"/>
                  </w:tcBorders>
                  <w:noWrap w:val="0"/>
                  <w:vAlign w:val="center"/>
                </w:tcPr>
                <w:p w14:paraId="41784665">
                  <w:pPr>
                    <w:keepNext w:val="0"/>
                    <w:keepLines w:val="0"/>
                    <w:widowControl w:val="0"/>
                    <w:suppressLineNumbers w:val="0"/>
                    <w:spacing w:before="0" w:beforeAutospacing="0" w:after="0" w:afterAutospacing="0"/>
                    <w:ind w:left="0" w:leftChars="0" w:right="0" w:rightChars="0"/>
                    <w:jc w:val="center"/>
                    <w:rPr>
                      <w:rFonts w:hint="eastAsia" w:ascii="Times New Roman" w:hAnsi="Times New Roman" w:eastAsia="宋体" w:cs="宋体"/>
                      <w:color w:val="auto"/>
                      <w:kern w:val="2"/>
                      <w:sz w:val="21"/>
                      <w:szCs w:val="21"/>
                      <w:lang w:val="en-US" w:eastAsia="zh-CN" w:bidi="ar"/>
                    </w:rPr>
                  </w:pPr>
                  <w:r>
                    <w:rPr>
                      <w:rFonts w:hint="eastAsia" w:ascii="Times New Roman" w:hAnsi="Times New Roman" w:eastAsia="宋体" w:cs="宋体"/>
                      <w:color w:val="auto"/>
                      <w:kern w:val="2"/>
                      <w:sz w:val="21"/>
                      <w:szCs w:val="21"/>
                      <w:lang w:val="en-US" w:eastAsia="zh-CN" w:bidi="ar"/>
                    </w:rPr>
                    <w:t>固态</w:t>
                  </w:r>
                </w:p>
              </w:tc>
              <w:tc>
                <w:tcPr>
                  <w:tcW w:w="715" w:type="pct"/>
                  <w:tcBorders>
                    <w:tl2br w:val="nil"/>
                    <w:tr2bl w:val="nil"/>
                  </w:tcBorders>
                  <w:noWrap w:val="0"/>
                  <w:vAlign w:val="center"/>
                </w:tcPr>
                <w:p w14:paraId="0DEFD204">
                  <w:pPr>
                    <w:keepNext w:val="0"/>
                    <w:keepLines w:val="0"/>
                    <w:widowControl w:val="0"/>
                    <w:suppressLineNumbers w:val="0"/>
                    <w:topLinePunct/>
                    <w:adjustRightInd w:val="0"/>
                    <w:snapToGrid w:val="0"/>
                    <w:spacing w:before="0" w:beforeAutospacing="0" w:after="0" w:afterAutospacing="0"/>
                    <w:ind w:left="0" w:leftChars="0" w:right="0" w:rightChars="0"/>
                    <w:jc w:val="center"/>
                    <w:rPr>
                      <w:rFonts w:hint="eastAsia" w:cs="宋体"/>
                      <w:color w:val="auto"/>
                      <w:kern w:val="0"/>
                      <w:sz w:val="21"/>
                      <w:szCs w:val="21"/>
                      <w:highlight w:val="none"/>
                      <w:lang w:val="en-US" w:eastAsia="zh-CN" w:bidi="ar"/>
                    </w:rPr>
                  </w:pPr>
                  <w:r>
                    <w:rPr>
                      <w:rFonts w:hint="eastAsia" w:ascii="Times New Roman" w:hAnsi="Times New Roman" w:eastAsia="宋体" w:cs="宋体"/>
                      <w:color w:val="auto"/>
                      <w:kern w:val="0"/>
                      <w:sz w:val="21"/>
                      <w:szCs w:val="21"/>
                      <w:highlight w:val="none"/>
                      <w:lang w:val="en-US" w:eastAsia="zh-CN" w:bidi="ar"/>
                    </w:rPr>
                    <w:t>有机</w:t>
                  </w:r>
                  <w:r>
                    <w:rPr>
                      <w:rFonts w:hint="eastAsia" w:cs="宋体"/>
                      <w:color w:val="auto"/>
                      <w:kern w:val="0"/>
                      <w:sz w:val="21"/>
                      <w:szCs w:val="21"/>
                      <w:highlight w:val="none"/>
                      <w:lang w:val="en-US" w:eastAsia="zh-CN" w:bidi="ar"/>
                    </w:rPr>
                    <w:t>物质</w:t>
                  </w:r>
                </w:p>
              </w:tc>
              <w:tc>
                <w:tcPr>
                  <w:tcW w:w="391" w:type="pct"/>
                  <w:tcBorders>
                    <w:tl2br w:val="nil"/>
                    <w:tr2bl w:val="nil"/>
                  </w:tcBorders>
                  <w:noWrap w:val="0"/>
                  <w:vAlign w:val="center"/>
                </w:tcPr>
                <w:p w14:paraId="3093C923">
                  <w:pPr>
                    <w:keepNext w:val="0"/>
                    <w:keepLines w:val="0"/>
                    <w:widowControl w:val="0"/>
                    <w:suppressLineNumbers w:val="0"/>
                    <w:spacing w:before="0" w:beforeAutospacing="0" w:after="0" w:afterAutospacing="0"/>
                    <w:ind w:left="0" w:leftChars="0" w:right="0" w:rightChars="0"/>
                    <w:jc w:val="center"/>
                    <w:rPr>
                      <w:rFonts w:hint="default" w:cs="Times New Roman"/>
                      <w:color w:val="auto"/>
                      <w:kern w:val="2"/>
                      <w:sz w:val="21"/>
                      <w:szCs w:val="21"/>
                      <w:lang w:val="en-US" w:eastAsia="zh-CN" w:bidi="ar"/>
                    </w:rPr>
                  </w:pPr>
                  <w:r>
                    <w:rPr>
                      <w:rFonts w:hint="eastAsia" w:cs="Times New Roman"/>
                      <w:color w:val="auto"/>
                      <w:kern w:val="2"/>
                      <w:sz w:val="21"/>
                      <w:szCs w:val="21"/>
                      <w:lang w:val="en-US" w:eastAsia="zh-CN" w:bidi="ar"/>
                    </w:rPr>
                    <w:t>T/In</w:t>
                  </w:r>
                </w:p>
              </w:tc>
              <w:tc>
                <w:tcPr>
                  <w:tcW w:w="702" w:type="pct"/>
                  <w:vMerge w:val="continue"/>
                  <w:tcBorders>
                    <w:tl2br w:val="nil"/>
                    <w:tr2bl w:val="nil"/>
                  </w:tcBorders>
                  <w:noWrap w:val="0"/>
                  <w:vAlign w:val="center"/>
                </w:tcPr>
                <w:p w14:paraId="03F7900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506" w:type="pct"/>
                  <w:tcBorders>
                    <w:tl2br w:val="nil"/>
                    <w:tr2bl w:val="nil"/>
                  </w:tcBorders>
                  <w:noWrap w:val="0"/>
                  <w:vAlign w:val="center"/>
                </w:tcPr>
                <w:p w14:paraId="507C12A3">
                  <w:pPr>
                    <w:keepNext w:val="0"/>
                    <w:keepLines w:val="0"/>
                    <w:widowControl w:val="0"/>
                    <w:suppressLineNumbers w:val="0"/>
                    <w:spacing w:before="0" w:beforeAutospacing="0" w:after="0" w:afterAutospacing="0"/>
                    <w:ind w:left="0" w:leftChars="0" w:right="0" w:rightChars="0"/>
                    <w:jc w:val="center"/>
                    <w:rPr>
                      <w:rFonts w:hint="default" w:cs="Times New Roman"/>
                      <w:color w:val="auto"/>
                      <w:kern w:val="2"/>
                      <w:sz w:val="21"/>
                      <w:szCs w:val="21"/>
                      <w:lang w:val="en-US" w:eastAsia="zh-CN" w:bidi="ar"/>
                    </w:rPr>
                  </w:pPr>
                  <w:r>
                    <w:rPr>
                      <w:rFonts w:hint="eastAsia" w:cs="Times New Roman"/>
                      <w:color w:val="auto"/>
                      <w:kern w:val="2"/>
                      <w:sz w:val="21"/>
                      <w:szCs w:val="21"/>
                      <w:lang w:val="en-US" w:eastAsia="zh-CN" w:bidi="ar"/>
                    </w:rPr>
                    <w:t>2.4t/a</w:t>
                  </w:r>
                </w:p>
              </w:tc>
            </w:tr>
            <w:tr w14:paraId="015016D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7" w:type="dxa"/>
                  <w:bottom w:w="0" w:type="dxa"/>
                  <w:right w:w="17" w:type="dxa"/>
                </w:tblCellMar>
              </w:tblPrEx>
              <w:trPr>
                <w:trHeight w:val="397" w:hRule="atLeast"/>
                <w:jc w:val="center"/>
              </w:trPr>
              <w:tc>
                <w:tcPr>
                  <w:tcW w:w="209" w:type="pct"/>
                  <w:tcBorders>
                    <w:tl2br w:val="nil"/>
                    <w:tr2bl w:val="nil"/>
                  </w:tcBorders>
                  <w:noWrap w:val="0"/>
                  <w:vAlign w:val="center"/>
                </w:tcPr>
                <w:p w14:paraId="25B2D191">
                  <w:pPr>
                    <w:keepNext w:val="0"/>
                    <w:keepLines w:val="0"/>
                    <w:suppressLineNumbers w:val="0"/>
                    <w:spacing w:before="0" w:beforeAutospacing="0" w:after="0" w:afterAutospacing="0"/>
                    <w:ind w:left="0" w:right="0"/>
                    <w:jc w:val="center"/>
                    <w:rPr>
                      <w:rFonts w:hint="default" w:cs="Times New Roman"/>
                      <w:color w:val="auto"/>
                      <w:sz w:val="21"/>
                      <w:szCs w:val="21"/>
                      <w:lang w:val="en-US" w:eastAsia="zh-CN"/>
                    </w:rPr>
                  </w:pPr>
                  <w:r>
                    <w:rPr>
                      <w:rFonts w:hint="eastAsia" w:cs="Times New Roman"/>
                      <w:color w:val="auto"/>
                      <w:sz w:val="21"/>
                      <w:szCs w:val="21"/>
                      <w:lang w:val="en-US" w:eastAsia="zh-CN"/>
                    </w:rPr>
                    <w:t>4</w:t>
                  </w:r>
                </w:p>
              </w:tc>
              <w:tc>
                <w:tcPr>
                  <w:tcW w:w="984" w:type="dxa"/>
                  <w:tcBorders>
                    <w:tl2br w:val="nil"/>
                    <w:tr2bl w:val="nil"/>
                  </w:tcBorders>
                  <w:noWrap w:val="0"/>
                  <w:vAlign w:val="center"/>
                </w:tcPr>
                <w:p w14:paraId="35CEA130">
                  <w:pPr>
                    <w:keepNext w:val="0"/>
                    <w:keepLines w:val="0"/>
                    <w:suppressLineNumbers w:val="0"/>
                    <w:spacing w:before="0" w:beforeAutospacing="0" w:after="0" w:afterAutospacing="0"/>
                    <w:ind w:left="0" w:right="0"/>
                    <w:jc w:val="center"/>
                    <w:rPr>
                      <w:rFonts w:hint="eastAsia" w:cs="Times New Roman"/>
                      <w:color w:val="auto"/>
                      <w:sz w:val="21"/>
                      <w:szCs w:val="21"/>
                      <w:lang w:val="en-US" w:eastAsia="zh-CN"/>
                    </w:rPr>
                  </w:pPr>
                  <w:r>
                    <w:rPr>
                      <w:rFonts w:hint="eastAsia"/>
                      <w:sz w:val="21"/>
                      <w:szCs w:val="21"/>
                    </w:rPr>
                    <w:t>废柔印版</w:t>
                  </w:r>
                </w:p>
              </w:tc>
              <w:tc>
                <w:tcPr>
                  <w:tcW w:w="795" w:type="dxa"/>
                  <w:tcBorders>
                    <w:tl2br w:val="nil"/>
                    <w:tr2bl w:val="nil"/>
                  </w:tcBorders>
                  <w:noWrap w:val="0"/>
                  <w:vAlign w:val="center"/>
                </w:tcPr>
                <w:p w14:paraId="01BDB6F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
                    </w:rPr>
                  </w:pPr>
                  <w:r>
                    <w:rPr>
                      <w:rFonts w:hint="default"/>
                      <w:sz w:val="21"/>
                      <w:szCs w:val="21"/>
                      <w:lang w:bidi="ar"/>
                    </w:rPr>
                    <w:t>HW12</w:t>
                  </w:r>
                </w:p>
              </w:tc>
              <w:tc>
                <w:tcPr>
                  <w:tcW w:w="1152" w:type="dxa"/>
                  <w:tcBorders>
                    <w:tl2br w:val="nil"/>
                    <w:tr2bl w:val="nil"/>
                  </w:tcBorders>
                  <w:noWrap w:val="0"/>
                  <w:vAlign w:val="center"/>
                </w:tcPr>
                <w:p w14:paraId="2011AAA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
                    </w:rPr>
                  </w:pPr>
                  <w:r>
                    <w:rPr>
                      <w:rFonts w:hint="default"/>
                      <w:sz w:val="21"/>
                      <w:szCs w:val="21"/>
                      <w:lang w:bidi="ar"/>
                    </w:rPr>
                    <w:t>900-253-12</w:t>
                  </w:r>
                </w:p>
              </w:tc>
              <w:tc>
                <w:tcPr>
                  <w:tcW w:w="790" w:type="dxa"/>
                  <w:tcBorders>
                    <w:tl2br w:val="nil"/>
                    <w:tr2bl w:val="nil"/>
                  </w:tcBorders>
                  <w:noWrap w:val="0"/>
                  <w:vAlign w:val="center"/>
                </w:tcPr>
                <w:p w14:paraId="0C36CA31">
                  <w:pPr>
                    <w:keepNext w:val="0"/>
                    <w:keepLines w:val="0"/>
                    <w:suppressLineNumbers w:val="0"/>
                    <w:spacing w:before="0" w:beforeAutospacing="0" w:after="0" w:afterAutospacing="0"/>
                    <w:ind w:left="0" w:right="0"/>
                    <w:jc w:val="center"/>
                    <w:rPr>
                      <w:rFonts w:hint="eastAsia" w:cs="Times New Roman"/>
                      <w:color w:val="auto"/>
                      <w:kern w:val="2"/>
                      <w:sz w:val="21"/>
                      <w:szCs w:val="21"/>
                      <w:lang w:val="en-US" w:eastAsia="zh-CN" w:bidi="ar"/>
                    </w:rPr>
                  </w:pPr>
                  <w:r>
                    <w:rPr>
                      <w:rFonts w:hint="eastAsia"/>
                      <w:sz w:val="21"/>
                      <w:szCs w:val="21"/>
                      <w:lang w:bidi="ar"/>
                    </w:rPr>
                    <w:t>0.002</w:t>
                  </w:r>
                  <w:r>
                    <w:rPr>
                      <w:rFonts w:hint="default"/>
                      <w:sz w:val="21"/>
                      <w:szCs w:val="21"/>
                      <w:lang w:bidi="ar"/>
                    </w:rPr>
                    <w:t>t/a</w:t>
                  </w:r>
                </w:p>
              </w:tc>
              <w:tc>
                <w:tcPr>
                  <w:tcW w:w="541" w:type="dxa"/>
                  <w:tcBorders>
                    <w:tl2br w:val="nil"/>
                    <w:tr2bl w:val="nil"/>
                  </w:tcBorders>
                  <w:noWrap w:val="0"/>
                  <w:vAlign w:val="center"/>
                </w:tcPr>
                <w:p w14:paraId="36788604">
                  <w:pPr>
                    <w:keepNext w:val="0"/>
                    <w:keepLines w:val="0"/>
                    <w:widowControl w:val="0"/>
                    <w:suppressLineNumbers w:val="0"/>
                    <w:spacing w:before="0" w:beforeAutospacing="0" w:after="0" w:afterAutospacing="0"/>
                    <w:ind w:left="0" w:leftChars="0" w:right="0" w:rightChars="0"/>
                    <w:jc w:val="center"/>
                    <w:rPr>
                      <w:rFonts w:hint="eastAsia" w:ascii="Times New Roman" w:hAnsi="Times New Roman" w:eastAsia="宋体" w:cs="宋体"/>
                      <w:color w:val="auto"/>
                      <w:kern w:val="2"/>
                      <w:sz w:val="21"/>
                      <w:szCs w:val="21"/>
                      <w:lang w:val="en-US" w:eastAsia="zh-CN" w:bidi="ar"/>
                    </w:rPr>
                  </w:pPr>
                  <w:r>
                    <w:rPr>
                      <w:rFonts w:hint="eastAsia" w:ascii="Times New Roman" w:hAnsi="Times New Roman" w:eastAsia="宋体" w:cs="宋体"/>
                      <w:color w:val="auto"/>
                      <w:kern w:val="2"/>
                      <w:sz w:val="21"/>
                      <w:szCs w:val="21"/>
                      <w:lang w:val="en-US" w:eastAsia="zh-CN" w:bidi="ar"/>
                    </w:rPr>
                    <w:t>固态</w:t>
                  </w:r>
                </w:p>
              </w:tc>
              <w:tc>
                <w:tcPr>
                  <w:tcW w:w="715" w:type="pct"/>
                  <w:tcBorders>
                    <w:tl2br w:val="nil"/>
                    <w:tr2bl w:val="nil"/>
                  </w:tcBorders>
                  <w:noWrap w:val="0"/>
                  <w:vAlign w:val="center"/>
                </w:tcPr>
                <w:p w14:paraId="27D4B46F">
                  <w:pPr>
                    <w:keepNext w:val="0"/>
                    <w:keepLines w:val="0"/>
                    <w:widowControl w:val="0"/>
                    <w:suppressLineNumbers w:val="0"/>
                    <w:topLinePunct/>
                    <w:adjustRightInd w:val="0"/>
                    <w:snapToGrid w:val="0"/>
                    <w:spacing w:before="0" w:beforeAutospacing="0" w:after="0" w:afterAutospacing="0"/>
                    <w:ind w:left="0" w:leftChars="0" w:right="0" w:rightChars="0"/>
                    <w:jc w:val="center"/>
                    <w:rPr>
                      <w:rFonts w:hint="eastAsia" w:ascii="Times New Roman" w:hAnsi="Times New Roman" w:eastAsia="宋体" w:cs="宋体"/>
                      <w:color w:val="auto"/>
                      <w:kern w:val="0"/>
                      <w:sz w:val="21"/>
                      <w:szCs w:val="21"/>
                      <w:highlight w:val="none"/>
                      <w:lang w:val="en-US" w:eastAsia="zh-CN" w:bidi="ar"/>
                    </w:rPr>
                  </w:pPr>
                  <w:r>
                    <w:rPr>
                      <w:rFonts w:hint="eastAsia" w:ascii="Times New Roman" w:hAnsi="Times New Roman" w:eastAsia="宋体" w:cs="宋体"/>
                      <w:color w:val="auto"/>
                      <w:kern w:val="0"/>
                      <w:sz w:val="21"/>
                      <w:szCs w:val="21"/>
                      <w:highlight w:val="none"/>
                      <w:lang w:val="en-US" w:eastAsia="zh-CN" w:bidi="ar"/>
                    </w:rPr>
                    <w:t>有机</w:t>
                  </w:r>
                  <w:r>
                    <w:rPr>
                      <w:rFonts w:hint="eastAsia" w:cs="宋体"/>
                      <w:color w:val="auto"/>
                      <w:kern w:val="0"/>
                      <w:sz w:val="21"/>
                      <w:szCs w:val="21"/>
                      <w:highlight w:val="none"/>
                      <w:lang w:val="en-US" w:eastAsia="zh-CN" w:bidi="ar"/>
                    </w:rPr>
                    <w:t>物质</w:t>
                  </w:r>
                </w:p>
              </w:tc>
              <w:tc>
                <w:tcPr>
                  <w:tcW w:w="391" w:type="pct"/>
                  <w:tcBorders>
                    <w:tl2br w:val="nil"/>
                    <w:tr2bl w:val="nil"/>
                  </w:tcBorders>
                  <w:noWrap w:val="0"/>
                  <w:vAlign w:val="center"/>
                </w:tcPr>
                <w:p w14:paraId="702BCEF5">
                  <w:pPr>
                    <w:keepNext w:val="0"/>
                    <w:keepLines w:val="0"/>
                    <w:widowControl w:val="0"/>
                    <w:suppressLineNumbers w:val="0"/>
                    <w:spacing w:before="0" w:beforeAutospacing="0" w:after="0" w:afterAutospacing="0"/>
                    <w:ind w:left="0" w:leftChars="0" w:right="0" w:rightChars="0"/>
                    <w:jc w:val="center"/>
                    <w:rPr>
                      <w:rFonts w:hint="default" w:cs="Times New Roman"/>
                      <w:color w:val="auto"/>
                      <w:kern w:val="2"/>
                      <w:sz w:val="21"/>
                      <w:szCs w:val="21"/>
                      <w:lang w:val="en-US" w:eastAsia="zh-CN" w:bidi="ar"/>
                    </w:rPr>
                  </w:pPr>
                  <w:r>
                    <w:rPr>
                      <w:rFonts w:hint="eastAsia" w:cs="Times New Roman"/>
                      <w:color w:val="auto"/>
                      <w:kern w:val="2"/>
                      <w:sz w:val="21"/>
                      <w:szCs w:val="21"/>
                      <w:lang w:val="en-US" w:eastAsia="zh-CN" w:bidi="ar"/>
                    </w:rPr>
                    <w:t>T，I</w:t>
                  </w:r>
                </w:p>
              </w:tc>
              <w:tc>
                <w:tcPr>
                  <w:tcW w:w="702" w:type="pct"/>
                  <w:vMerge w:val="continue"/>
                  <w:tcBorders>
                    <w:tl2br w:val="nil"/>
                    <w:tr2bl w:val="nil"/>
                  </w:tcBorders>
                  <w:noWrap w:val="0"/>
                  <w:vAlign w:val="center"/>
                </w:tcPr>
                <w:p w14:paraId="698239F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72" w:type="dxa"/>
                  <w:tcBorders>
                    <w:tl2br w:val="nil"/>
                    <w:tr2bl w:val="nil"/>
                  </w:tcBorders>
                  <w:noWrap w:val="0"/>
                  <w:vAlign w:val="center"/>
                </w:tcPr>
                <w:p w14:paraId="57CDDFA1">
                  <w:pPr>
                    <w:keepNext w:val="0"/>
                    <w:keepLines w:val="0"/>
                    <w:suppressLineNumbers w:val="0"/>
                    <w:spacing w:before="0" w:beforeAutospacing="0" w:after="0" w:afterAutospacing="0"/>
                    <w:ind w:left="0" w:right="0"/>
                    <w:jc w:val="center"/>
                    <w:rPr>
                      <w:rFonts w:hint="default" w:cs="Times New Roman"/>
                      <w:color w:val="auto"/>
                      <w:kern w:val="2"/>
                      <w:sz w:val="21"/>
                      <w:szCs w:val="21"/>
                      <w:lang w:val="en-US" w:eastAsia="zh-CN" w:bidi="ar"/>
                    </w:rPr>
                  </w:pPr>
                  <w:r>
                    <w:rPr>
                      <w:rFonts w:hint="eastAsia"/>
                      <w:sz w:val="21"/>
                      <w:szCs w:val="21"/>
                      <w:lang w:bidi="ar"/>
                    </w:rPr>
                    <w:t>0.002</w:t>
                  </w:r>
                  <w:r>
                    <w:rPr>
                      <w:rFonts w:hint="default"/>
                      <w:sz w:val="21"/>
                      <w:szCs w:val="21"/>
                      <w:lang w:bidi="ar"/>
                    </w:rPr>
                    <w:t>t/a</w:t>
                  </w:r>
                </w:p>
              </w:tc>
            </w:tr>
            <w:tr w14:paraId="02728C2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7" w:type="dxa"/>
                  <w:bottom w:w="0" w:type="dxa"/>
                  <w:right w:w="17" w:type="dxa"/>
                </w:tblCellMar>
              </w:tblPrEx>
              <w:trPr>
                <w:trHeight w:val="397" w:hRule="atLeast"/>
                <w:jc w:val="center"/>
              </w:trPr>
              <w:tc>
                <w:tcPr>
                  <w:tcW w:w="209" w:type="pct"/>
                  <w:tcBorders>
                    <w:tl2br w:val="nil"/>
                    <w:tr2bl w:val="nil"/>
                  </w:tcBorders>
                  <w:noWrap w:val="0"/>
                  <w:vAlign w:val="center"/>
                </w:tcPr>
                <w:p w14:paraId="40A124EB">
                  <w:pPr>
                    <w:keepNext w:val="0"/>
                    <w:keepLines w:val="0"/>
                    <w:suppressLineNumbers w:val="0"/>
                    <w:spacing w:before="0" w:beforeAutospacing="0" w:after="0" w:afterAutospacing="0"/>
                    <w:ind w:left="0" w:right="0"/>
                    <w:jc w:val="center"/>
                    <w:rPr>
                      <w:rFonts w:hint="default" w:cs="Times New Roman"/>
                      <w:color w:val="auto"/>
                      <w:sz w:val="21"/>
                      <w:szCs w:val="21"/>
                      <w:lang w:val="en-US" w:eastAsia="zh-CN"/>
                    </w:rPr>
                  </w:pPr>
                  <w:r>
                    <w:rPr>
                      <w:rFonts w:hint="eastAsia" w:cs="Times New Roman"/>
                      <w:color w:val="auto"/>
                      <w:sz w:val="21"/>
                      <w:szCs w:val="21"/>
                      <w:lang w:val="en-US" w:eastAsia="zh-CN"/>
                    </w:rPr>
                    <w:t>5</w:t>
                  </w:r>
                </w:p>
              </w:tc>
              <w:tc>
                <w:tcPr>
                  <w:tcW w:w="984" w:type="dxa"/>
                  <w:tcBorders>
                    <w:tl2br w:val="nil"/>
                    <w:tr2bl w:val="nil"/>
                  </w:tcBorders>
                  <w:noWrap w:val="0"/>
                  <w:vAlign w:val="center"/>
                </w:tcPr>
                <w:p w14:paraId="5752284C">
                  <w:pPr>
                    <w:keepNext w:val="0"/>
                    <w:keepLines w:val="0"/>
                    <w:suppressLineNumbers w:val="0"/>
                    <w:spacing w:before="0" w:beforeAutospacing="0" w:after="0" w:afterAutospacing="0"/>
                    <w:ind w:left="0" w:right="0"/>
                    <w:jc w:val="center"/>
                    <w:rPr>
                      <w:rFonts w:hint="eastAsia" w:cs="Times New Roman"/>
                      <w:color w:val="auto"/>
                      <w:sz w:val="21"/>
                      <w:szCs w:val="21"/>
                      <w:lang w:val="en-US" w:eastAsia="zh-CN"/>
                    </w:rPr>
                  </w:pPr>
                  <w:r>
                    <w:rPr>
                      <w:rFonts w:hint="eastAsia"/>
                      <w:sz w:val="21"/>
                      <w:szCs w:val="21"/>
                    </w:rPr>
                    <w:t>废抹布</w:t>
                  </w:r>
                </w:p>
              </w:tc>
              <w:tc>
                <w:tcPr>
                  <w:tcW w:w="795" w:type="dxa"/>
                  <w:tcBorders>
                    <w:tl2br w:val="nil"/>
                    <w:tr2bl w:val="nil"/>
                  </w:tcBorders>
                  <w:noWrap w:val="0"/>
                  <w:vAlign w:val="center"/>
                </w:tcPr>
                <w:p w14:paraId="634A643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
                    </w:rPr>
                  </w:pPr>
                  <w:r>
                    <w:rPr>
                      <w:rFonts w:hint="default"/>
                      <w:sz w:val="21"/>
                      <w:szCs w:val="21"/>
                      <w:lang w:bidi="ar"/>
                    </w:rPr>
                    <w:t>HW49</w:t>
                  </w:r>
                </w:p>
              </w:tc>
              <w:tc>
                <w:tcPr>
                  <w:tcW w:w="1152" w:type="dxa"/>
                  <w:tcBorders>
                    <w:tl2br w:val="nil"/>
                    <w:tr2bl w:val="nil"/>
                  </w:tcBorders>
                  <w:noWrap w:val="0"/>
                  <w:vAlign w:val="center"/>
                </w:tcPr>
                <w:p w14:paraId="7FC074A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
                    </w:rPr>
                  </w:pPr>
                  <w:r>
                    <w:rPr>
                      <w:rFonts w:hint="default"/>
                      <w:sz w:val="21"/>
                      <w:szCs w:val="21"/>
                      <w:lang w:bidi="ar"/>
                    </w:rPr>
                    <w:t>900-0</w:t>
                  </w:r>
                  <w:r>
                    <w:rPr>
                      <w:rFonts w:hint="eastAsia"/>
                      <w:sz w:val="21"/>
                      <w:szCs w:val="21"/>
                      <w:lang w:bidi="ar"/>
                    </w:rPr>
                    <w:t>41</w:t>
                  </w:r>
                  <w:r>
                    <w:rPr>
                      <w:rFonts w:hint="default"/>
                      <w:sz w:val="21"/>
                      <w:szCs w:val="21"/>
                      <w:lang w:bidi="ar"/>
                    </w:rPr>
                    <w:t>-49</w:t>
                  </w:r>
                </w:p>
              </w:tc>
              <w:tc>
                <w:tcPr>
                  <w:tcW w:w="790" w:type="dxa"/>
                  <w:tcBorders>
                    <w:tl2br w:val="nil"/>
                    <w:tr2bl w:val="nil"/>
                  </w:tcBorders>
                  <w:noWrap w:val="0"/>
                  <w:vAlign w:val="center"/>
                </w:tcPr>
                <w:p w14:paraId="608C589E">
                  <w:pPr>
                    <w:keepNext w:val="0"/>
                    <w:keepLines w:val="0"/>
                    <w:suppressLineNumbers w:val="0"/>
                    <w:spacing w:before="0" w:beforeAutospacing="0" w:after="0" w:afterAutospacing="0"/>
                    <w:ind w:left="0" w:right="0"/>
                    <w:jc w:val="center"/>
                    <w:rPr>
                      <w:rFonts w:hint="eastAsia" w:cs="Times New Roman"/>
                      <w:color w:val="auto"/>
                      <w:kern w:val="2"/>
                      <w:sz w:val="21"/>
                      <w:szCs w:val="21"/>
                      <w:lang w:val="en-US" w:eastAsia="zh-CN" w:bidi="ar"/>
                    </w:rPr>
                  </w:pPr>
                  <w:r>
                    <w:rPr>
                      <w:rFonts w:hint="eastAsia"/>
                      <w:sz w:val="21"/>
                      <w:szCs w:val="21"/>
                      <w:lang w:bidi="ar"/>
                    </w:rPr>
                    <w:t>0.03</w:t>
                  </w:r>
                  <w:r>
                    <w:rPr>
                      <w:rFonts w:hint="default"/>
                      <w:sz w:val="21"/>
                      <w:szCs w:val="21"/>
                      <w:lang w:bidi="ar"/>
                    </w:rPr>
                    <w:t>t/a</w:t>
                  </w:r>
                </w:p>
              </w:tc>
              <w:tc>
                <w:tcPr>
                  <w:tcW w:w="541" w:type="dxa"/>
                  <w:tcBorders>
                    <w:tl2br w:val="nil"/>
                    <w:tr2bl w:val="nil"/>
                  </w:tcBorders>
                  <w:noWrap w:val="0"/>
                  <w:vAlign w:val="center"/>
                </w:tcPr>
                <w:p w14:paraId="13B60A0A">
                  <w:pPr>
                    <w:keepNext w:val="0"/>
                    <w:keepLines w:val="0"/>
                    <w:widowControl w:val="0"/>
                    <w:suppressLineNumbers w:val="0"/>
                    <w:spacing w:before="0" w:beforeAutospacing="0" w:after="0" w:afterAutospacing="0"/>
                    <w:ind w:left="0" w:leftChars="0" w:right="0" w:rightChars="0"/>
                    <w:jc w:val="center"/>
                    <w:rPr>
                      <w:rFonts w:hint="eastAsia" w:ascii="Times New Roman" w:hAnsi="Times New Roman" w:eastAsia="宋体" w:cs="宋体"/>
                      <w:color w:val="auto"/>
                      <w:kern w:val="2"/>
                      <w:sz w:val="21"/>
                      <w:szCs w:val="21"/>
                      <w:lang w:val="en-US" w:eastAsia="zh-CN" w:bidi="ar"/>
                    </w:rPr>
                  </w:pPr>
                  <w:r>
                    <w:rPr>
                      <w:rFonts w:hint="eastAsia" w:ascii="Times New Roman" w:hAnsi="Times New Roman" w:eastAsia="宋体" w:cs="宋体"/>
                      <w:color w:val="auto"/>
                      <w:kern w:val="2"/>
                      <w:sz w:val="21"/>
                      <w:szCs w:val="21"/>
                      <w:lang w:val="en-US" w:eastAsia="zh-CN" w:bidi="ar"/>
                    </w:rPr>
                    <w:t>固态</w:t>
                  </w:r>
                </w:p>
              </w:tc>
              <w:tc>
                <w:tcPr>
                  <w:tcW w:w="715" w:type="pct"/>
                  <w:tcBorders>
                    <w:tl2br w:val="nil"/>
                    <w:tr2bl w:val="nil"/>
                  </w:tcBorders>
                  <w:noWrap w:val="0"/>
                  <w:vAlign w:val="center"/>
                </w:tcPr>
                <w:p w14:paraId="069F5690">
                  <w:pPr>
                    <w:keepNext w:val="0"/>
                    <w:keepLines w:val="0"/>
                    <w:widowControl w:val="0"/>
                    <w:suppressLineNumbers w:val="0"/>
                    <w:topLinePunct/>
                    <w:adjustRightInd w:val="0"/>
                    <w:snapToGrid w:val="0"/>
                    <w:spacing w:before="0" w:beforeAutospacing="0" w:after="0" w:afterAutospacing="0"/>
                    <w:ind w:left="0" w:leftChars="0" w:right="0" w:rightChars="0"/>
                    <w:jc w:val="center"/>
                    <w:rPr>
                      <w:rFonts w:hint="eastAsia" w:ascii="Times New Roman" w:hAnsi="Times New Roman" w:eastAsia="宋体" w:cs="宋体"/>
                      <w:color w:val="auto"/>
                      <w:kern w:val="0"/>
                      <w:sz w:val="21"/>
                      <w:szCs w:val="21"/>
                      <w:highlight w:val="none"/>
                      <w:lang w:val="en-US" w:eastAsia="zh-CN" w:bidi="ar"/>
                    </w:rPr>
                  </w:pPr>
                  <w:r>
                    <w:rPr>
                      <w:rFonts w:hint="eastAsia" w:ascii="Times New Roman" w:hAnsi="Times New Roman" w:eastAsia="宋体" w:cs="宋体"/>
                      <w:color w:val="auto"/>
                      <w:kern w:val="0"/>
                      <w:sz w:val="21"/>
                      <w:szCs w:val="21"/>
                      <w:highlight w:val="none"/>
                      <w:lang w:val="en-US" w:eastAsia="zh-CN" w:bidi="ar"/>
                    </w:rPr>
                    <w:t>有机</w:t>
                  </w:r>
                  <w:r>
                    <w:rPr>
                      <w:rFonts w:hint="eastAsia" w:cs="宋体"/>
                      <w:color w:val="auto"/>
                      <w:kern w:val="0"/>
                      <w:sz w:val="21"/>
                      <w:szCs w:val="21"/>
                      <w:highlight w:val="none"/>
                      <w:lang w:val="en-US" w:eastAsia="zh-CN" w:bidi="ar"/>
                    </w:rPr>
                    <w:t>物质</w:t>
                  </w:r>
                </w:p>
              </w:tc>
              <w:tc>
                <w:tcPr>
                  <w:tcW w:w="391" w:type="pct"/>
                  <w:tcBorders>
                    <w:tl2br w:val="nil"/>
                    <w:tr2bl w:val="nil"/>
                  </w:tcBorders>
                  <w:noWrap w:val="0"/>
                  <w:vAlign w:val="center"/>
                </w:tcPr>
                <w:p w14:paraId="6BF817F7">
                  <w:pPr>
                    <w:keepNext w:val="0"/>
                    <w:keepLines w:val="0"/>
                    <w:widowControl w:val="0"/>
                    <w:suppressLineNumbers w:val="0"/>
                    <w:spacing w:before="0" w:beforeAutospacing="0" w:after="0" w:afterAutospacing="0"/>
                    <w:ind w:left="0" w:leftChars="0" w:right="0" w:rightChars="0"/>
                    <w:jc w:val="center"/>
                    <w:rPr>
                      <w:rFonts w:hint="eastAsia" w:cs="Times New Roman"/>
                      <w:color w:val="auto"/>
                      <w:kern w:val="2"/>
                      <w:sz w:val="21"/>
                      <w:szCs w:val="21"/>
                      <w:lang w:val="en-US" w:eastAsia="zh-CN" w:bidi="ar"/>
                    </w:rPr>
                  </w:pPr>
                  <w:r>
                    <w:rPr>
                      <w:rFonts w:hint="eastAsia" w:cs="Times New Roman"/>
                      <w:color w:val="auto"/>
                      <w:kern w:val="2"/>
                      <w:sz w:val="21"/>
                      <w:szCs w:val="21"/>
                      <w:lang w:val="en-US" w:eastAsia="zh-CN" w:bidi="ar"/>
                    </w:rPr>
                    <w:t>T/In</w:t>
                  </w:r>
                </w:p>
              </w:tc>
              <w:tc>
                <w:tcPr>
                  <w:tcW w:w="702" w:type="pct"/>
                  <w:vMerge w:val="continue"/>
                  <w:tcBorders>
                    <w:tl2br w:val="nil"/>
                    <w:tr2bl w:val="nil"/>
                  </w:tcBorders>
                  <w:noWrap w:val="0"/>
                  <w:vAlign w:val="center"/>
                </w:tcPr>
                <w:p w14:paraId="03483DE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872" w:type="dxa"/>
                  <w:tcBorders>
                    <w:tl2br w:val="nil"/>
                    <w:tr2bl w:val="nil"/>
                  </w:tcBorders>
                  <w:noWrap w:val="0"/>
                  <w:vAlign w:val="center"/>
                </w:tcPr>
                <w:p w14:paraId="6DB0DB27">
                  <w:pPr>
                    <w:keepNext w:val="0"/>
                    <w:keepLines w:val="0"/>
                    <w:suppressLineNumbers w:val="0"/>
                    <w:spacing w:before="0" w:beforeAutospacing="0" w:after="0" w:afterAutospacing="0"/>
                    <w:ind w:left="0" w:right="0"/>
                    <w:jc w:val="center"/>
                    <w:rPr>
                      <w:rFonts w:hint="eastAsia" w:cs="Times New Roman"/>
                      <w:color w:val="auto"/>
                      <w:kern w:val="2"/>
                      <w:sz w:val="21"/>
                      <w:szCs w:val="21"/>
                      <w:lang w:val="en-US" w:eastAsia="zh-CN" w:bidi="ar"/>
                    </w:rPr>
                  </w:pPr>
                  <w:r>
                    <w:rPr>
                      <w:rFonts w:hint="eastAsia"/>
                      <w:sz w:val="21"/>
                      <w:szCs w:val="21"/>
                      <w:lang w:bidi="ar"/>
                    </w:rPr>
                    <w:t>0.03</w:t>
                  </w:r>
                  <w:r>
                    <w:rPr>
                      <w:rFonts w:hint="default"/>
                      <w:sz w:val="21"/>
                      <w:szCs w:val="21"/>
                      <w:lang w:bidi="ar"/>
                    </w:rPr>
                    <w:t>t/a</w:t>
                  </w:r>
                </w:p>
              </w:tc>
            </w:tr>
          </w:tbl>
          <w:p w14:paraId="67594CB2">
            <w:pPr>
              <w:keepNext w:val="0"/>
              <w:keepLines w:val="0"/>
              <w:suppressLineNumbers w:val="0"/>
              <w:adjustRightInd w:val="0"/>
              <w:snapToGrid w:val="0"/>
              <w:spacing w:before="0" w:beforeAutospacing="0" w:after="0" w:afterAutospacing="0" w:line="440" w:lineRule="exact"/>
              <w:ind w:left="0" w:right="0"/>
              <w:jc w:val="center"/>
              <w:rPr>
                <w:rFonts w:hint="eastAsia"/>
                <w:sz w:val="24"/>
                <w:lang w:val="en-US" w:eastAsia="zh-CN"/>
              </w:rPr>
            </w:pPr>
            <w:r>
              <w:rPr>
                <w:rFonts w:hint="default" w:ascii="Times New Roman" w:hAnsi="Times New Roman" w:eastAsia="宋体" w:cs="Times New Roman"/>
                <w:b/>
                <w:bCs/>
                <w:color w:val="auto"/>
                <w:sz w:val="24"/>
              </w:rPr>
              <w:t>表</w:t>
            </w:r>
            <w:r>
              <w:rPr>
                <w:rFonts w:hint="eastAsia" w:cs="Times New Roman"/>
                <w:b/>
                <w:bCs/>
                <w:color w:val="auto"/>
                <w:sz w:val="24"/>
                <w:lang w:val="en-US" w:eastAsia="zh-CN"/>
              </w:rPr>
              <w:t>34</w:t>
            </w:r>
            <w:r>
              <w:rPr>
                <w:rFonts w:hint="eastAsia" w:ascii="Times New Roman" w:hAnsi="Times New Roman" w:eastAsia="宋体" w:cs="Times New Roman"/>
                <w:b/>
                <w:bCs/>
                <w:color w:val="auto"/>
                <w:sz w:val="24"/>
                <w:lang w:val="en-US" w:eastAsia="zh-CN"/>
              </w:rPr>
              <w:t xml:space="preserve">  </w:t>
            </w:r>
            <w:r>
              <w:rPr>
                <w:rFonts w:hint="default" w:ascii="Times New Roman" w:hAnsi="Times New Roman" w:eastAsia="宋体" w:cs="Times New Roman"/>
                <w:b/>
                <w:bCs/>
                <w:color w:val="auto"/>
                <w:sz w:val="24"/>
              </w:rPr>
              <w:t>建设项目危险废物贮存场所（设施）基本情况表</w:t>
            </w:r>
          </w:p>
          <w:tbl>
            <w:tblPr>
              <w:tblStyle w:val="22"/>
              <w:tblW w:w="4997"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8"/>
              <w:gridCol w:w="1267"/>
              <w:gridCol w:w="1176"/>
              <w:gridCol w:w="971"/>
              <w:gridCol w:w="1267"/>
              <w:gridCol w:w="795"/>
              <w:gridCol w:w="1000"/>
              <w:gridCol w:w="783"/>
              <w:gridCol w:w="934"/>
            </w:tblGrid>
            <w:tr w14:paraId="63B7413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trPr>
              <w:tc>
                <w:tcPr>
                  <w:tcW w:w="242" w:type="pct"/>
                  <w:tcBorders>
                    <w:bottom w:val="single" w:color="auto" w:sz="8" w:space="0"/>
                  </w:tcBorders>
                  <w:noWrap w:val="0"/>
                  <w:vAlign w:val="center"/>
                </w:tcPr>
                <w:p w14:paraId="1894BA7D">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735" w:type="pct"/>
                  <w:tcBorders>
                    <w:bottom w:val="single" w:color="auto" w:sz="8" w:space="0"/>
                  </w:tcBorders>
                  <w:noWrap w:val="0"/>
                  <w:vAlign w:val="center"/>
                </w:tcPr>
                <w:p w14:paraId="301A9457">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贮存场所（设施）名称</w:t>
                  </w:r>
                </w:p>
              </w:tc>
              <w:tc>
                <w:tcPr>
                  <w:tcW w:w="682" w:type="pct"/>
                  <w:tcBorders>
                    <w:bottom w:val="single" w:color="auto" w:sz="8" w:space="0"/>
                  </w:tcBorders>
                  <w:noWrap w:val="0"/>
                  <w:vAlign w:val="center"/>
                </w:tcPr>
                <w:p w14:paraId="4D1681B2">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危险废物</w:t>
                  </w:r>
                </w:p>
                <w:p w14:paraId="08317E80">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563" w:type="pct"/>
                  <w:tcBorders>
                    <w:bottom w:val="single" w:color="auto" w:sz="8" w:space="0"/>
                  </w:tcBorders>
                  <w:noWrap w:val="0"/>
                  <w:vAlign w:val="center"/>
                </w:tcPr>
                <w:p w14:paraId="0A89E834">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危险废物类别</w:t>
                  </w:r>
                </w:p>
              </w:tc>
              <w:tc>
                <w:tcPr>
                  <w:tcW w:w="735" w:type="pct"/>
                  <w:tcBorders>
                    <w:bottom w:val="single" w:color="auto" w:sz="8" w:space="0"/>
                  </w:tcBorders>
                  <w:noWrap w:val="0"/>
                  <w:vAlign w:val="center"/>
                </w:tcPr>
                <w:p w14:paraId="0D93FFE4">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危险废物代码</w:t>
                  </w:r>
                </w:p>
              </w:tc>
              <w:tc>
                <w:tcPr>
                  <w:tcW w:w="461" w:type="pct"/>
                  <w:tcBorders>
                    <w:bottom w:val="single" w:color="auto" w:sz="8" w:space="0"/>
                  </w:tcBorders>
                  <w:noWrap w:val="0"/>
                  <w:vAlign w:val="center"/>
                </w:tcPr>
                <w:p w14:paraId="685162BA">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占地面积</w:t>
                  </w:r>
                </w:p>
              </w:tc>
              <w:tc>
                <w:tcPr>
                  <w:tcW w:w="580" w:type="pct"/>
                  <w:tcBorders>
                    <w:bottom w:val="single" w:color="auto" w:sz="8" w:space="0"/>
                  </w:tcBorders>
                  <w:noWrap w:val="0"/>
                  <w:vAlign w:val="center"/>
                </w:tcPr>
                <w:p w14:paraId="6E57EA24">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贮存方式</w:t>
                  </w:r>
                </w:p>
              </w:tc>
              <w:tc>
                <w:tcPr>
                  <w:tcW w:w="454" w:type="pct"/>
                  <w:tcBorders>
                    <w:bottom w:val="single" w:color="auto" w:sz="8" w:space="0"/>
                  </w:tcBorders>
                  <w:noWrap w:val="0"/>
                  <w:vAlign w:val="center"/>
                </w:tcPr>
                <w:p w14:paraId="78B9ECE1">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贮存</w:t>
                  </w:r>
                </w:p>
                <w:p w14:paraId="7BAF8C66">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能力</w:t>
                  </w:r>
                </w:p>
              </w:tc>
              <w:tc>
                <w:tcPr>
                  <w:tcW w:w="542" w:type="pct"/>
                  <w:tcBorders>
                    <w:bottom w:val="single" w:color="auto" w:sz="8" w:space="0"/>
                  </w:tcBorders>
                  <w:noWrap w:val="0"/>
                  <w:vAlign w:val="center"/>
                </w:tcPr>
                <w:p w14:paraId="436ED2E8">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贮存</w:t>
                  </w:r>
                </w:p>
                <w:p w14:paraId="163D0A4C">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周期</w:t>
                  </w:r>
                </w:p>
              </w:tc>
            </w:tr>
            <w:tr w14:paraId="10F3880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2" w:type="pct"/>
                  <w:tcBorders>
                    <w:top w:val="single" w:color="auto" w:sz="8" w:space="0"/>
                    <w:tl2br w:val="nil"/>
                    <w:tr2bl w:val="nil"/>
                  </w:tcBorders>
                  <w:noWrap w:val="0"/>
                  <w:vAlign w:val="center"/>
                </w:tcPr>
                <w:p w14:paraId="53A26E0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1</w:t>
                  </w:r>
                </w:p>
              </w:tc>
              <w:tc>
                <w:tcPr>
                  <w:tcW w:w="735" w:type="pct"/>
                  <w:vMerge w:val="restart"/>
                  <w:tcBorders>
                    <w:top w:val="single" w:color="auto" w:sz="8" w:space="0"/>
                    <w:tl2br w:val="nil"/>
                    <w:tr2bl w:val="nil"/>
                  </w:tcBorders>
                  <w:noWrap w:val="0"/>
                  <w:vAlign w:val="center"/>
                </w:tcPr>
                <w:p w14:paraId="74F1CCDC">
                  <w:pPr>
                    <w:keepNext w:val="0"/>
                    <w:keepLines w:val="0"/>
                    <w:suppressLineNumbers w:val="0"/>
                    <w:topLinePunct/>
                    <w:adjustRightInd w:val="0"/>
                    <w:snapToGrid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危废暂存间</w:t>
                  </w:r>
                </w:p>
              </w:tc>
              <w:tc>
                <w:tcPr>
                  <w:tcW w:w="682" w:type="pct"/>
                  <w:tcBorders>
                    <w:top w:val="single" w:color="auto" w:sz="8" w:space="0"/>
                    <w:tl2br w:val="nil"/>
                    <w:tr2bl w:val="nil"/>
                  </w:tcBorders>
                  <w:noWrap w:val="0"/>
                  <w:vAlign w:val="center"/>
                </w:tcPr>
                <w:p w14:paraId="438FE281">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废活性炭</w:t>
                  </w:r>
                </w:p>
              </w:tc>
              <w:tc>
                <w:tcPr>
                  <w:tcW w:w="563" w:type="pct"/>
                  <w:tcBorders>
                    <w:top w:val="single" w:color="auto" w:sz="8" w:space="0"/>
                    <w:tl2br w:val="nil"/>
                    <w:tr2bl w:val="nil"/>
                  </w:tcBorders>
                  <w:noWrap w:val="0"/>
                  <w:vAlign w:val="center"/>
                </w:tcPr>
                <w:p w14:paraId="17192477">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HW49</w:t>
                  </w:r>
                </w:p>
              </w:tc>
              <w:tc>
                <w:tcPr>
                  <w:tcW w:w="735" w:type="pct"/>
                  <w:tcBorders>
                    <w:top w:val="single" w:color="auto" w:sz="8" w:space="0"/>
                    <w:tl2br w:val="nil"/>
                    <w:tr2bl w:val="nil"/>
                  </w:tcBorders>
                  <w:noWrap w:val="0"/>
                  <w:vAlign w:val="center"/>
                </w:tcPr>
                <w:p w14:paraId="38BBDBC4">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
                    </w:rPr>
                    <w:t>900-039-49</w:t>
                  </w:r>
                </w:p>
              </w:tc>
              <w:tc>
                <w:tcPr>
                  <w:tcW w:w="461" w:type="pct"/>
                  <w:vMerge w:val="restart"/>
                  <w:tcBorders>
                    <w:top w:val="single" w:color="auto" w:sz="8" w:space="0"/>
                    <w:tl2br w:val="nil"/>
                    <w:tr2bl w:val="nil"/>
                  </w:tcBorders>
                  <w:noWrap w:val="0"/>
                  <w:vAlign w:val="center"/>
                </w:tcPr>
                <w:p w14:paraId="6538A407">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10m</w:t>
                  </w:r>
                  <w:r>
                    <w:rPr>
                      <w:rFonts w:hint="eastAsia" w:cs="Times New Roman"/>
                      <w:color w:val="auto"/>
                      <w:sz w:val="21"/>
                      <w:szCs w:val="21"/>
                      <w:vertAlign w:val="superscript"/>
                      <w:lang w:val="en-US" w:eastAsia="zh-CN"/>
                    </w:rPr>
                    <w:t>2</w:t>
                  </w:r>
                </w:p>
              </w:tc>
              <w:tc>
                <w:tcPr>
                  <w:tcW w:w="580" w:type="pct"/>
                  <w:vMerge w:val="restart"/>
                  <w:tcBorders>
                    <w:top w:val="single" w:color="auto" w:sz="8" w:space="0"/>
                    <w:tl2br w:val="nil"/>
                    <w:tr2bl w:val="nil"/>
                  </w:tcBorders>
                  <w:noWrap w:val="0"/>
                  <w:vAlign w:val="center"/>
                </w:tcPr>
                <w:p w14:paraId="002D7F90">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密闭</w:t>
                  </w:r>
                  <w:r>
                    <w:rPr>
                      <w:rFonts w:hint="default" w:ascii="Times New Roman" w:hAnsi="Times New Roman" w:eastAsia="宋体" w:cs="Times New Roman"/>
                      <w:color w:val="auto"/>
                      <w:sz w:val="21"/>
                      <w:szCs w:val="21"/>
                    </w:rPr>
                    <w:t>桶装</w:t>
                  </w:r>
                </w:p>
              </w:tc>
              <w:tc>
                <w:tcPr>
                  <w:tcW w:w="454" w:type="pct"/>
                  <w:vMerge w:val="restart"/>
                  <w:tcBorders>
                    <w:top w:val="single" w:color="auto" w:sz="8" w:space="0"/>
                    <w:tl2br w:val="nil"/>
                    <w:tr2bl w:val="nil"/>
                  </w:tcBorders>
                  <w:noWrap w:val="0"/>
                  <w:vAlign w:val="center"/>
                </w:tcPr>
                <w:p w14:paraId="345CA21D">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10t</w:t>
                  </w:r>
                </w:p>
              </w:tc>
              <w:tc>
                <w:tcPr>
                  <w:tcW w:w="542" w:type="pct"/>
                  <w:tcBorders>
                    <w:top w:val="single" w:color="auto" w:sz="8" w:space="0"/>
                    <w:tl2br w:val="nil"/>
                    <w:tr2bl w:val="nil"/>
                  </w:tcBorders>
                  <w:noWrap w:val="0"/>
                  <w:vAlign w:val="center"/>
                </w:tcPr>
                <w:p w14:paraId="3561C3CA">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≤1年</w:t>
                  </w:r>
                </w:p>
              </w:tc>
            </w:tr>
            <w:tr w14:paraId="137911A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2" w:type="pct"/>
                  <w:tcBorders>
                    <w:tl2br w:val="nil"/>
                    <w:tr2bl w:val="nil"/>
                  </w:tcBorders>
                  <w:noWrap w:val="0"/>
                  <w:vAlign w:val="center"/>
                </w:tcPr>
                <w:p w14:paraId="0729C6B6">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p>
              </w:tc>
              <w:tc>
                <w:tcPr>
                  <w:tcW w:w="735" w:type="pct"/>
                  <w:vMerge w:val="continue"/>
                  <w:tcBorders>
                    <w:tl2br w:val="nil"/>
                    <w:tr2bl w:val="nil"/>
                  </w:tcBorders>
                  <w:noWrap w:val="0"/>
                  <w:vAlign w:val="center"/>
                </w:tcPr>
                <w:p w14:paraId="275B3A1F">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682" w:type="pct"/>
                  <w:tcBorders>
                    <w:tl2br w:val="nil"/>
                    <w:tr2bl w:val="nil"/>
                  </w:tcBorders>
                  <w:noWrap w:val="0"/>
                  <w:vAlign w:val="center"/>
                </w:tcPr>
                <w:p w14:paraId="2DCAB9E8">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废催化剂</w:t>
                  </w:r>
                </w:p>
              </w:tc>
              <w:tc>
                <w:tcPr>
                  <w:tcW w:w="563" w:type="pct"/>
                  <w:tcBorders>
                    <w:tl2br w:val="nil"/>
                    <w:tr2bl w:val="nil"/>
                  </w:tcBorders>
                  <w:noWrap w:val="0"/>
                  <w:vAlign w:val="center"/>
                </w:tcPr>
                <w:p w14:paraId="1A5FD5D5">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
                    </w:rPr>
                    <w:t>HW50</w:t>
                  </w:r>
                </w:p>
              </w:tc>
              <w:tc>
                <w:tcPr>
                  <w:tcW w:w="735" w:type="pct"/>
                  <w:tcBorders>
                    <w:tl2br w:val="nil"/>
                    <w:tr2bl w:val="nil"/>
                  </w:tcBorders>
                  <w:noWrap w:val="0"/>
                  <w:vAlign w:val="center"/>
                </w:tcPr>
                <w:p w14:paraId="6249BC01">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
                    </w:rPr>
                    <w:t>772-007-50</w:t>
                  </w:r>
                </w:p>
              </w:tc>
              <w:tc>
                <w:tcPr>
                  <w:tcW w:w="461" w:type="pct"/>
                  <w:vMerge w:val="continue"/>
                  <w:tcBorders>
                    <w:tl2br w:val="nil"/>
                    <w:tr2bl w:val="nil"/>
                  </w:tcBorders>
                  <w:noWrap w:val="0"/>
                  <w:vAlign w:val="center"/>
                </w:tcPr>
                <w:p w14:paraId="577F887E">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p>
              </w:tc>
              <w:tc>
                <w:tcPr>
                  <w:tcW w:w="580" w:type="pct"/>
                  <w:vMerge w:val="continue"/>
                  <w:tcBorders>
                    <w:tl2br w:val="nil"/>
                    <w:tr2bl w:val="nil"/>
                  </w:tcBorders>
                  <w:noWrap w:val="0"/>
                  <w:vAlign w:val="center"/>
                </w:tcPr>
                <w:p w14:paraId="4BBDBD04">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p>
              </w:tc>
              <w:tc>
                <w:tcPr>
                  <w:tcW w:w="454" w:type="pct"/>
                  <w:vMerge w:val="continue"/>
                  <w:tcBorders>
                    <w:tl2br w:val="nil"/>
                    <w:tr2bl w:val="nil"/>
                  </w:tcBorders>
                  <w:noWrap w:val="0"/>
                  <w:vAlign w:val="center"/>
                </w:tcPr>
                <w:p w14:paraId="27CB3AC8">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p>
              </w:tc>
              <w:tc>
                <w:tcPr>
                  <w:tcW w:w="542" w:type="pct"/>
                  <w:tcBorders>
                    <w:tl2br w:val="nil"/>
                    <w:tr2bl w:val="nil"/>
                  </w:tcBorders>
                  <w:noWrap w:val="0"/>
                  <w:vAlign w:val="center"/>
                </w:tcPr>
                <w:p w14:paraId="5FEF9983">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≤1年</w:t>
                  </w:r>
                </w:p>
              </w:tc>
            </w:tr>
            <w:tr w14:paraId="4CDBCB1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2" w:type="pct"/>
                  <w:tcBorders>
                    <w:tl2br w:val="nil"/>
                    <w:tr2bl w:val="nil"/>
                  </w:tcBorders>
                  <w:noWrap w:val="0"/>
                  <w:vAlign w:val="center"/>
                </w:tcPr>
                <w:p w14:paraId="35447E53">
                  <w:pPr>
                    <w:keepNext w:val="0"/>
                    <w:keepLines w:val="0"/>
                    <w:suppressLineNumbers w:val="0"/>
                    <w:spacing w:before="0" w:beforeAutospacing="0" w:after="0" w:afterAutospacing="0"/>
                    <w:ind w:left="0" w:right="0"/>
                    <w:jc w:val="center"/>
                    <w:rPr>
                      <w:rFonts w:hint="default" w:cs="Times New Roman"/>
                      <w:color w:val="auto"/>
                      <w:sz w:val="21"/>
                      <w:szCs w:val="21"/>
                      <w:lang w:val="en-US" w:eastAsia="zh-CN"/>
                    </w:rPr>
                  </w:pPr>
                  <w:r>
                    <w:rPr>
                      <w:rFonts w:hint="eastAsia" w:cs="Times New Roman"/>
                      <w:color w:val="auto"/>
                      <w:sz w:val="21"/>
                      <w:szCs w:val="21"/>
                      <w:lang w:val="en-US" w:eastAsia="zh-CN"/>
                    </w:rPr>
                    <w:t>3</w:t>
                  </w:r>
                </w:p>
              </w:tc>
              <w:tc>
                <w:tcPr>
                  <w:tcW w:w="735" w:type="pct"/>
                  <w:vMerge w:val="continue"/>
                  <w:tcBorders>
                    <w:tl2br w:val="nil"/>
                    <w:tr2bl w:val="nil"/>
                  </w:tcBorders>
                  <w:noWrap w:val="0"/>
                  <w:vAlign w:val="center"/>
                </w:tcPr>
                <w:p w14:paraId="4A50EDC4">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682" w:type="pct"/>
                  <w:tcBorders>
                    <w:tl2br w:val="nil"/>
                    <w:tr2bl w:val="nil"/>
                  </w:tcBorders>
                  <w:noWrap w:val="0"/>
                  <w:vAlign w:val="center"/>
                </w:tcPr>
                <w:p w14:paraId="6C281394">
                  <w:pPr>
                    <w:keepNext w:val="0"/>
                    <w:keepLines w:val="0"/>
                    <w:suppressLineNumbers w:val="0"/>
                    <w:spacing w:before="0" w:beforeAutospacing="0" w:after="0" w:afterAutospacing="0"/>
                    <w:ind w:left="0" w:leftChars="0" w:right="0" w:rightChars="0"/>
                    <w:jc w:val="center"/>
                    <w:rPr>
                      <w:rFonts w:hint="eastAsia" w:cs="Times New Roman"/>
                      <w:color w:val="auto"/>
                      <w:sz w:val="21"/>
                      <w:szCs w:val="21"/>
                      <w:lang w:val="en-US" w:eastAsia="zh-CN"/>
                    </w:rPr>
                  </w:pPr>
                  <w:r>
                    <w:rPr>
                      <w:rFonts w:hint="eastAsia" w:cs="Times New Roman"/>
                      <w:color w:val="auto"/>
                      <w:sz w:val="21"/>
                      <w:szCs w:val="21"/>
                      <w:lang w:val="en-US" w:eastAsia="zh-CN"/>
                    </w:rPr>
                    <w:t>废包装桶</w:t>
                  </w:r>
                </w:p>
              </w:tc>
              <w:tc>
                <w:tcPr>
                  <w:tcW w:w="563" w:type="pct"/>
                  <w:tcBorders>
                    <w:tl2br w:val="nil"/>
                    <w:tr2bl w:val="nil"/>
                  </w:tcBorders>
                  <w:noWrap w:val="0"/>
                  <w:vAlign w:val="center"/>
                </w:tcPr>
                <w:p w14:paraId="6E71CB44">
                  <w:pPr>
                    <w:keepNext w:val="0"/>
                    <w:keepLines w:val="0"/>
                    <w:widowControl w:val="0"/>
                    <w:suppressLineNumbers w:val="0"/>
                    <w:spacing w:before="0" w:beforeAutospacing="0" w:after="0" w:afterAutospacing="0"/>
                    <w:ind w:left="0" w:leftChars="0" w:right="0" w:rightChars="0"/>
                    <w:jc w:val="center"/>
                    <w:rPr>
                      <w:rFonts w:hint="eastAsia"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HW49</w:t>
                  </w:r>
                </w:p>
              </w:tc>
              <w:tc>
                <w:tcPr>
                  <w:tcW w:w="735" w:type="pct"/>
                  <w:tcBorders>
                    <w:tl2br w:val="nil"/>
                    <w:tr2bl w:val="nil"/>
                  </w:tcBorders>
                  <w:noWrap w:val="0"/>
                  <w:vAlign w:val="center"/>
                </w:tcPr>
                <w:p w14:paraId="7FA23AD6">
                  <w:pPr>
                    <w:keepNext w:val="0"/>
                    <w:keepLines w:val="0"/>
                    <w:widowControl w:val="0"/>
                    <w:suppressLineNumbers w:val="0"/>
                    <w:spacing w:before="0" w:beforeAutospacing="0" w:after="0" w:afterAutospacing="0"/>
                    <w:ind w:left="0" w:leftChars="0" w:right="0" w:rightChars="0"/>
                    <w:jc w:val="center"/>
                    <w:rPr>
                      <w:rFonts w:hint="eastAsia" w:cs="Times New Roman"/>
                      <w:color w:val="auto"/>
                      <w:kern w:val="2"/>
                      <w:sz w:val="21"/>
                      <w:szCs w:val="21"/>
                      <w:lang w:val="en-US" w:eastAsia="zh-CN" w:bidi="ar"/>
                    </w:rPr>
                  </w:pPr>
                  <w:r>
                    <w:rPr>
                      <w:rFonts w:hint="default" w:ascii="Times New Roman" w:hAnsi="Times New Roman" w:eastAsia="宋体" w:cs="Times New Roman"/>
                      <w:color w:val="auto"/>
                      <w:kern w:val="2"/>
                      <w:sz w:val="21"/>
                      <w:szCs w:val="21"/>
                      <w:lang w:val="en-US" w:eastAsia="zh-CN" w:bidi="ar"/>
                    </w:rPr>
                    <w:t>900-0</w:t>
                  </w:r>
                  <w:r>
                    <w:rPr>
                      <w:rFonts w:hint="eastAsia" w:cs="Times New Roman"/>
                      <w:color w:val="auto"/>
                      <w:kern w:val="2"/>
                      <w:sz w:val="21"/>
                      <w:szCs w:val="21"/>
                      <w:lang w:val="en-US" w:eastAsia="zh-CN" w:bidi="ar"/>
                    </w:rPr>
                    <w:t>41</w:t>
                  </w:r>
                  <w:r>
                    <w:rPr>
                      <w:rFonts w:hint="default" w:ascii="Times New Roman" w:hAnsi="Times New Roman" w:eastAsia="宋体" w:cs="Times New Roman"/>
                      <w:color w:val="auto"/>
                      <w:kern w:val="2"/>
                      <w:sz w:val="21"/>
                      <w:szCs w:val="21"/>
                      <w:lang w:val="en-US" w:eastAsia="zh-CN" w:bidi="ar"/>
                    </w:rPr>
                    <w:t>-49</w:t>
                  </w:r>
                </w:p>
              </w:tc>
              <w:tc>
                <w:tcPr>
                  <w:tcW w:w="461" w:type="pct"/>
                  <w:vMerge w:val="continue"/>
                  <w:tcBorders>
                    <w:tl2br w:val="nil"/>
                    <w:tr2bl w:val="nil"/>
                  </w:tcBorders>
                  <w:noWrap w:val="0"/>
                  <w:vAlign w:val="center"/>
                </w:tcPr>
                <w:p w14:paraId="56A985C4">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p>
              </w:tc>
              <w:tc>
                <w:tcPr>
                  <w:tcW w:w="580" w:type="pct"/>
                  <w:tcBorders>
                    <w:tl2br w:val="nil"/>
                    <w:tr2bl w:val="nil"/>
                  </w:tcBorders>
                  <w:noWrap w:val="0"/>
                  <w:vAlign w:val="center"/>
                </w:tcPr>
                <w:p w14:paraId="29BCA586">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加盖密闭</w:t>
                  </w:r>
                </w:p>
              </w:tc>
              <w:tc>
                <w:tcPr>
                  <w:tcW w:w="454" w:type="pct"/>
                  <w:vMerge w:val="continue"/>
                  <w:tcBorders>
                    <w:tl2br w:val="nil"/>
                    <w:tr2bl w:val="nil"/>
                  </w:tcBorders>
                  <w:noWrap w:val="0"/>
                  <w:vAlign w:val="center"/>
                </w:tcPr>
                <w:p w14:paraId="2A4FEDF0">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p>
              </w:tc>
              <w:tc>
                <w:tcPr>
                  <w:tcW w:w="542" w:type="pct"/>
                  <w:tcBorders>
                    <w:tl2br w:val="nil"/>
                    <w:tr2bl w:val="nil"/>
                  </w:tcBorders>
                  <w:noWrap w:val="0"/>
                  <w:vAlign w:val="center"/>
                </w:tcPr>
                <w:p w14:paraId="187E59EE">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≤1年</w:t>
                  </w:r>
                </w:p>
              </w:tc>
            </w:tr>
            <w:tr w14:paraId="34D39C3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2" w:type="pct"/>
                  <w:tcBorders>
                    <w:tl2br w:val="nil"/>
                    <w:tr2bl w:val="nil"/>
                  </w:tcBorders>
                  <w:noWrap w:val="0"/>
                  <w:vAlign w:val="center"/>
                </w:tcPr>
                <w:p w14:paraId="41AA08E6">
                  <w:pPr>
                    <w:keepNext w:val="0"/>
                    <w:keepLines w:val="0"/>
                    <w:suppressLineNumbers w:val="0"/>
                    <w:spacing w:before="0" w:beforeAutospacing="0" w:after="0" w:afterAutospacing="0"/>
                    <w:ind w:left="0" w:right="0"/>
                    <w:jc w:val="center"/>
                    <w:rPr>
                      <w:rFonts w:hint="default" w:cs="Times New Roman"/>
                      <w:color w:val="auto"/>
                      <w:sz w:val="21"/>
                      <w:szCs w:val="21"/>
                      <w:lang w:val="en-US" w:eastAsia="zh-CN"/>
                    </w:rPr>
                  </w:pPr>
                  <w:r>
                    <w:rPr>
                      <w:rFonts w:hint="eastAsia" w:cs="Times New Roman"/>
                      <w:color w:val="auto"/>
                      <w:sz w:val="21"/>
                      <w:szCs w:val="21"/>
                      <w:lang w:val="en-US" w:eastAsia="zh-CN"/>
                    </w:rPr>
                    <w:t>4</w:t>
                  </w:r>
                </w:p>
              </w:tc>
              <w:tc>
                <w:tcPr>
                  <w:tcW w:w="735" w:type="pct"/>
                  <w:vMerge w:val="continue"/>
                  <w:tcBorders>
                    <w:tl2br w:val="nil"/>
                    <w:tr2bl w:val="nil"/>
                  </w:tcBorders>
                  <w:noWrap w:val="0"/>
                  <w:vAlign w:val="center"/>
                </w:tcPr>
                <w:p w14:paraId="6712F9CC">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682" w:type="pct"/>
                  <w:tcBorders>
                    <w:tl2br w:val="nil"/>
                    <w:tr2bl w:val="nil"/>
                  </w:tcBorders>
                  <w:noWrap w:val="0"/>
                  <w:vAlign w:val="center"/>
                </w:tcPr>
                <w:p w14:paraId="14E86937">
                  <w:pPr>
                    <w:keepNext w:val="0"/>
                    <w:keepLines w:val="0"/>
                    <w:suppressLineNumbers w:val="0"/>
                    <w:spacing w:before="0" w:beforeAutospacing="0" w:after="0" w:afterAutospacing="0"/>
                    <w:ind w:left="0" w:right="0"/>
                    <w:jc w:val="center"/>
                    <w:rPr>
                      <w:rFonts w:hint="eastAsia" w:cs="Times New Roman"/>
                      <w:color w:val="auto"/>
                      <w:sz w:val="21"/>
                      <w:szCs w:val="21"/>
                      <w:lang w:val="en-US" w:eastAsia="zh-CN"/>
                    </w:rPr>
                  </w:pPr>
                  <w:r>
                    <w:rPr>
                      <w:rFonts w:hint="eastAsia"/>
                      <w:sz w:val="21"/>
                      <w:szCs w:val="21"/>
                    </w:rPr>
                    <w:t>废柔印版</w:t>
                  </w:r>
                </w:p>
              </w:tc>
              <w:tc>
                <w:tcPr>
                  <w:tcW w:w="563" w:type="pct"/>
                  <w:tcBorders>
                    <w:tl2br w:val="nil"/>
                    <w:tr2bl w:val="nil"/>
                  </w:tcBorders>
                  <w:noWrap w:val="0"/>
                  <w:vAlign w:val="center"/>
                </w:tcPr>
                <w:p w14:paraId="562EEC4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
                    </w:rPr>
                  </w:pPr>
                  <w:r>
                    <w:rPr>
                      <w:rFonts w:hint="default"/>
                      <w:sz w:val="21"/>
                      <w:szCs w:val="21"/>
                      <w:lang w:bidi="ar"/>
                    </w:rPr>
                    <w:t>HW12</w:t>
                  </w:r>
                </w:p>
              </w:tc>
              <w:tc>
                <w:tcPr>
                  <w:tcW w:w="735" w:type="pct"/>
                  <w:tcBorders>
                    <w:tl2br w:val="nil"/>
                    <w:tr2bl w:val="nil"/>
                  </w:tcBorders>
                  <w:noWrap w:val="0"/>
                  <w:vAlign w:val="center"/>
                </w:tcPr>
                <w:p w14:paraId="1C72108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
                    </w:rPr>
                  </w:pPr>
                  <w:r>
                    <w:rPr>
                      <w:rFonts w:hint="default"/>
                      <w:sz w:val="21"/>
                      <w:szCs w:val="21"/>
                      <w:lang w:bidi="ar"/>
                    </w:rPr>
                    <w:t>900-253-12</w:t>
                  </w:r>
                </w:p>
              </w:tc>
              <w:tc>
                <w:tcPr>
                  <w:tcW w:w="461" w:type="pct"/>
                  <w:vMerge w:val="continue"/>
                  <w:tcBorders>
                    <w:tl2br w:val="nil"/>
                    <w:tr2bl w:val="nil"/>
                  </w:tcBorders>
                  <w:noWrap w:val="0"/>
                  <w:vAlign w:val="center"/>
                </w:tcPr>
                <w:p w14:paraId="097DF6FB">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p>
              </w:tc>
              <w:tc>
                <w:tcPr>
                  <w:tcW w:w="580" w:type="pct"/>
                  <w:vMerge w:val="restart"/>
                  <w:tcBorders>
                    <w:tl2br w:val="nil"/>
                    <w:tr2bl w:val="nil"/>
                  </w:tcBorders>
                  <w:noWrap w:val="0"/>
                  <w:vAlign w:val="center"/>
                </w:tcPr>
                <w:p w14:paraId="5D3231A3">
                  <w:pPr>
                    <w:keepNext w:val="0"/>
                    <w:keepLines w:val="0"/>
                    <w:suppressLineNumbers w:val="0"/>
                    <w:snapToGrid w:val="0"/>
                    <w:spacing w:before="0" w:beforeAutospacing="0" w:after="0" w:afterAutospacing="0"/>
                    <w:ind w:left="0" w:right="0"/>
                    <w:jc w:val="center"/>
                    <w:rPr>
                      <w:rFonts w:hint="default" w:cs="Times New Roman"/>
                      <w:color w:val="auto"/>
                      <w:kern w:val="2"/>
                      <w:sz w:val="21"/>
                      <w:szCs w:val="21"/>
                      <w:lang w:val="en-US" w:eastAsia="zh-CN" w:bidi="ar-SA"/>
                    </w:rPr>
                  </w:pPr>
                  <w:r>
                    <w:rPr>
                      <w:rFonts w:hint="eastAsia" w:cs="Times New Roman"/>
                      <w:color w:val="auto"/>
                      <w:kern w:val="2"/>
                      <w:sz w:val="21"/>
                      <w:szCs w:val="21"/>
                      <w:lang w:val="en-US" w:eastAsia="zh-CN" w:bidi="ar-SA"/>
                    </w:rPr>
                    <w:t>密闭桶装</w:t>
                  </w:r>
                </w:p>
              </w:tc>
              <w:tc>
                <w:tcPr>
                  <w:tcW w:w="454" w:type="pct"/>
                  <w:vMerge w:val="continue"/>
                  <w:tcBorders>
                    <w:tl2br w:val="nil"/>
                    <w:tr2bl w:val="nil"/>
                  </w:tcBorders>
                  <w:noWrap w:val="0"/>
                  <w:vAlign w:val="center"/>
                </w:tcPr>
                <w:p w14:paraId="078FC373">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p>
              </w:tc>
              <w:tc>
                <w:tcPr>
                  <w:tcW w:w="542" w:type="pct"/>
                  <w:tcBorders>
                    <w:tl2br w:val="nil"/>
                    <w:tr2bl w:val="nil"/>
                  </w:tcBorders>
                  <w:noWrap w:val="0"/>
                  <w:vAlign w:val="center"/>
                </w:tcPr>
                <w:p w14:paraId="05F92A0B">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≤1年</w:t>
                  </w:r>
                </w:p>
              </w:tc>
            </w:tr>
            <w:tr w14:paraId="5DC830B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2" w:type="pct"/>
                  <w:tcBorders>
                    <w:tl2br w:val="nil"/>
                    <w:tr2bl w:val="nil"/>
                  </w:tcBorders>
                  <w:noWrap w:val="0"/>
                  <w:vAlign w:val="center"/>
                </w:tcPr>
                <w:p w14:paraId="129CB5F7">
                  <w:pPr>
                    <w:keepNext w:val="0"/>
                    <w:keepLines w:val="0"/>
                    <w:suppressLineNumbers w:val="0"/>
                    <w:spacing w:before="0" w:beforeAutospacing="0" w:after="0" w:afterAutospacing="0"/>
                    <w:ind w:left="0" w:right="0"/>
                    <w:jc w:val="center"/>
                    <w:rPr>
                      <w:rFonts w:hint="default" w:cs="Times New Roman"/>
                      <w:color w:val="auto"/>
                      <w:sz w:val="21"/>
                      <w:szCs w:val="21"/>
                      <w:lang w:val="en-US" w:eastAsia="zh-CN"/>
                    </w:rPr>
                  </w:pPr>
                  <w:r>
                    <w:rPr>
                      <w:rFonts w:hint="eastAsia" w:cs="Times New Roman"/>
                      <w:color w:val="auto"/>
                      <w:sz w:val="21"/>
                      <w:szCs w:val="21"/>
                      <w:lang w:val="en-US" w:eastAsia="zh-CN"/>
                    </w:rPr>
                    <w:t>5</w:t>
                  </w:r>
                </w:p>
              </w:tc>
              <w:tc>
                <w:tcPr>
                  <w:tcW w:w="735" w:type="pct"/>
                  <w:vMerge w:val="continue"/>
                  <w:tcBorders>
                    <w:tl2br w:val="nil"/>
                    <w:tr2bl w:val="nil"/>
                  </w:tcBorders>
                  <w:noWrap w:val="0"/>
                  <w:vAlign w:val="center"/>
                </w:tcPr>
                <w:p w14:paraId="476FF435">
                  <w:pPr>
                    <w:keepNext w:val="0"/>
                    <w:keepLines w:val="0"/>
                    <w:suppressLineNumbers w:val="0"/>
                    <w:topLinePunct/>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rPr>
                  </w:pPr>
                </w:p>
              </w:tc>
              <w:tc>
                <w:tcPr>
                  <w:tcW w:w="682" w:type="pct"/>
                  <w:tcBorders>
                    <w:tl2br w:val="nil"/>
                    <w:tr2bl w:val="nil"/>
                  </w:tcBorders>
                  <w:noWrap w:val="0"/>
                  <w:vAlign w:val="center"/>
                </w:tcPr>
                <w:p w14:paraId="523C04D1">
                  <w:pPr>
                    <w:keepNext w:val="0"/>
                    <w:keepLines w:val="0"/>
                    <w:suppressLineNumbers w:val="0"/>
                    <w:spacing w:before="0" w:beforeAutospacing="0" w:after="0" w:afterAutospacing="0"/>
                    <w:ind w:left="0" w:right="0"/>
                    <w:jc w:val="center"/>
                    <w:rPr>
                      <w:rFonts w:hint="eastAsia" w:cs="Times New Roman"/>
                      <w:color w:val="auto"/>
                      <w:sz w:val="21"/>
                      <w:szCs w:val="21"/>
                      <w:lang w:val="en-US" w:eastAsia="zh-CN"/>
                    </w:rPr>
                  </w:pPr>
                  <w:r>
                    <w:rPr>
                      <w:rFonts w:hint="eastAsia"/>
                      <w:sz w:val="21"/>
                      <w:szCs w:val="21"/>
                    </w:rPr>
                    <w:t>废抹布</w:t>
                  </w:r>
                </w:p>
              </w:tc>
              <w:tc>
                <w:tcPr>
                  <w:tcW w:w="563" w:type="pct"/>
                  <w:tcBorders>
                    <w:tl2br w:val="nil"/>
                    <w:tr2bl w:val="nil"/>
                  </w:tcBorders>
                  <w:noWrap w:val="0"/>
                  <w:vAlign w:val="center"/>
                </w:tcPr>
                <w:p w14:paraId="613689F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
                    </w:rPr>
                  </w:pPr>
                  <w:r>
                    <w:rPr>
                      <w:rFonts w:hint="default"/>
                      <w:sz w:val="21"/>
                      <w:szCs w:val="21"/>
                      <w:lang w:bidi="ar"/>
                    </w:rPr>
                    <w:t>HW49</w:t>
                  </w:r>
                </w:p>
              </w:tc>
              <w:tc>
                <w:tcPr>
                  <w:tcW w:w="735" w:type="pct"/>
                  <w:tcBorders>
                    <w:tl2br w:val="nil"/>
                    <w:tr2bl w:val="nil"/>
                  </w:tcBorders>
                  <w:noWrap w:val="0"/>
                  <w:vAlign w:val="center"/>
                </w:tcPr>
                <w:p w14:paraId="2F42B348">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
                    </w:rPr>
                  </w:pPr>
                  <w:r>
                    <w:rPr>
                      <w:rFonts w:hint="default"/>
                      <w:sz w:val="21"/>
                      <w:szCs w:val="21"/>
                      <w:lang w:bidi="ar"/>
                    </w:rPr>
                    <w:t>900-0</w:t>
                  </w:r>
                  <w:r>
                    <w:rPr>
                      <w:rFonts w:hint="eastAsia"/>
                      <w:sz w:val="21"/>
                      <w:szCs w:val="21"/>
                      <w:lang w:bidi="ar"/>
                    </w:rPr>
                    <w:t>41</w:t>
                  </w:r>
                  <w:r>
                    <w:rPr>
                      <w:rFonts w:hint="default"/>
                      <w:sz w:val="21"/>
                      <w:szCs w:val="21"/>
                      <w:lang w:bidi="ar"/>
                    </w:rPr>
                    <w:t>-49</w:t>
                  </w:r>
                </w:p>
              </w:tc>
              <w:tc>
                <w:tcPr>
                  <w:tcW w:w="461" w:type="pct"/>
                  <w:vMerge w:val="continue"/>
                  <w:tcBorders>
                    <w:tl2br w:val="nil"/>
                    <w:tr2bl w:val="nil"/>
                  </w:tcBorders>
                  <w:noWrap w:val="0"/>
                  <w:vAlign w:val="center"/>
                </w:tcPr>
                <w:p w14:paraId="0764A282">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p>
              </w:tc>
              <w:tc>
                <w:tcPr>
                  <w:tcW w:w="580" w:type="pct"/>
                  <w:vMerge w:val="continue"/>
                  <w:tcBorders>
                    <w:tl2br w:val="nil"/>
                    <w:tr2bl w:val="nil"/>
                  </w:tcBorders>
                  <w:noWrap w:val="0"/>
                  <w:vAlign w:val="center"/>
                </w:tcPr>
                <w:p w14:paraId="6E65FA13">
                  <w:pPr>
                    <w:keepNext w:val="0"/>
                    <w:keepLines w:val="0"/>
                    <w:suppressLineNumbers w:val="0"/>
                    <w:snapToGrid w:val="0"/>
                    <w:spacing w:before="0" w:beforeAutospacing="0" w:after="0" w:afterAutospacing="0"/>
                    <w:ind w:left="0" w:right="0"/>
                    <w:jc w:val="center"/>
                    <w:rPr>
                      <w:rFonts w:hint="eastAsia" w:cs="Times New Roman"/>
                      <w:color w:val="auto"/>
                      <w:kern w:val="2"/>
                      <w:sz w:val="21"/>
                      <w:szCs w:val="21"/>
                      <w:lang w:val="en-US" w:eastAsia="zh-CN" w:bidi="ar-SA"/>
                    </w:rPr>
                  </w:pPr>
                </w:p>
              </w:tc>
              <w:tc>
                <w:tcPr>
                  <w:tcW w:w="454" w:type="pct"/>
                  <w:vMerge w:val="continue"/>
                  <w:tcBorders>
                    <w:tl2br w:val="nil"/>
                    <w:tr2bl w:val="nil"/>
                  </w:tcBorders>
                  <w:noWrap w:val="0"/>
                  <w:vAlign w:val="center"/>
                </w:tcPr>
                <w:p w14:paraId="458C8865">
                  <w:pPr>
                    <w:keepNext w:val="0"/>
                    <w:keepLines w:val="0"/>
                    <w:suppressLineNumbers w:val="0"/>
                    <w:snapToGrid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p>
              </w:tc>
              <w:tc>
                <w:tcPr>
                  <w:tcW w:w="542" w:type="pct"/>
                  <w:tcBorders>
                    <w:tl2br w:val="nil"/>
                    <w:tr2bl w:val="nil"/>
                  </w:tcBorders>
                  <w:noWrap w:val="0"/>
                  <w:vAlign w:val="center"/>
                </w:tcPr>
                <w:p w14:paraId="31D3EE4B">
                  <w:pPr>
                    <w:keepNext w:val="0"/>
                    <w:keepLines w:val="0"/>
                    <w:suppressLineNumbers w:val="0"/>
                    <w:snapToGrid w:val="0"/>
                    <w:spacing w:before="0" w:beforeAutospacing="0" w:after="0" w:afterAutospacing="0"/>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≤1年</w:t>
                  </w:r>
                </w:p>
              </w:tc>
            </w:tr>
          </w:tbl>
          <w:p w14:paraId="70C41C37">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本项目危险废物暂存间（建筑面积10m</w:t>
            </w:r>
            <w:r>
              <w:rPr>
                <w:rFonts w:hint="eastAsia"/>
                <w:sz w:val="24"/>
                <w:vertAlign w:val="superscript"/>
                <w:lang w:val="en-US" w:eastAsia="zh-CN"/>
              </w:rPr>
              <w:t>2</w:t>
            </w:r>
            <w:r>
              <w:rPr>
                <w:rFonts w:hint="eastAsia"/>
                <w:sz w:val="24"/>
                <w:lang w:val="en-US" w:eastAsia="zh-CN"/>
              </w:rPr>
              <w:t>），按照《危险废物贮存污染控制标准》（GB 18597-2023）规定进行建设：</w:t>
            </w:r>
          </w:p>
          <w:p w14:paraId="6FD126F4">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A、危废暂存间按《危险废物识别标志设置技术规范》（HJ 1276-2022）的规定设置危险废物贮存设施或场所标志、危险废物贮存分区标志和危险废物标签等危险废物识别标志；</w:t>
            </w:r>
          </w:p>
          <w:p w14:paraId="6E416381">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B、危废暂存间配备通讯设备、照明设施、安全防护服装及工具，并设有应急防护设施；</w:t>
            </w:r>
          </w:p>
          <w:p w14:paraId="6B1F4B72">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C、危险废物收集后设置分装于专门的容器内，危废贮存设施内清理出来的泄漏物，一律按危险废物处理；</w:t>
            </w:r>
          </w:p>
          <w:p w14:paraId="09AC8C06">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D、危险废物暂存场地应防风、防晒、防雨、防漏、防渗、防腐以及其他环境污染防治措施，不露天堆放危险废物；</w:t>
            </w:r>
          </w:p>
          <w:p w14:paraId="375FB03E">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E、危险废物贮存过程产生的液态废物和固态废物应分类收集，按其环境管理要求妥善处理；</w:t>
            </w:r>
          </w:p>
          <w:p w14:paraId="51E6708A">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F、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sz w:val="24"/>
                <w:vertAlign w:val="superscript"/>
                <w:lang w:val="en-US" w:eastAsia="zh-CN"/>
              </w:rPr>
              <w:t>-7</w:t>
            </w:r>
            <w:r>
              <w:rPr>
                <w:rFonts w:hint="eastAsia"/>
                <w:sz w:val="24"/>
                <w:lang w:val="en-US" w:eastAsia="zh-CN"/>
              </w:rPr>
              <w:t>cm/s），或至少2mm厚高密度聚乙烯膜等人工防渗材料（渗透系数不大于10</w:t>
            </w:r>
            <w:r>
              <w:rPr>
                <w:rFonts w:hint="eastAsia"/>
                <w:sz w:val="24"/>
                <w:vertAlign w:val="superscript"/>
                <w:lang w:val="en-US" w:eastAsia="zh-CN"/>
              </w:rPr>
              <w:t>-10</w:t>
            </w:r>
            <w:r>
              <w:rPr>
                <w:rFonts w:hint="eastAsia"/>
                <w:sz w:val="24"/>
                <w:lang w:val="en-US" w:eastAsia="zh-CN"/>
              </w:rPr>
              <w:t>cm/s），或其他防渗性能等效的材料；</w:t>
            </w:r>
          </w:p>
          <w:p w14:paraId="4909B825">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G、危险废物的日常管理要求按照《危险废物收集贮存运输技术规范》（HJ2025-2012）的有关规定执行，定期外运至有资质单位安全处置；</w:t>
            </w:r>
          </w:p>
          <w:p w14:paraId="667FA5B7">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H、制定危废管理制度、应急预案、培训计划、年度管理计划，定期进行应急演练、培训，并及时送环保局备案；</w:t>
            </w:r>
          </w:p>
          <w:p w14:paraId="75AB1DC3">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I、做好危险废物情况的记录，记录上须注明危险废物的名称、来源、数量、特性、入库日期、废物出库日期及接收单位名称。危险废物的记录和货单在危险废物回取后应继续保留五年。</w:t>
            </w:r>
          </w:p>
          <w:p w14:paraId="263011A0">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J、危险废物暂存仓库地面、裙脚要用坚固、防渗的材料建造，建筑材料必须与危险废物相容，衬里能够覆盖危险废物可能涉及到的范围，衬里材料与堆放危险废物相容。</w:t>
            </w:r>
          </w:p>
          <w:p w14:paraId="310AF5B8">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lang w:val="en-US" w:eastAsia="zh-CN"/>
              </w:rPr>
            </w:pPr>
            <w:r>
              <w:rPr>
                <w:rFonts w:hint="eastAsia"/>
                <w:sz w:val="24"/>
                <w:lang w:val="en-US" w:eastAsia="zh-CN"/>
              </w:rPr>
              <w:t>K、定期检查危险废物的贮存状况，及时清理贮存设施地面，更换破损泄漏的危险废物贮存容器和包装物，保证堆存危险废物的防雨、防风、防扬尘等设施功能完好。</w:t>
            </w:r>
          </w:p>
          <w:p w14:paraId="6486351A">
            <w:pPr>
              <w:keepNext w:val="0"/>
              <w:keepLines w:val="0"/>
              <w:widowControl/>
              <w:suppressLineNumbers w:val="0"/>
              <w:spacing w:before="0" w:beforeAutospacing="0" w:after="0" w:afterAutospacing="0" w:line="440" w:lineRule="exact"/>
              <w:ind w:left="0" w:right="0" w:firstLine="480" w:firstLineChars="200"/>
              <w:jc w:val="both"/>
              <w:rPr>
                <w:rFonts w:hint="default" w:eastAsia="宋体"/>
                <w:sz w:val="24"/>
                <w:highlight w:val="none"/>
                <w:lang w:val="en-US" w:eastAsia="zh-CN"/>
              </w:rPr>
            </w:pPr>
            <w:r>
              <w:rPr>
                <w:rFonts w:hint="eastAsia"/>
                <w:sz w:val="24"/>
                <w:lang w:val="en-US" w:eastAsia="zh-CN"/>
              </w:rPr>
              <w:t>综上所述，项目产生的固体废物均能得到妥善的处理和处置，不会对周围环境造成二次污染</w:t>
            </w:r>
            <w:r>
              <w:rPr>
                <w:rFonts w:hint="default" w:ascii="Times New Roman" w:hAnsi="Times New Roman" w:eastAsia="宋体" w:cs="Times New Roman"/>
                <w:sz w:val="24"/>
                <w:lang w:val="zh-CN"/>
              </w:rPr>
              <w:t>。</w:t>
            </w:r>
          </w:p>
          <w:p w14:paraId="24744C0D">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2" w:firstLineChars="200"/>
              <w:jc w:val="left"/>
              <w:textAlignment w:val="auto"/>
              <w:rPr>
                <w:rFonts w:hint="default" w:ascii="宋体" w:hAnsi="宋体" w:eastAsia="宋体" w:cs="宋体"/>
                <w:b w:val="0"/>
                <w:bCs w:val="0"/>
                <w:sz w:val="24"/>
                <w:szCs w:val="24"/>
                <w:lang w:val="en-US" w:eastAsia="zh-CN"/>
              </w:rPr>
            </w:pPr>
            <w:r>
              <w:rPr>
                <w:rFonts w:hint="eastAsia" w:ascii="宋体" w:hAnsi="宋体" w:eastAsia="宋体" w:cs="宋体"/>
                <w:b/>
                <w:bCs/>
                <w:sz w:val="24"/>
                <w:szCs w:val="24"/>
                <w:lang w:val="en-US" w:eastAsia="zh-CN"/>
              </w:rPr>
              <w:t>五、</w:t>
            </w:r>
            <w:r>
              <w:rPr>
                <w:rFonts w:hint="eastAsia" w:ascii="宋体" w:hAnsi="宋体" w:cs="宋体"/>
                <w:b/>
                <w:bCs/>
                <w:sz w:val="24"/>
                <w:szCs w:val="24"/>
                <w:lang w:val="en-US" w:eastAsia="zh-CN"/>
              </w:rPr>
              <w:t>地下水、土壤</w:t>
            </w:r>
          </w:p>
          <w:p w14:paraId="1A715F4D">
            <w:pPr>
              <w:keepNext w:val="0"/>
              <w:keepLines w:val="0"/>
              <w:suppressLineNumbers w:val="0"/>
              <w:adjustRightInd w:val="0"/>
              <w:snapToGrid w:val="0"/>
              <w:spacing w:before="0" w:beforeAutospacing="0" w:after="0" w:afterAutospacing="0" w:line="440" w:lineRule="exact"/>
              <w:ind w:left="0" w:right="0" w:firstLine="480" w:firstLineChars="200"/>
              <w:jc w:val="both"/>
              <w:rPr>
                <w:rFonts w:hint="eastAsia"/>
                <w:sz w:val="24"/>
                <w:highlight w:val="none"/>
                <w:lang w:val="en-US" w:eastAsia="zh-CN"/>
              </w:rPr>
            </w:pPr>
            <w:r>
              <w:rPr>
                <w:rFonts w:hint="eastAsia"/>
                <w:sz w:val="24"/>
                <w:highlight w:val="none"/>
                <w:lang w:val="en-US" w:eastAsia="zh-CN"/>
              </w:rPr>
              <w:t>根据《建设项目环境影响报告表编制技术指南(污染影响类)(试行)》原则上不开展地下水和土壤环境质量现状调查。本项目不存在土壤、地下水环境污染途径。因此不进行地下水、土壤质量现状调查。</w:t>
            </w:r>
          </w:p>
          <w:p w14:paraId="609669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eastAsia"/>
                <w:b/>
                <w:bCs/>
                <w:lang w:val="en-US" w:eastAsia="zh-CN"/>
              </w:rPr>
            </w:pPr>
            <w:r>
              <w:rPr>
                <w:rFonts w:hint="eastAsia"/>
                <w:b/>
                <w:bCs/>
                <w:lang w:val="en-US" w:eastAsia="zh-CN"/>
              </w:rPr>
              <w:t>六、生态</w:t>
            </w:r>
          </w:p>
          <w:p w14:paraId="2B3D05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rPr>
            </w:pPr>
            <w:r>
              <w:rPr>
                <w:rFonts w:hint="default"/>
              </w:rPr>
              <w:t>本项目位于</w:t>
            </w:r>
            <w:r>
              <w:rPr>
                <w:rFonts w:hint="eastAsia" w:ascii="宋体" w:hAnsi="宋体" w:cs="宋体"/>
                <w:color w:val="auto"/>
                <w:sz w:val="24"/>
                <w:szCs w:val="24"/>
                <w:lang w:val="en-US" w:eastAsia="zh-CN"/>
              </w:rPr>
              <w:t>河南省新乡市新乡县七里营镇南位</w:t>
            </w:r>
            <w:r>
              <w:rPr>
                <w:rFonts w:hint="default" w:ascii="Times New Roman" w:hAnsi="Times New Roman" w:cs="Times New Roman"/>
                <w:color w:val="auto"/>
                <w:sz w:val="24"/>
                <w:szCs w:val="24"/>
                <w:lang w:val="en-US" w:eastAsia="zh-CN"/>
              </w:rPr>
              <w:t>庄村工业路698号</w:t>
            </w:r>
            <w:r>
              <w:rPr>
                <w:rFonts w:hint="default" w:ascii="Times New Roman" w:hAnsi="Times New Roman" w:cs="Times New Roman"/>
              </w:rPr>
              <w:t>，项目周围500m</w:t>
            </w:r>
            <w:r>
              <w:rPr>
                <w:rFonts w:hint="default"/>
              </w:rPr>
              <w:t>范围内无重点保护的野生动植物、风景名胜区、自然保护区及文化遗产等特殊保护目标</w:t>
            </w:r>
            <w:r>
              <w:rPr>
                <w:rFonts w:hint="eastAsia"/>
                <w:lang w:eastAsia="zh-CN"/>
              </w:rPr>
              <w:t>，</w:t>
            </w:r>
            <w:r>
              <w:rPr>
                <w:rFonts w:hint="eastAsia"/>
              </w:rPr>
              <w:t>因此不再对生态进行分析。</w:t>
            </w:r>
          </w:p>
          <w:p w14:paraId="60630B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default"/>
                <w:b/>
                <w:bCs/>
                <w:lang w:val="en-US" w:eastAsia="zh-CN"/>
              </w:rPr>
            </w:pPr>
            <w:r>
              <w:rPr>
                <w:rFonts w:hint="eastAsia"/>
                <w:b/>
                <w:bCs/>
                <w:lang w:val="en-US" w:eastAsia="zh-CN"/>
              </w:rPr>
              <w:t>七、环境风险</w:t>
            </w:r>
          </w:p>
          <w:p w14:paraId="456E6B4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lang w:val="en-US" w:eastAsia="zh-CN"/>
              </w:rPr>
            </w:pPr>
            <w:r>
              <w:rPr>
                <w:rFonts w:hint="eastAsia"/>
                <w:lang w:val="en-US" w:eastAsia="zh-CN"/>
              </w:rPr>
              <w:t>1、风险源调查</w:t>
            </w:r>
          </w:p>
          <w:p w14:paraId="130451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eastAsia="宋体"/>
                <w:lang w:val="en-US" w:eastAsia="zh-CN"/>
              </w:rPr>
            </w:pPr>
            <w:r>
              <w:rPr>
                <w:rFonts w:hint="eastAsia"/>
                <w:lang w:val="en-US" w:eastAsia="zh-CN"/>
              </w:rPr>
              <w:t>根据本项目原料成分配比和</w:t>
            </w:r>
            <w:r>
              <w:rPr>
                <w:rFonts w:hint="eastAsia"/>
              </w:rPr>
              <w:t>《建设项目环境风险评价技术导则》（HJ169-2018）附录</w:t>
            </w:r>
            <w:r>
              <w:rPr>
                <w:rFonts w:hint="eastAsia"/>
                <w:lang w:val="en-US" w:eastAsia="zh-CN"/>
              </w:rPr>
              <w:t>B—表B1</w:t>
            </w:r>
            <w:r>
              <w:rPr>
                <w:rFonts w:hint="eastAsia"/>
              </w:rPr>
              <w:t>中的危险物质</w:t>
            </w:r>
            <w:r>
              <w:rPr>
                <w:rFonts w:hint="eastAsia"/>
                <w:lang w:eastAsia="zh-CN"/>
              </w:rPr>
              <w:t>，</w:t>
            </w:r>
            <w:r>
              <w:rPr>
                <w:rFonts w:hint="eastAsia"/>
                <w:lang w:val="en-US" w:eastAsia="zh-CN"/>
              </w:rPr>
              <w:t>本项目涉风险物质厂区最大贮存量和临界量见下表。</w:t>
            </w:r>
          </w:p>
          <w:p w14:paraId="7EC3CDA8">
            <w:pPr>
              <w:keepNext w:val="0"/>
              <w:keepLines w:val="0"/>
              <w:suppressLineNumbers w:val="0"/>
              <w:adjustRightInd w:val="0"/>
              <w:snapToGrid w:val="0"/>
              <w:spacing w:before="0" w:beforeAutospacing="0" w:after="0" w:afterAutospacing="0" w:line="440" w:lineRule="exact"/>
              <w:ind w:left="0" w:right="0"/>
              <w:jc w:val="center"/>
              <w:rPr>
                <w:rFonts w:hint="eastAsia"/>
                <w:b/>
                <w:bCs/>
                <w:sz w:val="24"/>
                <w:lang w:val="en-US" w:eastAsia="zh-CN"/>
              </w:rPr>
            </w:pPr>
            <w:r>
              <w:rPr>
                <w:rFonts w:hint="eastAsia"/>
                <w:b/>
                <w:bCs/>
                <w:sz w:val="24"/>
                <w:lang w:val="en-US" w:eastAsia="zh-CN"/>
              </w:rPr>
              <w:t>表35  项目风险物质一览表</w:t>
            </w:r>
          </w:p>
          <w:tbl>
            <w:tblPr>
              <w:tblStyle w:val="22"/>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7" w:type="dxa"/>
                <w:bottom w:w="0" w:type="dxa"/>
                <w:right w:w="17" w:type="dxa"/>
              </w:tblCellMar>
            </w:tblPr>
            <w:tblGrid>
              <w:gridCol w:w="566"/>
              <w:gridCol w:w="805"/>
              <w:gridCol w:w="891"/>
              <w:gridCol w:w="1584"/>
              <w:gridCol w:w="1172"/>
              <w:gridCol w:w="1180"/>
              <w:gridCol w:w="1410"/>
              <w:gridCol w:w="1008"/>
            </w:tblGrid>
            <w:tr w14:paraId="349D68A1">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PrEx>
              <w:trPr>
                <w:trHeight w:val="397" w:hRule="atLeast"/>
                <w:jc w:val="center"/>
              </w:trPr>
              <w:tc>
                <w:tcPr>
                  <w:tcW w:w="328" w:type="pct"/>
                  <w:tcBorders>
                    <w:bottom w:val="single" w:color="auto" w:sz="8" w:space="0"/>
                  </w:tcBorders>
                  <w:noWrap w:val="0"/>
                  <w:vAlign w:val="center"/>
                </w:tcPr>
                <w:p w14:paraId="42AF7BFA">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467" w:type="pct"/>
                  <w:tcBorders>
                    <w:bottom w:val="single" w:color="auto" w:sz="8" w:space="0"/>
                  </w:tcBorders>
                  <w:noWrap w:val="0"/>
                  <w:vAlign w:val="center"/>
                </w:tcPr>
                <w:p w14:paraId="112FD519">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名称</w:t>
                  </w:r>
                </w:p>
              </w:tc>
              <w:tc>
                <w:tcPr>
                  <w:tcW w:w="517" w:type="pct"/>
                  <w:tcBorders>
                    <w:bottom w:val="single" w:color="auto" w:sz="8" w:space="0"/>
                  </w:tcBorders>
                  <w:noWrap w:val="0"/>
                  <w:vAlign w:val="center"/>
                </w:tcPr>
                <w:p w14:paraId="63D6C0E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原料最大</w:t>
                  </w:r>
                  <w:r>
                    <w:rPr>
                      <w:rFonts w:hint="eastAsia" w:cs="Times New Roman"/>
                      <w:b/>
                      <w:bCs/>
                      <w:color w:val="auto"/>
                      <w:sz w:val="21"/>
                      <w:szCs w:val="21"/>
                      <w:highlight w:val="none"/>
                      <w:lang w:val="en-US" w:eastAsia="zh-CN"/>
                    </w:rPr>
                    <w:t>贮存量</w:t>
                  </w:r>
                </w:p>
              </w:tc>
              <w:tc>
                <w:tcPr>
                  <w:tcW w:w="919" w:type="pct"/>
                  <w:tcBorders>
                    <w:bottom w:val="single" w:color="auto" w:sz="8" w:space="0"/>
                  </w:tcBorders>
                  <w:noWrap w:val="0"/>
                  <w:vAlign w:val="center"/>
                </w:tcPr>
                <w:p w14:paraId="69121259">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val="en-US" w:eastAsia="zh-CN"/>
                    </w:rPr>
                    <w:t>涉及风险物质</w:t>
                  </w:r>
                </w:p>
              </w:tc>
              <w:tc>
                <w:tcPr>
                  <w:tcW w:w="680" w:type="pct"/>
                  <w:tcBorders>
                    <w:bottom w:val="single" w:color="auto" w:sz="8" w:space="0"/>
                  </w:tcBorders>
                  <w:noWrap w:val="0"/>
                  <w:vAlign w:val="center"/>
                </w:tcPr>
                <w:p w14:paraId="5B7F4377">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eastAsia" w:cs="Times New Roman"/>
                      <w:b/>
                      <w:bCs/>
                      <w:color w:val="auto"/>
                      <w:sz w:val="21"/>
                      <w:szCs w:val="21"/>
                      <w:lang w:val="en-US" w:eastAsia="zh-CN"/>
                    </w:rPr>
                  </w:pPr>
                  <w:r>
                    <w:rPr>
                      <w:rFonts w:hint="eastAsia" w:cs="Times New Roman"/>
                      <w:b/>
                      <w:bCs/>
                      <w:color w:val="auto"/>
                      <w:sz w:val="21"/>
                      <w:szCs w:val="21"/>
                      <w:lang w:val="en-US" w:eastAsia="zh-CN"/>
                    </w:rPr>
                    <w:t>成分</w:t>
                  </w:r>
                </w:p>
                <w:p w14:paraId="5A37DB98">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bCs/>
                      <w:color w:val="auto"/>
                      <w:kern w:val="2"/>
                      <w:sz w:val="21"/>
                      <w:szCs w:val="21"/>
                      <w:lang w:val="en-US" w:eastAsia="zh-CN" w:bidi="ar-SA"/>
                    </w:rPr>
                  </w:pPr>
                  <w:r>
                    <w:rPr>
                      <w:rFonts w:hint="eastAsia" w:cs="Times New Roman"/>
                      <w:b/>
                      <w:bCs/>
                      <w:color w:val="auto"/>
                      <w:sz w:val="21"/>
                      <w:szCs w:val="21"/>
                      <w:lang w:val="en-US" w:eastAsia="zh-CN"/>
                    </w:rPr>
                    <w:t>占比</w:t>
                  </w:r>
                </w:p>
              </w:tc>
              <w:tc>
                <w:tcPr>
                  <w:tcW w:w="684" w:type="pct"/>
                  <w:tcBorders>
                    <w:bottom w:val="single" w:color="auto" w:sz="8" w:space="0"/>
                  </w:tcBorders>
                  <w:noWrap w:val="0"/>
                  <w:vAlign w:val="center"/>
                </w:tcPr>
                <w:p w14:paraId="19A278D0">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涉及风险物质最大贮存量</w:t>
                  </w:r>
                </w:p>
              </w:tc>
              <w:tc>
                <w:tcPr>
                  <w:tcW w:w="818" w:type="pct"/>
                  <w:tcBorders>
                    <w:bottom w:val="single" w:color="auto" w:sz="8" w:space="0"/>
                  </w:tcBorders>
                  <w:noWrap w:val="0"/>
                  <w:vAlign w:val="center"/>
                </w:tcPr>
                <w:p w14:paraId="25F7717E">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涉及风险物质临界量</w:t>
                  </w:r>
                </w:p>
              </w:tc>
              <w:tc>
                <w:tcPr>
                  <w:tcW w:w="584" w:type="pct"/>
                  <w:tcBorders>
                    <w:bottom w:val="single" w:color="auto" w:sz="8" w:space="0"/>
                  </w:tcBorders>
                  <w:noWrap w:val="0"/>
                  <w:vAlign w:val="center"/>
                </w:tcPr>
                <w:p w14:paraId="7AA41085">
                  <w:pPr>
                    <w:keepNext w:val="0"/>
                    <w:keepLines w:val="0"/>
                    <w:suppressLineNumbers w:val="0"/>
                    <w:autoSpaceDE w:val="0"/>
                    <w:autoSpaceDN w:val="0"/>
                    <w:adjustRightInd w:val="0"/>
                    <w:snapToGrid w:val="0"/>
                    <w:spacing w:before="0" w:beforeAutospacing="0" w:after="0" w:afterAutospacing="0"/>
                    <w:ind w:left="0" w:right="0"/>
                    <w:jc w:val="center"/>
                    <w:rPr>
                      <w:rFonts w:hint="default" w:cs="Times New Roman"/>
                      <w:b/>
                      <w:bCs/>
                      <w:color w:val="auto"/>
                      <w:sz w:val="21"/>
                      <w:szCs w:val="21"/>
                      <w:lang w:val="en-US" w:eastAsia="zh-CN"/>
                    </w:rPr>
                  </w:pPr>
                  <w:r>
                    <w:rPr>
                      <w:rFonts w:hint="eastAsia" w:cs="Times New Roman"/>
                      <w:b/>
                      <w:bCs/>
                      <w:color w:val="auto"/>
                      <w:sz w:val="21"/>
                      <w:szCs w:val="21"/>
                      <w:lang w:val="en-US" w:eastAsia="zh-CN"/>
                    </w:rPr>
                    <w:t>Q值</w:t>
                  </w:r>
                </w:p>
              </w:tc>
            </w:tr>
            <w:tr w14:paraId="0F11494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7" w:type="dxa"/>
                  <w:bottom w:w="0" w:type="dxa"/>
                  <w:right w:w="17" w:type="dxa"/>
                </w:tblCellMar>
              </w:tblPrEx>
              <w:trPr>
                <w:trHeight w:val="397" w:hRule="atLeast"/>
                <w:jc w:val="center"/>
              </w:trPr>
              <w:tc>
                <w:tcPr>
                  <w:tcW w:w="5000" w:type="pct"/>
                  <w:gridSpan w:val="8"/>
                  <w:tcBorders>
                    <w:top w:val="single" w:color="auto" w:sz="8" w:space="0"/>
                    <w:tl2br w:val="nil"/>
                    <w:tr2bl w:val="nil"/>
                  </w:tcBorders>
                  <w:noWrap w:val="0"/>
                  <w:vAlign w:val="center"/>
                </w:tcPr>
                <w:p w14:paraId="0408B155">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eastAsia" w:cs="Times New Roman"/>
                      <w:b w:val="0"/>
                      <w:bCs w:val="0"/>
                      <w:color w:val="auto"/>
                      <w:sz w:val="21"/>
                      <w:szCs w:val="21"/>
                      <w:lang w:val="en-US" w:eastAsia="zh-CN"/>
                    </w:rPr>
                  </w:pPr>
                  <w:r>
                    <w:rPr>
                      <w:rFonts w:hint="eastAsia" w:cs="Times New Roman"/>
                      <w:b w:val="0"/>
                      <w:bCs w:val="0"/>
                      <w:color w:val="auto"/>
                      <w:sz w:val="21"/>
                      <w:szCs w:val="21"/>
                      <w:lang w:val="en-US" w:eastAsia="zh-CN"/>
                    </w:rPr>
                    <w:t>原辅料</w:t>
                  </w:r>
                </w:p>
              </w:tc>
            </w:tr>
            <w:tr w14:paraId="6FF619B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7" w:type="dxa"/>
                  <w:bottom w:w="0" w:type="dxa"/>
                  <w:right w:w="17" w:type="dxa"/>
                </w:tblCellMar>
              </w:tblPrEx>
              <w:trPr>
                <w:trHeight w:val="397" w:hRule="atLeast"/>
                <w:jc w:val="center"/>
              </w:trPr>
              <w:tc>
                <w:tcPr>
                  <w:tcW w:w="328" w:type="pct"/>
                  <w:vMerge w:val="restart"/>
                  <w:tcBorders>
                    <w:tl2br w:val="nil"/>
                    <w:tr2bl w:val="nil"/>
                  </w:tcBorders>
                  <w:noWrap w:val="0"/>
                  <w:vAlign w:val="center"/>
                </w:tcPr>
                <w:p w14:paraId="7F1E83BB">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1</w:t>
                  </w:r>
                </w:p>
              </w:tc>
              <w:tc>
                <w:tcPr>
                  <w:tcW w:w="467" w:type="pct"/>
                  <w:vMerge w:val="restart"/>
                  <w:tcBorders>
                    <w:tl2br w:val="nil"/>
                    <w:tr2bl w:val="nil"/>
                  </w:tcBorders>
                  <w:noWrap w:val="0"/>
                  <w:vAlign w:val="center"/>
                </w:tcPr>
                <w:p w14:paraId="3F52186E">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b w:val="0"/>
                      <w:bCs w:val="0"/>
                      <w:color w:val="auto"/>
                      <w:sz w:val="21"/>
                      <w:szCs w:val="21"/>
                      <w:lang w:eastAsia="zh-CN"/>
                    </w:rPr>
                  </w:pPr>
                  <w:r>
                    <w:rPr>
                      <w:rFonts w:hint="eastAsia" w:cs="Times New Roman"/>
                      <w:b w:val="0"/>
                      <w:bCs w:val="0"/>
                      <w:color w:val="auto"/>
                      <w:sz w:val="21"/>
                      <w:szCs w:val="21"/>
                      <w:lang w:val="en-US" w:eastAsia="zh-CN"/>
                    </w:rPr>
                    <w:t>水性</w:t>
                  </w:r>
                  <w:r>
                    <w:rPr>
                      <w:rFonts w:hint="eastAsia" w:cs="Times New Roman"/>
                      <w:b w:val="0"/>
                      <w:bCs w:val="0"/>
                      <w:color w:val="auto"/>
                      <w:sz w:val="21"/>
                      <w:szCs w:val="21"/>
                      <w:lang w:eastAsia="zh-CN"/>
                    </w:rPr>
                    <w:t>油墨</w:t>
                  </w:r>
                </w:p>
              </w:tc>
              <w:tc>
                <w:tcPr>
                  <w:tcW w:w="517" w:type="pct"/>
                  <w:vMerge w:val="restart"/>
                  <w:tcBorders>
                    <w:tl2br w:val="nil"/>
                    <w:tr2bl w:val="nil"/>
                  </w:tcBorders>
                  <w:noWrap w:val="0"/>
                  <w:vAlign w:val="center"/>
                </w:tcPr>
                <w:p w14:paraId="55A4370E">
                  <w:pPr>
                    <w:keepNext w:val="0"/>
                    <w:keepLines w:val="0"/>
                    <w:widowControl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0.25t</w:t>
                  </w:r>
                </w:p>
              </w:tc>
              <w:tc>
                <w:tcPr>
                  <w:tcW w:w="919" w:type="pct"/>
                  <w:tcBorders>
                    <w:tl2br w:val="nil"/>
                    <w:tr2bl w:val="nil"/>
                  </w:tcBorders>
                  <w:noWrap w:val="0"/>
                  <w:vAlign w:val="center"/>
                </w:tcPr>
                <w:p w14:paraId="7CB453FA">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lang w:val="en-US"/>
                    </w:rPr>
                  </w:pPr>
                  <w:r>
                    <w:rPr>
                      <w:rFonts w:hint="eastAsia"/>
                      <w:b w:val="0"/>
                      <w:bCs w:val="0"/>
                      <w:color w:val="auto"/>
                      <w:sz w:val="21"/>
                      <w:szCs w:val="21"/>
                      <w:highlight w:val="none"/>
                      <w:lang w:val="en-US" w:eastAsia="zh-CN"/>
                    </w:rPr>
                    <w:t>丙烯酸丁酯141-32-2</w:t>
                  </w:r>
                </w:p>
              </w:tc>
              <w:tc>
                <w:tcPr>
                  <w:tcW w:w="680" w:type="pct"/>
                  <w:vMerge w:val="restart"/>
                  <w:tcBorders>
                    <w:tl2br w:val="nil"/>
                    <w:tr2bl w:val="nil"/>
                  </w:tcBorders>
                  <w:noWrap w:val="0"/>
                  <w:vAlign w:val="center"/>
                </w:tcPr>
                <w:p w14:paraId="23EEC03A">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kern w:val="2"/>
                      <w:sz w:val="21"/>
                      <w:szCs w:val="21"/>
                      <w:lang w:val="en-US" w:eastAsia="zh-CN" w:bidi="ar"/>
                    </w:rPr>
                  </w:pPr>
                  <w:r>
                    <w:rPr>
                      <w:rFonts w:hint="eastAsia" w:cs="Times New Roman"/>
                      <w:b w:val="0"/>
                      <w:bCs w:val="0"/>
                      <w:color w:val="auto"/>
                      <w:sz w:val="21"/>
                      <w:szCs w:val="21"/>
                      <w:lang w:val="en-US" w:eastAsia="zh-CN"/>
                    </w:rPr>
                    <w:t>60%</w:t>
                  </w:r>
                </w:p>
              </w:tc>
              <w:tc>
                <w:tcPr>
                  <w:tcW w:w="684" w:type="pct"/>
                  <w:vMerge w:val="restart"/>
                  <w:tcBorders>
                    <w:tl2br w:val="nil"/>
                    <w:tr2bl w:val="nil"/>
                  </w:tcBorders>
                  <w:noWrap w:val="0"/>
                  <w:vAlign w:val="center"/>
                </w:tcPr>
                <w:p w14:paraId="6F76EAA0">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0.15</w:t>
                  </w:r>
                </w:p>
              </w:tc>
              <w:tc>
                <w:tcPr>
                  <w:tcW w:w="818" w:type="pct"/>
                  <w:vMerge w:val="restart"/>
                  <w:tcBorders>
                    <w:tl2br w:val="nil"/>
                    <w:tr2bl w:val="nil"/>
                  </w:tcBorders>
                  <w:noWrap w:val="0"/>
                  <w:vAlign w:val="center"/>
                </w:tcPr>
                <w:p w14:paraId="1AC95C23">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lang w:val="en-US" w:eastAsia="zh-CN"/>
                    </w:rPr>
                  </w:pPr>
                  <w:r>
                    <w:rPr>
                      <w:rFonts w:hint="eastAsia" w:cs="Times New Roman"/>
                      <w:b w:val="0"/>
                      <w:bCs w:val="0"/>
                      <w:color w:val="auto"/>
                      <w:sz w:val="21"/>
                      <w:szCs w:val="21"/>
                      <w:lang w:val="en-US" w:eastAsia="zh-CN"/>
                    </w:rPr>
                    <w:t>10t</w:t>
                  </w:r>
                </w:p>
              </w:tc>
              <w:tc>
                <w:tcPr>
                  <w:tcW w:w="584" w:type="pct"/>
                  <w:vMerge w:val="restart"/>
                  <w:tcBorders>
                    <w:tl2br w:val="nil"/>
                    <w:tr2bl w:val="nil"/>
                  </w:tcBorders>
                  <w:noWrap w:val="0"/>
                  <w:vAlign w:val="center"/>
                </w:tcPr>
                <w:p w14:paraId="6D863AA6">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0.015</w:t>
                  </w:r>
                </w:p>
              </w:tc>
            </w:tr>
            <w:tr w14:paraId="124A6ED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7" w:type="dxa"/>
                  <w:bottom w:w="0" w:type="dxa"/>
                  <w:right w:w="17" w:type="dxa"/>
                </w:tblCellMar>
              </w:tblPrEx>
              <w:trPr>
                <w:trHeight w:val="397" w:hRule="atLeast"/>
                <w:jc w:val="center"/>
              </w:trPr>
              <w:tc>
                <w:tcPr>
                  <w:tcW w:w="328" w:type="pct"/>
                  <w:vMerge w:val="continue"/>
                  <w:tcBorders>
                    <w:tl2br w:val="nil"/>
                    <w:tr2bl w:val="nil"/>
                  </w:tcBorders>
                  <w:noWrap w:val="0"/>
                  <w:vAlign w:val="center"/>
                </w:tcPr>
                <w:p w14:paraId="7710A520">
                  <w:pPr>
                    <w:keepNext w:val="0"/>
                    <w:keepLines w:val="0"/>
                    <w:suppressLineNumbers w:val="0"/>
                    <w:spacing w:before="0" w:beforeAutospacing="0" w:after="0" w:afterAutospacing="0"/>
                    <w:ind w:left="0" w:leftChars="0" w:right="0" w:rightChars="0"/>
                    <w:jc w:val="center"/>
                    <w:rPr>
                      <w:rFonts w:hint="eastAsia" w:cs="Times New Roman"/>
                      <w:b w:val="0"/>
                      <w:bCs w:val="0"/>
                      <w:color w:val="auto"/>
                      <w:sz w:val="21"/>
                      <w:szCs w:val="21"/>
                      <w:lang w:val="en-US" w:eastAsia="zh-CN"/>
                    </w:rPr>
                  </w:pPr>
                </w:p>
              </w:tc>
              <w:tc>
                <w:tcPr>
                  <w:tcW w:w="467" w:type="pct"/>
                  <w:vMerge w:val="continue"/>
                  <w:tcBorders>
                    <w:tl2br w:val="nil"/>
                    <w:tr2bl w:val="nil"/>
                  </w:tcBorders>
                  <w:noWrap w:val="0"/>
                  <w:vAlign w:val="center"/>
                </w:tcPr>
                <w:p w14:paraId="6FD8ED90">
                  <w:pPr>
                    <w:keepNext w:val="0"/>
                    <w:keepLines w:val="0"/>
                    <w:suppressLineNumbers w:val="0"/>
                    <w:spacing w:before="0" w:beforeAutospacing="0" w:after="0" w:afterAutospacing="0"/>
                    <w:ind w:left="0" w:leftChars="0" w:right="0" w:rightChars="0"/>
                    <w:jc w:val="center"/>
                    <w:rPr>
                      <w:rFonts w:hint="eastAsia" w:cs="Times New Roman"/>
                      <w:b w:val="0"/>
                      <w:bCs w:val="0"/>
                      <w:color w:val="auto"/>
                      <w:sz w:val="21"/>
                      <w:szCs w:val="21"/>
                      <w:lang w:val="en-US" w:eastAsia="zh-CN"/>
                    </w:rPr>
                  </w:pPr>
                </w:p>
              </w:tc>
              <w:tc>
                <w:tcPr>
                  <w:tcW w:w="517" w:type="pct"/>
                  <w:vMerge w:val="continue"/>
                  <w:tcBorders>
                    <w:tl2br w:val="nil"/>
                    <w:tr2bl w:val="nil"/>
                  </w:tcBorders>
                  <w:noWrap w:val="0"/>
                  <w:vAlign w:val="center"/>
                </w:tcPr>
                <w:p w14:paraId="0A9F8618">
                  <w:pPr>
                    <w:keepNext w:val="0"/>
                    <w:keepLines w:val="0"/>
                    <w:widowControl w:val="0"/>
                    <w:suppressLineNumbers w:val="0"/>
                    <w:spacing w:before="0" w:beforeAutospacing="0" w:after="0" w:afterAutospacing="0"/>
                    <w:ind w:left="0" w:leftChars="0" w:right="0" w:rightChars="0"/>
                    <w:jc w:val="center"/>
                    <w:rPr>
                      <w:rFonts w:hint="eastAsia" w:cs="Times New Roman"/>
                      <w:b w:val="0"/>
                      <w:bCs w:val="0"/>
                      <w:color w:val="auto"/>
                      <w:sz w:val="21"/>
                      <w:szCs w:val="21"/>
                      <w:lang w:val="en-US" w:eastAsia="zh-CN"/>
                    </w:rPr>
                  </w:pPr>
                </w:p>
              </w:tc>
              <w:tc>
                <w:tcPr>
                  <w:tcW w:w="919" w:type="pct"/>
                  <w:tcBorders>
                    <w:tl2br w:val="nil"/>
                    <w:tr2bl w:val="nil"/>
                  </w:tcBorders>
                  <w:noWrap w:val="0"/>
                  <w:vAlign w:val="center"/>
                </w:tcPr>
                <w:p w14:paraId="65CAD3CA">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丙烯酸甲酯96-33-3</w:t>
                  </w:r>
                </w:p>
              </w:tc>
              <w:tc>
                <w:tcPr>
                  <w:tcW w:w="680" w:type="pct"/>
                  <w:vMerge w:val="continue"/>
                  <w:tcBorders>
                    <w:tl2br w:val="nil"/>
                    <w:tr2bl w:val="nil"/>
                  </w:tcBorders>
                  <w:noWrap w:val="0"/>
                  <w:vAlign w:val="center"/>
                </w:tcPr>
                <w:p w14:paraId="6A934AF0">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eastAsia" w:cs="Times New Roman"/>
                      <w:b w:val="0"/>
                      <w:bCs w:val="0"/>
                      <w:color w:val="auto"/>
                      <w:sz w:val="21"/>
                      <w:szCs w:val="21"/>
                      <w:lang w:val="en-US" w:eastAsia="zh-CN"/>
                    </w:rPr>
                  </w:pPr>
                </w:p>
              </w:tc>
              <w:tc>
                <w:tcPr>
                  <w:tcW w:w="684" w:type="pct"/>
                  <w:vMerge w:val="continue"/>
                  <w:tcBorders>
                    <w:tl2br w:val="nil"/>
                    <w:tr2bl w:val="nil"/>
                  </w:tcBorders>
                  <w:noWrap w:val="0"/>
                  <w:vAlign w:val="center"/>
                </w:tcPr>
                <w:p w14:paraId="7763DF0D">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eastAsia" w:cs="Times New Roman"/>
                      <w:b w:val="0"/>
                      <w:bCs w:val="0"/>
                      <w:color w:val="auto"/>
                      <w:sz w:val="21"/>
                      <w:szCs w:val="21"/>
                      <w:lang w:val="en-US" w:eastAsia="zh-CN"/>
                    </w:rPr>
                  </w:pPr>
                </w:p>
              </w:tc>
              <w:tc>
                <w:tcPr>
                  <w:tcW w:w="818" w:type="pct"/>
                  <w:vMerge w:val="continue"/>
                  <w:tcBorders>
                    <w:tl2br w:val="nil"/>
                    <w:tr2bl w:val="nil"/>
                  </w:tcBorders>
                  <w:noWrap w:val="0"/>
                  <w:vAlign w:val="center"/>
                </w:tcPr>
                <w:p w14:paraId="4259F53C">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eastAsia" w:cs="Times New Roman"/>
                      <w:b w:val="0"/>
                      <w:bCs w:val="0"/>
                      <w:color w:val="auto"/>
                      <w:sz w:val="21"/>
                      <w:szCs w:val="21"/>
                      <w:lang w:val="en-US" w:eastAsia="zh-CN"/>
                    </w:rPr>
                  </w:pPr>
                </w:p>
              </w:tc>
              <w:tc>
                <w:tcPr>
                  <w:tcW w:w="584" w:type="pct"/>
                  <w:vMerge w:val="continue"/>
                  <w:tcBorders>
                    <w:tl2br w:val="nil"/>
                    <w:tr2bl w:val="nil"/>
                  </w:tcBorders>
                  <w:noWrap w:val="0"/>
                  <w:vAlign w:val="center"/>
                </w:tcPr>
                <w:p w14:paraId="00B22E66">
                  <w:pPr>
                    <w:keepNext w:val="0"/>
                    <w:keepLines w:val="0"/>
                    <w:suppressLineNumbers w:val="0"/>
                    <w:autoSpaceDE w:val="0"/>
                    <w:autoSpaceDN w:val="0"/>
                    <w:adjustRightInd w:val="0"/>
                    <w:snapToGrid w:val="0"/>
                    <w:spacing w:before="0" w:beforeAutospacing="0" w:after="0" w:afterAutospacing="0"/>
                    <w:ind w:left="0" w:leftChars="0" w:right="0" w:rightChars="0"/>
                    <w:jc w:val="center"/>
                    <w:rPr>
                      <w:rFonts w:hint="eastAsia" w:cs="Times New Roman"/>
                      <w:b w:val="0"/>
                      <w:bCs w:val="0"/>
                      <w:color w:val="auto"/>
                      <w:sz w:val="21"/>
                      <w:szCs w:val="21"/>
                      <w:lang w:val="en-US" w:eastAsia="zh-CN"/>
                    </w:rPr>
                  </w:pPr>
                </w:p>
              </w:tc>
            </w:tr>
          </w:tbl>
          <w:p w14:paraId="5C6EFC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lang w:val="en-US" w:eastAsia="zh-CN"/>
              </w:rPr>
            </w:pPr>
            <w:r>
              <w:rPr>
                <w:rFonts w:hint="eastAsia"/>
              </w:rPr>
              <w:t>根据《建设项目环境风险评价技术导则》（HJ/T169-2018）附录C计算得出，本项目</w:t>
            </w:r>
            <w:r>
              <w:rPr>
                <w:rFonts w:hint="eastAsia"/>
                <w:lang w:eastAsia="zh-CN"/>
              </w:rPr>
              <w:t>风险物质总量</w:t>
            </w:r>
            <w:r>
              <w:rPr>
                <w:rFonts w:hint="eastAsia"/>
              </w:rPr>
              <w:t>与临界量比值：Q=</w:t>
            </w:r>
            <w:r>
              <w:rPr>
                <w:rFonts w:hint="eastAsia"/>
                <w:lang w:val="en-US" w:eastAsia="zh-CN"/>
              </w:rPr>
              <w:t>0.015</w:t>
            </w:r>
            <w:r>
              <w:rPr>
                <w:rFonts w:hint="eastAsia"/>
              </w:rPr>
              <w:t>，Q&lt;1。故本项目不进行环境风险专项评价。</w:t>
            </w:r>
          </w:p>
          <w:p w14:paraId="37480D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lang w:val="en-US" w:eastAsia="zh-CN"/>
              </w:rPr>
            </w:pPr>
            <w:r>
              <w:rPr>
                <w:rFonts w:hint="eastAsia"/>
              </w:rPr>
              <w:t>2、风险源分布情况及风险影响途径</w:t>
            </w:r>
          </w:p>
          <w:p w14:paraId="6340B7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lang w:val="en-US"/>
              </w:rPr>
            </w:pPr>
            <w:r>
              <w:rPr>
                <w:rFonts w:hint="eastAsia"/>
                <w:lang w:val="en-US" w:eastAsia="zh-CN"/>
              </w:rPr>
              <w:t>本项目油墨原料加盖密闭在密闭原料库内单独存放，不在生产区域存放。本次评价主要考虑油墨包装桶破损导致泄露导致土壤及大气环境污染，以及火灾时引发的伴生/次生大气污染物排放</w:t>
            </w:r>
            <w:r>
              <w:rPr>
                <w:rFonts w:hint="eastAsia"/>
              </w:rPr>
              <w:t>。</w:t>
            </w:r>
            <w:r>
              <w:rPr>
                <w:rFonts w:hint="eastAsia"/>
                <w:lang w:eastAsia="zh-CN"/>
              </w:rPr>
              <w:t>油墨存放时</w:t>
            </w:r>
            <w:r>
              <w:rPr>
                <w:rFonts w:hint="eastAsia"/>
                <w:lang w:val="en-US" w:eastAsia="zh-CN"/>
              </w:rPr>
              <w:t>应将包装桶封闭，不得敞口存放，可以有效避免泄露对大气环境保护目标造成影响。</w:t>
            </w:r>
          </w:p>
          <w:p w14:paraId="228513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default" w:eastAsia="宋体"/>
                <w:lang w:val="en-US" w:eastAsia="zh-CN"/>
              </w:rPr>
            </w:pPr>
            <w:r>
              <w:rPr>
                <w:rFonts w:hint="eastAsia"/>
                <w:lang w:val="en-US" w:eastAsia="zh-CN"/>
              </w:rPr>
              <w:t>3、风险防范措施</w:t>
            </w:r>
          </w:p>
          <w:p w14:paraId="167246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eastAsia="宋体"/>
                <w:lang w:eastAsia="zh-CN"/>
              </w:rPr>
            </w:pPr>
            <w:r>
              <w:rPr>
                <w:rFonts w:hint="eastAsia"/>
              </w:rPr>
              <w:t>（1）原料入库时应检查包装是否有泄漏现象，在贮存期，定期检查，发现泄漏，及时处理</w:t>
            </w:r>
            <w:r>
              <w:rPr>
                <w:rFonts w:hint="eastAsia"/>
                <w:lang w:eastAsia="zh-CN"/>
              </w:rPr>
              <w:t>；</w:t>
            </w:r>
          </w:p>
          <w:p w14:paraId="3539F02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eastAsia="宋体"/>
                <w:lang w:eastAsia="zh-CN"/>
              </w:rPr>
            </w:pPr>
            <w:r>
              <w:rPr>
                <w:rFonts w:hint="eastAsia"/>
              </w:rPr>
              <w:t>（2）</w:t>
            </w:r>
            <w:r>
              <w:rPr>
                <w:rFonts w:hint="eastAsia"/>
                <w:lang w:eastAsia="zh-CN"/>
              </w:rPr>
              <w:t>油墨原料库</w:t>
            </w:r>
            <w:r>
              <w:rPr>
                <w:rFonts w:hint="eastAsia"/>
              </w:rPr>
              <w:t>不得靠近热源和电器设备</w:t>
            </w:r>
            <w:r>
              <w:rPr>
                <w:rFonts w:hint="eastAsia"/>
                <w:lang w:eastAsia="zh-CN"/>
              </w:rPr>
              <w:t>；</w:t>
            </w:r>
          </w:p>
          <w:p w14:paraId="73051B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eastAsia="宋体"/>
                <w:lang w:eastAsia="zh-CN"/>
              </w:rPr>
            </w:pPr>
            <w:r>
              <w:rPr>
                <w:rFonts w:hint="eastAsia"/>
                <w:lang w:eastAsia="zh-CN"/>
              </w:rPr>
              <w:t>（</w:t>
            </w:r>
            <w:r>
              <w:rPr>
                <w:rFonts w:hint="eastAsia"/>
                <w:lang w:val="en-US" w:eastAsia="zh-CN"/>
              </w:rPr>
              <w:t>3</w:t>
            </w:r>
            <w:r>
              <w:rPr>
                <w:rFonts w:hint="eastAsia"/>
                <w:lang w:eastAsia="zh-CN"/>
              </w:rPr>
              <w:t>）</w:t>
            </w:r>
            <w:r>
              <w:rPr>
                <w:rFonts w:hint="default"/>
                <w:sz w:val="24"/>
              </w:rPr>
              <w:t>搬运时要轻装轻卸，防止包装及容器损坏</w:t>
            </w:r>
            <w:r>
              <w:rPr>
                <w:rFonts w:hint="eastAsia"/>
                <w:lang w:eastAsia="zh-CN"/>
              </w:rPr>
              <w:t>；</w:t>
            </w:r>
          </w:p>
          <w:p w14:paraId="091910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sz w:val="24"/>
                <w:lang w:val="en-US" w:eastAsia="zh-CN"/>
              </w:rPr>
            </w:pPr>
            <w:r>
              <w:rPr>
                <w:rFonts w:hint="eastAsia"/>
                <w:lang w:eastAsia="zh-CN"/>
              </w:rPr>
              <w:t>（</w:t>
            </w:r>
            <w:r>
              <w:rPr>
                <w:rFonts w:hint="eastAsia"/>
                <w:lang w:val="en-US" w:eastAsia="zh-CN"/>
              </w:rPr>
              <w:t>4</w:t>
            </w:r>
            <w:r>
              <w:rPr>
                <w:rFonts w:hint="eastAsia"/>
                <w:lang w:eastAsia="zh-CN"/>
              </w:rPr>
              <w:t>）原料库按照相关要求做好防渗措施。在油墨放置贮存区域四周建设防泄漏围堰，高度不低于0.2m；及时将泄漏出的液体截留收集，避免大量挥发或引发火灾等。</w:t>
            </w:r>
          </w:p>
          <w:p w14:paraId="6BA357A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lang w:eastAsia="zh-CN"/>
              </w:rPr>
            </w:pPr>
            <w:r>
              <w:rPr>
                <w:rFonts w:hint="eastAsia"/>
                <w:lang w:eastAsia="zh-CN"/>
              </w:rPr>
              <w:t>（</w:t>
            </w:r>
            <w:r>
              <w:rPr>
                <w:rFonts w:hint="eastAsia"/>
                <w:lang w:val="en-US" w:eastAsia="zh-CN"/>
              </w:rPr>
              <w:t>5</w:t>
            </w:r>
            <w:r>
              <w:rPr>
                <w:rFonts w:hint="eastAsia"/>
                <w:lang w:eastAsia="zh-CN"/>
              </w:rPr>
              <w:t>）设置备用桶，油墨发生泄漏时及时更换容器，泄露物料用惰性吸附材料进行吸附处理，收集的物料和吸附材料及破损容器做为危废处理。</w:t>
            </w:r>
          </w:p>
          <w:p w14:paraId="1CEDC05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rPr>
            </w:pPr>
            <w:r>
              <w:rPr>
                <w:rFonts w:hint="eastAsia"/>
              </w:rPr>
              <w:t>建设单位在认真落实环境风险评价提出的各项风险防范措施的基础上，本项目的环境风险可防控。</w:t>
            </w:r>
          </w:p>
          <w:p w14:paraId="33AB8A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default" w:eastAsia="宋体"/>
                <w:lang w:val="en-US" w:eastAsia="zh-CN"/>
              </w:rPr>
            </w:pPr>
            <w:r>
              <w:rPr>
                <w:rFonts w:hint="eastAsia"/>
                <w:b/>
                <w:bCs/>
                <w:lang w:val="en-US" w:eastAsia="zh-CN"/>
              </w:rPr>
              <w:t>八、电磁辐射</w:t>
            </w:r>
          </w:p>
          <w:p w14:paraId="078B25FE">
            <w:pPr>
              <w:pStyle w:val="10"/>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40" w:lineRule="exact"/>
              <w:ind w:left="0" w:right="0" w:rightChars="0"/>
              <w:jc w:val="both"/>
              <w:textAlignment w:val="auto"/>
              <w:rPr>
                <w:rFonts w:hint="eastAsia" w:eastAsia="宋体"/>
                <w:bCs/>
                <w:spacing w:val="-10"/>
                <w:sz w:val="24"/>
                <w:lang w:eastAsia="zh-CN"/>
              </w:rPr>
            </w:pPr>
            <w:r>
              <w:rPr>
                <w:rFonts w:hint="default" w:ascii="Times New Roman" w:hAnsi="Times New Roman" w:eastAsia="宋体" w:cs="Times New Roman"/>
                <w:b w:val="0"/>
                <w:bCs/>
                <w:color w:val="000000"/>
                <w:sz w:val="24"/>
                <w:highlight w:val="none"/>
                <w:lang w:val="en-US" w:eastAsia="zh-CN"/>
              </w:rPr>
              <w:t>本项目不涉及辐射源，故不对电磁辐射做评价分析</w:t>
            </w:r>
            <w:r>
              <w:rPr>
                <w:rFonts w:hint="eastAsia" w:cs="Times New Roman"/>
                <w:b w:val="0"/>
                <w:bCs/>
                <w:color w:val="000000"/>
                <w:sz w:val="24"/>
                <w:highlight w:val="none"/>
                <w:lang w:val="en-US" w:eastAsia="zh-CN"/>
              </w:rPr>
              <w:t>。</w:t>
            </w:r>
          </w:p>
          <w:p w14:paraId="092F1E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2" w:firstLineChars="200"/>
              <w:textAlignment w:val="auto"/>
              <w:rPr>
                <w:rFonts w:hint="default"/>
                <w:b/>
                <w:bCs/>
                <w:lang w:val="en-US" w:eastAsia="zh-CN"/>
              </w:rPr>
            </w:pPr>
            <w:r>
              <w:rPr>
                <w:rFonts w:hint="eastAsia"/>
                <w:b/>
                <w:bCs/>
                <w:lang w:val="en-US" w:eastAsia="zh-CN"/>
              </w:rPr>
              <w:t>九、环保治理措施及投资金额</w:t>
            </w:r>
          </w:p>
          <w:p w14:paraId="6B6D43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textAlignment w:val="auto"/>
              <w:rPr>
                <w:rFonts w:hint="default" w:ascii="Times New Roman" w:hAnsi="Times New Roman" w:eastAsia="宋体" w:cs="Times New Roman"/>
                <w:color w:val="000000" w:themeColor="text1"/>
                <w:sz w:val="24"/>
                <w:szCs w:val="24"/>
                <w:highlight w:val="none"/>
                <w:u w:val="none"/>
                <w14:textFill>
                  <w14:solidFill>
                    <w14:schemeClr w14:val="tx1"/>
                  </w14:solidFill>
                </w14:textFill>
              </w:rPr>
            </w:pPr>
            <w:r>
              <w:rPr>
                <w:rFonts w:hint="default" w:ascii="Times New Roman" w:hAnsi="Times New Roman" w:eastAsia="宋体" w:cs="Times New Roman"/>
                <w:b w:val="0"/>
                <w:bCs w:val="0"/>
                <w:sz w:val="24"/>
                <w:szCs w:val="24"/>
                <w:lang w:val="en-US" w:eastAsia="zh-CN"/>
              </w:rPr>
              <w:t>本项目总投资为</w:t>
            </w:r>
            <w:r>
              <w:rPr>
                <w:rFonts w:hint="eastAsia" w:cs="Times New Roman"/>
                <w:b w:val="0"/>
                <w:bCs w:val="0"/>
                <w:color w:val="auto"/>
                <w:sz w:val="24"/>
                <w:szCs w:val="24"/>
                <w:lang w:val="en-US" w:eastAsia="zh-CN"/>
              </w:rPr>
              <w:t>500</w:t>
            </w:r>
            <w:r>
              <w:rPr>
                <w:rFonts w:hint="default" w:ascii="Times New Roman" w:hAnsi="Times New Roman" w:eastAsia="宋体" w:cs="Times New Roman"/>
                <w:b w:val="0"/>
                <w:bCs w:val="0"/>
                <w:color w:val="auto"/>
                <w:sz w:val="24"/>
                <w:szCs w:val="24"/>
                <w:lang w:val="en-US" w:eastAsia="zh-CN"/>
              </w:rPr>
              <w:t>万元，环保</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投资为</w:t>
            </w:r>
            <w:r>
              <w:rPr>
                <w:rFonts w:hint="eastAsia" w:cs="Times New Roman"/>
                <w:color w:val="000000" w:themeColor="text1"/>
                <w:sz w:val="24"/>
                <w:szCs w:val="24"/>
                <w:highlight w:val="none"/>
                <w:u w:val="none"/>
                <w:lang w:val="en-US" w:eastAsia="zh-CN"/>
                <w14:textFill>
                  <w14:solidFill>
                    <w14:schemeClr w14:val="tx1"/>
                  </w14:solidFill>
                </w14:textFill>
              </w:rPr>
              <w:t>30</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万元，环保投资占总投资的</w:t>
            </w:r>
            <w:r>
              <w:rPr>
                <w:rFonts w:hint="eastAsia" w:cs="Times New Roman"/>
                <w:color w:val="000000" w:themeColor="text1"/>
                <w:sz w:val="24"/>
                <w:szCs w:val="24"/>
                <w:highlight w:val="none"/>
                <w:u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%。环保投资详见下表：</w:t>
            </w:r>
          </w:p>
          <w:p w14:paraId="1BA5DBCE">
            <w:pPr>
              <w:pStyle w:val="6"/>
              <w:keepNext w:val="0"/>
              <w:keepLines w:val="0"/>
              <w:suppressLineNumbers w:val="0"/>
              <w:bidi w:val="0"/>
              <w:spacing w:before="0" w:beforeAutospacing="0" w:after="0" w:afterAutospacing="0"/>
              <w:ind w:left="0" w:right="0"/>
              <w:rPr>
                <w:rFonts w:hint="default"/>
                <w:color w:val="000000" w:themeColor="text1"/>
                <w:u w:val="none"/>
                <w14:textFill>
                  <w14:solidFill>
                    <w14:schemeClr w14:val="tx1"/>
                  </w14:solidFill>
                </w14:textFill>
              </w:rPr>
            </w:pPr>
            <w:r>
              <w:rPr>
                <w:rFonts w:hint="default"/>
                <w:color w:val="000000" w:themeColor="text1"/>
                <w:u w:val="none"/>
                <w14:textFill>
                  <w14:solidFill>
                    <w14:schemeClr w14:val="tx1"/>
                  </w14:solidFill>
                </w14:textFill>
              </w:rPr>
              <w:t>表</w:t>
            </w:r>
            <w:r>
              <w:rPr>
                <w:rFonts w:hint="eastAsia"/>
                <w:color w:val="000000" w:themeColor="text1"/>
                <w:u w:val="none"/>
                <w:lang w:val="en-US" w:eastAsia="zh-CN"/>
                <w14:textFill>
                  <w14:solidFill>
                    <w14:schemeClr w14:val="tx1"/>
                  </w14:solidFill>
                </w14:textFill>
              </w:rPr>
              <w:t>36     项目</w:t>
            </w:r>
            <w:r>
              <w:rPr>
                <w:rFonts w:hint="default"/>
                <w:color w:val="000000" w:themeColor="text1"/>
                <w:u w:val="none"/>
                <w14:textFill>
                  <w14:solidFill>
                    <w14:schemeClr w14:val="tx1"/>
                  </w14:solidFill>
                </w14:textFill>
              </w:rPr>
              <w:t>环保投资</w:t>
            </w:r>
            <w:r>
              <w:rPr>
                <w:rFonts w:hint="eastAsia"/>
                <w:color w:val="000000" w:themeColor="text1"/>
                <w:u w:val="none"/>
                <w14:textFill>
                  <w14:solidFill>
                    <w14:schemeClr w14:val="tx1"/>
                  </w14:solidFill>
                </w14:textFill>
              </w:rPr>
              <w:t>概算</w:t>
            </w:r>
            <w:r>
              <w:rPr>
                <w:rFonts w:hint="default"/>
                <w:color w:val="000000" w:themeColor="text1"/>
                <w:u w:val="none"/>
                <w14:textFill>
                  <w14:solidFill>
                    <w14:schemeClr w14:val="tx1"/>
                  </w14:solidFill>
                </w14:textFill>
              </w:rPr>
              <w:t>一览表</w:t>
            </w:r>
          </w:p>
          <w:tbl>
            <w:tblPr>
              <w:tblStyle w:val="22"/>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4"/>
              <w:gridCol w:w="783"/>
              <w:gridCol w:w="1020"/>
              <w:gridCol w:w="1846"/>
              <w:gridCol w:w="3546"/>
              <w:gridCol w:w="947"/>
            </w:tblGrid>
            <w:tr w14:paraId="1DEB38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tcBorders>
                    <w:top w:val="single" w:color="auto" w:sz="8" w:space="0"/>
                    <w:bottom w:val="single" w:color="auto" w:sz="8" w:space="0"/>
                  </w:tcBorders>
                  <w:vAlign w:val="center"/>
                </w:tcPr>
                <w:p w14:paraId="2CC7493A">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u w:val="none"/>
                      <w:lang w:val="en-US" w:eastAsia="zh-CN"/>
                      <w14:textFill>
                        <w14:solidFill>
                          <w14:schemeClr w14:val="tx1"/>
                        </w14:solidFill>
                      </w14:textFill>
                    </w:rPr>
                    <w:t>序号</w:t>
                  </w:r>
                </w:p>
              </w:tc>
              <w:tc>
                <w:tcPr>
                  <w:tcW w:w="454" w:type="pct"/>
                  <w:tcBorders>
                    <w:top w:val="single" w:color="auto" w:sz="8" w:space="0"/>
                    <w:bottom w:val="single" w:color="auto" w:sz="8" w:space="0"/>
                  </w:tcBorders>
                  <w:vAlign w:val="center"/>
                </w:tcPr>
                <w:p w14:paraId="4CC073A2">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b/>
                      <w:bCs/>
                      <w:color w:val="000000" w:themeColor="text1"/>
                      <w:sz w:val="21"/>
                      <w:szCs w:val="21"/>
                      <w:u w:val="none"/>
                      <w:lang w:eastAsia="zh-CN"/>
                      <w14:textFill>
                        <w14:solidFill>
                          <w14:schemeClr w14:val="tx1"/>
                        </w14:solidFill>
                      </w14:textFill>
                    </w:rPr>
                  </w:pPr>
                  <w:r>
                    <w:rPr>
                      <w:rFonts w:hint="default" w:ascii="Times New Roman" w:hAnsi="Times New Roman" w:cs="Times New Roman"/>
                      <w:b/>
                      <w:bCs/>
                      <w:color w:val="000000" w:themeColor="text1"/>
                      <w:sz w:val="21"/>
                      <w:szCs w:val="21"/>
                      <w:u w:val="none"/>
                      <w:lang w:val="en-US" w:eastAsia="zh-CN"/>
                      <w14:textFill>
                        <w14:solidFill>
                          <w14:schemeClr w14:val="tx1"/>
                        </w14:solidFill>
                      </w14:textFill>
                    </w:rPr>
                    <w:t>污染源</w:t>
                  </w:r>
                </w:p>
              </w:tc>
              <w:tc>
                <w:tcPr>
                  <w:tcW w:w="591" w:type="pct"/>
                  <w:tcBorders>
                    <w:top w:val="single" w:color="auto" w:sz="8" w:space="0"/>
                    <w:bottom w:val="single" w:color="auto" w:sz="8" w:space="0"/>
                  </w:tcBorders>
                  <w:vAlign w:val="center"/>
                </w:tcPr>
                <w:p w14:paraId="2CF36A70">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eastAsia" w:ascii="Times New Roman" w:cs="Times New Roman"/>
                      <w:b/>
                      <w:bCs/>
                      <w:color w:val="000000" w:themeColor="text1"/>
                      <w:sz w:val="21"/>
                      <w:szCs w:val="21"/>
                      <w:u w:val="none"/>
                      <w:lang w:val="en-US" w:eastAsia="zh-CN"/>
                      <w14:textFill>
                        <w14:solidFill>
                          <w14:schemeClr w14:val="tx1"/>
                        </w14:solidFill>
                      </w14:textFill>
                    </w:rPr>
                    <w:t>污染源</w:t>
                  </w:r>
                </w:p>
              </w:tc>
              <w:tc>
                <w:tcPr>
                  <w:tcW w:w="1071" w:type="pct"/>
                  <w:tcBorders>
                    <w:top w:val="single" w:color="auto" w:sz="8" w:space="0"/>
                    <w:bottom w:val="single" w:color="auto" w:sz="8" w:space="0"/>
                  </w:tcBorders>
                  <w:vAlign w:val="center"/>
                </w:tcPr>
                <w:p w14:paraId="74AA096A">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u w:val="none"/>
                      <w:lang w:val="en-US" w:eastAsia="zh-CN"/>
                      <w14:textFill>
                        <w14:solidFill>
                          <w14:schemeClr w14:val="tx1"/>
                        </w14:solidFill>
                      </w14:textFill>
                    </w:rPr>
                    <w:t>污染防治措施</w:t>
                  </w:r>
                </w:p>
              </w:tc>
              <w:tc>
                <w:tcPr>
                  <w:tcW w:w="2057" w:type="pct"/>
                  <w:tcBorders>
                    <w:top w:val="single" w:color="auto" w:sz="8" w:space="0"/>
                    <w:bottom w:val="single" w:color="auto" w:sz="8" w:space="0"/>
                  </w:tcBorders>
                  <w:vAlign w:val="center"/>
                </w:tcPr>
                <w:p w14:paraId="6ABEAC37">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u w:val="none"/>
                      <w:lang w:val="en-US" w:eastAsia="zh-CN"/>
                      <w14:textFill>
                        <w14:solidFill>
                          <w14:schemeClr w14:val="tx1"/>
                        </w14:solidFill>
                      </w14:textFill>
                    </w:rPr>
                    <w:t>验收标准</w:t>
                  </w:r>
                </w:p>
              </w:tc>
              <w:tc>
                <w:tcPr>
                  <w:tcW w:w="549" w:type="pct"/>
                  <w:tcBorders>
                    <w:top w:val="single" w:color="auto" w:sz="8" w:space="0"/>
                    <w:bottom w:val="single" w:color="auto" w:sz="8" w:space="0"/>
                  </w:tcBorders>
                  <w:vAlign w:val="center"/>
                </w:tcPr>
                <w:p w14:paraId="4B43B912">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b/>
                      <w:bCs/>
                      <w:color w:val="000000" w:themeColor="text1"/>
                      <w:sz w:val="21"/>
                      <w:szCs w:val="21"/>
                      <w:u w:val="none"/>
                      <w:lang w:val="en-US" w:eastAsia="zh-CN"/>
                      <w14:textFill>
                        <w14:solidFill>
                          <w14:schemeClr w14:val="tx1"/>
                        </w14:solidFill>
                      </w14:textFill>
                    </w:rPr>
                  </w:pPr>
                  <w:r>
                    <w:rPr>
                      <w:rFonts w:hint="default" w:ascii="Times New Roman" w:hAnsi="Times New Roman" w:cs="Times New Roman"/>
                      <w:b/>
                      <w:bCs/>
                      <w:color w:val="000000" w:themeColor="text1"/>
                      <w:sz w:val="21"/>
                      <w:szCs w:val="21"/>
                      <w:u w:val="none"/>
                      <w14:textFill>
                        <w14:solidFill>
                          <w14:schemeClr w14:val="tx1"/>
                        </w14:solidFill>
                      </w14:textFill>
                    </w:rPr>
                    <w:t>投资</w:t>
                  </w:r>
                  <w:r>
                    <w:rPr>
                      <w:rFonts w:hint="default" w:ascii="Times New Roman" w:hAnsi="Times New Roman" w:cs="Times New Roman"/>
                      <w:b/>
                      <w:bCs/>
                      <w:color w:val="000000" w:themeColor="text1"/>
                      <w:sz w:val="21"/>
                      <w:szCs w:val="21"/>
                      <w:u w:val="none"/>
                      <w:lang w:val="en-US" w:eastAsia="zh-CN"/>
                      <w14:textFill>
                        <w14:solidFill>
                          <w14:schemeClr w14:val="tx1"/>
                        </w14:solidFill>
                      </w14:textFill>
                    </w:rPr>
                    <w:t>估算（万元）</w:t>
                  </w:r>
                </w:p>
              </w:tc>
            </w:tr>
            <w:tr w14:paraId="13F81C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 w:hRule="atLeast"/>
                <w:jc w:val="center"/>
              </w:trPr>
              <w:tc>
                <w:tcPr>
                  <w:tcW w:w="275" w:type="pct"/>
                  <w:vMerge w:val="restart"/>
                  <w:tcBorders>
                    <w:top w:val="single" w:color="auto" w:sz="8" w:space="0"/>
                    <w:tl2br w:val="nil"/>
                    <w:tr2bl w:val="nil"/>
                  </w:tcBorders>
                  <w:vAlign w:val="center"/>
                </w:tcPr>
                <w:p w14:paraId="62540D4A">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1</w:t>
                  </w:r>
                </w:p>
              </w:tc>
              <w:tc>
                <w:tcPr>
                  <w:tcW w:w="454" w:type="pct"/>
                  <w:vMerge w:val="restart"/>
                  <w:tcBorders>
                    <w:top w:val="single" w:color="auto" w:sz="8" w:space="0"/>
                    <w:tl2br w:val="nil"/>
                    <w:tr2bl w:val="nil"/>
                  </w:tcBorders>
                  <w:vAlign w:val="center"/>
                </w:tcPr>
                <w:p w14:paraId="758B9C07">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废气治理</w:t>
                  </w:r>
                </w:p>
              </w:tc>
              <w:tc>
                <w:tcPr>
                  <w:tcW w:w="591" w:type="pct"/>
                  <w:tcBorders>
                    <w:top w:val="single" w:color="auto" w:sz="8" w:space="0"/>
                    <w:bottom w:val="single" w:color="auto" w:sz="4" w:space="0"/>
                  </w:tcBorders>
                  <w:vAlign w:val="center"/>
                </w:tcPr>
                <w:p w14:paraId="4D09EC56">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cs="Times New Roman"/>
                      <w:color w:val="000000" w:themeColor="text1"/>
                      <w:sz w:val="21"/>
                      <w:szCs w:val="21"/>
                      <w:u w:val="none"/>
                      <w:lang w:val="en-US" w:eastAsia="zh-CN"/>
                      <w14:textFill>
                        <w14:solidFill>
                          <w14:schemeClr w14:val="tx1"/>
                        </w14:solidFill>
                      </w14:textFill>
                    </w:rPr>
                    <w:t>淋膜废气</w:t>
                  </w:r>
                </w:p>
              </w:tc>
              <w:tc>
                <w:tcPr>
                  <w:tcW w:w="1071" w:type="pct"/>
                  <w:tcBorders>
                    <w:top w:val="single" w:color="auto" w:sz="8" w:space="0"/>
                    <w:bottom w:val="single" w:color="auto" w:sz="4" w:space="0"/>
                  </w:tcBorders>
                  <w:vAlign w:val="center"/>
                </w:tcPr>
                <w:p w14:paraId="392D3658">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both"/>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cs="Times New Roman"/>
                      <w:color w:val="000000" w:themeColor="text1"/>
                      <w:sz w:val="21"/>
                      <w:szCs w:val="21"/>
                      <w:u w:val="none"/>
                      <w:lang w:val="en-US" w:eastAsia="zh-CN"/>
                      <w14:textFill>
                        <w14:solidFill>
                          <w14:schemeClr w14:val="tx1"/>
                        </w14:solidFill>
                      </w14:textFill>
                    </w:rPr>
                    <w:t>淋膜机加热过程密闭，淋膜工序上方设置集气罩，废气经集气罩收集至活性炭吸附脱附+催化燃烧装置（TA001）治理，尾气经1根15米高排气筒（DA001）排放。</w:t>
                  </w:r>
                </w:p>
              </w:tc>
              <w:tc>
                <w:tcPr>
                  <w:tcW w:w="2057" w:type="pct"/>
                  <w:vMerge w:val="restart"/>
                  <w:tcBorders>
                    <w:top w:val="single" w:color="auto" w:sz="8" w:space="0"/>
                    <w:tl2br w:val="nil"/>
                    <w:tr2bl w:val="nil"/>
                  </w:tcBorders>
                  <w:vAlign w:val="center"/>
                </w:tcPr>
                <w:p w14:paraId="3A3B9AE9">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color w:val="auto"/>
                      <w:sz w:val="21"/>
                      <w:szCs w:val="21"/>
                      <w:highlight w:val="none"/>
                    </w:rPr>
                    <w:t>《关于全省开展工业企业挥发性有机物专项治理工作中排放建议值的通知》（豫环攻坚办[2017]162号）</w:t>
                  </w:r>
                  <w:r>
                    <w:rPr>
                      <w:rFonts w:hint="eastAsia"/>
                      <w:color w:val="auto"/>
                      <w:sz w:val="21"/>
                      <w:szCs w:val="21"/>
                      <w:highlight w:val="none"/>
                      <w:lang w:eastAsia="zh-CN"/>
                    </w:rPr>
                    <w:t>；</w:t>
                  </w:r>
                  <w:r>
                    <w:rPr>
                      <w:rFonts w:hint="eastAsia"/>
                      <w:color w:val="auto"/>
                      <w:sz w:val="21"/>
                      <w:szCs w:val="21"/>
                      <w:highlight w:val="none"/>
                    </w:rPr>
                    <w:t>《合成树脂工业污染物排放标准》（GB31572-2015）</w:t>
                  </w:r>
                  <w:r>
                    <w:rPr>
                      <w:rFonts w:hint="eastAsia"/>
                      <w:color w:val="auto"/>
                      <w:sz w:val="21"/>
                      <w:szCs w:val="21"/>
                      <w:highlight w:val="none"/>
                      <w:lang w:eastAsia="zh-CN"/>
                    </w:rPr>
                    <w:t>（</w:t>
                  </w:r>
                  <w:r>
                    <w:rPr>
                      <w:rFonts w:hint="eastAsia"/>
                      <w:color w:val="auto"/>
                      <w:sz w:val="21"/>
                      <w:szCs w:val="21"/>
                      <w:highlight w:val="none"/>
                      <w:lang w:val="en-US" w:eastAsia="zh-CN"/>
                    </w:rPr>
                    <w:t>含2024年修改单</w:t>
                  </w:r>
                  <w:r>
                    <w:rPr>
                      <w:rFonts w:hint="eastAsia"/>
                      <w:color w:val="auto"/>
                      <w:sz w:val="21"/>
                      <w:szCs w:val="21"/>
                      <w:highlight w:val="none"/>
                      <w:lang w:eastAsia="zh-CN"/>
                    </w:rPr>
                    <w:t>）；</w:t>
                  </w:r>
                  <w:r>
                    <w:rPr>
                      <w:rFonts w:hint="default" w:hAnsi="宋体"/>
                      <w:color w:val="000000"/>
                      <w:kern w:val="0"/>
                      <w:sz w:val="21"/>
                      <w:szCs w:val="21"/>
                      <w:highlight w:val="none"/>
                      <w:vertAlign w:val="baseline"/>
                      <w:lang w:val="en-US" w:eastAsia="zh-CN"/>
                    </w:rPr>
                    <w:t>《</w:t>
                  </w:r>
                  <w:r>
                    <w:rPr>
                      <w:rFonts w:hint="eastAsia" w:hAnsi="宋体"/>
                      <w:color w:val="000000"/>
                      <w:kern w:val="0"/>
                      <w:sz w:val="21"/>
                      <w:szCs w:val="21"/>
                      <w:highlight w:val="none"/>
                      <w:vertAlign w:val="baseline"/>
                      <w:lang w:val="en-US" w:eastAsia="zh-CN"/>
                    </w:rPr>
                    <w:t>印刷工业挥发性有机物排放标准</w:t>
                  </w:r>
                  <w:r>
                    <w:rPr>
                      <w:rFonts w:hint="default" w:hAnsi="宋体"/>
                      <w:color w:val="000000"/>
                      <w:kern w:val="0"/>
                      <w:sz w:val="21"/>
                      <w:szCs w:val="21"/>
                      <w:highlight w:val="none"/>
                      <w:vertAlign w:val="baseline"/>
                      <w:lang w:val="en-US" w:eastAsia="zh-CN"/>
                    </w:rPr>
                    <w:t>》</w:t>
                  </w:r>
                  <w:r>
                    <w:rPr>
                      <w:rFonts w:hint="eastAsia"/>
                      <w:color w:val="auto"/>
                      <w:sz w:val="21"/>
                      <w:szCs w:val="21"/>
                      <w:highlight w:val="none"/>
                      <w:lang w:val="en-US" w:eastAsia="zh-CN"/>
                    </w:rPr>
                    <w:t>（DB41/1956-2020）；</w:t>
                  </w:r>
                  <w:r>
                    <w:rPr>
                      <w:rFonts w:hint="eastAsia"/>
                      <w:color w:val="auto"/>
                      <w:sz w:val="21"/>
                      <w:szCs w:val="21"/>
                      <w:highlight w:val="none"/>
                      <w:lang w:eastAsia="zh-CN"/>
                    </w:rPr>
                    <w:t>《河南省重污染天气</w:t>
                  </w:r>
                  <w:r>
                    <w:rPr>
                      <w:rFonts w:hint="eastAsia"/>
                      <w:color w:val="auto"/>
                      <w:sz w:val="21"/>
                      <w:szCs w:val="21"/>
                      <w:highlight w:val="none"/>
                      <w:lang w:val="en-US" w:eastAsia="zh-CN"/>
                    </w:rPr>
                    <w:t>通用</w:t>
                  </w:r>
                  <w:r>
                    <w:rPr>
                      <w:rFonts w:hint="eastAsia"/>
                      <w:color w:val="auto"/>
                      <w:sz w:val="21"/>
                      <w:szCs w:val="21"/>
                      <w:highlight w:val="none"/>
                      <w:lang w:eastAsia="zh-CN"/>
                    </w:rPr>
                    <w:t>行业应急减排措施制定技术指南》（202</w:t>
                  </w:r>
                  <w:r>
                    <w:rPr>
                      <w:rFonts w:hint="eastAsia"/>
                      <w:color w:val="auto"/>
                      <w:sz w:val="21"/>
                      <w:szCs w:val="21"/>
                      <w:highlight w:val="none"/>
                      <w:lang w:val="en-US" w:eastAsia="zh-CN"/>
                    </w:rPr>
                    <w:t>4</w:t>
                  </w:r>
                  <w:r>
                    <w:rPr>
                      <w:rFonts w:hint="eastAsia"/>
                      <w:color w:val="auto"/>
                      <w:sz w:val="21"/>
                      <w:szCs w:val="21"/>
                      <w:highlight w:val="none"/>
                      <w:lang w:eastAsia="zh-CN"/>
                    </w:rPr>
                    <w:t>年修订版）中</w:t>
                  </w:r>
                  <w:r>
                    <w:rPr>
                      <w:rFonts w:hint="eastAsia"/>
                      <w:color w:val="auto"/>
                      <w:sz w:val="21"/>
                      <w:szCs w:val="21"/>
                      <w:highlight w:val="none"/>
                      <w:lang w:val="en-US" w:eastAsia="zh-CN"/>
                    </w:rPr>
                    <w:t>涉VOCs企业绩效引领性指标；</w:t>
                  </w:r>
                  <w:r>
                    <w:rPr>
                      <w:rFonts w:hint="eastAsia"/>
                      <w:sz w:val="21"/>
                      <w:szCs w:val="21"/>
                      <w:lang w:val="en-US" w:eastAsia="zh-CN"/>
                    </w:rPr>
                    <w:t>《重污染天气重点行业应急减排措施制定技术指南》（2020年修订版）包装装潢及其他印刷A级要求</w:t>
                  </w:r>
                </w:p>
              </w:tc>
              <w:tc>
                <w:tcPr>
                  <w:tcW w:w="549" w:type="pct"/>
                  <w:vMerge w:val="restart"/>
                  <w:tcBorders>
                    <w:top w:val="single" w:color="auto" w:sz="8" w:space="0"/>
                    <w:tl2br w:val="nil"/>
                    <w:tr2bl w:val="nil"/>
                  </w:tcBorders>
                  <w:vAlign w:val="center"/>
                </w:tcPr>
                <w:p w14:paraId="5DBFCE9F">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pPr>
                  <w:r>
                    <w:rPr>
                      <w:rFonts w:hint="eastAsia" w:ascii="Times New Roman" w:cs="Times New Roman"/>
                      <w:b w:val="0"/>
                      <w:bCs/>
                      <w:color w:val="000000" w:themeColor="text1"/>
                      <w:sz w:val="21"/>
                      <w:szCs w:val="21"/>
                      <w:highlight w:val="none"/>
                      <w:u w:val="none"/>
                      <w:lang w:val="en-US" w:eastAsia="zh-CN"/>
                      <w14:textFill>
                        <w14:solidFill>
                          <w14:schemeClr w14:val="tx1"/>
                        </w14:solidFill>
                      </w14:textFill>
                    </w:rPr>
                    <w:t>25</w:t>
                  </w:r>
                </w:p>
              </w:tc>
            </w:tr>
            <w:tr w14:paraId="7F4F9C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8" w:hRule="atLeast"/>
                <w:jc w:val="center"/>
              </w:trPr>
              <w:tc>
                <w:tcPr>
                  <w:tcW w:w="275" w:type="pct"/>
                  <w:vMerge w:val="continue"/>
                  <w:tcBorders>
                    <w:tl2br w:val="nil"/>
                    <w:tr2bl w:val="nil"/>
                  </w:tcBorders>
                  <w:vAlign w:val="center"/>
                </w:tcPr>
                <w:p w14:paraId="5DDFD2E1">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p>
              </w:tc>
              <w:tc>
                <w:tcPr>
                  <w:tcW w:w="454" w:type="pct"/>
                  <w:vMerge w:val="continue"/>
                  <w:tcBorders>
                    <w:tl2br w:val="nil"/>
                    <w:tr2bl w:val="nil"/>
                  </w:tcBorders>
                  <w:vAlign w:val="center"/>
                </w:tcPr>
                <w:p w14:paraId="5EA5BA29">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p>
              </w:tc>
              <w:tc>
                <w:tcPr>
                  <w:tcW w:w="591" w:type="pct"/>
                  <w:tcBorders>
                    <w:top w:val="single" w:color="auto" w:sz="4" w:space="0"/>
                  </w:tcBorders>
                  <w:vAlign w:val="center"/>
                </w:tcPr>
                <w:p w14:paraId="3DB34997">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cs="Times New Roman"/>
                      <w:color w:val="000000" w:themeColor="text1"/>
                      <w:sz w:val="21"/>
                      <w:szCs w:val="21"/>
                      <w:u w:val="none"/>
                      <w:lang w:val="en-US" w:eastAsia="zh-CN"/>
                      <w14:textFill>
                        <w14:solidFill>
                          <w14:schemeClr w14:val="tx1"/>
                        </w14:solidFill>
                      </w14:textFill>
                    </w:rPr>
                  </w:pPr>
                  <w:r>
                    <w:rPr>
                      <w:rFonts w:hint="eastAsia" w:ascii="Times New Roman" w:cs="Times New Roman"/>
                      <w:color w:val="000000" w:themeColor="text1"/>
                      <w:sz w:val="21"/>
                      <w:szCs w:val="21"/>
                      <w:u w:val="none"/>
                      <w:lang w:val="en-US" w:eastAsia="zh-CN"/>
                      <w14:textFill>
                        <w14:solidFill>
                          <w14:schemeClr w14:val="tx1"/>
                        </w14:solidFill>
                      </w14:textFill>
                    </w:rPr>
                    <w:t>印刷废气</w:t>
                  </w:r>
                </w:p>
              </w:tc>
              <w:tc>
                <w:tcPr>
                  <w:tcW w:w="1071" w:type="pct"/>
                  <w:tcBorders>
                    <w:top w:val="single" w:color="auto" w:sz="4" w:space="0"/>
                  </w:tcBorders>
                  <w:vAlign w:val="center"/>
                </w:tcPr>
                <w:p w14:paraId="7DF40D16">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both"/>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cs="Times New Roman"/>
                      <w:color w:val="000000" w:themeColor="text1"/>
                      <w:sz w:val="21"/>
                      <w:szCs w:val="21"/>
                      <w:u w:val="none"/>
                      <w:lang w:val="en-US" w:eastAsia="zh-CN"/>
                      <w14:textFill>
                        <w14:solidFill>
                          <w14:schemeClr w14:val="tx1"/>
                        </w14:solidFill>
                      </w14:textFill>
                    </w:rPr>
                    <w:t>印刷机采用封闭刮刀，烘箱密闭，废气经负压收集至活性炭吸附脱附+催化燃烧装置（TA001）同淋膜废气一并治理，尾气经1根15米高排气筒（DA001）排放。</w:t>
                  </w:r>
                </w:p>
              </w:tc>
              <w:tc>
                <w:tcPr>
                  <w:tcW w:w="2057" w:type="pct"/>
                  <w:vMerge w:val="continue"/>
                  <w:tcBorders>
                    <w:tl2br w:val="nil"/>
                    <w:tr2bl w:val="nil"/>
                  </w:tcBorders>
                  <w:vAlign w:val="center"/>
                </w:tcPr>
                <w:p w14:paraId="5E4B59DA">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color w:val="auto"/>
                      <w:kern w:val="2"/>
                      <w:sz w:val="21"/>
                      <w:szCs w:val="21"/>
                      <w:highlight w:val="none"/>
                      <w:lang w:val="en-US" w:eastAsia="zh-CN" w:bidi="ar-SA"/>
                    </w:rPr>
                  </w:pPr>
                </w:p>
              </w:tc>
              <w:tc>
                <w:tcPr>
                  <w:tcW w:w="549" w:type="pct"/>
                  <w:vMerge w:val="continue"/>
                  <w:tcBorders>
                    <w:tl2br w:val="nil"/>
                    <w:tr2bl w:val="nil"/>
                  </w:tcBorders>
                  <w:vAlign w:val="center"/>
                </w:tcPr>
                <w:p w14:paraId="57BDAAF2">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eastAsia" w:ascii="Times New Roman" w:cs="Times New Roman"/>
                      <w:b w:val="0"/>
                      <w:bCs/>
                      <w:color w:val="000000" w:themeColor="text1"/>
                      <w:sz w:val="21"/>
                      <w:szCs w:val="21"/>
                      <w:highlight w:val="none"/>
                      <w:u w:val="none"/>
                      <w:lang w:val="en-US" w:eastAsia="zh-CN"/>
                      <w14:textFill>
                        <w14:solidFill>
                          <w14:schemeClr w14:val="tx1"/>
                        </w14:solidFill>
                      </w14:textFill>
                    </w:rPr>
                  </w:pPr>
                </w:p>
              </w:tc>
            </w:tr>
            <w:tr w14:paraId="77E7D8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8" w:hRule="atLeast"/>
                <w:jc w:val="center"/>
              </w:trPr>
              <w:tc>
                <w:tcPr>
                  <w:tcW w:w="275" w:type="pct"/>
                  <w:tcBorders>
                    <w:tl2br w:val="nil"/>
                    <w:tr2bl w:val="nil"/>
                  </w:tcBorders>
                  <w:vAlign w:val="center"/>
                </w:tcPr>
                <w:p w14:paraId="30961AC3">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2</w:t>
                  </w:r>
                </w:p>
              </w:tc>
              <w:tc>
                <w:tcPr>
                  <w:tcW w:w="454" w:type="pct"/>
                  <w:tcBorders>
                    <w:tl2br w:val="nil"/>
                    <w:tr2bl w:val="nil"/>
                  </w:tcBorders>
                  <w:vAlign w:val="center"/>
                </w:tcPr>
                <w:p w14:paraId="4133786D">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废水治理</w:t>
                  </w:r>
                </w:p>
              </w:tc>
              <w:tc>
                <w:tcPr>
                  <w:tcW w:w="591" w:type="pct"/>
                  <w:tcBorders>
                    <w:tl2br w:val="nil"/>
                    <w:tr2bl w:val="nil"/>
                  </w:tcBorders>
                  <w:vAlign w:val="center"/>
                </w:tcPr>
                <w:p w14:paraId="21F07DC1">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cs="Times New Roman"/>
                      <w:color w:val="000000" w:themeColor="text1"/>
                      <w:sz w:val="21"/>
                      <w:szCs w:val="21"/>
                      <w:u w:val="none"/>
                      <w:lang w:val="en-US" w:eastAsia="zh-CN"/>
                      <w14:textFill>
                        <w14:solidFill>
                          <w14:schemeClr w14:val="tx1"/>
                        </w14:solidFill>
                      </w14:textFill>
                    </w:rPr>
                    <w:t>生活污水</w:t>
                  </w:r>
                </w:p>
              </w:tc>
              <w:tc>
                <w:tcPr>
                  <w:tcW w:w="1071" w:type="pct"/>
                  <w:tcBorders>
                    <w:tl2br w:val="nil"/>
                    <w:tr2bl w:val="nil"/>
                  </w:tcBorders>
                  <w:vAlign w:val="center"/>
                </w:tcPr>
                <w:p w14:paraId="7B6FA6A8">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cs="Times New Roman"/>
                      <w:color w:val="000000" w:themeColor="text1"/>
                      <w:sz w:val="21"/>
                      <w:szCs w:val="21"/>
                      <w:u w:val="none"/>
                      <w:lang w:val="en-US" w:eastAsia="zh-CN"/>
                      <w14:textFill>
                        <w14:solidFill>
                          <w14:schemeClr w14:val="tx1"/>
                        </w14:solidFill>
                      </w14:textFill>
                    </w:rPr>
                    <w:t>生活污水经化粪池处理后定期清运不外排</w:t>
                  </w:r>
                </w:p>
              </w:tc>
              <w:tc>
                <w:tcPr>
                  <w:tcW w:w="2057" w:type="pct"/>
                  <w:tcBorders>
                    <w:tl2br w:val="nil"/>
                    <w:tr2bl w:val="nil"/>
                  </w:tcBorders>
                  <w:vAlign w:val="center"/>
                </w:tcPr>
                <w:p w14:paraId="60257478">
                  <w:pPr>
                    <w:pStyle w:val="50"/>
                    <w:keepNext w:val="0"/>
                    <w:keepLines w:val="0"/>
                    <w:pageBreakBefore w:val="0"/>
                    <w:widowControl w:val="0"/>
                    <w:suppressLineNumbers w:val="0"/>
                    <w:kinsoku/>
                    <w:wordWrap w:val="0"/>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cs="Times New Roman"/>
                      <w:color w:val="000000" w:themeColor="text1"/>
                      <w:sz w:val="21"/>
                      <w:szCs w:val="21"/>
                      <w:u w:val="none"/>
                      <w:lang w:val="en-US" w:eastAsia="zh-CN"/>
                      <w14:textFill>
                        <w14:solidFill>
                          <w14:schemeClr w14:val="tx1"/>
                        </w14:solidFill>
                      </w14:textFill>
                    </w:rPr>
                    <w:t>/</w:t>
                  </w:r>
                </w:p>
              </w:tc>
              <w:tc>
                <w:tcPr>
                  <w:tcW w:w="549" w:type="pct"/>
                  <w:tcBorders>
                    <w:tl2br w:val="nil"/>
                    <w:tr2bl w:val="nil"/>
                  </w:tcBorders>
                  <w:vAlign w:val="center"/>
                </w:tcPr>
                <w:p w14:paraId="79CE43FF">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pPr>
                  <w:r>
                    <w:rPr>
                      <w:rFonts w:hint="eastAsia" w:ascii="Times New Roman" w:cs="Times New Roman"/>
                      <w:b w:val="0"/>
                      <w:bCs/>
                      <w:color w:val="000000" w:themeColor="text1"/>
                      <w:sz w:val="21"/>
                      <w:szCs w:val="21"/>
                      <w:highlight w:val="none"/>
                      <w:u w:val="none"/>
                      <w:lang w:val="en-US" w:eastAsia="zh-CN"/>
                      <w14:textFill>
                        <w14:solidFill>
                          <w14:schemeClr w14:val="tx1"/>
                        </w14:solidFill>
                      </w14:textFill>
                    </w:rPr>
                    <w:t>0.5</w:t>
                  </w:r>
                </w:p>
              </w:tc>
            </w:tr>
            <w:tr w14:paraId="618708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tcBorders>
                    <w:tl2br w:val="nil"/>
                    <w:tr2bl w:val="nil"/>
                  </w:tcBorders>
                  <w:vAlign w:val="center"/>
                </w:tcPr>
                <w:p w14:paraId="55467A92">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3</w:t>
                  </w:r>
                </w:p>
              </w:tc>
              <w:tc>
                <w:tcPr>
                  <w:tcW w:w="454" w:type="pct"/>
                  <w:tcBorders>
                    <w:tl2br w:val="nil"/>
                    <w:tr2bl w:val="nil"/>
                  </w:tcBorders>
                  <w:vAlign w:val="center"/>
                </w:tcPr>
                <w:p w14:paraId="6D48C6B2">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噪声</w:t>
                  </w:r>
                </w:p>
              </w:tc>
              <w:tc>
                <w:tcPr>
                  <w:tcW w:w="591" w:type="pct"/>
                  <w:tcBorders>
                    <w:tl2br w:val="nil"/>
                    <w:tr2bl w:val="nil"/>
                  </w:tcBorders>
                  <w:vAlign w:val="center"/>
                </w:tcPr>
                <w:p w14:paraId="1C6A322F">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highlight w:val="none"/>
                      <w:u w:val="none"/>
                      <w:lang w:val="en-US"/>
                      <w14:textFill>
                        <w14:solidFill>
                          <w14:schemeClr w14:val="tx1"/>
                        </w14:solidFill>
                      </w14:textFill>
                    </w:rPr>
                  </w:pPr>
                  <w:r>
                    <w:rPr>
                      <w:rFonts w:hint="eastAsia" w:ascii="Times New Roman" w:cs="Times New Roman"/>
                      <w:color w:val="000000" w:themeColor="text1"/>
                      <w:sz w:val="21"/>
                      <w:szCs w:val="21"/>
                      <w:highlight w:val="none"/>
                      <w:u w:val="none"/>
                      <w:vertAlign w:val="baseline"/>
                      <w:lang w:val="en-US" w:eastAsia="zh-CN"/>
                      <w14:textFill>
                        <w14:solidFill>
                          <w14:schemeClr w14:val="tx1"/>
                        </w14:solidFill>
                      </w14:textFill>
                    </w:rPr>
                    <w:t>生产设备</w:t>
                  </w:r>
                </w:p>
              </w:tc>
              <w:tc>
                <w:tcPr>
                  <w:tcW w:w="1071" w:type="pct"/>
                  <w:tcBorders>
                    <w:tl2br w:val="nil"/>
                    <w:tr2bl w:val="nil"/>
                  </w:tcBorders>
                  <w:vAlign w:val="center"/>
                </w:tcPr>
                <w:p w14:paraId="7493C2E5">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厂房采取隔音材料、距离衰减</w:t>
                  </w:r>
                </w:p>
              </w:tc>
              <w:tc>
                <w:tcPr>
                  <w:tcW w:w="2057" w:type="pct"/>
                  <w:tcBorders>
                    <w:tl2br w:val="nil"/>
                    <w:tr2bl w:val="nil"/>
                  </w:tcBorders>
                  <w:vAlign w:val="center"/>
                </w:tcPr>
                <w:p w14:paraId="16978AAD">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《工业企业厂界环境噪声排放标准》（GB12348-2008）2类标准（昼间≤60dB（A）</w:t>
                  </w:r>
                  <w:r>
                    <w:rPr>
                      <w:rFonts w:hint="eastAsia" w:ascii="Times New Roman" w:cs="Times New Roman"/>
                      <w:color w:val="000000" w:themeColor="text1"/>
                      <w:sz w:val="21"/>
                      <w:szCs w:val="21"/>
                      <w:highlight w:val="none"/>
                      <w:u w:val="none"/>
                      <w:lang w:val="en-US" w:eastAsia="zh-CN"/>
                      <w14:textFill>
                        <w14:solidFill>
                          <w14:schemeClr w14:val="tx1"/>
                        </w14:solidFill>
                      </w14:textFill>
                    </w:rPr>
                    <w:t>、夜间</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w:t>
                  </w:r>
                  <w:r>
                    <w:rPr>
                      <w:rFonts w:hint="eastAsia" w:ascii="Times New Roman" w:cs="Times New Roman"/>
                      <w:color w:val="000000" w:themeColor="text1"/>
                      <w:sz w:val="21"/>
                      <w:szCs w:val="21"/>
                      <w:highlight w:val="none"/>
                      <w:u w:val="none"/>
                      <w:lang w:val="en-US" w:eastAsia="zh-CN"/>
                      <w14:textFill>
                        <w14:solidFill>
                          <w14:schemeClr w14:val="tx1"/>
                        </w14:solidFill>
                      </w14:textFill>
                    </w:rPr>
                    <w:t>5</w:t>
                  </w: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0dB（A））</w:t>
                  </w:r>
                </w:p>
              </w:tc>
              <w:tc>
                <w:tcPr>
                  <w:tcW w:w="549" w:type="pct"/>
                  <w:tcBorders>
                    <w:tl2br w:val="nil"/>
                    <w:tr2bl w:val="nil"/>
                  </w:tcBorders>
                  <w:vAlign w:val="center"/>
                </w:tcPr>
                <w:p w14:paraId="4831E5E4">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cs="Times New Roman"/>
                      <w:color w:val="000000" w:themeColor="text1"/>
                      <w:sz w:val="21"/>
                      <w:szCs w:val="21"/>
                      <w:u w:val="none"/>
                      <w:lang w:val="en-US" w:eastAsia="zh-CN"/>
                      <w14:textFill>
                        <w14:solidFill>
                          <w14:schemeClr w14:val="tx1"/>
                        </w14:solidFill>
                      </w14:textFill>
                    </w:rPr>
                    <w:t>1.5</w:t>
                  </w:r>
                </w:p>
              </w:tc>
            </w:tr>
            <w:tr w14:paraId="34AFD2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tcBorders>
                    <w:tl2br w:val="nil"/>
                    <w:tr2bl w:val="nil"/>
                  </w:tcBorders>
                  <w:vAlign w:val="center"/>
                </w:tcPr>
                <w:p w14:paraId="4E951AF9">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4</w:t>
                  </w:r>
                </w:p>
              </w:tc>
              <w:tc>
                <w:tcPr>
                  <w:tcW w:w="454" w:type="pct"/>
                  <w:vMerge w:val="restart"/>
                  <w:tcBorders>
                    <w:tl2br w:val="nil"/>
                    <w:tr2bl w:val="nil"/>
                  </w:tcBorders>
                  <w:vAlign w:val="center"/>
                </w:tcPr>
                <w:p w14:paraId="42741E82">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14:textFill>
                        <w14:solidFill>
                          <w14:schemeClr w14:val="tx1"/>
                        </w14:solidFill>
                      </w14:textFill>
                    </w:rPr>
                  </w:pPr>
                  <w:r>
                    <w:rPr>
                      <w:rFonts w:hint="default" w:ascii="Times New Roman" w:hAnsi="Times New Roman" w:cs="Times New Roman"/>
                      <w:color w:val="000000" w:themeColor="text1"/>
                      <w:sz w:val="21"/>
                      <w:szCs w:val="21"/>
                      <w:u w:val="none"/>
                      <w14:textFill>
                        <w14:solidFill>
                          <w14:schemeClr w14:val="tx1"/>
                        </w14:solidFill>
                      </w14:textFill>
                    </w:rPr>
                    <w:t>固废</w:t>
                  </w:r>
                </w:p>
              </w:tc>
              <w:tc>
                <w:tcPr>
                  <w:tcW w:w="591" w:type="pct"/>
                  <w:tcBorders>
                    <w:tl2br w:val="nil"/>
                    <w:tr2bl w:val="nil"/>
                  </w:tcBorders>
                  <w:vAlign w:val="center"/>
                </w:tcPr>
                <w:p w14:paraId="34A9BFC0">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hAnsi="Times New Roman" w:cs="Times New Roman"/>
                      <w:color w:val="000000" w:themeColor="text1"/>
                      <w:sz w:val="21"/>
                      <w:szCs w:val="21"/>
                      <w:highlight w:val="yellow"/>
                      <w:u w:val="none"/>
                      <w:lang w:val="en-US" w:eastAsia="zh-CN"/>
                      <w14:textFill>
                        <w14:solidFill>
                          <w14:schemeClr w14:val="tx1"/>
                        </w14:solidFill>
                      </w14:textFill>
                    </w:rPr>
                  </w:pPr>
                  <w:r>
                    <w:rPr>
                      <w:rFonts w:hint="eastAsia" w:ascii="Times New Roman" w:cs="Times New Roman"/>
                      <w:color w:val="000000" w:themeColor="text1"/>
                      <w:sz w:val="21"/>
                      <w:szCs w:val="21"/>
                      <w:highlight w:val="none"/>
                      <w:u w:val="none"/>
                      <w:lang w:val="en-US" w:eastAsia="zh-CN"/>
                      <w14:textFill>
                        <w14:solidFill>
                          <w14:schemeClr w14:val="tx1"/>
                        </w14:solidFill>
                      </w14:textFill>
                    </w:rPr>
                    <w:t>淋膜工序</w:t>
                  </w:r>
                </w:p>
              </w:tc>
              <w:tc>
                <w:tcPr>
                  <w:tcW w:w="1071" w:type="pct"/>
                  <w:tcBorders>
                    <w:tl2br w:val="nil"/>
                    <w:tr2bl w:val="nil"/>
                  </w:tcBorders>
                  <w:vAlign w:val="center"/>
                </w:tcPr>
                <w:p w14:paraId="66D80EE8">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000000" w:themeColor="text1"/>
                      <w:sz w:val="21"/>
                      <w:szCs w:val="21"/>
                      <w:highlight w:val="yellow"/>
                      <w:u w:val="none"/>
                      <w:lang w:val="en-US" w:eastAsia="zh-CN"/>
                      <w14:textFill>
                        <w14:solidFill>
                          <w14:schemeClr w14:val="tx1"/>
                        </w14:solidFill>
                      </w14:textFill>
                    </w:rPr>
                  </w:pPr>
                  <w:r>
                    <w:rPr>
                      <w:rFonts w:hint="eastAsia" w:ascii="Times New Roman" w:cs="Times New Roman"/>
                      <w:color w:val="000000" w:themeColor="text1"/>
                      <w:sz w:val="21"/>
                      <w:szCs w:val="21"/>
                      <w:highlight w:val="none"/>
                      <w:u w:val="none"/>
                      <w:lang w:val="en-US" w:eastAsia="zh-CN"/>
                      <w14:textFill>
                        <w14:solidFill>
                          <w14:schemeClr w14:val="tx1"/>
                        </w14:solidFill>
                      </w14:textFill>
                    </w:rPr>
                    <w:t>废包装袋暂存于一般固废暂存间内，定期出售</w:t>
                  </w:r>
                </w:p>
              </w:tc>
              <w:tc>
                <w:tcPr>
                  <w:tcW w:w="2057" w:type="pct"/>
                  <w:vMerge w:val="restart"/>
                  <w:tcBorders>
                    <w:tl2br w:val="nil"/>
                    <w:tr2bl w:val="nil"/>
                  </w:tcBorders>
                  <w:vAlign w:val="center"/>
                </w:tcPr>
                <w:p w14:paraId="40BBF567">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highlight w:val="yellow"/>
                      <w:u w:val="none"/>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《一般工业固体废物贮存和填埋污染控制标准》（GB18599-2020）</w:t>
                  </w:r>
                </w:p>
              </w:tc>
              <w:tc>
                <w:tcPr>
                  <w:tcW w:w="549" w:type="pct"/>
                  <w:vMerge w:val="restart"/>
                  <w:tcBorders>
                    <w:tl2br w:val="nil"/>
                    <w:tr2bl w:val="nil"/>
                  </w:tcBorders>
                  <w:vAlign w:val="center"/>
                </w:tcPr>
                <w:p w14:paraId="61970FC0">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eastAsia" w:ascii="Times New Roman" w:cs="Times New Roman"/>
                      <w:color w:val="000000" w:themeColor="text1"/>
                      <w:sz w:val="21"/>
                      <w:szCs w:val="21"/>
                      <w:highlight w:val="none"/>
                      <w:u w:val="none"/>
                      <w:lang w:val="en-US" w:eastAsia="zh-CN"/>
                      <w14:textFill>
                        <w14:solidFill>
                          <w14:schemeClr w14:val="tx1"/>
                        </w14:solidFill>
                      </w14:textFill>
                    </w:rPr>
                    <w:t>3</w:t>
                  </w:r>
                </w:p>
              </w:tc>
            </w:tr>
            <w:tr w14:paraId="0676A2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tcBorders>
                    <w:tl2br w:val="nil"/>
                    <w:tr2bl w:val="nil"/>
                  </w:tcBorders>
                  <w:vAlign w:val="center"/>
                </w:tcPr>
                <w:p w14:paraId="2B912E63">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cs="Times New Roman"/>
                      <w:color w:val="000000" w:themeColor="text1"/>
                      <w:sz w:val="21"/>
                      <w:szCs w:val="21"/>
                      <w:u w:val="none"/>
                      <w:lang w:val="en-US" w:eastAsia="zh-CN"/>
                      <w14:textFill>
                        <w14:solidFill>
                          <w14:schemeClr w14:val="tx1"/>
                        </w14:solidFill>
                      </w14:textFill>
                    </w:rPr>
                    <w:t>5</w:t>
                  </w:r>
                </w:p>
              </w:tc>
              <w:tc>
                <w:tcPr>
                  <w:tcW w:w="454" w:type="pct"/>
                  <w:vMerge w:val="continue"/>
                  <w:tcBorders>
                    <w:tl2br w:val="nil"/>
                    <w:tr2bl w:val="nil"/>
                  </w:tcBorders>
                  <w:vAlign w:val="center"/>
                </w:tcPr>
                <w:p w14:paraId="1ACEAAAE">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14:textFill>
                        <w14:solidFill>
                          <w14:schemeClr w14:val="tx1"/>
                        </w14:solidFill>
                      </w14:textFill>
                    </w:rPr>
                  </w:pPr>
                </w:p>
              </w:tc>
              <w:tc>
                <w:tcPr>
                  <w:tcW w:w="591" w:type="pct"/>
                  <w:tcBorders>
                    <w:tl2br w:val="nil"/>
                    <w:tr2bl w:val="nil"/>
                  </w:tcBorders>
                  <w:vAlign w:val="center"/>
                </w:tcPr>
                <w:p w14:paraId="168A9F81">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cs="Times New Roman"/>
                      <w:color w:val="000000" w:themeColor="text1"/>
                      <w:sz w:val="21"/>
                      <w:szCs w:val="21"/>
                      <w:highlight w:val="none"/>
                      <w:u w:val="none"/>
                      <w:lang w:val="en-US" w:eastAsia="zh-CN"/>
                      <w14:textFill>
                        <w14:solidFill>
                          <w14:schemeClr w14:val="tx1"/>
                        </w14:solidFill>
                      </w14:textFill>
                    </w:rPr>
                  </w:pPr>
                  <w:r>
                    <w:rPr>
                      <w:rFonts w:hint="eastAsia" w:ascii="Times New Roman" w:cs="Times New Roman"/>
                      <w:color w:val="000000" w:themeColor="text1"/>
                      <w:sz w:val="21"/>
                      <w:szCs w:val="21"/>
                      <w:highlight w:val="none"/>
                      <w:u w:val="none"/>
                      <w:lang w:val="en-US" w:eastAsia="zh-CN"/>
                      <w14:textFill>
                        <w14:solidFill>
                          <w14:schemeClr w14:val="tx1"/>
                        </w14:solidFill>
                      </w14:textFill>
                    </w:rPr>
                    <w:t>分切/模切工序</w:t>
                  </w:r>
                </w:p>
              </w:tc>
              <w:tc>
                <w:tcPr>
                  <w:tcW w:w="1071" w:type="pct"/>
                  <w:tcBorders>
                    <w:tl2br w:val="nil"/>
                    <w:tr2bl w:val="nil"/>
                  </w:tcBorders>
                  <w:vAlign w:val="center"/>
                </w:tcPr>
                <w:p w14:paraId="705B32BB">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cs="Times New Roman"/>
                      <w:color w:val="000000" w:themeColor="text1"/>
                      <w:sz w:val="21"/>
                      <w:szCs w:val="21"/>
                      <w:highlight w:val="none"/>
                      <w:u w:val="none"/>
                      <w:lang w:val="en-US" w:eastAsia="zh-CN"/>
                      <w14:textFill>
                        <w14:solidFill>
                          <w14:schemeClr w14:val="tx1"/>
                        </w14:solidFill>
                      </w14:textFill>
                    </w:rPr>
                  </w:pPr>
                  <w:r>
                    <w:rPr>
                      <w:rFonts w:hint="eastAsia" w:ascii="Times New Roman" w:cs="Times New Roman"/>
                      <w:color w:val="000000" w:themeColor="text1"/>
                      <w:sz w:val="21"/>
                      <w:szCs w:val="21"/>
                      <w:highlight w:val="none"/>
                      <w:u w:val="none"/>
                      <w:lang w:val="en-US" w:eastAsia="zh-CN"/>
                      <w14:textFill>
                        <w14:solidFill>
                          <w14:schemeClr w14:val="tx1"/>
                        </w14:solidFill>
                      </w14:textFill>
                    </w:rPr>
                    <w:t>废边角料暂存于一般固废暂存间内，定期出售</w:t>
                  </w:r>
                </w:p>
              </w:tc>
              <w:tc>
                <w:tcPr>
                  <w:tcW w:w="2057" w:type="pct"/>
                  <w:vMerge w:val="continue"/>
                  <w:tcBorders>
                    <w:tl2br w:val="nil"/>
                    <w:tr2bl w:val="nil"/>
                  </w:tcBorders>
                  <w:vAlign w:val="center"/>
                </w:tcPr>
                <w:p w14:paraId="082D4A36">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p>
              </w:tc>
              <w:tc>
                <w:tcPr>
                  <w:tcW w:w="549" w:type="pct"/>
                  <w:vMerge w:val="continue"/>
                  <w:tcBorders>
                    <w:tl2br w:val="nil"/>
                    <w:tr2bl w:val="nil"/>
                  </w:tcBorders>
                  <w:vAlign w:val="center"/>
                </w:tcPr>
                <w:p w14:paraId="66D683A7">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cs="Times New Roman"/>
                      <w:color w:val="000000" w:themeColor="text1"/>
                      <w:sz w:val="21"/>
                      <w:szCs w:val="21"/>
                      <w:highlight w:val="none"/>
                      <w:u w:val="none"/>
                      <w:lang w:val="en-US" w:eastAsia="zh-CN"/>
                      <w14:textFill>
                        <w14:solidFill>
                          <w14:schemeClr w14:val="tx1"/>
                        </w14:solidFill>
                      </w14:textFill>
                    </w:rPr>
                  </w:pPr>
                </w:p>
              </w:tc>
            </w:tr>
            <w:tr w14:paraId="3AA6F5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97" w:hRule="atLeast"/>
                <w:jc w:val="center"/>
              </w:trPr>
              <w:tc>
                <w:tcPr>
                  <w:tcW w:w="275" w:type="pct"/>
                  <w:tcBorders>
                    <w:tl2br w:val="nil"/>
                    <w:tr2bl w:val="nil"/>
                  </w:tcBorders>
                  <w:vAlign w:val="center"/>
                </w:tcPr>
                <w:p w14:paraId="5A04B119">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cs="Times New Roman"/>
                      <w:color w:val="000000" w:themeColor="text1"/>
                      <w:sz w:val="21"/>
                      <w:szCs w:val="21"/>
                      <w:u w:val="none"/>
                      <w:lang w:val="en-US" w:eastAsia="zh-CN"/>
                      <w14:textFill>
                        <w14:solidFill>
                          <w14:schemeClr w14:val="tx1"/>
                        </w14:solidFill>
                      </w14:textFill>
                    </w:rPr>
                    <w:t>6</w:t>
                  </w:r>
                </w:p>
              </w:tc>
              <w:tc>
                <w:tcPr>
                  <w:tcW w:w="454" w:type="pct"/>
                  <w:vMerge w:val="continue"/>
                  <w:tcBorders>
                    <w:tl2br w:val="nil"/>
                    <w:tr2bl w:val="nil"/>
                  </w:tcBorders>
                  <w:vAlign w:val="center"/>
                </w:tcPr>
                <w:p w14:paraId="5A85D02E">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14:textFill>
                        <w14:solidFill>
                          <w14:schemeClr w14:val="tx1"/>
                        </w14:solidFill>
                      </w14:textFill>
                    </w:rPr>
                  </w:pPr>
                </w:p>
              </w:tc>
              <w:tc>
                <w:tcPr>
                  <w:tcW w:w="591" w:type="pct"/>
                  <w:vMerge w:val="restart"/>
                  <w:tcBorders>
                    <w:tl2br w:val="nil"/>
                    <w:tr2bl w:val="nil"/>
                  </w:tcBorders>
                  <w:vAlign w:val="center"/>
                </w:tcPr>
                <w:p w14:paraId="5304C4EE">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cs="Times New Roman"/>
                      <w:color w:val="000000" w:themeColor="text1"/>
                      <w:sz w:val="21"/>
                      <w:szCs w:val="21"/>
                      <w:highlight w:val="none"/>
                      <w:u w:val="none"/>
                      <w:lang w:val="en-US" w:eastAsia="zh-CN"/>
                      <w14:textFill>
                        <w14:solidFill>
                          <w14:schemeClr w14:val="tx1"/>
                        </w14:solidFill>
                      </w14:textFill>
                    </w:rPr>
                  </w:pPr>
                  <w:r>
                    <w:rPr>
                      <w:rFonts w:hint="eastAsia" w:ascii="Times New Roman" w:cs="Times New Roman"/>
                      <w:color w:val="000000" w:themeColor="text1"/>
                      <w:sz w:val="21"/>
                      <w:szCs w:val="21"/>
                      <w:highlight w:val="none"/>
                      <w:u w:val="none"/>
                      <w:lang w:val="en-US" w:eastAsia="zh-CN"/>
                      <w14:textFill>
                        <w14:solidFill>
                          <w14:schemeClr w14:val="tx1"/>
                        </w14:solidFill>
                      </w14:textFill>
                    </w:rPr>
                    <w:t>废气治理</w:t>
                  </w:r>
                </w:p>
              </w:tc>
              <w:tc>
                <w:tcPr>
                  <w:tcW w:w="1071" w:type="pct"/>
                  <w:vMerge w:val="restart"/>
                  <w:tcBorders>
                    <w:tl2br w:val="nil"/>
                    <w:tr2bl w:val="nil"/>
                  </w:tcBorders>
                  <w:vAlign w:val="center"/>
                </w:tcPr>
                <w:p w14:paraId="7025548D">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cs="Times New Roman"/>
                      <w:color w:val="000000" w:themeColor="text1"/>
                      <w:sz w:val="21"/>
                      <w:szCs w:val="21"/>
                      <w:highlight w:val="none"/>
                      <w:u w:val="none"/>
                      <w:lang w:val="en-US" w:eastAsia="zh-CN"/>
                      <w14:textFill>
                        <w14:solidFill>
                          <w14:schemeClr w14:val="tx1"/>
                        </w14:solidFill>
                      </w14:textFill>
                    </w:rPr>
                  </w:pPr>
                  <w:r>
                    <w:rPr>
                      <w:rFonts w:hint="eastAsia" w:ascii="Times New Roman" w:cs="Times New Roman"/>
                      <w:color w:val="000000" w:themeColor="text1"/>
                      <w:sz w:val="21"/>
                      <w:szCs w:val="21"/>
                      <w:highlight w:val="none"/>
                      <w:u w:val="none"/>
                      <w:lang w:val="en-US" w:eastAsia="zh-CN"/>
                      <w14:textFill>
                        <w14:solidFill>
                          <w14:schemeClr w14:val="tx1"/>
                        </w14:solidFill>
                      </w14:textFill>
                    </w:rPr>
                    <w:t>废催化剂、废活性炭、废包装桶、废抹布、废柔印版暂存于危废暂存间内，定期交由有资质单位处置</w:t>
                  </w:r>
                </w:p>
              </w:tc>
              <w:tc>
                <w:tcPr>
                  <w:tcW w:w="2057" w:type="pct"/>
                  <w:vMerge w:val="restart"/>
                  <w:tcBorders>
                    <w:tl2br w:val="nil"/>
                    <w:tr2bl w:val="nil"/>
                  </w:tcBorders>
                  <w:vAlign w:val="center"/>
                </w:tcPr>
                <w:p w14:paraId="42025D4D">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sz w:val="21"/>
                      <w:szCs w:val="21"/>
                      <w:highlight w:val="none"/>
                      <w:lang w:val="en-US" w:eastAsia="zh-CN"/>
                    </w:rPr>
                    <w:t>《危险废物贮存污染控制标准》（GB18597-2023）</w:t>
                  </w:r>
                </w:p>
              </w:tc>
              <w:tc>
                <w:tcPr>
                  <w:tcW w:w="549" w:type="pct"/>
                  <w:vMerge w:val="continue"/>
                  <w:tcBorders>
                    <w:tl2br w:val="nil"/>
                    <w:tr2bl w:val="nil"/>
                  </w:tcBorders>
                  <w:vAlign w:val="center"/>
                </w:tcPr>
                <w:p w14:paraId="0B658F56">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cs="Times New Roman"/>
                      <w:color w:val="000000" w:themeColor="text1"/>
                      <w:sz w:val="21"/>
                      <w:szCs w:val="21"/>
                      <w:highlight w:val="none"/>
                      <w:u w:val="none"/>
                      <w:lang w:val="en-US" w:eastAsia="zh-CN"/>
                      <w14:textFill>
                        <w14:solidFill>
                          <w14:schemeClr w14:val="tx1"/>
                        </w14:solidFill>
                      </w14:textFill>
                    </w:rPr>
                  </w:pPr>
                </w:p>
              </w:tc>
            </w:tr>
            <w:tr w14:paraId="158FD5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24" w:hRule="atLeast"/>
                <w:jc w:val="center"/>
              </w:trPr>
              <w:tc>
                <w:tcPr>
                  <w:tcW w:w="275" w:type="pct"/>
                  <w:tcBorders>
                    <w:tl2br w:val="nil"/>
                    <w:tr2bl w:val="nil"/>
                  </w:tcBorders>
                  <w:vAlign w:val="center"/>
                </w:tcPr>
                <w:p w14:paraId="2BE25F89">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lang w:val="en-US" w:eastAsia="zh-CN"/>
                      <w14:textFill>
                        <w14:solidFill>
                          <w14:schemeClr w14:val="tx1"/>
                        </w14:solidFill>
                      </w14:textFill>
                    </w:rPr>
                  </w:pPr>
                  <w:r>
                    <w:rPr>
                      <w:rFonts w:hint="eastAsia" w:ascii="Times New Roman" w:cs="Times New Roman"/>
                      <w:color w:val="000000" w:themeColor="text1"/>
                      <w:sz w:val="21"/>
                      <w:szCs w:val="21"/>
                      <w:u w:val="none"/>
                      <w:lang w:val="en-US" w:eastAsia="zh-CN"/>
                      <w14:textFill>
                        <w14:solidFill>
                          <w14:schemeClr w14:val="tx1"/>
                        </w14:solidFill>
                      </w14:textFill>
                    </w:rPr>
                    <w:t>7</w:t>
                  </w:r>
                </w:p>
              </w:tc>
              <w:tc>
                <w:tcPr>
                  <w:tcW w:w="454" w:type="pct"/>
                  <w:vMerge w:val="continue"/>
                  <w:tcBorders>
                    <w:tl2br w:val="nil"/>
                    <w:tr2bl w:val="nil"/>
                  </w:tcBorders>
                  <w:vAlign w:val="center"/>
                </w:tcPr>
                <w:p w14:paraId="6803B083">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u w:val="none"/>
                      <w14:textFill>
                        <w14:solidFill>
                          <w14:schemeClr w14:val="tx1"/>
                        </w14:solidFill>
                      </w14:textFill>
                    </w:rPr>
                  </w:pPr>
                </w:p>
              </w:tc>
              <w:tc>
                <w:tcPr>
                  <w:tcW w:w="591" w:type="pct"/>
                  <w:vMerge w:val="continue"/>
                  <w:tcBorders>
                    <w:tl2br w:val="nil"/>
                    <w:tr2bl w:val="nil"/>
                  </w:tcBorders>
                  <w:vAlign w:val="center"/>
                </w:tcPr>
                <w:p w14:paraId="094B646E">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leftChars="0" w:right="0" w:rightChars="0" w:firstLine="0" w:firstLineChars="0"/>
                    <w:jc w:val="center"/>
                    <w:textAlignment w:val="auto"/>
                    <w:rPr>
                      <w:rFonts w:hint="default" w:ascii="Times New Roman" w:cs="Times New Roman"/>
                      <w:color w:val="000000" w:themeColor="text1"/>
                      <w:sz w:val="21"/>
                      <w:szCs w:val="21"/>
                      <w:highlight w:val="none"/>
                      <w:u w:val="none"/>
                      <w:lang w:val="en-US" w:eastAsia="zh-CN"/>
                      <w14:textFill>
                        <w14:solidFill>
                          <w14:schemeClr w14:val="tx1"/>
                        </w14:solidFill>
                      </w14:textFill>
                    </w:rPr>
                  </w:pPr>
                </w:p>
              </w:tc>
              <w:tc>
                <w:tcPr>
                  <w:tcW w:w="1071" w:type="pct"/>
                  <w:vMerge w:val="continue"/>
                  <w:tcBorders>
                    <w:tl2br w:val="nil"/>
                    <w:tr2bl w:val="nil"/>
                  </w:tcBorders>
                  <w:vAlign w:val="center"/>
                </w:tcPr>
                <w:p w14:paraId="7EB40692">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cs="Times New Roman"/>
                      <w:color w:val="000000" w:themeColor="text1"/>
                      <w:sz w:val="21"/>
                      <w:szCs w:val="21"/>
                      <w:highlight w:val="none"/>
                      <w:u w:val="none"/>
                      <w:lang w:val="en-US" w:eastAsia="zh-CN"/>
                      <w14:textFill>
                        <w14:solidFill>
                          <w14:schemeClr w14:val="tx1"/>
                        </w14:solidFill>
                      </w14:textFill>
                    </w:rPr>
                  </w:pPr>
                </w:p>
              </w:tc>
              <w:tc>
                <w:tcPr>
                  <w:tcW w:w="2057" w:type="pct"/>
                  <w:vMerge w:val="continue"/>
                  <w:tcBorders>
                    <w:tl2br w:val="nil"/>
                    <w:tr2bl w:val="nil"/>
                  </w:tcBorders>
                  <w:vAlign w:val="center"/>
                </w:tcPr>
                <w:p w14:paraId="0480046E">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p>
              </w:tc>
              <w:tc>
                <w:tcPr>
                  <w:tcW w:w="549" w:type="pct"/>
                  <w:vMerge w:val="continue"/>
                  <w:tcBorders>
                    <w:tl2br w:val="nil"/>
                    <w:tr2bl w:val="nil"/>
                  </w:tcBorders>
                  <w:vAlign w:val="center"/>
                </w:tcPr>
                <w:p w14:paraId="30034094">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eastAsia" w:ascii="Times New Roman" w:cs="Times New Roman"/>
                      <w:color w:val="000000" w:themeColor="text1"/>
                      <w:sz w:val="21"/>
                      <w:szCs w:val="21"/>
                      <w:highlight w:val="none"/>
                      <w:u w:val="none"/>
                      <w:lang w:val="en-US" w:eastAsia="zh-CN"/>
                      <w14:textFill>
                        <w14:solidFill>
                          <w14:schemeClr w14:val="tx1"/>
                        </w14:solidFill>
                      </w14:textFill>
                    </w:rPr>
                  </w:pPr>
                </w:p>
              </w:tc>
            </w:tr>
            <w:tr w14:paraId="22D799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5" w:type="pct"/>
                  <w:tcBorders>
                    <w:bottom w:val="single" w:color="auto" w:sz="8" w:space="0"/>
                  </w:tcBorders>
                  <w:vAlign w:val="center"/>
                </w:tcPr>
                <w:p w14:paraId="24850819">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eastAsia" w:ascii="Times New Roman" w:cs="Times New Roman"/>
                      <w:color w:val="000000" w:themeColor="text1"/>
                      <w:sz w:val="21"/>
                      <w:szCs w:val="21"/>
                      <w:u w:val="none"/>
                      <w:lang w:val="en-US" w:eastAsia="zh-CN"/>
                      <w14:textFill>
                        <w14:solidFill>
                          <w14:schemeClr w14:val="tx1"/>
                        </w14:solidFill>
                      </w14:textFill>
                    </w:rPr>
                    <w:t>8</w:t>
                  </w:r>
                </w:p>
              </w:tc>
              <w:tc>
                <w:tcPr>
                  <w:tcW w:w="4175" w:type="pct"/>
                  <w:gridSpan w:val="4"/>
                  <w:tcBorders>
                    <w:bottom w:val="single" w:color="auto" w:sz="8" w:space="0"/>
                  </w:tcBorders>
                  <w:vAlign w:val="center"/>
                </w:tcPr>
                <w:p w14:paraId="40A73D7B">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合计</w:t>
                  </w:r>
                </w:p>
              </w:tc>
              <w:tc>
                <w:tcPr>
                  <w:tcW w:w="549" w:type="pct"/>
                  <w:tcBorders>
                    <w:bottom w:val="single" w:color="auto" w:sz="8" w:space="0"/>
                  </w:tcBorders>
                  <w:vAlign w:val="center"/>
                </w:tcPr>
                <w:p w14:paraId="79A8EA58">
                  <w:pPr>
                    <w:pStyle w:val="50"/>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240" w:lineRule="auto"/>
                    <w:ind w:left="0" w:right="0"/>
                    <w:jc w:val="center"/>
                    <w:textAlignment w:val="auto"/>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eastAsia" w:ascii="Times New Roman" w:cs="Times New Roman"/>
                      <w:color w:val="000000" w:themeColor="text1"/>
                      <w:sz w:val="21"/>
                      <w:szCs w:val="21"/>
                      <w:highlight w:val="none"/>
                      <w:u w:val="none"/>
                      <w:lang w:val="en-US" w:eastAsia="zh-CN"/>
                      <w14:textFill>
                        <w14:solidFill>
                          <w14:schemeClr w14:val="tx1"/>
                        </w14:solidFill>
                      </w14:textFill>
                    </w:rPr>
                    <w:t>30</w:t>
                  </w:r>
                </w:p>
              </w:tc>
            </w:tr>
          </w:tbl>
          <w:p w14:paraId="0E2D9F2A">
            <w:pPr>
              <w:keepNext w:val="0"/>
              <w:keepLines w:val="0"/>
              <w:suppressLineNumbers w:val="0"/>
              <w:spacing w:before="0" w:beforeAutospacing="0" w:after="0" w:afterAutospacing="0"/>
              <w:ind w:left="0" w:right="0"/>
              <w:rPr>
                <w:rFonts w:hint="eastAsia"/>
                <w:lang w:eastAsia="zh-CN"/>
              </w:rPr>
            </w:pPr>
          </w:p>
        </w:tc>
      </w:tr>
    </w:tbl>
    <w:p w14:paraId="00462324">
      <w:pPr>
        <w:adjustRightInd w:val="0"/>
        <w:snapToGrid w:val="0"/>
        <w:spacing w:line="360" w:lineRule="auto"/>
        <w:rPr>
          <w:rFonts w:hint="eastAsia" w:ascii="宋体" w:cs="宋体"/>
          <w:b/>
          <w:kern w:val="0"/>
          <w:sz w:val="28"/>
          <w:szCs w:val="28"/>
        </w:rPr>
        <w:sectPr>
          <w:pgSz w:w="11907" w:h="16840"/>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4B807E96">
      <w:pPr>
        <w:pStyle w:val="18"/>
        <w:jc w:val="center"/>
        <w:outlineLvl w:val="0"/>
        <w:rPr>
          <w:rFonts w:hint="eastAsia" w:ascii="黑体" w:hAnsi="黑体" w:eastAsia="黑体" w:cs="黑体"/>
          <w:b w:val="0"/>
          <w:bCs w:val="0"/>
          <w:snapToGrid w:val="0"/>
          <w:sz w:val="30"/>
          <w:szCs w:val="30"/>
        </w:rPr>
      </w:pPr>
      <w:r>
        <w:rPr>
          <w:rFonts w:hint="eastAsia" w:ascii="黑体" w:hAnsi="黑体" w:eastAsia="黑体" w:cs="黑体"/>
          <w:b w:val="0"/>
          <w:bCs w:val="0"/>
          <w:snapToGrid w:val="0"/>
          <w:sz w:val="30"/>
          <w:szCs w:val="30"/>
        </w:rPr>
        <w:t>五、</w:t>
      </w:r>
      <w:bookmarkStart w:id="3" w:name="_Hlk54167917"/>
      <w:r>
        <w:rPr>
          <w:rFonts w:hint="eastAsia" w:ascii="黑体" w:hAnsi="黑体" w:eastAsia="黑体" w:cs="黑体"/>
          <w:b w:val="0"/>
          <w:bCs w:val="0"/>
          <w:snapToGrid w:val="0"/>
          <w:sz w:val="30"/>
          <w:szCs w:val="30"/>
        </w:rPr>
        <w:t>环境保护措施监督检查清单</w:t>
      </w:r>
      <w:bookmarkEnd w:id="3"/>
    </w:p>
    <w:tbl>
      <w:tblPr>
        <w:tblStyle w:val="22"/>
        <w:tblW w:w="532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32"/>
        <w:gridCol w:w="1707"/>
        <w:gridCol w:w="1015"/>
        <w:gridCol w:w="2685"/>
        <w:gridCol w:w="3552"/>
      </w:tblGrid>
      <w:tr w14:paraId="51839A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32" w:type="dxa"/>
            <w:tcBorders>
              <w:tl2br w:val="single" w:color="auto" w:sz="4" w:space="0"/>
            </w:tcBorders>
            <w:noWrap w:val="0"/>
            <w:vAlign w:val="center"/>
          </w:tcPr>
          <w:p w14:paraId="04D018C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right"/>
              <w:rPr>
                <w:rFonts w:hint="default" w:hAnsi="宋体"/>
                <w:b/>
                <w:sz w:val="24"/>
                <w:szCs w:val="24"/>
                <w:highlight w:val="none"/>
              </w:rPr>
            </w:pPr>
            <w:r>
              <w:rPr>
                <w:rFonts w:hint="default" w:hAnsi="宋体"/>
                <w:b/>
                <w:sz w:val="24"/>
                <w:szCs w:val="24"/>
                <w:highlight w:val="none"/>
              </w:rPr>
              <w:t>内容</w:t>
            </w:r>
          </w:p>
          <w:p w14:paraId="34545A8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rPr>
                <w:rFonts w:hint="default"/>
                <w:b/>
                <w:sz w:val="24"/>
                <w:szCs w:val="24"/>
                <w:highlight w:val="none"/>
              </w:rPr>
            </w:pPr>
            <w:r>
              <w:rPr>
                <w:rFonts w:hint="default" w:hAnsi="宋体"/>
                <w:b/>
                <w:sz w:val="24"/>
                <w:szCs w:val="24"/>
                <w:highlight w:val="none"/>
              </w:rPr>
              <w:t>要素</w:t>
            </w:r>
          </w:p>
        </w:tc>
        <w:tc>
          <w:tcPr>
            <w:tcW w:w="1707" w:type="dxa"/>
            <w:noWrap w:val="0"/>
            <w:vAlign w:val="center"/>
          </w:tcPr>
          <w:p w14:paraId="37E4CCC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b/>
                <w:sz w:val="24"/>
                <w:szCs w:val="24"/>
                <w:highlight w:val="none"/>
              </w:rPr>
            </w:pPr>
            <w:r>
              <w:rPr>
                <w:rFonts w:hint="default" w:hAnsi="宋体"/>
                <w:b/>
                <w:sz w:val="24"/>
                <w:szCs w:val="24"/>
                <w:highlight w:val="none"/>
              </w:rPr>
              <w:t>排放口</w:t>
            </w:r>
            <w:r>
              <w:rPr>
                <w:rFonts w:hint="default"/>
                <w:b/>
                <w:sz w:val="24"/>
                <w:szCs w:val="24"/>
                <w:highlight w:val="none"/>
              </w:rPr>
              <w:t>(</w:t>
            </w:r>
            <w:r>
              <w:rPr>
                <w:rFonts w:hint="default" w:hAnsi="宋体"/>
                <w:b/>
                <w:sz w:val="24"/>
                <w:szCs w:val="24"/>
                <w:highlight w:val="none"/>
              </w:rPr>
              <w:t>编号、名称</w:t>
            </w:r>
            <w:r>
              <w:rPr>
                <w:rFonts w:hint="default"/>
                <w:b/>
                <w:sz w:val="24"/>
                <w:szCs w:val="24"/>
                <w:highlight w:val="none"/>
              </w:rPr>
              <w:t>)/</w:t>
            </w:r>
            <w:r>
              <w:rPr>
                <w:rFonts w:hint="default" w:hAnsi="宋体"/>
                <w:b/>
                <w:sz w:val="24"/>
                <w:szCs w:val="24"/>
                <w:highlight w:val="none"/>
              </w:rPr>
              <w:t>污染源</w:t>
            </w:r>
          </w:p>
        </w:tc>
        <w:tc>
          <w:tcPr>
            <w:tcW w:w="1015" w:type="dxa"/>
            <w:noWrap w:val="0"/>
            <w:vAlign w:val="center"/>
          </w:tcPr>
          <w:p w14:paraId="528C441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b/>
                <w:sz w:val="24"/>
                <w:szCs w:val="24"/>
                <w:highlight w:val="none"/>
              </w:rPr>
            </w:pPr>
            <w:r>
              <w:rPr>
                <w:rFonts w:hint="default" w:hAnsi="宋体"/>
                <w:b/>
                <w:sz w:val="24"/>
                <w:szCs w:val="24"/>
                <w:highlight w:val="none"/>
              </w:rPr>
              <w:t>污染物项目</w:t>
            </w:r>
          </w:p>
        </w:tc>
        <w:tc>
          <w:tcPr>
            <w:tcW w:w="2685" w:type="dxa"/>
            <w:noWrap w:val="0"/>
            <w:vAlign w:val="center"/>
          </w:tcPr>
          <w:p w14:paraId="2931984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b/>
                <w:sz w:val="24"/>
                <w:szCs w:val="24"/>
                <w:highlight w:val="none"/>
              </w:rPr>
            </w:pPr>
            <w:r>
              <w:rPr>
                <w:rFonts w:hint="default" w:hAnsi="宋体"/>
                <w:b/>
                <w:sz w:val="24"/>
                <w:szCs w:val="24"/>
                <w:highlight w:val="none"/>
              </w:rPr>
              <w:t>环境保护措施</w:t>
            </w:r>
          </w:p>
        </w:tc>
        <w:tc>
          <w:tcPr>
            <w:tcW w:w="3552" w:type="dxa"/>
            <w:noWrap w:val="0"/>
            <w:vAlign w:val="center"/>
          </w:tcPr>
          <w:p w14:paraId="71CC3FB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right="0"/>
              <w:jc w:val="center"/>
              <w:rPr>
                <w:rFonts w:hint="default"/>
                <w:b/>
                <w:sz w:val="24"/>
                <w:szCs w:val="24"/>
                <w:highlight w:val="none"/>
              </w:rPr>
            </w:pPr>
            <w:r>
              <w:rPr>
                <w:rFonts w:hint="default" w:hAnsi="宋体"/>
                <w:b/>
                <w:sz w:val="24"/>
                <w:szCs w:val="24"/>
                <w:highlight w:val="none"/>
              </w:rPr>
              <w:t>执行标准</w:t>
            </w:r>
          </w:p>
        </w:tc>
      </w:tr>
      <w:tr w14:paraId="5C7BE9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32" w:hRule="atLeast"/>
          <w:jc w:val="center"/>
        </w:trPr>
        <w:tc>
          <w:tcPr>
            <w:tcW w:w="932" w:type="dxa"/>
            <w:vMerge w:val="restart"/>
            <w:noWrap w:val="0"/>
            <w:vAlign w:val="center"/>
          </w:tcPr>
          <w:p w14:paraId="0509668F">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z w:val="24"/>
                <w:szCs w:val="24"/>
                <w:highlight w:val="none"/>
              </w:rPr>
              <w:t>大气</w:t>
            </w:r>
          </w:p>
          <w:p w14:paraId="08F0A97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sz w:val="24"/>
                <w:szCs w:val="24"/>
                <w:highlight w:val="none"/>
              </w:rPr>
            </w:pPr>
            <w:r>
              <w:rPr>
                <w:rFonts w:hint="default" w:hAnsi="宋体"/>
                <w:sz w:val="24"/>
                <w:szCs w:val="24"/>
                <w:highlight w:val="none"/>
              </w:rPr>
              <w:t>环境</w:t>
            </w:r>
          </w:p>
        </w:tc>
        <w:tc>
          <w:tcPr>
            <w:tcW w:w="1707" w:type="dxa"/>
            <w:noWrap w:val="0"/>
            <w:vAlign w:val="center"/>
          </w:tcPr>
          <w:p w14:paraId="2D7A738E">
            <w:pPr>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440" w:lineRule="exact"/>
              <w:ind w:left="0" w:leftChars="0" w:right="0" w:rightChars="0"/>
              <w:jc w:val="center"/>
              <w:textAlignment w:val="auto"/>
              <w:rPr>
                <w:rFonts w:hint="eastAsia"/>
                <w:sz w:val="24"/>
                <w:szCs w:val="24"/>
                <w:lang w:val="en-US" w:eastAsia="zh-CN"/>
              </w:rPr>
            </w:pPr>
            <w:r>
              <w:rPr>
                <w:rFonts w:hint="eastAsia"/>
                <w:sz w:val="24"/>
                <w:szCs w:val="24"/>
              </w:rPr>
              <w:t>排气</w:t>
            </w:r>
            <w:r>
              <w:rPr>
                <w:rFonts w:hint="eastAsia"/>
                <w:sz w:val="24"/>
                <w:szCs w:val="24"/>
                <w:lang w:val="en-US" w:eastAsia="zh-CN"/>
              </w:rPr>
              <w:t>筒</w:t>
            </w:r>
          </w:p>
          <w:p w14:paraId="60EB50AA">
            <w:pPr>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440" w:lineRule="exact"/>
              <w:ind w:left="0" w:leftChars="0" w:right="0" w:rightChars="0"/>
              <w:jc w:val="center"/>
              <w:textAlignment w:val="auto"/>
              <w:rPr>
                <w:rFonts w:hint="eastAsia"/>
                <w:sz w:val="24"/>
                <w:szCs w:val="24"/>
              </w:rPr>
            </w:pPr>
            <w:r>
              <w:rPr>
                <w:rFonts w:hint="eastAsia"/>
                <w:sz w:val="24"/>
                <w:szCs w:val="24"/>
              </w:rPr>
              <w:t>（DA001）</w:t>
            </w:r>
          </w:p>
          <w:p w14:paraId="5F3C81C8">
            <w:pPr>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440" w:lineRule="exact"/>
              <w:ind w:left="0" w:leftChars="0" w:right="0" w:rightChars="0"/>
              <w:jc w:val="center"/>
              <w:textAlignment w:val="auto"/>
              <w:rPr>
                <w:rFonts w:hint="default" w:ascii="宋体" w:eastAsia="宋体" w:cs="宋体"/>
                <w:kern w:val="0"/>
                <w:sz w:val="24"/>
                <w:szCs w:val="24"/>
                <w:highlight w:val="none"/>
                <w:lang w:val="en-US" w:eastAsia="zh-CN"/>
              </w:rPr>
            </w:pPr>
            <w:r>
              <w:rPr>
                <w:rFonts w:hint="eastAsia" w:ascii="宋体" w:cs="宋体"/>
                <w:kern w:val="0"/>
                <w:sz w:val="24"/>
                <w:szCs w:val="24"/>
              </w:rPr>
              <w:t>污染源：</w:t>
            </w:r>
            <w:r>
              <w:rPr>
                <w:rFonts w:hint="eastAsia" w:ascii="宋体" w:cs="宋体"/>
                <w:kern w:val="0"/>
                <w:sz w:val="24"/>
                <w:szCs w:val="24"/>
                <w:lang w:val="en-US" w:eastAsia="zh-CN"/>
              </w:rPr>
              <w:t>淋膜废气、印刷废气</w:t>
            </w:r>
          </w:p>
        </w:tc>
        <w:tc>
          <w:tcPr>
            <w:tcW w:w="1015" w:type="dxa"/>
            <w:noWrap w:val="0"/>
            <w:vAlign w:val="center"/>
          </w:tcPr>
          <w:p w14:paraId="7C8CED6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center"/>
              <w:rPr>
                <w:rFonts w:hint="default"/>
                <w:sz w:val="24"/>
                <w:szCs w:val="24"/>
                <w:highlight w:val="none"/>
                <w:lang w:val="en-US" w:eastAsia="zh-CN"/>
              </w:rPr>
            </w:pPr>
            <w:r>
              <w:rPr>
                <w:rFonts w:hint="eastAsia"/>
                <w:sz w:val="24"/>
                <w:szCs w:val="24"/>
                <w:highlight w:val="none"/>
                <w:lang w:val="en-US" w:eastAsia="zh-CN"/>
              </w:rPr>
              <w:t>非甲烷总烃</w:t>
            </w:r>
          </w:p>
        </w:tc>
        <w:tc>
          <w:tcPr>
            <w:tcW w:w="2685" w:type="dxa"/>
            <w:noWrap w:val="0"/>
            <w:vAlign w:val="center"/>
          </w:tcPr>
          <w:p w14:paraId="40F42C1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both"/>
              <w:rPr>
                <w:rFonts w:hint="default" w:hAnsi="宋体" w:eastAsia="宋体"/>
                <w:bCs/>
                <w:color w:val="000000"/>
                <w:sz w:val="24"/>
                <w:szCs w:val="24"/>
                <w:highlight w:val="none"/>
                <w:lang w:val="en-US" w:eastAsia="zh-CN"/>
              </w:rPr>
            </w:pPr>
            <w:r>
              <w:rPr>
                <w:rFonts w:hint="eastAsia" w:hAnsi="宋体"/>
                <w:bCs/>
                <w:color w:val="000000"/>
                <w:sz w:val="24"/>
                <w:szCs w:val="24"/>
                <w:highlight w:val="none"/>
                <w:lang w:val="en-US" w:eastAsia="zh-CN"/>
              </w:rPr>
              <w:t>淋膜加热装置密闭，淋膜工序上方设置集气罩，废气经集气罩收集；印刷机二次密闭，废气经负压收集；淋膜、印刷废气经收集后一并通至活性炭吸附脱附+催化燃烧装置（TA001）治理，尾气经1根15米高排气筒（DA001）排放。</w:t>
            </w:r>
          </w:p>
        </w:tc>
        <w:tc>
          <w:tcPr>
            <w:tcW w:w="3552" w:type="dxa"/>
            <w:noWrap w:val="0"/>
            <w:vAlign w:val="center"/>
          </w:tcPr>
          <w:p w14:paraId="63640B0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both"/>
              <w:rPr>
                <w:rFonts w:hint="default" w:eastAsia="宋体"/>
                <w:color w:val="000000"/>
                <w:sz w:val="24"/>
                <w:szCs w:val="24"/>
                <w:highlight w:val="none"/>
                <w:u w:val="none"/>
                <w:vertAlign w:val="baseline"/>
                <w:lang w:val="en-US" w:eastAsia="zh-CN"/>
              </w:rPr>
            </w:pPr>
            <w:r>
              <w:rPr>
                <w:rFonts w:hint="eastAsia"/>
                <w:color w:val="auto"/>
                <w:sz w:val="24"/>
                <w:szCs w:val="24"/>
                <w:highlight w:val="none"/>
              </w:rPr>
              <w:t>《关于全省开展工业企业挥发性有机物专项治理工作中排放建议值的通知》（豫环攻坚办[2017]162号）</w:t>
            </w:r>
            <w:r>
              <w:rPr>
                <w:rFonts w:hint="eastAsia"/>
                <w:color w:val="auto"/>
                <w:sz w:val="24"/>
                <w:szCs w:val="24"/>
                <w:highlight w:val="none"/>
                <w:lang w:eastAsia="zh-CN"/>
              </w:rPr>
              <w:t>；</w:t>
            </w:r>
            <w:r>
              <w:rPr>
                <w:rFonts w:hint="eastAsia"/>
                <w:color w:val="auto"/>
                <w:sz w:val="24"/>
                <w:szCs w:val="24"/>
                <w:highlight w:val="none"/>
              </w:rPr>
              <w:t>《合成树脂工业污染物排放标准》（GB31572-2015）</w:t>
            </w:r>
            <w:r>
              <w:rPr>
                <w:rFonts w:hint="eastAsia"/>
                <w:color w:val="auto"/>
                <w:sz w:val="24"/>
                <w:szCs w:val="24"/>
                <w:highlight w:val="none"/>
                <w:lang w:eastAsia="zh-CN"/>
              </w:rPr>
              <w:t>（</w:t>
            </w:r>
            <w:r>
              <w:rPr>
                <w:rFonts w:hint="eastAsia"/>
                <w:color w:val="auto"/>
                <w:sz w:val="24"/>
                <w:szCs w:val="24"/>
                <w:highlight w:val="none"/>
                <w:lang w:val="en-US" w:eastAsia="zh-CN"/>
              </w:rPr>
              <w:t>含2024年修改单</w:t>
            </w:r>
            <w:r>
              <w:rPr>
                <w:rFonts w:hint="eastAsia"/>
                <w:color w:val="auto"/>
                <w:sz w:val="24"/>
                <w:szCs w:val="24"/>
                <w:highlight w:val="none"/>
                <w:lang w:eastAsia="zh-CN"/>
              </w:rPr>
              <w:t>）；</w:t>
            </w:r>
            <w:r>
              <w:rPr>
                <w:rFonts w:hint="eastAsia"/>
                <w:color w:val="auto"/>
                <w:sz w:val="24"/>
                <w:szCs w:val="24"/>
                <w:highlight w:val="none"/>
                <w:lang w:val="en-US" w:eastAsia="zh-CN"/>
              </w:rPr>
              <w:t>《印刷工业挥发性有机物排放标准》（DB41/1956-2020）；</w:t>
            </w:r>
            <w:r>
              <w:rPr>
                <w:rFonts w:hint="eastAsia"/>
                <w:color w:val="auto"/>
                <w:sz w:val="24"/>
                <w:szCs w:val="24"/>
                <w:highlight w:val="none"/>
                <w:lang w:eastAsia="zh-CN"/>
              </w:rPr>
              <w:t>《河南省重污染天气</w:t>
            </w:r>
            <w:r>
              <w:rPr>
                <w:rFonts w:hint="eastAsia"/>
                <w:color w:val="auto"/>
                <w:sz w:val="24"/>
                <w:szCs w:val="24"/>
                <w:highlight w:val="none"/>
                <w:lang w:val="en-US" w:eastAsia="zh-CN"/>
              </w:rPr>
              <w:t>通用</w:t>
            </w:r>
            <w:r>
              <w:rPr>
                <w:rFonts w:hint="eastAsia"/>
                <w:color w:val="auto"/>
                <w:sz w:val="24"/>
                <w:szCs w:val="24"/>
                <w:highlight w:val="none"/>
                <w:lang w:eastAsia="zh-CN"/>
              </w:rPr>
              <w:t>行业应急减排措施制定技术指南》（202</w:t>
            </w:r>
            <w:r>
              <w:rPr>
                <w:rFonts w:hint="eastAsia"/>
                <w:color w:val="auto"/>
                <w:sz w:val="24"/>
                <w:szCs w:val="24"/>
                <w:highlight w:val="none"/>
                <w:lang w:val="en-US" w:eastAsia="zh-CN"/>
              </w:rPr>
              <w:t>4</w:t>
            </w:r>
            <w:r>
              <w:rPr>
                <w:rFonts w:hint="eastAsia"/>
                <w:color w:val="auto"/>
                <w:sz w:val="24"/>
                <w:szCs w:val="24"/>
                <w:highlight w:val="none"/>
                <w:lang w:eastAsia="zh-CN"/>
              </w:rPr>
              <w:t>年修订版）中</w:t>
            </w:r>
            <w:r>
              <w:rPr>
                <w:rFonts w:hint="eastAsia"/>
                <w:color w:val="auto"/>
                <w:sz w:val="24"/>
                <w:szCs w:val="24"/>
                <w:highlight w:val="none"/>
                <w:lang w:val="en-US" w:eastAsia="zh-CN"/>
              </w:rPr>
              <w:t>涉VOCs企业绩效引领性指标；《重污染天气重点行业应急减排措施制定技术指南》（2020年修订版）包装装潢及其他印刷A级要求。</w:t>
            </w:r>
          </w:p>
        </w:tc>
      </w:tr>
      <w:tr w14:paraId="79D6C2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2" w:type="dxa"/>
            <w:vMerge w:val="continue"/>
            <w:noWrap w:val="0"/>
            <w:vAlign w:val="center"/>
          </w:tcPr>
          <w:p w14:paraId="36387007">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p>
        </w:tc>
        <w:tc>
          <w:tcPr>
            <w:tcW w:w="1707" w:type="dxa"/>
            <w:noWrap w:val="0"/>
            <w:vAlign w:val="center"/>
          </w:tcPr>
          <w:p w14:paraId="603B573B">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line="440" w:lineRule="exact"/>
              <w:ind w:left="0" w:leftChars="0" w:right="0" w:rightChars="0"/>
              <w:jc w:val="center"/>
              <w:textAlignment w:val="auto"/>
              <w:rPr>
                <w:rFonts w:hint="default" w:ascii="宋体" w:cs="宋体"/>
                <w:kern w:val="0"/>
                <w:sz w:val="24"/>
                <w:szCs w:val="24"/>
                <w:highlight w:val="none"/>
                <w:lang w:val="en-US" w:eastAsia="zh-CN"/>
              </w:rPr>
            </w:pPr>
            <w:r>
              <w:rPr>
                <w:rFonts w:hint="eastAsia" w:ascii="宋体" w:cs="宋体"/>
                <w:kern w:val="0"/>
                <w:sz w:val="24"/>
                <w:szCs w:val="24"/>
                <w:highlight w:val="none"/>
                <w:lang w:val="en-US" w:eastAsia="zh-CN"/>
              </w:rPr>
              <w:t>无组织废气</w:t>
            </w:r>
          </w:p>
        </w:tc>
        <w:tc>
          <w:tcPr>
            <w:tcW w:w="1015" w:type="dxa"/>
            <w:noWrap w:val="0"/>
            <w:vAlign w:val="center"/>
          </w:tcPr>
          <w:p w14:paraId="47FC3E0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center"/>
              <w:rPr>
                <w:rFonts w:hint="default" w:cs="Times New Roman"/>
                <w:color w:val="000000"/>
                <w:kern w:val="0"/>
                <w:sz w:val="24"/>
                <w:szCs w:val="24"/>
                <w:highlight w:val="none"/>
                <w:lang w:val="en-US" w:eastAsia="zh-CN"/>
              </w:rPr>
            </w:pPr>
            <w:r>
              <w:rPr>
                <w:rFonts w:hint="eastAsia"/>
                <w:sz w:val="24"/>
                <w:szCs w:val="24"/>
                <w:lang w:val="en-US" w:eastAsia="zh-CN"/>
              </w:rPr>
              <w:t>非甲烷总烃、颗粒物</w:t>
            </w:r>
          </w:p>
        </w:tc>
        <w:tc>
          <w:tcPr>
            <w:tcW w:w="2685" w:type="dxa"/>
            <w:noWrap w:val="0"/>
            <w:vAlign w:val="center"/>
          </w:tcPr>
          <w:p w14:paraId="11256F73">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0" w:firstLineChars="0"/>
              <w:jc w:val="both"/>
              <w:textAlignment w:val="auto"/>
              <w:rPr>
                <w:rFonts w:hint="eastAsia" w:cs="Times New Roman"/>
                <w:b w:val="0"/>
                <w:bCs/>
                <w:color w:val="000000" w:themeColor="text1"/>
                <w:sz w:val="24"/>
                <w:highlight w:val="none"/>
                <w:lang w:val="en-US" w:eastAsia="zh-CN"/>
                <w14:textFill>
                  <w14:solidFill>
                    <w14:schemeClr w14:val="tx1"/>
                  </w14:solidFill>
                </w14:textFill>
              </w:rPr>
            </w:pPr>
            <w:r>
              <w:rPr>
                <w:rFonts w:hint="eastAsia" w:cs="Times New Roman"/>
                <w:b w:val="0"/>
                <w:bCs/>
                <w:color w:val="000000" w:themeColor="text1"/>
                <w:sz w:val="24"/>
                <w:highlight w:val="none"/>
                <w:lang w:val="en-US" w:eastAsia="zh-CN"/>
                <w14:textFill>
                  <w14:solidFill>
                    <w14:schemeClr w14:val="tx1"/>
                  </w14:solidFill>
                </w14:textFill>
              </w:rPr>
              <w:fldChar w:fldCharType="begin"/>
            </w:r>
            <w:r>
              <w:rPr>
                <w:rFonts w:hint="eastAsia" w:cs="Times New Roman"/>
                <w:b w:val="0"/>
                <w:bCs/>
                <w:color w:val="000000" w:themeColor="text1"/>
                <w:sz w:val="24"/>
                <w:highlight w:val="none"/>
                <w:lang w:val="en-US" w:eastAsia="zh-CN"/>
                <w14:textFill>
                  <w14:solidFill>
                    <w14:schemeClr w14:val="tx1"/>
                  </w14:solidFill>
                </w14:textFill>
              </w:rPr>
              <w:instrText xml:space="preserve"> = 1 \* GB3 \* MERGEFORMAT </w:instrText>
            </w:r>
            <w:r>
              <w:rPr>
                <w:rFonts w:hint="eastAsia" w:cs="Times New Roman"/>
                <w:b w:val="0"/>
                <w:bCs/>
                <w:color w:val="000000" w:themeColor="text1"/>
                <w:sz w:val="24"/>
                <w:highlight w:val="none"/>
                <w:lang w:val="en-US" w:eastAsia="zh-CN"/>
                <w14:textFill>
                  <w14:solidFill>
                    <w14:schemeClr w14:val="tx1"/>
                  </w14:solidFill>
                </w14:textFill>
              </w:rPr>
              <w:fldChar w:fldCharType="separate"/>
            </w:r>
            <w:r>
              <w:rPr>
                <w:rFonts w:hint="eastAsia" w:cs="Times New Roman"/>
                <w:b w:val="0"/>
                <w:bCs/>
                <w:color w:val="000000" w:themeColor="text1"/>
                <w:sz w:val="24"/>
                <w:highlight w:val="none"/>
                <w:lang w:val="en-US" w:eastAsia="zh-CN"/>
                <w14:textFill>
                  <w14:solidFill>
                    <w14:schemeClr w14:val="tx1"/>
                  </w14:solidFill>
                </w14:textFill>
              </w:rPr>
              <w:t>①</w:t>
            </w:r>
            <w:r>
              <w:rPr>
                <w:rFonts w:hint="eastAsia" w:cs="Times New Roman"/>
                <w:b w:val="0"/>
                <w:bCs/>
                <w:color w:val="000000" w:themeColor="text1"/>
                <w:sz w:val="24"/>
                <w:highlight w:val="none"/>
                <w:lang w:val="en-US" w:eastAsia="zh-CN"/>
                <w14:textFill>
                  <w14:solidFill>
                    <w14:schemeClr w14:val="tx1"/>
                  </w14:solidFill>
                </w14:textFill>
              </w:rPr>
              <w:fldChar w:fldCharType="end"/>
            </w:r>
            <w:r>
              <w:rPr>
                <w:rFonts w:hint="eastAsia" w:cs="Times New Roman"/>
                <w:b w:val="0"/>
                <w:bCs/>
                <w:color w:val="000000" w:themeColor="text1"/>
                <w:sz w:val="24"/>
                <w:highlight w:val="none"/>
                <w:lang w:val="en-US" w:eastAsia="zh-CN"/>
                <w14:textFill>
                  <w14:solidFill>
                    <w14:schemeClr w14:val="tx1"/>
                  </w14:solidFill>
                </w14:textFill>
              </w:rPr>
              <w:t>存储过程</w:t>
            </w:r>
          </w:p>
          <w:p w14:paraId="3BD13DFB">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0" w:firstLineChars="0"/>
              <w:jc w:val="both"/>
              <w:textAlignment w:val="auto"/>
              <w:rPr>
                <w:rFonts w:hint="default" w:cs="Times New Roman"/>
                <w:bCs/>
                <w:color w:val="000000" w:themeColor="text1"/>
                <w:sz w:val="24"/>
                <w:lang w:val="en-US" w:eastAsia="zh-CN"/>
                <w14:textFill>
                  <w14:solidFill>
                    <w14:schemeClr w14:val="tx1"/>
                  </w14:solidFill>
                </w14:textFill>
              </w:rPr>
            </w:pPr>
            <w:r>
              <w:rPr>
                <w:rFonts w:hint="eastAsia" w:cs="Times New Roman"/>
                <w:b w:val="0"/>
                <w:bCs/>
                <w:color w:val="000000" w:themeColor="text1"/>
                <w:sz w:val="24"/>
                <w:highlight w:val="none"/>
                <w:lang w:val="en-US" w:eastAsia="zh-CN"/>
                <w14:textFill>
                  <w14:solidFill>
                    <w14:schemeClr w14:val="tx1"/>
                  </w14:solidFill>
                </w14:textFill>
              </w:rPr>
              <w:t>项目VOCs物料为油墨，由密闭桶装，存储于无阳光直射的密闭原料库。密闭原料库满足地面防渗、防雨、防晒要求。盛装油墨的容器在非取用状态时应加盖、封口。VOCs物料储库封为闭式建筑物，除人员、车辆、设备、物料进出时，以及依法设立的排气筒、通风口外，门窗及其他开口（孔）部位应随时保持关闭状态。废包装桶、废抹布、废活性炭等危险废物分类放置于贴有标识的容器内，加盖密封，存放于危险废物暂存间。</w:t>
            </w:r>
            <w:r>
              <w:rPr>
                <w:rFonts w:hint="eastAsia" w:cs="Times New Roman"/>
                <w:bCs/>
                <w:color w:val="000000" w:themeColor="text1"/>
                <w:sz w:val="24"/>
                <w:lang w:val="en-US" w:eastAsia="zh-CN"/>
                <w14:textFill>
                  <w14:solidFill>
                    <w14:schemeClr w14:val="tx1"/>
                  </w14:solidFill>
                </w14:textFill>
              </w:rPr>
              <w:t>危废间废气经负压收集至活性炭吸附脱附+催化燃烧装置治理。</w:t>
            </w:r>
          </w:p>
          <w:p w14:paraId="71D79C3D">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0" w:firstLineChars="0"/>
              <w:jc w:val="both"/>
              <w:textAlignment w:val="auto"/>
              <w:rPr>
                <w:rFonts w:hint="eastAsia" w:cs="Times New Roman"/>
                <w:b w:val="0"/>
                <w:bCs/>
                <w:color w:val="000000" w:themeColor="text1"/>
                <w:sz w:val="24"/>
                <w:highlight w:val="none"/>
                <w:lang w:val="en-US" w:eastAsia="zh-CN"/>
                <w14:textFill>
                  <w14:solidFill>
                    <w14:schemeClr w14:val="tx1"/>
                  </w14:solidFill>
                </w14:textFill>
              </w:rPr>
            </w:pPr>
            <w:r>
              <w:rPr>
                <w:rFonts w:hint="eastAsia" w:cs="Times New Roman"/>
                <w:b w:val="0"/>
                <w:bCs/>
                <w:color w:val="000000" w:themeColor="text1"/>
                <w:sz w:val="24"/>
                <w:highlight w:val="none"/>
                <w:lang w:val="en-US" w:eastAsia="zh-CN"/>
                <w14:textFill>
                  <w14:solidFill>
                    <w14:schemeClr w14:val="tx1"/>
                  </w14:solidFill>
                </w14:textFill>
              </w:rPr>
              <w:t>②供墨、印刷过程</w:t>
            </w:r>
          </w:p>
          <w:p w14:paraId="27DD45E6">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0" w:firstLineChars="0"/>
              <w:jc w:val="both"/>
              <w:textAlignment w:val="auto"/>
              <w:rPr>
                <w:rFonts w:hint="eastAsia" w:cs="Times New Roman"/>
                <w:b w:val="0"/>
                <w:bCs/>
                <w:color w:val="000000" w:themeColor="text1"/>
                <w:sz w:val="24"/>
                <w:highlight w:val="none"/>
                <w:lang w:val="en-US" w:eastAsia="zh-CN"/>
                <w14:textFill>
                  <w14:solidFill>
                    <w14:schemeClr w14:val="tx1"/>
                  </w14:solidFill>
                </w14:textFill>
              </w:rPr>
            </w:pPr>
            <w:r>
              <w:rPr>
                <w:rFonts w:hint="eastAsia" w:cs="Times New Roman"/>
                <w:b w:val="0"/>
                <w:bCs/>
                <w:color w:val="000000" w:themeColor="text1"/>
                <w:sz w:val="24"/>
                <w:highlight w:val="none"/>
                <w:lang w:val="en-US" w:eastAsia="zh-CN"/>
                <w14:textFill>
                  <w14:solidFill>
                    <w14:schemeClr w14:val="tx1"/>
                  </w14:solidFill>
                </w14:textFill>
              </w:rPr>
              <w:t>印刷机采用封闭刮刀，烘箱密闭，印刷工段密闭，印刷废气经负压管道收集。油墨桶加盖密闭保存，密闭转运至印刷车间，通过自动供墨系统，利用软管自动泵密闭墨槽，密闭盖仅留有软管的进出口，供墨工序产生的废气与印刷工序产生的废气经负压收集至有机废气处理装置进行处理。</w:t>
            </w:r>
          </w:p>
          <w:p w14:paraId="6016E2E4">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0" w:firstLineChars="0"/>
              <w:jc w:val="both"/>
              <w:textAlignment w:val="auto"/>
              <w:rPr>
                <w:rFonts w:hint="eastAsia" w:cs="Times New Roman"/>
                <w:b w:val="0"/>
                <w:bCs/>
                <w:color w:val="000000" w:themeColor="text1"/>
                <w:sz w:val="24"/>
                <w:highlight w:val="none"/>
                <w:lang w:val="en-US" w:eastAsia="zh-CN"/>
                <w14:textFill>
                  <w14:solidFill>
                    <w14:schemeClr w14:val="tx1"/>
                  </w14:solidFill>
                </w14:textFill>
              </w:rPr>
            </w:pPr>
            <w:r>
              <w:rPr>
                <w:rFonts w:hint="eastAsia" w:cs="Times New Roman"/>
                <w:b w:val="0"/>
                <w:bCs/>
                <w:color w:val="000000" w:themeColor="text1"/>
                <w:sz w:val="24"/>
                <w:highlight w:val="none"/>
                <w:lang w:val="en-US" w:eastAsia="zh-CN"/>
                <w14:textFill>
                  <w14:solidFill>
                    <w14:schemeClr w14:val="tx1"/>
                  </w14:solidFill>
                </w14:textFill>
              </w:rPr>
              <w:t>③淋膜过程</w:t>
            </w:r>
          </w:p>
          <w:p w14:paraId="025C1E06">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0" w:firstLineChars="0"/>
              <w:jc w:val="both"/>
              <w:textAlignment w:val="auto"/>
              <w:rPr>
                <w:rFonts w:hint="eastAsia" w:cs="Times New Roman"/>
                <w:b w:val="0"/>
                <w:bCs/>
                <w:color w:val="000000" w:themeColor="text1"/>
                <w:sz w:val="24"/>
                <w:highlight w:val="none"/>
                <w:lang w:val="en-US" w:eastAsia="zh-CN"/>
                <w14:textFill>
                  <w14:solidFill>
                    <w14:schemeClr w14:val="tx1"/>
                  </w14:solidFill>
                </w14:textFill>
              </w:rPr>
            </w:pPr>
            <w:r>
              <w:rPr>
                <w:rFonts w:hint="eastAsia" w:cs="Times New Roman"/>
                <w:b w:val="0"/>
                <w:bCs/>
                <w:color w:val="000000" w:themeColor="text1"/>
                <w:sz w:val="24"/>
                <w:highlight w:val="none"/>
                <w:lang w:val="en-US" w:eastAsia="zh-CN"/>
                <w14:textFill>
                  <w14:solidFill>
                    <w14:schemeClr w14:val="tx1"/>
                  </w14:solidFill>
                </w14:textFill>
              </w:rPr>
              <w:t>淋膜机加热装置密闭，淋膜处废气经集气罩收集。距集气罩开口面最远处的VOCs无组织排放位置，控制风速不低于0.3m/s。</w:t>
            </w:r>
          </w:p>
          <w:p w14:paraId="75537A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leftChars="0" w:right="0" w:firstLine="0" w:firstLineChars="0"/>
              <w:jc w:val="both"/>
              <w:textAlignment w:val="auto"/>
              <w:rPr>
                <w:rFonts w:hint="eastAsia"/>
                <w:lang w:val="en-US" w:eastAsia="zh-CN"/>
              </w:rPr>
            </w:pPr>
            <w:r>
              <w:rPr>
                <w:rFonts w:hint="default" w:ascii="Times New Roman" w:hAnsi="Times New Roman" w:eastAsia="宋体" w:cs="Times New Roman"/>
                <w:bCs/>
                <w:color w:val="000000" w:themeColor="text1"/>
                <w14:textFill>
                  <w14:solidFill>
                    <w14:schemeClr w14:val="tx1"/>
                  </w14:solidFill>
                </w14:textFill>
              </w:rPr>
              <w:fldChar w:fldCharType="begin"/>
            </w:r>
            <w:r>
              <w:rPr>
                <w:rFonts w:hint="default" w:ascii="Times New Roman" w:hAnsi="Times New Roman" w:eastAsia="宋体" w:cs="Times New Roman"/>
                <w:bCs/>
                <w:color w:val="000000" w:themeColor="text1"/>
                <w14:textFill>
                  <w14:solidFill>
                    <w14:schemeClr w14:val="tx1"/>
                  </w14:solidFill>
                </w14:textFill>
              </w:rPr>
              <w:instrText xml:space="preserve"> = 4 \* GB3 </w:instrText>
            </w:r>
            <w:r>
              <w:rPr>
                <w:rFonts w:hint="default" w:ascii="Times New Roman" w:hAnsi="Times New Roman" w:eastAsia="宋体" w:cs="Times New Roman"/>
                <w:bCs/>
                <w:color w:val="000000" w:themeColor="text1"/>
                <w14:textFill>
                  <w14:solidFill>
                    <w14:schemeClr w14:val="tx1"/>
                  </w14:solidFill>
                </w14:textFill>
              </w:rPr>
              <w:fldChar w:fldCharType="separate"/>
            </w:r>
            <w:r>
              <w:rPr>
                <w:rFonts w:hint="default" w:ascii="Times New Roman" w:hAnsi="Times New Roman" w:eastAsia="宋体" w:cs="Times New Roman"/>
                <w:bCs/>
                <w:color w:val="000000" w:themeColor="text1"/>
                <w14:textFill>
                  <w14:solidFill>
                    <w14:schemeClr w14:val="tx1"/>
                  </w14:solidFill>
                </w14:textFill>
              </w:rPr>
              <w:t>④</w:t>
            </w:r>
            <w:r>
              <w:rPr>
                <w:rFonts w:hint="default" w:ascii="Times New Roman" w:hAnsi="Times New Roman" w:eastAsia="宋体" w:cs="Times New Roman"/>
                <w:bCs/>
                <w:color w:val="000000" w:themeColor="text1"/>
                <w14:textFill>
                  <w14:solidFill>
                    <w14:schemeClr w14:val="tx1"/>
                  </w14:solidFill>
                </w14:textFill>
              </w:rPr>
              <w:fldChar w:fldCharType="end"/>
            </w:r>
            <w:r>
              <w:rPr>
                <w:rFonts w:hint="default" w:ascii="Times New Roman" w:hAnsi="Times New Roman" w:eastAsia="宋体" w:cs="Times New Roman"/>
                <w:bCs/>
                <w:color w:val="000000" w:themeColor="text1"/>
                <w14:textFill>
                  <w14:solidFill>
                    <w14:schemeClr w14:val="tx1"/>
                  </w14:solidFill>
                </w14:textFill>
              </w:rPr>
              <w:t>厂容厂貌：厂区应干净整洁，地面全部硬化或绿化；车间规范整洁，无物料散落，无</w:t>
            </w:r>
            <w:r>
              <w:rPr>
                <w:rFonts w:hint="eastAsia" w:ascii="Times New Roman" w:hAnsi="Times New Roman" w:eastAsia="宋体" w:cs="Times New Roman"/>
                <w:bCs/>
                <w:color w:val="000000" w:themeColor="text1"/>
                <w:lang w:eastAsia="zh-CN"/>
                <w14:textFill>
                  <w14:solidFill>
                    <w14:schemeClr w14:val="tx1"/>
                  </w14:solidFill>
                </w14:textFill>
              </w:rPr>
              <w:t>“</w:t>
            </w:r>
            <w:r>
              <w:rPr>
                <w:rFonts w:hint="default" w:ascii="Times New Roman" w:hAnsi="Times New Roman" w:eastAsia="宋体" w:cs="Times New Roman"/>
                <w:bCs/>
                <w:color w:val="000000" w:themeColor="text1"/>
                <w14:textFill>
                  <w14:solidFill>
                    <w14:schemeClr w14:val="tx1"/>
                  </w14:solidFill>
                </w14:textFill>
              </w:rPr>
              <w:t>跑、冒、滴、漏</w:t>
            </w:r>
            <w:r>
              <w:rPr>
                <w:rFonts w:hint="eastAsia" w:ascii="Times New Roman" w:hAnsi="Times New Roman" w:eastAsia="宋体" w:cs="Times New Roman"/>
                <w:bCs/>
                <w:color w:val="000000" w:themeColor="text1"/>
                <w:lang w:eastAsia="zh-CN"/>
                <w14:textFill>
                  <w14:solidFill>
                    <w14:schemeClr w14:val="tx1"/>
                  </w14:solidFill>
                </w14:textFill>
              </w:rPr>
              <w:t>”</w:t>
            </w:r>
            <w:r>
              <w:rPr>
                <w:rFonts w:hint="default" w:ascii="Times New Roman" w:hAnsi="Times New Roman" w:eastAsia="宋体" w:cs="Times New Roman"/>
                <w:bCs/>
                <w:color w:val="000000" w:themeColor="text1"/>
                <w14:textFill>
                  <w14:solidFill>
                    <w14:schemeClr w14:val="tx1"/>
                  </w14:solidFill>
                </w14:textFill>
              </w:rPr>
              <w:t>。</w:t>
            </w:r>
          </w:p>
        </w:tc>
        <w:tc>
          <w:tcPr>
            <w:tcW w:w="3552" w:type="dxa"/>
            <w:noWrap w:val="0"/>
            <w:vAlign w:val="center"/>
          </w:tcPr>
          <w:p w14:paraId="06D41C33">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right="0" w:firstLine="0" w:firstLineChars="0"/>
              <w:jc w:val="both"/>
              <w:textAlignment w:val="auto"/>
              <w:rPr>
                <w:rFonts w:hint="default" w:hAnsi="宋体" w:eastAsia="宋体"/>
                <w:b w:val="0"/>
                <w:bCs/>
                <w:color w:val="000000" w:themeColor="text1"/>
                <w:sz w:val="24"/>
                <w:highlight w:val="none"/>
                <w:lang w:val="en-US" w:eastAsia="zh-CN"/>
                <w14:textFill>
                  <w14:solidFill>
                    <w14:schemeClr w14:val="tx1"/>
                  </w14:solidFill>
                </w14:textFill>
              </w:rPr>
            </w:pPr>
            <w:r>
              <w:rPr>
                <w:rFonts w:hint="eastAsia" w:hAnsi="宋体"/>
                <w:b w:val="0"/>
                <w:bCs/>
                <w:color w:val="000000" w:themeColor="text1"/>
                <w:sz w:val="24"/>
                <w:highlight w:val="none"/>
                <w14:textFill>
                  <w14:solidFill>
                    <w14:schemeClr w14:val="tx1"/>
                  </w14:solidFill>
                </w14:textFill>
              </w:rPr>
              <w:t>《</w:t>
            </w:r>
            <w:r>
              <w:rPr>
                <w:rFonts w:hint="eastAsia" w:hAnsi="宋体"/>
                <w:b w:val="0"/>
                <w:bCs/>
                <w:color w:val="000000" w:themeColor="text1"/>
                <w:sz w:val="24"/>
                <w:highlight w:val="none"/>
                <w:lang w:val="en-US" w:eastAsia="zh-CN"/>
                <w14:textFill>
                  <w14:solidFill>
                    <w14:schemeClr w14:val="tx1"/>
                  </w14:solidFill>
                </w14:textFill>
              </w:rPr>
              <w:t>合成树脂工业污染物排放标准</w:t>
            </w:r>
            <w:r>
              <w:rPr>
                <w:rFonts w:hint="eastAsia" w:hAnsi="宋体"/>
                <w:b w:val="0"/>
                <w:bCs/>
                <w:color w:val="000000" w:themeColor="text1"/>
                <w:sz w:val="24"/>
                <w:highlight w:val="none"/>
                <w14:textFill>
                  <w14:solidFill>
                    <w14:schemeClr w14:val="tx1"/>
                  </w14:solidFill>
                </w14:textFill>
              </w:rPr>
              <w:t>》（</w:t>
            </w:r>
            <w:r>
              <w:rPr>
                <w:rFonts w:hint="default" w:hAnsi="宋体"/>
                <w:b w:val="0"/>
                <w:bCs/>
                <w:color w:val="000000" w:themeColor="text1"/>
                <w:sz w:val="24"/>
                <w:highlight w:val="none"/>
                <w14:textFill>
                  <w14:solidFill>
                    <w14:schemeClr w14:val="tx1"/>
                  </w14:solidFill>
                </w14:textFill>
              </w:rPr>
              <w:t>GB</w:t>
            </w:r>
            <w:r>
              <w:rPr>
                <w:rFonts w:hint="eastAsia" w:hAnsi="宋体"/>
                <w:b w:val="0"/>
                <w:bCs/>
                <w:color w:val="000000" w:themeColor="text1"/>
                <w:sz w:val="24"/>
                <w:highlight w:val="none"/>
                <w:lang w:val="en-US" w:eastAsia="zh-CN"/>
                <w14:textFill>
                  <w14:solidFill>
                    <w14:schemeClr w14:val="tx1"/>
                  </w14:solidFill>
                </w14:textFill>
              </w:rPr>
              <w:t>31572</w:t>
            </w:r>
            <w:r>
              <w:rPr>
                <w:rFonts w:hint="default" w:hAnsi="宋体"/>
                <w:b w:val="0"/>
                <w:bCs/>
                <w:color w:val="000000" w:themeColor="text1"/>
                <w:sz w:val="24"/>
                <w:highlight w:val="none"/>
                <w14:textFill>
                  <w14:solidFill>
                    <w14:schemeClr w14:val="tx1"/>
                  </w14:solidFill>
                </w14:textFill>
              </w:rPr>
              <w:t>-</w:t>
            </w:r>
            <w:r>
              <w:rPr>
                <w:rFonts w:hint="eastAsia" w:hAnsi="宋体"/>
                <w:b w:val="0"/>
                <w:bCs/>
                <w:color w:val="000000" w:themeColor="text1"/>
                <w:sz w:val="24"/>
                <w:highlight w:val="none"/>
                <w:lang w:val="en-US" w:eastAsia="zh-CN"/>
                <w14:textFill>
                  <w14:solidFill>
                    <w14:schemeClr w14:val="tx1"/>
                  </w14:solidFill>
                </w14:textFill>
              </w:rPr>
              <w:t>2015</w:t>
            </w:r>
            <w:r>
              <w:rPr>
                <w:rFonts w:hint="eastAsia" w:hAnsi="宋体"/>
                <w:b w:val="0"/>
                <w:bCs/>
                <w:color w:val="000000" w:themeColor="text1"/>
                <w:sz w:val="24"/>
                <w:highlight w:val="none"/>
                <w14:textFill>
                  <w14:solidFill>
                    <w14:schemeClr w14:val="tx1"/>
                  </w14:solidFill>
                </w14:textFill>
              </w:rPr>
              <w:t>）</w:t>
            </w:r>
            <w:r>
              <w:rPr>
                <w:rFonts w:hint="eastAsia" w:hAnsi="宋体"/>
                <w:b w:val="0"/>
                <w:bCs/>
                <w:color w:val="000000" w:themeColor="text1"/>
                <w:sz w:val="24"/>
                <w:highlight w:val="none"/>
                <w:lang w:eastAsia="zh-CN"/>
                <w14:textFill>
                  <w14:solidFill>
                    <w14:schemeClr w14:val="tx1"/>
                  </w14:solidFill>
                </w14:textFill>
              </w:rPr>
              <w:t>（</w:t>
            </w:r>
            <w:r>
              <w:rPr>
                <w:rFonts w:hint="eastAsia" w:hAnsi="宋体"/>
                <w:b w:val="0"/>
                <w:bCs/>
                <w:color w:val="000000" w:themeColor="text1"/>
                <w:sz w:val="24"/>
                <w:highlight w:val="none"/>
                <w:lang w:val="en-US" w:eastAsia="zh-CN"/>
                <w14:textFill>
                  <w14:solidFill>
                    <w14:schemeClr w14:val="tx1"/>
                  </w14:solidFill>
                </w14:textFill>
              </w:rPr>
              <w:t>含2024年修改单</w:t>
            </w:r>
            <w:r>
              <w:rPr>
                <w:rFonts w:hint="eastAsia" w:hAnsi="宋体"/>
                <w:b w:val="0"/>
                <w:bCs/>
                <w:color w:val="000000" w:themeColor="text1"/>
                <w:sz w:val="24"/>
                <w:highlight w:val="none"/>
                <w:lang w:eastAsia="zh-CN"/>
                <w14:textFill>
                  <w14:solidFill>
                    <w14:schemeClr w14:val="tx1"/>
                  </w14:solidFill>
                </w14:textFill>
              </w:rPr>
              <w:t>）</w:t>
            </w:r>
            <w:r>
              <w:rPr>
                <w:rFonts w:hint="eastAsia" w:hAnsi="宋体"/>
                <w:b w:val="0"/>
                <w:bCs/>
                <w:color w:val="000000" w:themeColor="text1"/>
                <w:sz w:val="24"/>
                <w:highlight w:val="none"/>
                <w:lang w:val="en-US" w:eastAsia="zh-CN"/>
                <w14:textFill>
                  <w14:solidFill>
                    <w14:schemeClr w14:val="tx1"/>
                  </w14:solidFill>
                </w14:textFill>
              </w:rPr>
              <w:t>非甲烷</w:t>
            </w:r>
            <w:r>
              <w:rPr>
                <w:rFonts w:hint="eastAsia" w:hAnsi="宋体"/>
                <w:b w:val="0"/>
                <w:bCs/>
                <w:color w:val="000000" w:themeColor="text1"/>
                <w:sz w:val="24"/>
                <w:highlight w:val="none"/>
                <w:lang w:val="pt-BR"/>
                <w14:textFill>
                  <w14:solidFill>
                    <w14:schemeClr w14:val="tx1"/>
                  </w14:solidFill>
                </w14:textFill>
              </w:rPr>
              <w:t>厂界浓</w:t>
            </w:r>
            <w:r>
              <w:rPr>
                <w:rFonts w:hint="eastAsia" w:hAnsi="宋体"/>
                <w:b w:val="0"/>
                <w:bCs/>
                <w:color w:val="000000" w:themeColor="text1"/>
                <w:sz w:val="24"/>
                <w:highlight w:val="none"/>
                <w14:textFill>
                  <w14:solidFill>
                    <w14:schemeClr w14:val="tx1"/>
                  </w14:solidFill>
                </w14:textFill>
              </w:rPr>
              <w:t>度</w:t>
            </w:r>
            <w:r>
              <w:rPr>
                <w:rFonts w:hint="eastAsia" w:hAnsi="宋体"/>
                <w:b w:val="0"/>
                <w:bCs/>
                <w:color w:val="000000" w:themeColor="text1"/>
                <w:sz w:val="24"/>
                <w:highlight w:val="none"/>
                <w:lang w:val="en-US" w:eastAsia="zh-CN"/>
                <w14:textFill>
                  <w14:solidFill>
                    <w14:schemeClr w14:val="tx1"/>
                  </w14:solidFill>
                </w14:textFill>
              </w:rPr>
              <w:t>4.0</w:t>
            </w:r>
            <w:r>
              <w:rPr>
                <w:rFonts w:hint="default" w:hAnsi="宋体"/>
                <w:b w:val="0"/>
                <w:bCs/>
                <w:color w:val="000000" w:themeColor="text1"/>
                <w:sz w:val="24"/>
                <w:highlight w:val="none"/>
                <w14:textFill>
                  <w14:solidFill>
                    <w14:schemeClr w14:val="tx1"/>
                  </w14:solidFill>
                </w14:textFill>
              </w:rPr>
              <w:t>mg/m</w:t>
            </w:r>
            <w:r>
              <w:rPr>
                <w:rFonts w:hint="default" w:hAnsi="宋体"/>
                <w:b w:val="0"/>
                <w:bCs/>
                <w:color w:val="000000" w:themeColor="text1"/>
                <w:sz w:val="24"/>
                <w:highlight w:val="none"/>
                <w:vertAlign w:val="superscript"/>
                <w14:textFill>
                  <w14:solidFill>
                    <w14:schemeClr w14:val="tx1"/>
                  </w14:solidFill>
                </w14:textFill>
              </w:rPr>
              <w:t>3</w:t>
            </w:r>
            <w:r>
              <w:rPr>
                <w:rFonts w:hint="eastAsia" w:hAnsi="宋体"/>
                <w:b w:val="0"/>
                <w:bCs/>
                <w:color w:val="000000" w:themeColor="text1"/>
                <w:sz w:val="24"/>
                <w:highlight w:val="none"/>
                <w:lang w:val="en-US" w:eastAsia="zh-CN"/>
                <w14:textFill>
                  <w14:solidFill>
                    <w14:schemeClr w14:val="tx1"/>
                  </w14:solidFill>
                </w14:textFill>
              </w:rPr>
              <w:t>；</w:t>
            </w:r>
            <w:r>
              <w:rPr>
                <w:rFonts w:hint="eastAsia" w:hAnsi="宋体"/>
                <w:b w:val="0"/>
                <w:bCs/>
                <w:color w:val="000000" w:themeColor="text1"/>
                <w:sz w:val="24"/>
                <w:highlight w:val="none"/>
                <w14:textFill>
                  <w14:solidFill>
                    <w14:schemeClr w14:val="tx1"/>
                  </w14:solidFill>
                </w14:textFill>
              </w:rPr>
              <w:t>《关于全省开展工业企业挥发性有机物专项治理工作中排放建议值的通知》中</w:t>
            </w:r>
            <w:r>
              <w:rPr>
                <w:rFonts w:hint="eastAsia" w:hAnsi="宋体"/>
                <w:b w:val="0"/>
                <w:bCs/>
                <w:color w:val="000000" w:themeColor="text1"/>
                <w:sz w:val="24"/>
                <w:highlight w:val="none"/>
                <w:lang w:val="en-US" w:eastAsia="zh-CN"/>
                <w14:textFill>
                  <w14:solidFill>
                    <w14:schemeClr w14:val="tx1"/>
                  </w14:solidFill>
                </w14:textFill>
              </w:rPr>
              <w:t>非甲烷总烃厂界</w:t>
            </w:r>
            <w:r>
              <w:rPr>
                <w:rFonts w:hint="eastAsia" w:hAnsi="宋体"/>
                <w:b w:val="0"/>
                <w:bCs/>
                <w:color w:val="000000" w:themeColor="text1"/>
                <w:sz w:val="24"/>
                <w:highlight w:val="none"/>
                <w14:textFill>
                  <w14:solidFill>
                    <w14:schemeClr w14:val="tx1"/>
                  </w14:solidFill>
                </w14:textFill>
              </w:rPr>
              <w:t>浓度</w:t>
            </w:r>
            <w:r>
              <w:rPr>
                <w:rFonts w:hint="eastAsia" w:hAnsi="宋体"/>
                <w:b w:val="0"/>
                <w:bCs/>
                <w:color w:val="000000" w:themeColor="text1"/>
                <w:sz w:val="24"/>
                <w:highlight w:val="none"/>
                <w:lang w:val="en-US" w:eastAsia="zh-CN"/>
                <w14:textFill>
                  <w14:solidFill>
                    <w14:schemeClr w14:val="tx1"/>
                  </w14:solidFill>
                </w14:textFill>
              </w:rPr>
              <w:t>2.0</w:t>
            </w:r>
            <w:r>
              <w:rPr>
                <w:rFonts w:hint="default" w:hAnsi="宋体"/>
                <w:b w:val="0"/>
                <w:bCs/>
                <w:color w:val="000000" w:themeColor="text1"/>
                <w:sz w:val="24"/>
                <w:highlight w:val="none"/>
                <w14:textFill>
                  <w14:solidFill>
                    <w14:schemeClr w14:val="tx1"/>
                  </w14:solidFill>
                </w14:textFill>
              </w:rPr>
              <w:t>mg/m</w:t>
            </w:r>
            <w:r>
              <w:rPr>
                <w:rFonts w:hint="default" w:hAnsi="宋体"/>
                <w:b w:val="0"/>
                <w:bCs/>
                <w:color w:val="000000" w:themeColor="text1"/>
                <w:sz w:val="24"/>
                <w:highlight w:val="none"/>
                <w:vertAlign w:val="superscript"/>
                <w14:textFill>
                  <w14:solidFill>
                    <w14:schemeClr w14:val="tx1"/>
                  </w14:solidFill>
                </w14:textFill>
              </w:rPr>
              <w:t>3</w:t>
            </w:r>
            <w:r>
              <w:rPr>
                <w:rFonts w:hint="eastAsia" w:hAnsi="宋体"/>
                <w:b w:val="0"/>
                <w:bCs/>
                <w:color w:val="000000" w:themeColor="text1"/>
                <w:sz w:val="24"/>
                <w:highlight w:val="none"/>
                <w14:textFill>
                  <w14:solidFill>
                    <w14:schemeClr w14:val="tx1"/>
                  </w14:solidFill>
                </w14:textFill>
              </w:rPr>
              <w:t>标准要求</w:t>
            </w:r>
            <w:r>
              <w:rPr>
                <w:rFonts w:hint="eastAsia" w:hAnsi="宋体"/>
                <w:b w:val="0"/>
                <w:bCs/>
                <w:color w:val="000000" w:themeColor="text1"/>
                <w:sz w:val="24"/>
                <w:highlight w:val="none"/>
                <w:lang w:eastAsia="zh-CN"/>
                <w14:textFill>
                  <w14:solidFill>
                    <w14:schemeClr w14:val="tx1"/>
                  </w14:solidFill>
                </w14:textFill>
              </w:rPr>
              <w:t>；</w:t>
            </w:r>
            <w:r>
              <w:rPr>
                <w:rFonts w:hint="eastAsia" w:hAnsi="宋体"/>
                <w:b w:val="0"/>
                <w:bCs/>
                <w:color w:val="000000" w:themeColor="text1"/>
                <w:sz w:val="24"/>
                <w:highlight w:val="none"/>
                <w:lang w:val="en-US" w:eastAsia="zh-CN"/>
                <w14:textFill>
                  <w14:solidFill>
                    <w14:schemeClr w14:val="tx1"/>
                  </w14:solidFill>
                </w14:textFill>
              </w:rPr>
              <w:t>《挥发性有机物无组织排放控制标准》</w:t>
            </w:r>
            <w:r>
              <w:rPr>
                <w:rFonts w:hint="default" w:ascii="Times New Roman" w:hAnsi="Times New Roman" w:cs="Times New Roman"/>
                <w:b w:val="0"/>
                <w:bCs/>
                <w:color w:val="auto"/>
                <w:sz w:val="24"/>
                <w:szCs w:val="24"/>
                <w:highlight w:val="none"/>
                <w:lang w:eastAsia="zh-CN"/>
              </w:rPr>
              <w:t>（</w:t>
            </w:r>
            <w:r>
              <w:rPr>
                <w:rFonts w:hint="default" w:ascii="Times New Roman" w:hAnsi="Times New Roman" w:cs="Times New Roman"/>
                <w:b w:val="0"/>
                <w:bCs/>
                <w:color w:val="auto"/>
                <w:sz w:val="24"/>
                <w:szCs w:val="24"/>
                <w:highlight w:val="none"/>
                <w:lang w:val="en-US" w:eastAsia="zh-CN"/>
              </w:rPr>
              <w:t>GB37822-2019</w:t>
            </w:r>
            <w:r>
              <w:rPr>
                <w:rFonts w:hint="default" w:ascii="Times New Roman" w:hAnsi="Times New Roman" w:cs="Times New Roman"/>
                <w:b w:val="0"/>
                <w:bCs/>
                <w:color w:val="auto"/>
                <w:sz w:val="24"/>
                <w:szCs w:val="24"/>
                <w:highlight w:val="none"/>
                <w:lang w:eastAsia="zh-CN"/>
              </w:rPr>
              <w:t>）</w:t>
            </w:r>
            <w:r>
              <w:rPr>
                <w:rFonts w:hint="eastAsia" w:ascii="Times New Roman" w:hAnsi="Times New Roman" w:cs="Times New Roman"/>
                <w:b w:val="0"/>
                <w:bCs/>
                <w:color w:val="auto"/>
                <w:sz w:val="24"/>
                <w:szCs w:val="24"/>
                <w:highlight w:val="none"/>
                <w:lang w:val="en-US" w:eastAsia="zh-CN"/>
              </w:rPr>
              <w:t>中在厂房外设置监控点，监控点处1h平均浓度值6</w:t>
            </w:r>
            <w:r>
              <w:rPr>
                <w:rFonts w:hint="eastAsia" w:ascii="Times New Roman" w:hAnsi="Times New Roman" w:cs="Times New Roman"/>
                <w:b w:val="0"/>
                <w:bCs/>
                <w:color w:val="000000"/>
                <w:sz w:val="24"/>
                <w:szCs w:val="24"/>
                <w:highlight w:val="none"/>
              </w:rPr>
              <w:t>mg/m</w:t>
            </w:r>
            <w:r>
              <w:rPr>
                <w:rFonts w:hint="default" w:ascii="Times New Roman" w:hAnsi="Times New Roman" w:cs="Times New Roman"/>
                <w:b w:val="0"/>
                <w:bCs/>
                <w:color w:val="000000"/>
                <w:sz w:val="24"/>
                <w:szCs w:val="24"/>
                <w:highlight w:val="none"/>
              </w:rPr>
              <w:t>³</w:t>
            </w:r>
            <w:r>
              <w:rPr>
                <w:rFonts w:hint="eastAsia" w:ascii="Times New Roman" w:hAnsi="Times New Roman" w:cs="Times New Roman"/>
                <w:b w:val="0"/>
                <w:bCs/>
                <w:color w:val="auto"/>
                <w:sz w:val="24"/>
                <w:szCs w:val="24"/>
                <w:highlight w:val="none"/>
                <w:lang w:val="en-US" w:eastAsia="zh-CN"/>
              </w:rPr>
              <w:t>，监控点处任意一次浓度值20</w:t>
            </w:r>
            <w:r>
              <w:rPr>
                <w:rFonts w:hint="eastAsia" w:ascii="Times New Roman" w:hAnsi="Times New Roman" w:cs="Times New Roman"/>
                <w:b w:val="0"/>
                <w:bCs/>
                <w:color w:val="000000"/>
                <w:sz w:val="24"/>
                <w:szCs w:val="24"/>
                <w:highlight w:val="none"/>
              </w:rPr>
              <w:t>mg/m</w:t>
            </w:r>
            <w:r>
              <w:rPr>
                <w:rFonts w:hint="default" w:ascii="Times New Roman" w:hAnsi="Times New Roman" w:cs="Times New Roman"/>
                <w:b w:val="0"/>
                <w:bCs/>
                <w:color w:val="000000"/>
                <w:sz w:val="24"/>
                <w:szCs w:val="24"/>
                <w:highlight w:val="none"/>
              </w:rPr>
              <w:t>³</w:t>
            </w:r>
            <w:r>
              <w:rPr>
                <w:rFonts w:hint="eastAsia" w:cs="Times New Roman"/>
                <w:b w:val="0"/>
                <w:bCs/>
                <w:color w:val="000000"/>
                <w:sz w:val="24"/>
                <w:szCs w:val="24"/>
                <w:highlight w:val="none"/>
                <w:lang w:val="en-US" w:eastAsia="zh-CN"/>
              </w:rPr>
              <w:t>的限值要求</w:t>
            </w:r>
            <w:r>
              <w:rPr>
                <w:rFonts w:hint="eastAsia" w:hAnsi="宋体"/>
                <w:b w:val="0"/>
                <w:bCs/>
                <w:color w:val="000000" w:themeColor="text1"/>
                <w:sz w:val="24"/>
                <w:highlight w:val="none"/>
                <w:lang w:val="en-US" w:eastAsia="zh-CN"/>
                <w14:textFill>
                  <w14:solidFill>
                    <w14:schemeClr w14:val="tx1"/>
                  </w14:solidFill>
                </w14:textFill>
              </w:rPr>
              <w:t>；</w:t>
            </w:r>
          </w:p>
          <w:p w14:paraId="79280164">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leftChars="0" w:right="0" w:rightChars="0" w:firstLine="0" w:firstLineChars="0"/>
              <w:jc w:val="both"/>
              <w:textAlignment w:val="auto"/>
              <w:rPr>
                <w:rFonts w:hint="eastAsia" w:hAnsi="宋体" w:eastAsia="宋体"/>
                <w:b w:val="0"/>
                <w:bCs/>
                <w:sz w:val="24"/>
                <w:highlight w:val="none"/>
                <w:lang w:val="en-US" w:eastAsia="zh-CN"/>
              </w:rPr>
            </w:pPr>
          </w:p>
        </w:tc>
      </w:tr>
      <w:tr w14:paraId="0A1683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32" w:type="dxa"/>
            <w:noWrap w:val="0"/>
            <w:vAlign w:val="center"/>
          </w:tcPr>
          <w:p w14:paraId="19CE94D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eastAsia" w:hAnsi="宋体" w:eastAsia="宋体"/>
                <w:sz w:val="24"/>
                <w:szCs w:val="24"/>
                <w:highlight w:val="none"/>
                <w:lang w:eastAsia="zh-CN"/>
              </w:rPr>
            </w:pPr>
            <w:r>
              <w:rPr>
                <w:rFonts w:hint="eastAsia" w:hAnsi="宋体"/>
                <w:sz w:val="24"/>
                <w:szCs w:val="24"/>
                <w:highlight w:val="none"/>
                <w:lang w:eastAsia="zh-CN"/>
              </w:rPr>
              <w:t>地表水环境</w:t>
            </w:r>
          </w:p>
        </w:tc>
        <w:tc>
          <w:tcPr>
            <w:tcW w:w="1707" w:type="dxa"/>
            <w:noWrap w:val="0"/>
            <w:vAlign w:val="center"/>
          </w:tcPr>
          <w:p w14:paraId="52955A7F">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line="440" w:lineRule="exact"/>
              <w:ind w:left="0" w:leftChars="0" w:right="0" w:rightChars="0"/>
              <w:jc w:val="center"/>
              <w:textAlignment w:val="auto"/>
              <w:rPr>
                <w:rFonts w:hint="default" w:ascii="宋体" w:cs="宋体"/>
                <w:kern w:val="0"/>
                <w:sz w:val="24"/>
                <w:szCs w:val="24"/>
                <w:highlight w:val="none"/>
                <w:lang w:val="en-US" w:eastAsia="zh-CN"/>
              </w:rPr>
            </w:pPr>
            <w:r>
              <w:rPr>
                <w:rFonts w:hint="eastAsia" w:cs="Times New Roman"/>
                <w:kern w:val="0"/>
                <w:sz w:val="24"/>
                <w:szCs w:val="24"/>
                <w:highlight w:val="none"/>
                <w:lang w:val="en-US" w:eastAsia="zh-CN"/>
              </w:rPr>
              <w:t>废水</w:t>
            </w:r>
            <w:r>
              <w:rPr>
                <w:rFonts w:hint="default" w:ascii="Times New Roman" w:hAnsi="Times New Roman" w:cs="Times New Roman"/>
                <w:kern w:val="0"/>
                <w:sz w:val="24"/>
                <w:szCs w:val="24"/>
                <w:highlight w:val="none"/>
                <w:lang w:val="en-US" w:eastAsia="zh-CN"/>
              </w:rPr>
              <w:t>排放口DW001</w:t>
            </w:r>
          </w:p>
        </w:tc>
        <w:tc>
          <w:tcPr>
            <w:tcW w:w="1015" w:type="dxa"/>
            <w:noWrap w:val="0"/>
            <w:vAlign w:val="center"/>
          </w:tcPr>
          <w:p w14:paraId="28648A37">
            <w:pPr>
              <w:pStyle w:val="2"/>
              <w:keepLines w:val="0"/>
              <w:suppressLineNumbers w:val="0"/>
              <w:spacing w:before="0" w:beforeAutospacing="0" w:after="0" w:afterAutospacing="0" w:line="360" w:lineRule="exact"/>
              <w:ind w:left="252" w:right="0" w:hanging="252" w:hangingChars="105"/>
              <w:jc w:val="center"/>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COD</w:t>
            </w:r>
          </w:p>
          <w:p w14:paraId="764ED22F">
            <w:pPr>
              <w:pStyle w:val="2"/>
              <w:keepLines w:val="0"/>
              <w:suppressLineNumbers w:val="0"/>
              <w:spacing w:before="0" w:beforeAutospacing="0" w:after="0" w:afterAutospacing="0" w:line="360" w:lineRule="exact"/>
              <w:ind w:left="252" w:right="0" w:hanging="252" w:hangingChars="105"/>
              <w:jc w:val="center"/>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SS</w:t>
            </w:r>
          </w:p>
          <w:p w14:paraId="5D9444C1">
            <w:pPr>
              <w:pStyle w:val="2"/>
              <w:keepLines w:val="0"/>
              <w:suppressLineNumbers w:val="0"/>
              <w:spacing w:before="0" w:beforeAutospacing="0" w:after="0" w:afterAutospacing="0" w:line="360" w:lineRule="exact"/>
              <w:ind w:left="252" w:right="0" w:hanging="252" w:hangingChars="105"/>
              <w:jc w:val="center"/>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NH</w:t>
            </w:r>
            <w:r>
              <w:rPr>
                <w:rFonts w:hint="default" w:ascii="Times New Roman" w:hAnsi="Times New Roman" w:eastAsia="宋体" w:cs="Times New Roman"/>
                <w:b w:val="0"/>
                <w:bCs w:val="0"/>
                <w:sz w:val="24"/>
                <w:szCs w:val="24"/>
                <w:vertAlign w:val="subscript"/>
              </w:rPr>
              <w:t>3</w:t>
            </w:r>
            <w:r>
              <w:rPr>
                <w:rFonts w:hint="default" w:ascii="Times New Roman" w:hAnsi="Times New Roman" w:eastAsia="宋体" w:cs="Times New Roman"/>
                <w:b w:val="0"/>
                <w:bCs w:val="0"/>
                <w:sz w:val="24"/>
                <w:szCs w:val="24"/>
              </w:rPr>
              <w:t>-N</w:t>
            </w:r>
          </w:p>
          <w:p w14:paraId="0D85BA4F">
            <w:pPr>
              <w:pStyle w:val="2"/>
              <w:keepLines w:val="0"/>
              <w:suppressLineNumbers w:val="0"/>
              <w:spacing w:before="0" w:beforeAutospacing="0" w:after="0" w:afterAutospacing="0" w:line="360" w:lineRule="exact"/>
              <w:ind w:left="252" w:right="0" w:hanging="252" w:hangingChars="105"/>
              <w:jc w:val="center"/>
              <w:rPr>
                <w:rFonts w:hint="default" w:ascii="Times New Roman" w:hAnsi="Times New Roman" w:eastAsia="宋体" w:cs="Times New Roman"/>
                <w:b w:val="0"/>
                <w:bCs w:val="0"/>
                <w:sz w:val="24"/>
                <w:szCs w:val="24"/>
              </w:rPr>
            </w:pPr>
            <w:r>
              <w:rPr>
                <w:rFonts w:hint="default" w:ascii="Times New Roman" w:hAnsi="Times New Roman" w:eastAsia="宋体" w:cs="Times New Roman"/>
                <w:b w:val="0"/>
                <w:bCs w:val="0"/>
                <w:sz w:val="24"/>
                <w:szCs w:val="24"/>
              </w:rPr>
              <w:t>TP</w:t>
            </w:r>
          </w:p>
          <w:p w14:paraId="64FBF89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leftChars="0" w:right="0" w:rightChars="0"/>
              <w:jc w:val="center"/>
              <w:rPr>
                <w:rFonts w:hint="eastAsia"/>
                <w:sz w:val="24"/>
                <w:szCs w:val="24"/>
                <w:lang w:val="en-US" w:eastAsia="zh-CN"/>
              </w:rPr>
            </w:pPr>
            <w:r>
              <w:rPr>
                <w:rFonts w:hint="default" w:ascii="Times New Roman" w:hAnsi="Times New Roman" w:eastAsia="宋体" w:cs="Times New Roman"/>
                <w:b w:val="0"/>
                <w:bCs w:val="0"/>
                <w:sz w:val="24"/>
                <w:szCs w:val="24"/>
              </w:rPr>
              <w:t>TN</w:t>
            </w:r>
          </w:p>
        </w:tc>
        <w:tc>
          <w:tcPr>
            <w:tcW w:w="2685" w:type="dxa"/>
            <w:noWrap w:val="0"/>
            <w:vAlign w:val="center"/>
          </w:tcPr>
          <w:p w14:paraId="0D6A322A">
            <w:pPr>
              <w:keepNext w:val="0"/>
              <w:keepLines w:val="0"/>
              <w:pageBreakBefore w:val="0"/>
              <w:widowControl w:val="0"/>
              <w:suppressLineNumbers w:val="0"/>
              <w:tabs>
                <w:tab w:val="left" w:pos="3620"/>
              </w:tabs>
              <w:kinsoku/>
              <w:wordWrap/>
              <w:overflowPunct/>
              <w:topLinePunct w:val="0"/>
              <w:autoSpaceDE/>
              <w:autoSpaceDN/>
              <w:bidi w:val="0"/>
              <w:adjustRightInd w:val="0"/>
              <w:snapToGrid w:val="0"/>
              <w:spacing w:before="0" w:beforeAutospacing="0" w:after="0" w:afterAutospacing="0" w:line="440" w:lineRule="exact"/>
              <w:ind w:left="0" w:leftChars="0" w:right="0" w:rightChars="0" w:firstLine="0" w:firstLineChars="0"/>
              <w:jc w:val="both"/>
              <w:textAlignment w:val="auto"/>
              <w:rPr>
                <w:rFonts w:hint="eastAsia" w:hAnsi="宋体"/>
                <w:color w:val="000000" w:themeColor="text1"/>
                <w:sz w:val="24"/>
                <w14:textFill>
                  <w14:solidFill>
                    <w14:schemeClr w14:val="tx1"/>
                  </w14:solidFill>
                </w14:textFill>
              </w:rPr>
            </w:pPr>
            <w:r>
              <w:rPr>
                <w:rFonts w:hint="eastAsia" w:ascii="宋体" w:cs="宋体"/>
                <w:kern w:val="0"/>
                <w:sz w:val="24"/>
                <w:szCs w:val="24"/>
                <w:lang w:eastAsia="zh-CN"/>
              </w:rPr>
              <w:t>本项目不产生生产废水，生活污水经厂区化粪池处理后</w:t>
            </w:r>
            <w:r>
              <w:rPr>
                <w:rFonts w:hint="eastAsia" w:ascii="宋体" w:cs="宋体"/>
                <w:kern w:val="0"/>
                <w:sz w:val="24"/>
                <w:szCs w:val="24"/>
                <w:lang w:val="en-US" w:eastAsia="zh-CN"/>
              </w:rPr>
              <w:t>定期清运不外排</w:t>
            </w:r>
            <w:r>
              <w:rPr>
                <w:rFonts w:hint="eastAsia" w:ascii="宋体" w:cs="宋体"/>
                <w:kern w:val="0"/>
                <w:sz w:val="24"/>
                <w:szCs w:val="24"/>
                <w:lang w:eastAsia="zh-CN"/>
              </w:rPr>
              <w:t>。</w:t>
            </w:r>
          </w:p>
        </w:tc>
        <w:tc>
          <w:tcPr>
            <w:tcW w:w="3552" w:type="dxa"/>
            <w:noWrap w:val="0"/>
            <w:vAlign w:val="center"/>
          </w:tcPr>
          <w:p w14:paraId="120E1061">
            <w:pPr>
              <w:keepNext w:val="0"/>
              <w:keepLines w:val="0"/>
              <w:pageBreakBefore w:val="0"/>
              <w:widowControl w:val="0"/>
              <w:suppressLineNumbers w:val="0"/>
              <w:tabs>
                <w:tab w:val="left" w:pos="3620"/>
              </w:tabs>
              <w:kinsoku/>
              <w:wordWrap w:val="0"/>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宋体" w:eastAsia="宋体" w:cs="宋体"/>
                <w:kern w:val="0"/>
                <w:sz w:val="24"/>
                <w:szCs w:val="24"/>
                <w:lang w:val="en-US" w:eastAsia="zh-CN"/>
              </w:rPr>
            </w:pPr>
            <w:r>
              <w:rPr>
                <w:rFonts w:hint="eastAsia"/>
                <w:sz w:val="24"/>
                <w:szCs w:val="24"/>
                <w:lang w:val="en-US" w:eastAsia="zh-CN"/>
              </w:rPr>
              <w:t>/</w:t>
            </w:r>
          </w:p>
        </w:tc>
      </w:tr>
      <w:tr w14:paraId="0FCC94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32" w:type="dxa"/>
            <w:noWrap w:val="0"/>
            <w:vAlign w:val="center"/>
          </w:tcPr>
          <w:p w14:paraId="72497F0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z w:val="24"/>
                <w:szCs w:val="24"/>
                <w:highlight w:val="none"/>
              </w:rPr>
              <w:t>声</w:t>
            </w:r>
          </w:p>
          <w:p w14:paraId="566AA1F8">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z w:val="24"/>
                <w:szCs w:val="24"/>
                <w:highlight w:val="none"/>
              </w:rPr>
              <w:t>环</w:t>
            </w:r>
          </w:p>
          <w:p w14:paraId="21A6B14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sz w:val="24"/>
                <w:szCs w:val="24"/>
                <w:highlight w:val="none"/>
              </w:rPr>
            </w:pPr>
            <w:r>
              <w:rPr>
                <w:rFonts w:hint="default" w:hAnsi="宋体"/>
                <w:sz w:val="24"/>
                <w:szCs w:val="24"/>
                <w:highlight w:val="none"/>
              </w:rPr>
              <w:t>境</w:t>
            </w:r>
          </w:p>
        </w:tc>
        <w:tc>
          <w:tcPr>
            <w:tcW w:w="1707" w:type="dxa"/>
            <w:noWrap w:val="0"/>
            <w:vAlign w:val="center"/>
          </w:tcPr>
          <w:p w14:paraId="2E45CAAC">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sz w:val="24"/>
                <w:szCs w:val="24"/>
                <w:highlight w:val="none"/>
              </w:rPr>
            </w:pPr>
            <w:r>
              <w:rPr>
                <w:rFonts w:hint="eastAsia"/>
                <w:sz w:val="24"/>
                <w:szCs w:val="24"/>
                <w:highlight w:val="none"/>
              </w:rPr>
              <w:t>生产设备</w:t>
            </w:r>
          </w:p>
        </w:tc>
        <w:tc>
          <w:tcPr>
            <w:tcW w:w="1015" w:type="dxa"/>
            <w:noWrap w:val="0"/>
            <w:vAlign w:val="center"/>
          </w:tcPr>
          <w:p w14:paraId="7789A6E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sz w:val="24"/>
                <w:szCs w:val="24"/>
                <w:highlight w:val="none"/>
              </w:rPr>
            </w:pPr>
            <w:r>
              <w:rPr>
                <w:rFonts w:hint="eastAsia"/>
                <w:sz w:val="24"/>
                <w:szCs w:val="24"/>
                <w:highlight w:val="none"/>
              </w:rPr>
              <w:t>噪声</w:t>
            </w:r>
          </w:p>
        </w:tc>
        <w:tc>
          <w:tcPr>
            <w:tcW w:w="2685" w:type="dxa"/>
            <w:noWrap w:val="0"/>
            <w:vAlign w:val="center"/>
          </w:tcPr>
          <w:p w14:paraId="0BCF6C4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eastAsia"/>
                <w:color w:val="auto"/>
                <w:sz w:val="24"/>
                <w:szCs w:val="24"/>
                <w:highlight w:val="none"/>
              </w:rPr>
            </w:pPr>
            <w:r>
              <w:rPr>
                <w:rFonts w:hint="eastAsia"/>
                <w:color w:val="auto"/>
                <w:sz w:val="24"/>
                <w:szCs w:val="24"/>
                <w:highlight w:val="none"/>
              </w:rPr>
              <w:t>基础减振、</w:t>
            </w:r>
          </w:p>
          <w:p w14:paraId="27983B0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color w:val="auto"/>
                <w:sz w:val="24"/>
                <w:szCs w:val="24"/>
                <w:highlight w:val="none"/>
              </w:rPr>
            </w:pPr>
            <w:r>
              <w:rPr>
                <w:rFonts w:hint="eastAsia"/>
                <w:color w:val="auto"/>
                <w:sz w:val="24"/>
                <w:szCs w:val="24"/>
                <w:highlight w:val="none"/>
              </w:rPr>
              <w:t>厂房</w:t>
            </w:r>
            <w:r>
              <w:rPr>
                <w:rFonts w:hint="eastAsia"/>
                <w:color w:val="auto"/>
                <w:sz w:val="24"/>
                <w:szCs w:val="24"/>
                <w:highlight w:val="none"/>
                <w:lang w:val="en-US" w:eastAsia="zh-CN"/>
              </w:rPr>
              <w:t>封闭</w:t>
            </w:r>
            <w:r>
              <w:rPr>
                <w:rFonts w:hint="eastAsia"/>
                <w:color w:val="auto"/>
                <w:sz w:val="24"/>
                <w:szCs w:val="24"/>
                <w:highlight w:val="none"/>
              </w:rPr>
              <w:t>隔音等</w:t>
            </w:r>
          </w:p>
        </w:tc>
        <w:tc>
          <w:tcPr>
            <w:tcW w:w="3552" w:type="dxa"/>
            <w:noWrap w:val="0"/>
            <w:vAlign w:val="center"/>
          </w:tcPr>
          <w:p w14:paraId="11EFF76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color w:val="auto"/>
                <w:sz w:val="24"/>
                <w:szCs w:val="24"/>
                <w:highlight w:val="none"/>
              </w:rPr>
            </w:pPr>
            <w:r>
              <w:rPr>
                <w:rFonts w:hint="default"/>
                <w:color w:val="auto"/>
                <w:sz w:val="24"/>
                <w:szCs w:val="24"/>
                <w:highlight w:val="none"/>
              </w:rPr>
              <w:t>《工业企业厂界环境噪声排放标准》（GB12348-2008）</w:t>
            </w:r>
            <w:r>
              <w:rPr>
                <w:rFonts w:hint="eastAsia"/>
                <w:color w:val="auto"/>
                <w:sz w:val="24"/>
                <w:szCs w:val="24"/>
                <w:highlight w:val="none"/>
                <w:lang w:val="en-US" w:eastAsia="zh-CN"/>
              </w:rPr>
              <w:t>2</w:t>
            </w:r>
            <w:r>
              <w:rPr>
                <w:rFonts w:hint="default"/>
                <w:color w:val="auto"/>
                <w:sz w:val="24"/>
                <w:szCs w:val="24"/>
                <w:highlight w:val="none"/>
              </w:rPr>
              <w:t>类</w:t>
            </w:r>
            <w:r>
              <w:rPr>
                <w:rFonts w:hint="eastAsia"/>
                <w:color w:val="auto"/>
                <w:sz w:val="24"/>
                <w:highlight w:val="none"/>
                <w:lang w:eastAsia="zh-CN"/>
              </w:rPr>
              <w:t>昼间</w:t>
            </w:r>
            <w:r>
              <w:rPr>
                <w:rFonts w:hint="default" w:ascii="Arial" w:hAnsi="Arial" w:cs="Arial"/>
                <w:color w:val="auto"/>
                <w:sz w:val="24"/>
                <w:highlight w:val="none"/>
                <w:lang w:eastAsia="zh-CN"/>
              </w:rPr>
              <w:t>≤</w:t>
            </w:r>
            <w:r>
              <w:rPr>
                <w:rFonts w:hint="eastAsia"/>
                <w:color w:val="auto"/>
                <w:sz w:val="24"/>
                <w:highlight w:val="none"/>
                <w:lang w:val="en-US" w:eastAsia="zh-CN"/>
              </w:rPr>
              <w:t>60</w:t>
            </w:r>
            <w:r>
              <w:rPr>
                <w:rFonts w:hint="default" w:ascii="Times New Roman" w:hAnsi="Times New Roman" w:cs="Times New Roman"/>
                <w:b w:val="0"/>
                <w:bCs/>
                <w:color w:val="000000" w:themeColor="text1"/>
                <w:sz w:val="24"/>
                <w:highlight w:val="none"/>
                <w14:textFill>
                  <w14:solidFill>
                    <w14:schemeClr w14:val="tx1"/>
                  </w14:solidFill>
                </w14:textFill>
              </w:rPr>
              <w:t>dB（A</w:t>
            </w:r>
            <w:r>
              <w:rPr>
                <w:rFonts w:hint="default" w:ascii="Times New Roman" w:hAnsi="Times New Roman" w:eastAsia="黑体" w:cs="Times New Roman"/>
                <w:b w:val="0"/>
                <w:bCs/>
                <w:color w:val="000000" w:themeColor="text1"/>
                <w:sz w:val="24"/>
                <w:szCs w:val="20"/>
                <w:highlight w:val="none"/>
                <w14:textFill>
                  <w14:solidFill>
                    <w14:schemeClr w14:val="tx1"/>
                  </w14:solidFill>
                </w14:textFill>
              </w:rPr>
              <w:t>）</w:t>
            </w:r>
            <w:r>
              <w:rPr>
                <w:rFonts w:hint="eastAsia" w:ascii="Times New Roman" w:hAnsi="Times New Roman" w:eastAsia="黑体" w:cs="Times New Roman"/>
                <w:b w:val="0"/>
                <w:bCs/>
                <w:color w:val="000000" w:themeColor="text1"/>
                <w:sz w:val="24"/>
                <w:szCs w:val="20"/>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4"/>
                <w:szCs w:val="20"/>
                <w:highlight w:val="none"/>
                <w:lang w:val="en-US" w:eastAsia="zh-CN"/>
                <w14:textFill>
                  <w14:solidFill>
                    <w14:schemeClr w14:val="tx1"/>
                  </w14:solidFill>
                </w14:textFill>
              </w:rPr>
              <w:t>夜间</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5</w:t>
            </w:r>
            <w:r>
              <w:rPr>
                <w:rFonts w:hint="eastAsia" w:cs="Times New Roman"/>
                <w:color w:val="auto"/>
                <w:sz w:val="24"/>
                <w:highlight w:val="none"/>
                <w:lang w:val="en-US" w:eastAsia="zh-CN"/>
              </w:rPr>
              <w:t>0</w:t>
            </w:r>
            <w:r>
              <w:rPr>
                <w:rFonts w:hint="default" w:ascii="Times New Roman" w:hAnsi="Times New Roman" w:eastAsia="宋体" w:cs="Times New Roman"/>
                <w:b w:val="0"/>
                <w:bCs/>
                <w:color w:val="000000" w:themeColor="text1"/>
                <w:sz w:val="24"/>
                <w:highlight w:val="none"/>
                <w14:textFill>
                  <w14:solidFill>
                    <w14:schemeClr w14:val="tx1"/>
                  </w14:solidFill>
                </w14:textFill>
              </w:rPr>
              <w:t>dB（A</w:t>
            </w:r>
            <w:r>
              <w:rPr>
                <w:rFonts w:hint="default" w:ascii="Times New Roman" w:hAnsi="Times New Roman" w:eastAsia="宋体" w:cs="Times New Roman"/>
                <w:b w:val="0"/>
                <w:bCs/>
                <w:color w:val="000000" w:themeColor="text1"/>
                <w:sz w:val="24"/>
                <w:szCs w:val="20"/>
                <w:highlight w:val="none"/>
                <w14:textFill>
                  <w14:solidFill>
                    <w14:schemeClr w14:val="tx1"/>
                  </w14:solidFill>
                </w14:textFill>
              </w:rPr>
              <w:t>）</w:t>
            </w:r>
          </w:p>
        </w:tc>
      </w:tr>
      <w:tr w14:paraId="530DDE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932" w:type="dxa"/>
            <w:noWrap w:val="0"/>
            <w:vAlign w:val="center"/>
          </w:tcPr>
          <w:p w14:paraId="485E29E5">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z w:val="24"/>
                <w:szCs w:val="24"/>
                <w:highlight w:val="none"/>
              </w:rPr>
              <w:t>固体</w:t>
            </w:r>
          </w:p>
          <w:p w14:paraId="04DCCD0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z w:val="24"/>
                <w:szCs w:val="24"/>
                <w:highlight w:val="none"/>
              </w:rPr>
              <w:t>废物</w:t>
            </w:r>
          </w:p>
        </w:tc>
        <w:tc>
          <w:tcPr>
            <w:tcW w:w="8959" w:type="dxa"/>
            <w:gridSpan w:val="4"/>
            <w:noWrap w:val="0"/>
            <w:vAlign w:val="center"/>
          </w:tcPr>
          <w:p w14:paraId="146025B9">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40" w:lineRule="exact"/>
              <w:ind w:left="0" w:right="0" w:firstLine="480" w:firstLineChars="200"/>
              <w:jc w:val="both"/>
              <w:textAlignment w:val="auto"/>
              <w:rPr>
                <w:rFonts w:hint="eastAsia"/>
                <w:color w:val="000000"/>
                <w:kern w:val="24"/>
                <w:sz w:val="24"/>
                <w:szCs w:val="24"/>
              </w:rPr>
            </w:pPr>
            <w:r>
              <w:rPr>
                <w:rFonts w:hint="eastAsia"/>
                <w:color w:val="auto"/>
                <w:sz w:val="24"/>
                <w:lang w:val="en-US" w:eastAsia="zh-CN"/>
              </w:rPr>
              <w:t>废包装物、废边角料一般固废间暂存，定期外售</w:t>
            </w:r>
            <w:r>
              <w:rPr>
                <w:rFonts w:hint="eastAsia"/>
                <w:color w:val="000000"/>
                <w:kern w:val="24"/>
                <w:sz w:val="24"/>
                <w:szCs w:val="24"/>
              </w:rPr>
              <w:t>。</w:t>
            </w:r>
            <w:r>
              <w:rPr>
                <w:rFonts w:hint="eastAsia"/>
                <w:color w:val="000000"/>
                <w:kern w:val="24"/>
                <w:sz w:val="24"/>
                <w:szCs w:val="24"/>
                <w:lang w:val="en-US" w:eastAsia="zh-CN"/>
              </w:rPr>
              <w:t>本项目设置一座</w:t>
            </w:r>
            <w:r>
              <w:rPr>
                <w:rFonts w:hint="eastAsia"/>
                <w:color w:val="000000"/>
                <w:kern w:val="24"/>
                <w:sz w:val="24"/>
                <w:szCs w:val="24"/>
              </w:rPr>
              <w:t>一般固废</w:t>
            </w:r>
            <w:r>
              <w:rPr>
                <w:rFonts w:hint="eastAsia"/>
                <w:color w:val="000000"/>
                <w:kern w:val="24"/>
                <w:sz w:val="24"/>
                <w:szCs w:val="24"/>
                <w:lang w:val="en-US" w:eastAsia="zh-CN"/>
              </w:rPr>
              <w:t>暂存间</w:t>
            </w:r>
            <w:r>
              <w:rPr>
                <w:rFonts w:hint="eastAsia"/>
                <w:color w:val="000000"/>
                <w:kern w:val="24"/>
                <w:sz w:val="24"/>
                <w:szCs w:val="24"/>
              </w:rPr>
              <w:t>，建筑面积</w:t>
            </w:r>
            <w:r>
              <w:rPr>
                <w:rFonts w:hint="eastAsia"/>
                <w:color w:val="000000"/>
                <w:kern w:val="24"/>
                <w:sz w:val="24"/>
                <w:szCs w:val="24"/>
                <w:lang w:val="en-US" w:eastAsia="zh-CN"/>
              </w:rPr>
              <w:t>20</w:t>
            </w:r>
            <w:r>
              <w:rPr>
                <w:rFonts w:hint="eastAsia"/>
                <w:color w:val="000000"/>
                <w:kern w:val="24"/>
                <w:sz w:val="24"/>
                <w:szCs w:val="24"/>
              </w:rPr>
              <w:t>m</w:t>
            </w:r>
            <w:r>
              <w:rPr>
                <w:rFonts w:hint="eastAsia"/>
                <w:color w:val="000000"/>
                <w:kern w:val="24"/>
                <w:sz w:val="24"/>
                <w:szCs w:val="24"/>
                <w:vertAlign w:val="superscript"/>
              </w:rPr>
              <w:t>2</w:t>
            </w:r>
            <w:r>
              <w:rPr>
                <w:rFonts w:hint="eastAsia"/>
                <w:color w:val="000000"/>
                <w:kern w:val="24"/>
                <w:sz w:val="24"/>
                <w:szCs w:val="24"/>
              </w:rPr>
              <w:t>，</w:t>
            </w:r>
            <w:r>
              <w:rPr>
                <w:rFonts w:hint="eastAsia"/>
                <w:color w:val="000000"/>
                <w:kern w:val="24"/>
                <w:sz w:val="24"/>
                <w:szCs w:val="24"/>
                <w:lang w:val="en-US" w:eastAsia="zh-CN"/>
              </w:rPr>
              <w:t>一般固废间满足</w:t>
            </w:r>
            <w:r>
              <w:rPr>
                <w:rFonts w:hint="eastAsia"/>
                <w:color w:val="000000"/>
                <w:kern w:val="24"/>
                <w:sz w:val="24"/>
                <w:szCs w:val="24"/>
              </w:rPr>
              <w:t>《一般工业固体废物贮存和填埋污染控制标准》（GB18599-2020）</w:t>
            </w:r>
            <w:r>
              <w:rPr>
                <w:rFonts w:hint="eastAsia"/>
                <w:color w:val="000000"/>
                <w:kern w:val="24"/>
                <w:sz w:val="24"/>
                <w:szCs w:val="24"/>
                <w:lang w:val="en-US" w:eastAsia="zh-CN"/>
              </w:rPr>
              <w:t>要求</w:t>
            </w:r>
            <w:r>
              <w:rPr>
                <w:rFonts w:hint="eastAsia"/>
                <w:color w:val="000000"/>
                <w:kern w:val="24"/>
                <w:sz w:val="24"/>
                <w:szCs w:val="24"/>
              </w:rPr>
              <w:t>，并做到防风、防雨、防晒等措施。</w:t>
            </w:r>
          </w:p>
          <w:p w14:paraId="17C21471">
            <w:pPr>
              <w:keepNext w:val="0"/>
              <w:keepLines w:val="0"/>
              <w:pageBreakBefore w:val="0"/>
              <w:widowControl w:val="0"/>
              <w:suppressLineNumbers w:val="0"/>
              <w:kinsoku/>
              <w:wordWrap/>
              <w:overflowPunct/>
              <w:topLinePunct w:val="0"/>
              <w:autoSpaceDE/>
              <w:autoSpaceDN/>
              <w:bidi w:val="0"/>
              <w:adjustRightInd w:val="0"/>
              <w:spacing w:before="0" w:beforeAutospacing="0" w:after="0" w:afterAutospacing="0" w:line="440" w:lineRule="exact"/>
              <w:ind w:left="0" w:right="0" w:firstLine="480" w:firstLineChars="200"/>
              <w:jc w:val="both"/>
              <w:textAlignment w:val="auto"/>
              <w:rPr>
                <w:rFonts w:hint="eastAsia"/>
                <w:sz w:val="24"/>
                <w:lang w:val="en-US" w:eastAsia="zh-CN"/>
              </w:rPr>
            </w:pPr>
            <w:r>
              <w:rPr>
                <w:rFonts w:hint="eastAsia"/>
                <w:color w:val="auto"/>
                <w:sz w:val="24"/>
                <w:lang w:val="en-US" w:eastAsia="zh-CN"/>
              </w:rPr>
              <w:t>废活性炭和废催化剂、废包装桶、废抹布、废柔印版暂存于危险废物暂存间，</w:t>
            </w:r>
            <w:r>
              <w:rPr>
                <w:rFonts w:hint="eastAsia"/>
                <w:bCs/>
                <w:color w:val="000000"/>
                <w:sz w:val="24"/>
              </w:rPr>
              <w:t>定期交由有资质的单位处置</w:t>
            </w:r>
            <w:r>
              <w:rPr>
                <w:rFonts w:hint="eastAsia"/>
                <w:bCs/>
                <w:color w:val="000000"/>
                <w:sz w:val="24"/>
                <w:lang w:eastAsia="zh-CN"/>
              </w:rPr>
              <w:t>。</w:t>
            </w:r>
            <w:r>
              <w:rPr>
                <w:rFonts w:hint="eastAsia"/>
                <w:bCs/>
                <w:color w:val="000000"/>
                <w:sz w:val="24"/>
                <w:lang w:val="en-US" w:eastAsia="zh-CN"/>
              </w:rPr>
              <w:t>本项目危险废物暂存间约为10m</w:t>
            </w:r>
            <w:r>
              <w:rPr>
                <w:rFonts w:hint="eastAsia"/>
                <w:color w:val="000000"/>
                <w:kern w:val="24"/>
                <w:sz w:val="24"/>
                <w:szCs w:val="24"/>
                <w:vertAlign w:val="superscript"/>
              </w:rPr>
              <w:t>2</w:t>
            </w:r>
            <w:r>
              <w:rPr>
                <w:rFonts w:hint="eastAsia"/>
                <w:color w:val="000000"/>
                <w:kern w:val="24"/>
                <w:sz w:val="24"/>
                <w:szCs w:val="24"/>
              </w:rPr>
              <w:t>，</w:t>
            </w:r>
            <w:r>
              <w:rPr>
                <w:rFonts w:hint="eastAsia"/>
                <w:color w:val="000000"/>
                <w:kern w:val="24"/>
                <w:sz w:val="24"/>
                <w:szCs w:val="24"/>
                <w:lang w:val="en-US" w:eastAsia="zh-CN"/>
              </w:rPr>
              <w:t>满足</w:t>
            </w:r>
            <w:r>
              <w:rPr>
                <w:rFonts w:hint="eastAsia"/>
                <w:sz w:val="24"/>
                <w:lang w:val="en-US" w:eastAsia="zh-CN"/>
              </w:rPr>
              <w:t>《危险废物贮存污染控制标准》（GB 18597-2023）要求，将危险废物分装于专门的容器内，存放在厂区内危险废物暂存间内，贮存期间注意防风、防晒、防雨、防渗措施，并设立危险废物标志。</w:t>
            </w:r>
          </w:p>
          <w:p w14:paraId="0A499066">
            <w:pPr>
              <w:pStyle w:val="21"/>
              <w:keepNext w:val="0"/>
              <w:keepLines w:val="0"/>
              <w:suppressLineNumbers w:val="0"/>
              <w:spacing w:before="0" w:beforeAutospacing="0" w:afterAutospacing="0"/>
              <w:ind w:right="0"/>
              <w:rPr>
                <w:rFonts w:hint="eastAsia"/>
                <w:sz w:val="24"/>
                <w:lang w:val="en-US" w:eastAsia="zh-CN"/>
              </w:rPr>
            </w:pPr>
          </w:p>
          <w:p w14:paraId="2A56EC67">
            <w:pPr>
              <w:keepNext w:val="0"/>
              <w:keepLines w:val="0"/>
              <w:suppressLineNumbers w:val="0"/>
              <w:spacing w:before="0" w:beforeAutospacing="0" w:after="0" w:afterAutospacing="0"/>
              <w:ind w:left="0" w:right="0"/>
              <w:rPr>
                <w:rFonts w:hint="eastAsia"/>
                <w:sz w:val="24"/>
                <w:lang w:val="en-US" w:eastAsia="zh-CN"/>
              </w:rPr>
            </w:pPr>
          </w:p>
          <w:p w14:paraId="3310F50C">
            <w:pPr>
              <w:pStyle w:val="21"/>
              <w:keepNext w:val="0"/>
              <w:keepLines w:val="0"/>
              <w:suppressLineNumbers w:val="0"/>
              <w:spacing w:before="0" w:beforeAutospacing="0" w:afterAutospacing="0"/>
              <w:ind w:right="0"/>
              <w:rPr>
                <w:rFonts w:hint="eastAsia"/>
                <w:sz w:val="24"/>
                <w:lang w:val="en-US" w:eastAsia="zh-CN"/>
              </w:rPr>
            </w:pPr>
          </w:p>
          <w:p w14:paraId="3EB7CAF8">
            <w:pPr>
              <w:keepNext w:val="0"/>
              <w:keepLines w:val="0"/>
              <w:suppressLineNumbers w:val="0"/>
              <w:spacing w:before="0" w:beforeAutospacing="0" w:after="0" w:afterAutospacing="0"/>
              <w:ind w:left="0" w:right="0"/>
              <w:rPr>
                <w:rFonts w:hint="eastAsia"/>
                <w:sz w:val="24"/>
                <w:lang w:val="en-US" w:eastAsia="zh-CN"/>
              </w:rPr>
            </w:pPr>
          </w:p>
          <w:p w14:paraId="2D9E627B">
            <w:pPr>
              <w:pStyle w:val="21"/>
              <w:keepNext w:val="0"/>
              <w:keepLines w:val="0"/>
              <w:suppressLineNumbers w:val="0"/>
              <w:spacing w:before="0" w:beforeAutospacing="0" w:afterAutospacing="0"/>
              <w:ind w:right="0"/>
              <w:rPr>
                <w:rFonts w:hint="eastAsia"/>
                <w:sz w:val="24"/>
                <w:lang w:val="en-US" w:eastAsia="zh-CN"/>
              </w:rPr>
            </w:pPr>
          </w:p>
          <w:p w14:paraId="618B9569">
            <w:pPr>
              <w:keepNext w:val="0"/>
              <w:keepLines w:val="0"/>
              <w:suppressLineNumbers w:val="0"/>
              <w:spacing w:before="0" w:beforeAutospacing="0" w:after="0" w:afterAutospacing="0"/>
              <w:ind w:left="0" w:right="0"/>
              <w:rPr>
                <w:rFonts w:hint="default"/>
              </w:rPr>
            </w:pPr>
          </w:p>
        </w:tc>
      </w:tr>
      <w:tr w14:paraId="022C62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30" w:hRule="atLeast"/>
          <w:jc w:val="center"/>
        </w:trPr>
        <w:tc>
          <w:tcPr>
            <w:tcW w:w="932" w:type="dxa"/>
            <w:noWrap w:val="0"/>
            <w:vAlign w:val="center"/>
          </w:tcPr>
          <w:p w14:paraId="065244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sz w:val="24"/>
                <w:szCs w:val="24"/>
                <w:highlight w:val="yellow"/>
              </w:rPr>
            </w:pPr>
            <w:r>
              <w:rPr>
                <w:rFonts w:hint="default"/>
                <w:sz w:val="24"/>
                <w:szCs w:val="24"/>
                <w:highlight w:val="none"/>
              </w:rPr>
              <w:t>土壤及地下水污染防治措施</w:t>
            </w:r>
          </w:p>
        </w:tc>
        <w:tc>
          <w:tcPr>
            <w:tcW w:w="8959" w:type="dxa"/>
            <w:gridSpan w:val="4"/>
            <w:noWrap w:val="0"/>
            <w:vAlign w:val="center"/>
          </w:tcPr>
          <w:p w14:paraId="12CD33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left"/>
              <w:textAlignment w:val="auto"/>
              <w:rPr>
                <w:rFonts w:hint="default" w:eastAsia="宋体"/>
                <w:sz w:val="24"/>
                <w:szCs w:val="24"/>
                <w:highlight w:val="yellow"/>
                <w:lang w:val="en-US" w:eastAsia="zh-CN"/>
              </w:rPr>
            </w:pPr>
            <w:r>
              <w:rPr>
                <w:rFonts w:hint="eastAsia"/>
                <w:sz w:val="24"/>
                <w:lang w:val="en-US" w:eastAsia="zh-CN"/>
              </w:rPr>
              <w:t>对危废暂存间进行重点防渗；一般固废暂存间进行一般防渗区；办公楼采取一般地面硬化措施。</w:t>
            </w:r>
          </w:p>
        </w:tc>
      </w:tr>
      <w:tr w14:paraId="02ECD6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932" w:type="dxa"/>
            <w:noWrap w:val="0"/>
            <w:vAlign w:val="center"/>
          </w:tcPr>
          <w:p w14:paraId="1F94905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sz w:val="24"/>
                <w:szCs w:val="24"/>
                <w:highlight w:val="none"/>
              </w:rPr>
            </w:pPr>
            <w:r>
              <w:rPr>
                <w:rFonts w:hint="default" w:hAnsi="宋体"/>
                <w:sz w:val="24"/>
                <w:szCs w:val="24"/>
                <w:highlight w:val="none"/>
              </w:rPr>
              <w:t>生态保护措施</w:t>
            </w:r>
          </w:p>
        </w:tc>
        <w:tc>
          <w:tcPr>
            <w:tcW w:w="8959" w:type="dxa"/>
            <w:gridSpan w:val="4"/>
            <w:noWrap w:val="0"/>
            <w:vAlign w:val="center"/>
          </w:tcPr>
          <w:p w14:paraId="71FE171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eastAsia"/>
                <w:sz w:val="24"/>
                <w:szCs w:val="24"/>
                <w:highlight w:val="none"/>
              </w:rPr>
            </w:pPr>
            <w:r>
              <w:rPr>
                <w:rFonts w:hint="eastAsia"/>
                <w:sz w:val="24"/>
                <w:szCs w:val="24"/>
                <w:highlight w:val="none"/>
              </w:rPr>
              <w:t>/</w:t>
            </w:r>
          </w:p>
        </w:tc>
      </w:tr>
      <w:tr w14:paraId="23E62E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932" w:type="dxa"/>
            <w:noWrap w:val="0"/>
            <w:vAlign w:val="center"/>
          </w:tcPr>
          <w:p w14:paraId="207095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default" w:hAnsi="宋体"/>
                <w:sz w:val="24"/>
                <w:szCs w:val="24"/>
                <w:highlight w:val="none"/>
              </w:rPr>
            </w:pPr>
            <w:r>
              <w:rPr>
                <w:rFonts w:hint="default" w:hAnsi="宋体"/>
                <w:spacing w:val="-8"/>
                <w:sz w:val="24"/>
                <w:szCs w:val="24"/>
                <w:highlight w:val="none"/>
              </w:rPr>
              <w:t>环境风险防范措施</w:t>
            </w:r>
          </w:p>
        </w:tc>
        <w:tc>
          <w:tcPr>
            <w:tcW w:w="8959" w:type="dxa"/>
            <w:gridSpan w:val="4"/>
            <w:noWrap w:val="0"/>
            <w:vAlign w:val="center"/>
          </w:tcPr>
          <w:p w14:paraId="7649AD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eastAsia="宋体"/>
                <w:lang w:eastAsia="zh-CN"/>
              </w:rPr>
            </w:pPr>
            <w:r>
              <w:rPr>
                <w:rFonts w:hint="eastAsia"/>
              </w:rPr>
              <w:t>（1）原料入库时应检查包装是否有泄漏现象，在贮存期，定期检查，发现泄漏，及时处理</w:t>
            </w:r>
            <w:r>
              <w:rPr>
                <w:rFonts w:hint="eastAsia"/>
                <w:lang w:eastAsia="zh-CN"/>
              </w:rPr>
              <w:t>；</w:t>
            </w:r>
          </w:p>
          <w:p w14:paraId="203038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eastAsia="宋体"/>
                <w:lang w:eastAsia="zh-CN"/>
              </w:rPr>
            </w:pPr>
            <w:r>
              <w:rPr>
                <w:rFonts w:hint="eastAsia"/>
              </w:rPr>
              <w:t>（2）</w:t>
            </w:r>
            <w:r>
              <w:rPr>
                <w:rFonts w:hint="eastAsia"/>
                <w:lang w:eastAsia="zh-CN"/>
              </w:rPr>
              <w:t>油墨原料库</w:t>
            </w:r>
            <w:r>
              <w:rPr>
                <w:rFonts w:hint="eastAsia"/>
              </w:rPr>
              <w:t>不得靠近热源和电器设备</w:t>
            </w:r>
            <w:r>
              <w:rPr>
                <w:rFonts w:hint="eastAsia"/>
                <w:lang w:eastAsia="zh-CN"/>
              </w:rPr>
              <w:t>；</w:t>
            </w:r>
          </w:p>
          <w:p w14:paraId="34608E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eastAsia="宋体"/>
                <w:lang w:eastAsia="zh-CN"/>
              </w:rPr>
            </w:pPr>
            <w:r>
              <w:rPr>
                <w:rFonts w:hint="eastAsia"/>
                <w:lang w:eastAsia="zh-CN"/>
              </w:rPr>
              <w:t>（</w:t>
            </w:r>
            <w:r>
              <w:rPr>
                <w:rFonts w:hint="eastAsia"/>
                <w:lang w:val="en-US" w:eastAsia="zh-CN"/>
              </w:rPr>
              <w:t>3</w:t>
            </w:r>
            <w:r>
              <w:rPr>
                <w:rFonts w:hint="eastAsia"/>
                <w:lang w:eastAsia="zh-CN"/>
              </w:rPr>
              <w:t>）</w:t>
            </w:r>
            <w:r>
              <w:rPr>
                <w:rFonts w:hint="default"/>
                <w:sz w:val="24"/>
              </w:rPr>
              <w:t>搬运时要轻装轻卸，防止包装及容器损坏</w:t>
            </w:r>
            <w:r>
              <w:rPr>
                <w:rFonts w:hint="eastAsia"/>
                <w:lang w:eastAsia="zh-CN"/>
              </w:rPr>
              <w:t>；</w:t>
            </w:r>
          </w:p>
          <w:p w14:paraId="1CFC196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sz w:val="24"/>
                <w:lang w:val="en-US" w:eastAsia="zh-CN"/>
              </w:rPr>
            </w:pPr>
            <w:r>
              <w:rPr>
                <w:rFonts w:hint="eastAsia"/>
                <w:lang w:eastAsia="zh-CN"/>
              </w:rPr>
              <w:t>（</w:t>
            </w:r>
            <w:r>
              <w:rPr>
                <w:rFonts w:hint="eastAsia"/>
                <w:lang w:val="en-US" w:eastAsia="zh-CN"/>
              </w:rPr>
              <w:t>4</w:t>
            </w:r>
            <w:r>
              <w:rPr>
                <w:rFonts w:hint="eastAsia"/>
                <w:lang w:eastAsia="zh-CN"/>
              </w:rPr>
              <w:t>）原料库按照相关要求做好防渗措施。在油</w:t>
            </w:r>
            <w:r>
              <w:rPr>
                <w:rFonts w:hint="eastAsia"/>
                <w:lang w:val="en-US" w:eastAsia="zh-CN"/>
              </w:rPr>
              <w:t>墨</w:t>
            </w:r>
            <w:r>
              <w:rPr>
                <w:rFonts w:hint="eastAsia"/>
                <w:lang w:eastAsia="zh-CN"/>
              </w:rPr>
              <w:t>放置贮存区域四周建设防泄漏围堰，高度不低于0.2m；及时将泄漏出的液体截留收集，避免大量挥发或引发火灾等。</w:t>
            </w:r>
          </w:p>
          <w:p w14:paraId="5E2DAC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textAlignment w:val="auto"/>
              <w:rPr>
                <w:rFonts w:hint="eastAsia" w:eastAsia="宋体"/>
                <w:sz w:val="24"/>
                <w:szCs w:val="24"/>
                <w:highlight w:val="none"/>
                <w:lang w:val="en-US" w:eastAsia="zh-CN"/>
              </w:rPr>
            </w:pPr>
            <w:r>
              <w:rPr>
                <w:rFonts w:hint="eastAsia"/>
                <w:lang w:eastAsia="zh-CN"/>
              </w:rPr>
              <w:t>（</w:t>
            </w:r>
            <w:r>
              <w:rPr>
                <w:rFonts w:hint="eastAsia"/>
                <w:lang w:val="en-US" w:eastAsia="zh-CN"/>
              </w:rPr>
              <w:t>5</w:t>
            </w:r>
            <w:r>
              <w:rPr>
                <w:rFonts w:hint="eastAsia"/>
                <w:lang w:eastAsia="zh-CN"/>
              </w:rPr>
              <w:t>）设置备用桶，油墨发生泄漏时及时更换容器，泄露物料用惰性吸附材料进行吸附处理，收集的物料和吸附材料及破损容器做为危废处理。</w:t>
            </w:r>
          </w:p>
        </w:tc>
      </w:tr>
      <w:tr w14:paraId="5E2217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32" w:type="dxa"/>
            <w:noWrap w:val="0"/>
            <w:vAlign w:val="center"/>
          </w:tcPr>
          <w:p w14:paraId="5F015D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电磁</w:t>
            </w:r>
          </w:p>
          <w:p w14:paraId="6A03E6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center"/>
              <w:textAlignment w:val="auto"/>
              <w:rPr>
                <w:rFonts w:hint="eastAsia" w:ascii="宋体" w:hAnsi="宋体" w:eastAsia="宋体" w:cs="宋体"/>
                <w:spacing w:val="-8"/>
                <w:sz w:val="24"/>
                <w:szCs w:val="24"/>
                <w:highlight w:val="none"/>
              </w:rPr>
            </w:pPr>
            <w:r>
              <w:rPr>
                <w:rFonts w:hint="eastAsia" w:ascii="宋体" w:hAnsi="宋体" w:eastAsia="宋体" w:cs="宋体"/>
                <w:sz w:val="24"/>
                <w:szCs w:val="24"/>
                <w:highlight w:val="none"/>
              </w:rPr>
              <w:t>辐射</w:t>
            </w:r>
          </w:p>
        </w:tc>
        <w:tc>
          <w:tcPr>
            <w:tcW w:w="8959" w:type="dxa"/>
            <w:gridSpan w:val="4"/>
            <w:noWrap w:val="0"/>
            <w:vAlign w:val="center"/>
          </w:tcPr>
          <w:p w14:paraId="37F1F14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jc w:val="center"/>
              <w:textAlignment w:val="auto"/>
              <w:rPr>
                <w:rFonts w:hint="eastAsia" w:ascii="宋体" w:hAnsi="宋体" w:eastAsia="宋体" w:cs="宋体"/>
                <w:sz w:val="24"/>
                <w:szCs w:val="24"/>
                <w:highlight w:val="none"/>
                <w:lang w:val="en-US" w:eastAsia="zh-CN"/>
              </w:rPr>
            </w:pPr>
            <w:r>
              <w:rPr>
                <w:rFonts w:hint="default" w:ascii="Times New Roman" w:hAnsi="Times New Roman" w:eastAsia="宋体" w:cs="Times New Roman"/>
                <w:b w:val="0"/>
                <w:bCs/>
                <w:color w:val="000000"/>
                <w:sz w:val="24"/>
                <w:highlight w:val="none"/>
                <w:lang w:val="en-US" w:eastAsia="zh-CN"/>
              </w:rPr>
              <w:t>本项目不涉及辐射源，故不对电磁辐射做评价分析</w:t>
            </w:r>
          </w:p>
        </w:tc>
      </w:tr>
      <w:tr w14:paraId="1B0041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32" w:type="dxa"/>
            <w:noWrap w:val="0"/>
            <w:vAlign w:val="center"/>
          </w:tcPr>
          <w:p w14:paraId="05173C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rightChars="0"/>
              <w:jc w:val="center"/>
              <w:textAlignment w:val="auto"/>
              <w:rPr>
                <w:rFonts w:hint="eastAsia" w:ascii="宋体" w:hAnsi="宋体" w:eastAsia="宋体" w:cs="宋体"/>
                <w:sz w:val="24"/>
                <w:szCs w:val="24"/>
                <w:highlight w:val="none"/>
              </w:rPr>
            </w:pPr>
            <w:r>
              <w:rPr>
                <w:rFonts w:hint="default" w:hAnsi="宋体"/>
                <w:spacing w:val="-8"/>
                <w:sz w:val="24"/>
                <w:szCs w:val="24"/>
                <w:highlight w:val="none"/>
              </w:rPr>
              <w:t>其他环境管理要求</w:t>
            </w:r>
          </w:p>
        </w:tc>
        <w:tc>
          <w:tcPr>
            <w:tcW w:w="8959" w:type="dxa"/>
            <w:gridSpan w:val="4"/>
            <w:noWrap w:val="0"/>
            <w:vAlign w:val="center"/>
          </w:tcPr>
          <w:p w14:paraId="5644CD0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480" w:firstLineChars="200"/>
              <w:textAlignment w:val="auto"/>
              <w:rPr>
                <w:rFonts w:hint="eastAsia" w:hAnsi="宋体"/>
                <w:sz w:val="24"/>
                <w:szCs w:val="24"/>
                <w:highlight w:val="none"/>
                <w:lang w:val="en-US" w:eastAsia="zh-CN"/>
              </w:rPr>
            </w:pPr>
            <w:r>
              <w:rPr>
                <w:rFonts w:hint="eastAsia" w:hAnsi="宋体"/>
                <w:sz w:val="24"/>
                <w:szCs w:val="24"/>
                <w:highlight w:val="none"/>
                <w:lang w:val="en-US" w:eastAsia="zh-CN"/>
              </w:rPr>
              <w:t>1、排污许可证管理要求</w:t>
            </w:r>
          </w:p>
          <w:p w14:paraId="24383BB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480" w:firstLineChars="200"/>
              <w:textAlignment w:val="auto"/>
              <w:rPr>
                <w:rFonts w:hint="eastAsia" w:hAnsi="宋体"/>
                <w:sz w:val="24"/>
                <w:szCs w:val="24"/>
                <w:highlight w:val="none"/>
                <w:lang w:val="en-US" w:eastAsia="zh-CN"/>
              </w:rPr>
            </w:pPr>
            <w:r>
              <w:rPr>
                <w:rFonts w:hint="eastAsia" w:hAnsi="宋体"/>
                <w:sz w:val="24"/>
                <w:szCs w:val="24"/>
                <w:highlight w:val="none"/>
                <w:lang w:val="en-US" w:eastAsia="zh-CN"/>
              </w:rPr>
              <w:t>根据《固定污染源排污许可分类管理名录（2019年版）》（生态环境部 第11号）要求进行填报排污许可。因此，建设单位应当在启动生产设施或者发生实际排污之前在全国排污许可证管理信息平台进行排污许可申请。</w:t>
            </w:r>
          </w:p>
          <w:p w14:paraId="1DEE346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480" w:firstLineChars="200"/>
              <w:textAlignment w:val="auto"/>
              <w:rPr>
                <w:rFonts w:hint="eastAsia" w:hAnsi="宋体"/>
                <w:sz w:val="24"/>
                <w:szCs w:val="24"/>
                <w:highlight w:val="none"/>
                <w:lang w:val="en-US" w:eastAsia="zh-CN"/>
              </w:rPr>
            </w:pPr>
            <w:r>
              <w:rPr>
                <w:rFonts w:hint="eastAsia" w:hAnsi="宋体"/>
                <w:sz w:val="24"/>
                <w:szCs w:val="24"/>
                <w:highlight w:val="none"/>
                <w:lang w:val="en-US" w:eastAsia="zh-CN"/>
              </w:rPr>
              <w:t>2、竣工环境保护验收</w:t>
            </w:r>
          </w:p>
          <w:p w14:paraId="611339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firstLine="480" w:firstLineChars="200"/>
              <w:jc w:val="both"/>
              <w:textAlignment w:val="auto"/>
              <w:rPr>
                <w:rFonts w:hint="eastAsia" w:hAnsi="宋体"/>
                <w:sz w:val="24"/>
                <w:szCs w:val="24"/>
                <w:highlight w:val="none"/>
                <w:lang w:val="en-US" w:eastAsia="zh-CN"/>
              </w:rPr>
            </w:pPr>
            <w:r>
              <w:rPr>
                <w:rFonts w:hint="eastAsia" w:hAnsi="宋体"/>
                <w:sz w:val="24"/>
                <w:szCs w:val="24"/>
                <w:highlight w:val="none"/>
                <w:lang w:val="en-US" w:eastAsia="zh-CN"/>
              </w:rPr>
              <w:t>根据《建设项目竣工环境保护验收暂行办法》的规定，建设项目竣工后，建设单位应当如实查验、监测、记载建设项目环境保护设施的建设和调试情况，编制验收监测报告表，并且建设单位应登录全国建设项目竣工环境保护验收信息平台，填报建设项目基本信息、环境保护设施验收情况等相关信息。</w:t>
            </w:r>
          </w:p>
          <w:p w14:paraId="638133F3">
            <w:pPr>
              <w:pStyle w:val="21"/>
              <w:keepNext w:val="0"/>
              <w:keepLines w:val="0"/>
              <w:pageBreakBefore w:val="0"/>
              <w:widowControl w:val="0"/>
              <w:suppressLineNumbers w:val="0"/>
              <w:kinsoku/>
              <w:wordWrap/>
              <w:overflowPunct/>
              <w:topLinePunct w:val="0"/>
              <w:autoSpaceDE/>
              <w:autoSpaceDN/>
              <w:bidi w:val="0"/>
              <w:spacing w:before="0" w:beforeAutospacing="0" w:afterAutospacing="0" w:line="440" w:lineRule="exact"/>
              <w:ind w:left="0" w:leftChars="0" w:right="0" w:firstLine="480" w:firstLineChars="200"/>
              <w:jc w:val="both"/>
              <w:textAlignment w:val="auto"/>
              <w:rPr>
                <w:rFonts w:hint="default"/>
                <w:lang w:val="en-US" w:eastAsia="zh-CN"/>
              </w:rPr>
            </w:pPr>
            <w:r>
              <w:rPr>
                <w:rFonts w:hint="eastAsia" w:hAnsi="宋体"/>
                <w:sz w:val="24"/>
                <w:szCs w:val="24"/>
                <w:highlight w:val="none"/>
                <w:lang w:val="en-US" w:eastAsia="zh-CN"/>
              </w:rPr>
              <w:t>建设单位应当将验收报告以及其他档案资料存档备查。</w:t>
            </w:r>
          </w:p>
          <w:p w14:paraId="77E1CCB2">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440" w:lineRule="exact"/>
              <w:ind w:left="0" w:right="0" w:firstLine="480" w:firstLineChars="200"/>
              <w:textAlignment w:val="auto"/>
              <w:rPr>
                <w:rFonts w:hint="eastAsia" w:hAnsi="宋体"/>
                <w:sz w:val="24"/>
                <w:szCs w:val="24"/>
                <w:highlight w:val="none"/>
              </w:rPr>
            </w:pPr>
            <w:r>
              <w:rPr>
                <w:rFonts w:hint="eastAsia" w:hAnsi="宋体"/>
                <w:sz w:val="24"/>
                <w:szCs w:val="24"/>
                <w:highlight w:val="none"/>
                <w:lang w:val="en-US" w:eastAsia="zh-CN"/>
              </w:rPr>
              <w:t>3、排放口规范化建设</w:t>
            </w:r>
          </w:p>
          <w:p w14:paraId="7C9DB3BE">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440" w:lineRule="exact"/>
              <w:ind w:left="0" w:right="0" w:firstLine="480" w:firstLineChars="200"/>
              <w:jc w:val="both"/>
              <w:textAlignment w:val="auto"/>
              <w:outlineLvl w:val="9"/>
              <w:rPr>
                <w:rFonts w:hint="eastAsia"/>
                <w:sz w:val="24"/>
                <w:szCs w:val="24"/>
                <w:highlight w:val="none"/>
                <w:lang w:val="en-US" w:eastAsia="zh-CN"/>
              </w:rPr>
            </w:pPr>
            <w:r>
              <w:rPr>
                <w:rFonts w:hint="eastAsia"/>
                <w:sz w:val="24"/>
                <w:szCs w:val="24"/>
                <w:highlight w:val="none"/>
              </w:rPr>
              <w:t>根据《环境保护图形标志－排放口（源）》（GB15562.1-1995）、《环境保护图形标志—固体废物贮存（处置）场》（GB15562.2-1995）及其修改单标准要求，本项目应在</w:t>
            </w:r>
            <w:r>
              <w:rPr>
                <w:rFonts w:hint="eastAsia"/>
                <w:sz w:val="24"/>
                <w:szCs w:val="24"/>
                <w:highlight w:val="none"/>
                <w:lang w:val="en-US" w:eastAsia="zh-CN"/>
              </w:rPr>
              <w:t>废气</w:t>
            </w:r>
            <w:r>
              <w:rPr>
                <w:rFonts w:hint="eastAsia"/>
                <w:sz w:val="24"/>
                <w:szCs w:val="24"/>
                <w:highlight w:val="none"/>
              </w:rPr>
              <w:t>排放口、固废贮存场所和噪声排放源分别设置环境保护图形标志牌，按照《河南省重污染天气</w:t>
            </w:r>
            <w:r>
              <w:rPr>
                <w:rFonts w:hint="eastAsia"/>
                <w:sz w:val="24"/>
                <w:szCs w:val="24"/>
                <w:highlight w:val="none"/>
                <w:lang w:val="en-US" w:eastAsia="zh-CN"/>
              </w:rPr>
              <w:t>通用</w:t>
            </w:r>
            <w:r>
              <w:rPr>
                <w:rFonts w:hint="eastAsia"/>
                <w:sz w:val="24"/>
                <w:szCs w:val="24"/>
                <w:highlight w:val="none"/>
              </w:rPr>
              <w:t>行业应急减排措施制定技术指南》（2024年修订版）</w:t>
            </w:r>
            <w:r>
              <w:rPr>
                <w:rFonts w:hint="eastAsia"/>
                <w:sz w:val="24"/>
                <w:szCs w:val="24"/>
                <w:highlight w:val="none"/>
                <w:lang w:val="en-US" w:eastAsia="zh-CN"/>
              </w:rPr>
              <w:t>中涉VOCs企业引领性指标要求和《重污染天气重点行业应急减排措施制定技术指南》（2020年修订版）涉包装印刷企业绩效分级A级要求安装车辆运输视频监控（数据能保存6个月）</w:t>
            </w:r>
            <w:r>
              <w:rPr>
                <w:rFonts w:hint="eastAsia"/>
                <w:sz w:val="24"/>
                <w:szCs w:val="24"/>
                <w:highlight w:val="none"/>
              </w:rPr>
              <w:t>，</w:t>
            </w:r>
            <w:r>
              <w:rPr>
                <w:rFonts w:hint="eastAsia"/>
                <w:sz w:val="24"/>
                <w:szCs w:val="24"/>
                <w:highlight w:val="none"/>
                <w:lang w:val="en-US" w:eastAsia="zh-CN"/>
              </w:rPr>
              <w:t>并建立车辆运输手工台账；建立门禁视频监控系统和电子台账。</w:t>
            </w:r>
          </w:p>
          <w:p w14:paraId="780CE1C8">
            <w:pPr>
              <w:keepNext/>
              <w:keepLines w:val="0"/>
              <w:pageBreakBefore w:val="0"/>
              <w:widowControl w:val="0"/>
              <w:suppressLineNumbers w:val="0"/>
              <w:kinsoku/>
              <w:wordWrap/>
              <w:overflowPunct w:val="0"/>
              <w:topLinePunct w:val="0"/>
              <w:autoSpaceDE/>
              <w:autoSpaceDN/>
              <w:bidi w:val="0"/>
              <w:adjustRightInd/>
              <w:snapToGrid w:val="0"/>
              <w:spacing w:before="0" w:beforeAutospacing="0" w:after="0" w:afterAutospacing="0" w:line="440" w:lineRule="exact"/>
              <w:ind w:left="0" w:right="0"/>
              <w:jc w:val="both"/>
              <w:textAlignment w:val="auto"/>
              <w:outlineLvl w:val="9"/>
              <w:rPr>
                <w:rFonts w:hint="default"/>
                <w:sz w:val="24"/>
                <w:szCs w:val="24"/>
                <w:highlight w:val="none"/>
                <w:lang w:val="en-US" w:eastAsia="zh-CN"/>
              </w:rPr>
            </w:pPr>
          </w:p>
          <w:p w14:paraId="78BBC02A">
            <w:pPr>
              <w:pStyle w:val="21"/>
              <w:keepNext w:val="0"/>
              <w:keepLines w:val="0"/>
              <w:suppressLineNumbers w:val="0"/>
              <w:spacing w:before="0" w:beforeAutospacing="0" w:afterAutospacing="0"/>
              <w:ind w:right="0"/>
              <w:rPr>
                <w:rFonts w:hint="default"/>
                <w:sz w:val="24"/>
                <w:szCs w:val="24"/>
                <w:highlight w:val="none"/>
                <w:lang w:val="en-US" w:eastAsia="zh-CN"/>
              </w:rPr>
            </w:pPr>
          </w:p>
          <w:p w14:paraId="671290A8">
            <w:pPr>
              <w:keepNext w:val="0"/>
              <w:keepLines w:val="0"/>
              <w:suppressLineNumbers w:val="0"/>
              <w:spacing w:before="0" w:beforeAutospacing="0" w:after="0" w:afterAutospacing="0"/>
              <w:ind w:left="0" w:right="0"/>
              <w:rPr>
                <w:rFonts w:hint="default"/>
                <w:sz w:val="24"/>
                <w:szCs w:val="24"/>
                <w:highlight w:val="none"/>
                <w:lang w:val="en-US" w:eastAsia="zh-CN"/>
              </w:rPr>
            </w:pPr>
          </w:p>
          <w:p w14:paraId="11F001B5">
            <w:pPr>
              <w:keepNext w:val="0"/>
              <w:keepLines w:val="0"/>
              <w:suppressLineNumbers w:val="0"/>
              <w:spacing w:before="0" w:beforeAutospacing="0" w:after="0" w:afterAutospacing="0"/>
              <w:ind w:left="0" w:right="0"/>
              <w:rPr>
                <w:rFonts w:hint="default"/>
                <w:lang w:val="en-US" w:eastAsia="zh-CN"/>
              </w:rPr>
            </w:pPr>
          </w:p>
          <w:p w14:paraId="798C9608">
            <w:pPr>
              <w:pStyle w:val="21"/>
              <w:keepNext w:val="0"/>
              <w:keepLines w:val="0"/>
              <w:suppressLineNumbers w:val="0"/>
              <w:spacing w:before="0" w:beforeAutospacing="0" w:afterAutospacing="0"/>
              <w:ind w:right="0"/>
              <w:rPr>
                <w:rFonts w:hint="default"/>
                <w:lang w:val="en-US" w:eastAsia="zh-CN"/>
              </w:rPr>
            </w:pPr>
          </w:p>
          <w:p w14:paraId="596D8751">
            <w:pPr>
              <w:keepNext w:val="0"/>
              <w:keepLines w:val="0"/>
              <w:suppressLineNumbers w:val="0"/>
              <w:spacing w:before="0" w:beforeAutospacing="0" w:after="0" w:afterAutospacing="0"/>
              <w:ind w:left="0" w:right="0"/>
              <w:rPr>
                <w:rFonts w:hint="default"/>
                <w:lang w:val="en-US" w:eastAsia="zh-CN"/>
              </w:rPr>
            </w:pPr>
          </w:p>
          <w:p w14:paraId="2370357F">
            <w:pPr>
              <w:pStyle w:val="21"/>
              <w:keepNext w:val="0"/>
              <w:keepLines w:val="0"/>
              <w:suppressLineNumbers w:val="0"/>
              <w:spacing w:before="0" w:beforeAutospacing="0" w:afterAutospacing="0"/>
              <w:ind w:right="0"/>
              <w:rPr>
                <w:rFonts w:hint="default"/>
                <w:lang w:val="en-US" w:eastAsia="zh-CN"/>
              </w:rPr>
            </w:pPr>
          </w:p>
          <w:p w14:paraId="1E5ED1BF">
            <w:pPr>
              <w:keepNext w:val="0"/>
              <w:keepLines w:val="0"/>
              <w:suppressLineNumbers w:val="0"/>
              <w:spacing w:before="0" w:beforeAutospacing="0" w:after="0" w:afterAutospacing="0"/>
              <w:ind w:left="0" w:right="0"/>
              <w:rPr>
                <w:rFonts w:hint="default"/>
                <w:lang w:val="en-US" w:eastAsia="zh-CN"/>
              </w:rPr>
            </w:pPr>
          </w:p>
          <w:p w14:paraId="6C303045">
            <w:pPr>
              <w:pStyle w:val="21"/>
              <w:keepNext w:val="0"/>
              <w:keepLines w:val="0"/>
              <w:suppressLineNumbers w:val="0"/>
              <w:spacing w:before="0" w:beforeAutospacing="0" w:afterAutospacing="0"/>
              <w:ind w:right="0"/>
              <w:rPr>
                <w:rFonts w:hint="default"/>
                <w:lang w:val="en-US" w:eastAsia="zh-CN"/>
              </w:rPr>
            </w:pPr>
          </w:p>
          <w:p w14:paraId="359DF71C">
            <w:pPr>
              <w:keepNext w:val="0"/>
              <w:keepLines w:val="0"/>
              <w:suppressLineNumbers w:val="0"/>
              <w:spacing w:before="0" w:beforeAutospacing="0" w:after="0" w:afterAutospacing="0"/>
              <w:ind w:left="0" w:right="0"/>
              <w:rPr>
                <w:rFonts w:hint="default"/>
                <w:lang w:val="en-US" w:eastAsia="zh-CN"/>
              </w:rPr>
            </w:pPr>
          </w:p>
          <w:p w14:paraId="7924E8C3">
            <w:pPr>
              <w:pStyle w:val="21"/>
              <w:keepNext w:val="0"/>
              <w:keepLines w:val="0"/>
              <w:suppressLineNumbers w:val="0"/>
              <w:spacing w:before="0" w:beforeAutospacing="0" w:afterAutospacing="0"/>
              <w:ind w:right="0"/>
              <w:rPr>
                <w:rFonts w:hint="default"/>
                <w:lang w:val="en-US" w:eastAsia="zh-CN"/>
              </w:rPr>
            </w:pPr>
          </w:p>
          <w:p w14:paraId="51CF57DB">
            <w:pPr>
              <w:keepNext w:val="0"/>
              <w:keepLines w:val="0"/>
              <w:suppressLineNumbers w:val="0"/>
              <w:spacing w:before="0" w:beforeAutospacing="0" w:after="0" w:afterAutospacing="0"/>
              <w:ind w:left="0" w:right="0"/>
              <w:rPr>
                <w:rFonts w:hint="default"/>
                <w:lang w:val="en-US" w:eastAsia="zh-CN"/>
              </w:rPr>
            </w:pPr>
          </w:p>
          <w:p w14:paraId="70153178">
            <w:pPr>
              <w:pStyle w:val="21"/>
              <w:keepNext w:val="0"/>
              <w:keepLines w:val="0"/>
              <w:suppressLineNumbers w:val="0"/>
              <w:spacing w:before="0" w:beforeAutospacing="0" w:afterAutospacing="0"/>
              <w:ind w:right="0"/>
              <w:rPr>
                <w:rFonts w:hint="default"/>
                <w:lang w:val="en-US" w:eastAsia="zh-CN"/>
              </w:rPr>
            </w:pPr>
          </w:p>
          <w:p w14:paraId="516B392A">
            <w:pPr>
              <w:keepNext w:val="0"/>
              <w:keepLines w:val="0"/>
              <w:suppressLineNumbers w:val="0"/>
              <w:spacing w:before="0" w:beforeAutospacing="0" w:after="0" w:afterAutospacing="0"/>
              <w:ind w:left="0" w:right="0"/>
              <w:rPr>
                <w:rFonts w:hint="default"/>
                <w:lang w:val="en-US" w:eastAsia="zh-CN"/>
              </w:rPr>
            </w:pPr>
          </w:p>
          <w:p w14:paraId="2AD9DC3B">
            <w:pPr>
              <w:pStyle w:val="21"/>
              <w:keepNext w:val="0"/>
              <w:keepLines w:val="0"/>
              <w:suppressLineNumbers w:val="0"/>
              <w:spacing w:before="0" w:beforeAutospacing="0" w:afterAutospacing="0"/>
              <w:ind w:right="0"/>
              <w:rPr>
                <w:rFonts w:hint="default"/>
                <w:lang w:val="en-US" w:eastAsia="zh-CN"/>
              </w:rPr>
            </w:pPr>
          </w:p>
          <w:p w14:paraId="3F4F75DD">
            <w:pPr>
              <w:keepNext w:val="0"/>
              <w:keepLines w:val="0"/>
              <w:suppressLineNumbers w:val="0"/>
              <w:spacing w:before="0" w:beforeAutospacing="0" w:after="0" w:afterAutospacing="0"/>
              <w:ind w:left="0" w:right="0"/>
              <w:rPr>
                <w:rFonts w:hint="default"/>
                <w:lang w:val="en-US" w:eastAsia="zh-CN"/>
              </w:rPr>
            </w:pPr>
          </w:p>
          <w:p w14:paraId="0ECDF932">
            <w:pPr>
              <w:pStyle w:val="21"/>
              <w:keepNext w:val="0"/>
              <w:keepLines w:val="0"/>
              <w:suppressLineNumbers w:val="0"/>
              <w:spacing w:before="0" w:beforeAutospacing="0" w:afterAutospacing="0"/>
              <w:ind w:right="0"/>
              <w:rPr>
                <w:rFonts w:hint="default"/>
                <w:lang w:val="en-US" w:eastAsia="zh-CN"/>
              </w:rPr>
            </w:pPr>
          </w:p>
          <w:p w14:paraId="466CEE03">
            <w:pPr>
              <w:keepNext w:val="0"/>
              <w:keepLines w:val="0"/>
              <w:suppressLineNumbers w:val="0"/>
              <w:spacing w:before="0" w:beforeAutospacing="0" w:after="0" w:afterAutospacing="0"/>
              <w:ind w:left="0" w:right="0"/>
              <w:rPr>
                <w:rFonts w:hint="default"/>
                <w:lang w:val="en-US" w:eastAsia="zh-CN"/>
              </w:rPr>
            </w:pPr>
          </w:p>
          <w:p w14:paraId="7699CDC5">
            <w:pPr>
              <w:pStyle w:val="21"/>
              <w:keepNext w:val="0"/>
              <w:keepLines w:val="0"/>
              <w:suppressLineNumbers w:val="0"/>
              <w:spacing w:before="0" w:beforeAutospacing="0" w:afterAutospacing="0"/>
              <w:ind w:right="0"/>
              <w:rPr>
                <w:rFonts w:hint="default"/>
                <w:lang w:val="en-US" w:eastAsia="zh-CN"/>
              </w:rPr>
            </w:pPr>
          </w:p>
          <w:p w14:paraId="4463412D">
            <w:pPr>
              <w:keepNext w:val="0"/>
              <w:keepLines w:val="0"/>
              <w:suppressLineNumbers w:val="0"/>
              <w:spacing w:before="0" w:beforeAutospacing="0" w:after="0" w:afterAutospacing="0"/>
              <w:ind w:left="0" w:right="0"/>
              <w:rPr>
                <w:rFonts w:hint="default"/>
                <w:lang w:val="en-US" w:eastAsia="zh-CN"/>
              </w:rPr>
            </w:pPr>
          </w:p>
          <w:p w14:paraId="7914361A">
            <w:pPr>
              <w:pStyle w:val="21"/>
              <w:keepNext w:val="0"/>
              <w:keepLines w:val="0"/>
              <w:suppressLineNumbers w:val="0"/>
              <w:spacing w:before="0" w:beforeAutospacing="0" w:afterAutospacing="0"/>
              <w:ind w:right="0"/>
              <w:rPr>
                <w:rFonts w:hint="default"/>
                <w:lang w:val="en-US" w:eastAsia="zh-CN"/>
              </w:rPr>
            </w:pPr>
          </w:p>
          <w:p w14:paraId="4326C42D">
            <w:pPr>
              <w:keepNext w:val="0"/>
              <w:keepLines w:val="0"/>
              <w:suppressLineNumbers w:val="0"/>
              <w:spacing w:before="0" w:beforeAutospacing="0" w:after="0" w:afterAutospacing="0"/>
              <w:ind w:left="0" w:right="0"/>
              <w:rPr>
                <w:rFonts w:hint="default"/>
                <w:lang w:val="en-US" w:eastAsia="zh-CN"/>
              </w:rPr>
            </w:pPr>
          </w:p>
          <w:p w14:paraId="67F2376B">
            <w:pPr>
              <w:pStyle w:val="21"/>
              <w:keepNext w:val="0"/>
              <w:keepLines w:val="0"/>
              <w:suppressLineNumbers w:val="0"/>
              <w:spacing w:before="0" w:beforeAutospacing="0" w:afterAutospacing="0"/>
              <w:ind w:right="0"/>
              <w:rPr>
                <w:rFonts w:hint="default"/>
                <w:lang w:val="en-US" w:eastAsia="zh-CN"/>
              </w:rPr>
            </w:pPr>
          </w:p>
          <w:p w14:paraId="67A380FF">
            <w:pPr>
              <w:keepNext w:val="0"/>
              <w:keepLines w:val="0"/>
              <w:suppressLineNumbers w:val="0"/>
              <w:spacing w:before="0" w:beforeAutospacing="0" w:after="0" w:afterAutospacing="0"/>
              <w:ind w:left="0" w:right="0"/>
              <w:rPr>
                <w:rFonts w:hint="default"/>
                <w:lang w:val="en-US" w:eastAsia="zh-CN"/>
              </w:rPr>
            </w:pPr>
          </w:p>
          <w:p w14:paraId="12F4CECB">
            <w:pPr>
              <w:pStyle w:val="21"/>
              <w:keepNext w:val="0"/>
              <w:keepLines w:val="0"/>
              <w:suppressLineNumbers w:val="0"/>
              <w:spacing w:before="0" w:beforeAutospacing="0" w:afterAutospacing="0"/>
              <w:ind w:right="0"/>
              <w:rPr>
                <w:rFonts w:hint="default"/>
                <w:lang w:val="en-US" w:eastAsia="zh-CN"/>
              </w:rPr>
            </w:pPr>
          </w:p>
          <w:p w14:paraId="17BBA2AA">
            <w:pPr>
              <w:keepNext w:val="0"/>
              <w:keepLines w:val="0"/>
              <w:suppressLineNumbers w:val="0"/>
              <w:spacing w:before="0" w:beforeAutospacing="0" w:after="0" w:afterAutospacing="0"/>
              <w:ind w:left="0" w:right="0"/>
              <w:rPr>
                <w:rFonts w:hint="default"/>
                <w:lang w:val="en-US" w:eastAsia="zh-CN"/>
              </w:rPr>
            </w:pPr>
          </w:p>
          <w:p w14:paraId="537F51E7">
            <w:pPr>
              <w:pStyle w:val="21"/>
              <w:keepNext w:val="0"/>
              <w:keepLines w:val="0"/>
              <w:suppressLineNumbers w:val="0"/>
              <w:spacing w:before="0" w:beforeAutospacing="0" w:afterAutospacing="0"/>
              <w:ind w:right="0"/>
              <w:rPr>
                <w:rFonts w:hint="default"/>
                <w:lang w:val="en-US" w:eastAsia="zh-CN"/>
              </w:rPr>
            </w:pPr>
          </w:p>
          <w:p w14:paraId="0837147D">
            <w:pPr>
              <w:keepNext w:val="0"/>
              <w:keepLines w:val="0"/>
              <w:suppressLineNumbers w:val="0"/>
              <w:spacing w:before="0" w:beforeAutospacing="0" w:after="0" w:afterAutospacing="0"/>
              <w:ind w:left="0" w:right="0"/>
              <w:rPr>
                <w:rFonts w:hint="default"/>
                <w:lang w:val="en-US" w:eastAsia="zh-CN"/>
              </w:rPr>
            </w:pPr>
          </w:p>
          <w:p w14:paraId="7BE9968E">
            <w:pPr>
              <w:keepNext w:val="0"/>
              <w:keepLines w:val="0"/>
              <w:suppressLineNumbers w:val="0"/>
              <w:spacing w:before="0" w:beforeAutospacing="0" w:after="0" w:afterAutospacing="0"/>
              <w:ind w:left="0" w:right="0"/>
              <w:rPr>
                <w:rFonts w:hint="default"/>
                <w:lang w:val="en-US" w:eastAsia="zh-CN"/>
              </w:rPr>
            </w:pPr>
          </w:p>
          <w:p w14:paraId="599E2C82">
            <w:pPr>
              <w:pStyle w:val="21"/>
              <w:keepNext w:val="0"/>
              <w:keepLines w:val="0"/>
              <w:suppressLineNumbers w:val="0"/>
              <w:spacing w:before="0" w:beforeAutospacing="0" w:afterAutospacing="0"/>
              <w:ind w:right="0"/>
              <w:rPr>
                <w:rFonts w:hint="default"/>
                <w:lang w:val="en-US" w:eastAsia="zh-CN"/>
              </w:rPr>
            </w:pPr>
          </w:p>
        </w:tc>
      </w:tr>
    </w:tbl>
    <w:p w14:paraId="49EAE0BE">
      <w:pPr>
        <w:pStyle w:val="18"/>
        <w:jc w:val="center"/>
        <w:outlineLvl w:val="0"/>
        <w:rPr>
          <w:rFonts w:ascii="黑体" w:hAnsi="黑体" w:eastAsia="黑体"/>
          <w:snapToGrid w:val="0"/>
          <w:sz w:val="30"/>
          <w:szCs w:val="30"/>
        </w:rPr>
      </w:pPr>
      <w:r>
        <w:rPr>
          <w:rFonts w:hint="eastAsia" w:hAnsi="宋体" w:eastAsia="宋体"/>
          <w:sz w:val="24"/>
          <w:lang w:eastAsia="zh-CN"/>
        </w:rPr>
        <w:drawing>
          <wp:anchor distT="0" distB="0" distL="114300" distR="114300" simplePos="0" relativeHeight="251664384" behindDoc="0" locked="0" layoutInCell="1" allowOverlap="1">
            <wp:simplePos x="0" y="0"/>
            <wp:positionH relativeFrom="column">
              <wp:posOffset>-958215</wp:posOffset>
            </wp:positionH>
            <wp:positionV relativeFrom="paragraph">
              <wp:posOffset>-1054735</wp:posOffset>
            </wp:positionV>
            <wp:extent cx="7605395" cy="10523220"/>
            <wp:effectExtent l="0" t="0" r="14605" b="11430"/>
            <wp:wrapNone/>
            <wp:docPr id="28" name="图片 28" descr="11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11_03"/>
                    <pic:cNvPicPr>
                      <a:picLocks noChangeAspect="1"/>
                    </pic:cNvPicPr>
                  </pic:nvPicPr>
                  <pic:blipFill>
                    <a:blip r:embed="rId22"/>
                    <a:stretch>
                      <a:fillRect/>
                    </a:stretch>
                  </pic:blipFill>
                  <pic:spPr>
                    <a:xfrm>
                      <a:off x="0" y="0"/>
                      <a:ext cx="7605395" cy="10523220"/>
                    </a:xfrm>
                    <a:prstGeom prst="rect">
                      <a:avLst/>
                    </a:prstGeom>
                  </pic:spPr>
                </pic:pic>
              </a:graphicData>
            </a:graphic>
          </wp:anchor>
        </w:drawing>
      </w:r>
      <w:r>
        <w:rPr>
          <w:rFonts w:hint="eastAsia" w:ascii="黑体" w:hAnsi="黑体" w:eastAsia="黑体"/>
          <w:snapToGrid w:val="0"/>
          <w:sz w:val="30"/>
          <w:szCs w:val="30"/>
        </w:rPr>
        <w:t>六、结论</w:t>
      </w:r>
    </w:p>
    <w:tbl>
      <w:tblPr>
        <w:tblStyle w:val="22"/>
        <w:tblW w:w="96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639"/>
      </w:tblGrid>
      <w:tr w14:paraId="476C2D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677" w:hRule="atLeast"/>
          <w:jc w:val="center"/>
        </w:trPr>
        <w:tc>
          <w:tcPr>
            <w:tcW w:w="8865" w:type="dxa"/>
            <w:noWrap w:val="0"/>
            <w:vAlign w:val="top"/>
          </w:tcPr>
          <w:p w14:paraId="03BDF4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both"/>
              <w:textAlignment w:val="auto"/>
              <w:rPr>
                <w:rFonts w:hint="eastAsia" w:eastAsia="宋体"/>
                <w:lang w:eastAsia="zh-CN"/>
              </w:rPr>
            </w:pPr>
            <w:r>
              <w:rPr>
                <w:rFonts w:hint="default" w:ascii="Times New Roman" w:hAnsi="Times New Roman" w:cs="Times New Roman"/>
                <w:color w:val="000000"/>
                <w:sz w:val="24"/>
                <w:lang w:val="en-US" w:eastAsia="zh-CN"/>
              </w:rPr>
              <w:t>河南丰盛源纸业有限公司年生产23000吨食品级淋膜纸项目</w:t>
            </w:r>
            <w:r>
              <w:rPr>
                <w:rFonts w:hint="default" w:ascii="Times New Roman" w:hAnsi="Times New Roman" w:cs="Times New Roman"/>
                <w:sz w:val="24"/>
              </w:rPr>
              <w:t>选址位于</w:t>
            </w:r>
            <w:r>
              <w:rPr>
                <w:rFonts w:hint="eastAsia" w:cs="Times New Roman"/>
                <w:color w:val="auto"/>
                <w:sz w:val="24"/>
                <w:szCs w:val="24"/>
                <w:lang w:val="en-US" w:eastAsia="zh-CN"/>
              </w:rPr>
              <w:t>河南省新乡市新乡县七里营镇南位</w:t>
            </w:r>
            <w:r>
              <w:rPr>
                <w:rFonts w:hint="default" w:ascii="Times New Roman" w:hAnsi="Times New Roman" w:cs="Times New Roman"/>
                <w:color w:val="auto"/>
                <w:sz w:val="24"/>
                <w:szCs w:val="24"/>
                <w:lang w:val="en-US" w:eastAsia="zh-CN"/>
              </w:rPr>
              <w:t>庄村工业路698号</w:t>
            </w:r>
            <w:r>
              <w:rPr>
                <w:rFonts w:hint="default" w:ascii="Times New Roman" w:hAnsi="Times New Roman" w:eastAsia="宋体" w:cs="Times New Roman"/>
                <w:sz w:val="24"/>
                <w:szCs w:val="24"/>
              </w:rPr>
              <w:t>，</w:t>
            </w:r>
            <w:r>
              <w:rPr>
                <w:rFonts w:hint="default"/>
                <w:sz w:val="24"/>
                <w:szCs w:val="32"/>
              </w:rPr>
              <w:t>项目属于</w:t>
            </w:r>
            <w:r>
              <w:rPr>
                <w:rFonts w:hint="eastAsia"/>
                <w:sz w:val="24"/>
                <w:szCs w:val="32"/>
                <w:lang w:val="en-US" w:eastAsia="zh-CN"/>
              </w:rPr>
              <w:t>允许类</w:t>
            </w:r>
            <w:r>
              <w:rPr>
                <w:rFonts w:hint="default"/>
                <w:sz w:val="24"/>
                <w:szCs w:val="32"/>
              </w:rPr>
              <w:t>，符合国家产业政策，</w:t>
            </w:r>
            <w:r>
              <w:rPr>
                <w:rFonts w:hint="eastAsia"/>
                <w:sz w:val="24"/>
                <w:szCs w:val="32"/>
                <w:lang w:val="en-US" w:eastAsia="zh-CN"/>
              </w:rPr>
              <w:t>选址可行</w:t>
            </w:r>
            <w:r>
              <w:rPr>
                <w:rFonts w:hint="eastAsia" w:hAnsi="宋体"/>
                <w:sz w:val="24"/>
              </w:rPr>
              <w:t>。</w:t>
            </w:r>
            <w:r>
              <w:rPr>
                <w:rFonts w:hint="default" w:ascii="Times New Roman" w:hAnsi="Times New Roman" w:eastAsia="宋体" w:cs="Times New Roman"/>
                <w:sz w:val="24"/>
                <w:szCs w:val="24"/>
              </w:rPr>
              <w:t>项目产生的污染物经采用合理的环保措施治理后，均可做到妥善治理和处置，可以实现其经济效益、社会效益和环境效益的协调发展。因此，从环保角度分析，项目建设可行</w:t>
            </w:r>
            <w:r>
              <w:rPr>
                <w:rFonts w:hint="eastAsia" w:cs="Times New Roman"/>
                <w:sz w:val="24"/>
                <w:szCs w:val="24"/>
                <w:lang w:eastAsia="zh-CN"/>
              </w:rPr>
              <w:t>。</w:t>
            </w:r>
          </w:p>
          <w:p w14:paraId="2BDFB2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eastAsia" w:hAnsi="宋体"/>
                <w:sz w:val="24"/>
              </w:rPr>
            </w:pPr>
          </w:p>
          <w:p w14:paraId="3DE460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eastAsia" w:hAnsi="宋体" w:eastAsia="宋体"/>
                <w:sz w:val="24"/>
                <w:lang w:eastAsia="zh-CN"/>
              </w:rPr>
            </w:pPr>
          </w:p>
          <w:p w14:paraId="10342EBB">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0" w:firstLine="480" w:firstLineChars="200"/>
              <w:jc w:val="right"/>
              <w:textAlignment w:val="auto"/>
              <w:rPr>
                <w:rFonts w:hint="eastAsia" w:hAnsi="宋体"/>
                <w:sz w:val="24"/>
              </w:rPr>
            </w:pPr>
            <w:r>
              <w:rPr>
                <w:rFonts w:hint="eastAsia" w:hAnsi="宋体"/>
                <w:sz w:val="24"/>
              </w:rPr>
              <w:t>新乡市译洋环境技术有限公司</w:t>
            </w:r>
          </w:p>
          <w:p w14:paraId="4F4D3CB9">
            <w:pPr>
              <w:keepNext w:val="0"/>
              <w:keepLines w:val="0"/>
              <w:pageBreakBefore w:val="0"/>
              <w:suppressLineNumbers w:val="0"/>
              <w:kinsoku/>
              <w:wordWrap/>
              <w:overflowPunct/>
              <w:topLinePunct w:val="0"/>
              <w:autoSpaceDE/>
              <w:autoSpaceDN/>
              <w:bidi w:val="0"/>
              <w:adjustRightInd/>
              <w:snapToGrid/>
              <w:spacing w:before="0" w:beforeAutospacing="0" w:after="0" w:afterAutospacing="0" w:line="440" w:lineRule="exact"/>
              <w:ind w:left="0" w:right="720" w:firstLine="480" w:firstLineChars="200"/>
              <w:jc w:val="right"/>
              <w:textAlignment w:val="auto"/>
              <w:rPr>
                <w:rFonts w:hint="eastAsia" w:hAnsi="宋体"/>
                <w:sz w:val="24"/>
              </w:rPr>
            </w:pPr>
            <w:r>
              <w:rPr>
                <w:rFonts w:hint="eastAsia" w:hAnsi="宋体"/>
                <w:sz w:val="24"/>
              </w:rPr>
              <w:t>202</w:t>
            </w:r>
            <w:r>
              <w:rPr>
                <w:rFonts w:hint="eastAsia" w:hAnsi="宋体"/>
                <w:sz w:val="24"/>
                <w:lang w:val="en-US" w:eastAsia="zh-CN"/>
              </w:rPr>
              <w:t>5</w:t>
            </w:r>
            <w:r>
              <w:rPr>
                <w:rFonts w:hint="eastAsia" w:hAnsi="宋体"/>
                <w:sz w:val="24"/>
              </w:rPr>
              <w:t>年</w:t>
            </w:r>
            <w:r>
              <w:rPr>
                <w:rFonts w:hint="eastAsia" w:hAnsi="宋体"/>
                <w:sz w:val="24"/>
                <w:lang w:val="en-US" w:eastAsia="zh-CN"/>
              </w:rPr>
              <w:t>12</w:t>
            </w:r>
            <w:r>
              <w:rPr>
                <w:rFonts w:hint="eastAsia" w:hAnsi="宋体"/>
                <w:sz w:val="24"/>
              </w:rPr>
              <w:t>月</w:t>
            </w:r>
          </w:p>
          <w:p w14:paraId="4D07A432">
            <w:pPr>
              <w:keepNext w:val="0"/>
              <w:keepLines w:val="0"/>
              <w:suppressLineNumbers w:val="0"/>
              <w:spacing w:before="0" w:beforeAutospacing="0" w:after="0" w:afterAutospacing="0" w:line="440" w:lineRule="exact"/>
              <w:ind w:left="0" w:right="0" w:firstLine="480" w:firstLineChars="200"/>
              <w:rPr>
                <w:rFonts w:hint="eastAsia" w:hAnsi="宋体"/>
                <w:color w:val="FF0000"/>
                <w:sz w:val="24"/>
              </w:rPr>
            </w:pPr>
          </w:p>
          <w:p w14:paraId="793653D1">
            <w:pPr>
              <w:keepNext w:val="0"/>
              <w:keepLines w:val="0"/>
              <w:suppressLineNumbers w:val="0"/>
              <w:spacing w:before="0" w:beforeAutospacing="0" w:after="0" w:afterAutospacing="0" w:line="440" w:lineRule="exact"/>
              <w:ind w:left="0" w:right="0" w:firstLine="480" w:firstLineChars="200"/>
              <w:rPr>
                <w:rFonts w:hint="eastAsia" w:hAnsi="宋体"/>
                <w:sz w:val="24"/>
              </w:rPr>
            </w:pPr>
          </w:p>
          <w:p w14:paraId="62FD701F">
            <w:pPr>
              <w:keepNext w:val="0"/>
              <w:keepLines w:val="0"/>
              <w:suppressLineNumbers w:val="0"/>
              <w:spacing w:before="0" w:beforeAutospacing="0" w:after="0" w:afterAutospacing="0" w:line="720" w:lineRule="auto"/>
              <w:ind w:left="0" w:right="0"/>
              <w:jc w:val="both"/>
              <w:rPr>
                <w:rFonts w:hint="default"/>
                <w:sz w:val="24"/>
              </w:rPr>
            </w:pPr>
          </w:p>
        </w:tc>
      </w:tr>
    </w:tbl>
    <w:p w14:paraId="741808A3">
      <w:pPr>
        <w:pStyle w:val="18"/>
        <w:adjustRightInd w:val="0"/>
        <w:snapToGrid w:val="0"/>
        <w:spacing w:before="0" w:beforeAutospacing="0" w:after="0" w:afterAutospacing="0" w:line="240" w:lineRule="auto"/>
        <w:outlineLvl w:val="0"/>
        <w:rPr>
          <w:rFonts w:hint="eastAsia" w:ascii="黑体" w:hAnsi="黑体" w:eastAsia="黑体" w:cs="黑体"/>
          <w:snapToGrid w:val="0"/>
          <w:sz w:val="32"/>
          <w:szCs w:val="32"/>
        </w:rPr>
        <w:sectPr>
          <w:headerReference r:id="rId5" w:type="default"/>
          <w:footerReference r:id="rId6" w:type="default"/>
          <w:pgSz w:w="11906" w:h="16838"/>
          <w:pgMar w:top="1701" w:right="1417" w:bottom="1701" w:left="1417" w:header="851" w:footer="851" w:gutter="0"/>
          <w:pgBorders>
            <w:top w:val="none" w:sz="0" w:space="0"/>
            <w:left w:val="none" w:sz="0" w:space="0"/>
            <w:bottom w:val="none" w:sz="0" w:space="0"/>
            <w:right w:val="none" w:sz="0" w:space="0"/>
          </w:pgBorders>
          <w:pgNumType w:fmt="decimal" w:start="49"/>
          <w:cols w:space="720" w:num="1"/>
          <w:docGrid w:linePitch="312" w:charSpace="0"/>
        </w:sectPr>
      </w:pPr>
    </w:p>
    <w:p w14:paraId="0DD61405">
      <w:pPr>
        <w:pStyle w:val="18"/>
        <w:adjustRightInd w:val="0"/>
        <w:snapToGrid w:val="0"/>
        <w:spacing w:before="0" w:beforeAutospacing="0" w:after="0" w:afterAutospacing="0" w:line="240" w:lineRule="auto"/>
        <w:outlineLvl w:val="0"/>
        <w:rPr>
          <w:rFonts w:hint="eastAsia" w:ascii="黑体" w:hAnsi="黑体" w:eastAsia="黑体" w:cs="黑体"/>
          <w:snapToGrid w:val="0"/>
          <w:sz w:val="32"/>
          <w:szCs w:val="32"/>
          <w:lang w:val="en-US" w:eastAsia="zh-CN"/>
        </w:rPr>
      </w:pPr>
      <w:r>
        <w:rPr>
          <w:rFonts w:hint="eastAsia" w:ascii="黑体" w:hAnsi="黑体" w:eastAsia="黑体" w:cs="黑体"/>
          <w:snapToGrid w:val="0"/>
          <w:sz w:val="32"/>
          <w:szCs w:val="32"/>
        </w:rPr>
        <w:t>附表</w:t>
      </w:r>
      <w:r>
        <w:rPr>
          <w:rFonts w:hint="eastAsia" w:ascii="黑体" w:hAnsi="黑体" w:eastAsia="黑体" w:cs="黑体"/>
          <w:snapToGrid w:val="0"/>
          <w:sz w:val="32"/>
          <w:szCs w:val="32"/>
          <w:lang w:val="en-US" w:eastAsia="zh-CN"/>
        </w:rPr>
        <w:t xml:space="preserve">  </w:t>
      </w:r>
    </w:p>
    <w:p w14:paraId="6F5F1FF6">
      <w:pPr>
        <w:pStyle w:val="18"/>
        <w:adjustRightInd w:val="0"/>
        <w:snapToGrid w:val="0"/>
        <w:spacing w:before="0" w:beforeAutospacing="0" w:after="0" w:afterAutospacing="0" w:line="240" w:lineRule="auto"/>
        <w:jc w:val="right"/>
        <w:outlineLvl w:val="0"/>
        <w:rPr>
          <w:rFonts w:hint="default" w:ascii="方正小标宋_GBK" w:hAnsi="黑体" w:eastAsia="方正小标宋_GBK"/>
          <w:snapToGrid w:val="0"/>
          <w:sz w:val="38"/>
          <w:szCs w:val="38"/>
          <w:highlight w:val="none"/>
          <w:lang w:val="en-US" w:eastAsia="zh-CN"/>
        </w:rPr>
      </w:pPr>
      <w:r>
        <w:rPr>
          <w:rFonts w:hint="eastAsia" w:ascii="黑体" w:hAnsi="黑体" w:eastAsia="黑体" w:cs="黑体"/>
          <w:snapToGrid w:val="0"/>
          <w:sz w:val="38"/>
          <w:szCs w:val="38"/>
          <w:lang w:val="en-US" w:eastAsia="zh-CN"/>
        </w:rPr>
        <w:t xml:space="preserve">   </w:t>
      </w:r>
      <w:r>
        <w:rPr>
          <w:rFonts w:hint="eastAsia" w:ascii="黑体" w:hAnsi="黑体" w:eastAsia="黑体" w:cs="黑体"/>
          <w:snapToGrid w:val="0"/>
          <w:sz w:val="38"/>
          <w:szCs w:val="38"/>
          <w:highlight w:val="none"/>
          <w:lang w:val="en-US" w:eastAsia="zh-CN"/>
        </w:rPr>
        <w:t xml:space="preserve">   </w:t>
      </w:r>
      <w:r>
        <w:rPr>
          <w:rFonts w:hint="eastAsia" w:ascii="黑体" w:hAnsi="黑体" w:eastAsia="黑体" w:cs="黑体"/>
          <w:snapToGrid w:val="0"/>
          <w:sz w:val="38"/>
          <w:szCs w:val="38"/>
          <w:highlight w:val="none"/>
        </w:rPr>
        <w:t>建设项目污染物排放量汇总表</w:t>
      </w:r>
      <w:r>
        <w:rPr>
          <w:rFonts w:hint="eastAsia" w:ascii="方正小标宋_GBK" w:hAnsi="黑体" w:eastAsia="方正小标宋_GBK"/>
          <w:snapToGrid w:val="0"/>
          <w:sz w:val="38"/>
          <w:szCs w:val="38"/>
          <w:highlight w:val="none"/>
          <w:lang w:val="en-US" w:eastAsia="zh-CN"/>
        </w:rPr>
        <w:t xml:space="preserve">               </w:t>
      </w:r>
      <w:r>
        <w:rPr>
          <w:rFonts w:hint="default" w:ascii="Times New Roman" w:hAnsi="Times New Roman" w:cs="Times New Roman"/>
          <w:b/>
          <w:snapToGrid w:val="0"/>
          <w:sz w:val="21"/>
          <w:szCs w:val="21"/>
          <w:highlight w:val="none"/>
          <w:lang w:eastAsia="zh-CN"/>
        </w:rPr>
        <w:t>单位：t/a</w:t>
      </w:r>
    </w:p>
    <w:tbl>
      <w:tblPr>
        <w:tblStyle w:val="22"/>
        <w:tblpPr w:leftFromText="180" w:rightFromText="180" w:vertAnchor="text" w:horzAnchor="page" w:tblpXSpec="center" w:tblpY="259"/>
        <w:tblOverlap w:val="never"/>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1443"/>
        <w:gridCol w:w="1785"/>
        <w:gridCol w:w="1257"/>
        <w:gridCol w:w="1803"/>
        <w:gridCol w:w="1680"/>
        <w:gridCol w:w="1575"/>
        <w:gridCol w:w="2040"/>
        <w:gridCol w:w="1108"/>
      </w:tblGrid>
      <w:tr w14:paraId="5F447D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tcBorders>
              <w:tl2br w:val="single" w:color="auto" w:sz="4" w:space="0"/>
            </w:tcBorders>
            <w:noWrap w:val="0"/>
            <w:tcMar>
              <w:left w:w="28" w:type="dxa"/>
              <w:right w:w="28" w:type="dxa"/>
            </w:tcMar>
            <w:vAlign w:val="center"/>
          </w:tcPr>
          <w:p w14:paraId="68877EB6">
            <w:pPr>
              <w:pStyle w:val="50"/>
              <w:keepNext w:val="0"/>
              <w:keepLines w:val="0"/>
              <w:suppressLineNumbers w:val="0"/>
              <w:spacing w:before="0" w:beforeLines="0" w:beforeAutospacing="0" w:after="0" w:afterLines="0" w:afterAutospacing="0" w:line="240" w:lineRule="auto"/>
              <w:ind w:left="0" w:right="0"/>
              <w:jc w:val="right"/>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项目</w:t>
            </w:r>
          </w:p>
          <w:p w14:paraId="66638793">
            <w:pPr>
              <w:pStyle w:val="50"/>
              <w:keepNext w:val="0"/>
              <w:keepLines w:val="0"/>
              <w:suppressLineNumbers w:val="0"/>
              <w:spacing w:before="0" w:beforeLines="0" w:beforeAutospacing="0" w:after="0" w:afterLines="0" w:afterAutospacing="0" w:line="240" w:lineRule="auto"/>
              <w:ind w:left="0" w:right="0"/>
              <w:jc w:val="left"/>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分类</w:t>
            </w:r>
          </w:p>
        </w:tc>
        <w:tc>
          <w:tcPr>
            <w:tcW w:w="1443" w:type="dxa"/>
            <w:noWrap w:val="0"/>
            <w:tcMar>
              <w:left w:w="28" w:type="dxa"/>
              <w:right w:w="28" w:type="dxa"/>
            </w:tcMar>
            <w:vAlign w:val="center"/>
          </w:tcPr>
          <w:p w14:paraId="5996C983">
            <w:pPr>
              <w:pStyle w:val="50"/>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污染物名称</w:t>
            </w:r>
          </w:p>
        </w:tc>
        <w:tc>
          <w:tcPr>
            <w:tcW w:w="1785" w:type="dxa"/>
            <w:noWrap w:val="0"/>
            <w:tcMar>
              <w:left w:w="28" w:type="dxa"/>
              <w:right w:w="28" w:type="dxa"/>
            </w:tcMar>
            <w:vAlign w:val="center"/>
          </w:tcPr>
          <w:p w14:paraId="16D92337">
            <w:pPr>
              <w:pStyle w:val="50"/>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现有工程排放量（固体废物产生量）</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instrText xml:space="preserve"> = 1 \* GB3 \* MERGEFORMAT </w:instrTex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①</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end"/>
            </w:r>
          </w:p>
        </w:tc>
        <w:tc>
          <w:tcPr>
            <w:tcW w:w="1257" w:type="dxa"/>
            <w:noWrap w:val="0"/>
            <w:tcMar>
              <w:left w:w="28" w:type="dxa"/>
              <w:right w:w="28" w:type="dxa"/>
            </w:tcMar>
            <w:vAlign w:val="center"/>
          </w:tcPr>
          <w:p w14:paraId="3D6DDF43">
            <w:pPr>
              <w:pStyle w:val="50"/>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现有工程许可排放量</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instrText xml:space="preserve"> = 2 \* GB3 \* MERGEFORMAT </w:instrTex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separate"/>
            </w:r>
            <w:r>
              <w:rPr>
                <w:rFonts w:hint="default" w:ascii="黑体" w:hAnsi="黑体" w:eastAsia="黑体"/>
                <w:snapToGrid w:val="0"/>
                <w:color w:val="000000" w:themeColor="text1"/>
                <w:spacing w:val="-6"/>
                <w:kern w:val="21"/>
                <w:sz w:val="21"/>
                <w:szCs w:val="21"/>
                <w:highlight w:val="none"/>
                <w:lang w:val="en-US" w:eastAsia="zh-CN"/>
                <w14:textFill>
                  <w14:solidFill>
                    <w14:schemeClr w14:val="tx1"/>
                  </w14:solidFill>
                </w14:textFill>
              </w:rPr>
              <w:t>②</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end"/>
            </w:r>
          </w:p>
        </w:tc>
        <w:tc>
          <w:tcPr>
            <w:tcW w:w="1803" w:type="dxa"/>
            <w:noWrap w:val="0"/>
            <w:tcMar>
              <w:left w:w="28" w:type="dxa"/>
              <w:right w:w="28" w:type="dxa"/>
            </w:tcMar>
            <w:vAlign w:val="center"/>
          </w:tcPr>
          <w:p w14:paraId="33F74D08">
            <w:pPr>
              <w:pStyle w:val="50"/>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在建工程排放量（固体废物产生量）</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instrText xml:space="preserve"> = 3 \* GB3 \* MERGEFORMAT </w:instrTex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③</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end"/>
            </w:r>
          </w:p>
        </w:tc>
        <w:tc>
          <w:tcPr>
            <w:tcW w:w="1680" w:type="dxa"/>
            <w:noWrap w:val="0"/>
            <w:tcMar>
              <w:left w:w="28" w:type="dxa"/>
              <w:right w:w="28" w:type="dxa"/>
            </w:tcMar>
            <w:vAlign w:val="center"/>
          </w:tcPr>
          <w:p w14:paraId="5AAE4EFC">
            <w:pPr>
              <w:pStyle w:val="50"/>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本项目排放量（固体废物产生量）</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instrText xml:space="preserve"> = 4 \* GB3 \* MERGEFORMAT </w:instrTex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④</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end"/>
            </w:r>
          </w:p>
        </w:tc>
        <w:tc>
          <w:tcPr>
            <w:tcW w:w="1575" w:type="dxa"/>
            <w:noWrap w:val="0"/>
            <w:tcMar>
              <w:left w:w="28" w:type="dxa"/>
              <w:right w:w="28" w:type="dxa"/>
            </w:tcMar>
            <w:vAlign w:val="center"/>
          </w:tcPr>
          <w:p w14:paraId="4531761D">
            <w:pPr>
              <w:pStyle w:val="50"/>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16"/>
                <w:kern w:val="21"/>
                <w:sz w:val="21"/>
                <w:szCs w:val="21"/>
                <w:highlight w:val="none"/>
                <w:lang w:val="en-US" w:eastAsia="zh-CN"/>
                <w14:textFill>
                  <w14:solidFill>
                    <w14:schemeClr w14:val="tx1"/>
                  </w14:solidFill>
                </w14:textFill>
              </w:rPr>
              <w:t>以新带老削减量（新建项目不填）</w: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instrText xml:space="preserve"> = 5 \* GB3 \* MERGEFORMAT </w:instrTex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⑤</w: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end"/>
            </w:r>
          </w:p>
        </w:tc>
        <w:tc>
          <w:tcPr>
            <w:tcW w:w="2040" w:type="dxa"/>
            <w:noWrap w:val="0"/>
            <w:tcMar>
              <w:left w:w="28" w:type="dxa"/>
              <w:right w:w="28" w:type="dxa"/>
            </w:tcMar>
            <w:vAlign w:val="center"/>
          </w:tcPr>
          <w:p w14:paraId="3BA89EB4">
            <w:pPr>
              <w:pStyle w:val="50"/>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16"/>
                <w:kern w:val="21"/>
                <w:sz w:val="21"/>
                <w:szCs w:val="21"/>
                <w:highlight w:val="none"/>
                <w:lang w:val="en-US" w:eastAsia="zh-CN"/>
                <w14:textFill>
                  <w14:solidFill>
                    <w14:schemeClr w14:val="tx1"/>
                  </w14:solidFill>
                </w14:textFill>
              </w:rPr>
              <w:t>本项目建成后全厂排放量（固体废物产生量）</w: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instrText xml:space="preserve"> = 6 \* GB3 \* MERGEFORMAT </w:instrTex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⑥</w:t>
            </w:r>
            <w:r>
              <w:rPr>
                <w:rFonts w:hint="default" w:ascii="Times New Roman" w:eastAsia="黑体"/>
                <w:snapToGrid w:val="0"/>
                <w:color w:val="000000" w:themeColor="text1"/>
                <w:spacing w:val="-16"/>
                <w:kern w:val="21"/>
                <w:sz w:val="21"/>
                <w:szCs w:val="21"/>
                <w:highlight w:val="none"/>
                <w:lang w:val="en-US" w:eastAsia="zh-CN"/>
                <w14:textFill>
                  <w14:solidFill>
                    <w14:schemeClr w14:val="tx1"/>
                  </w14:solidFill>
                </w14:textFill>
              </w:rPr>
              <w:fldChar w:fldCharType="end"/>
            </w:r>
          </w:p>
        </w:tc>
        <w:tc>
          <w:tcPr>
            <w:tcW w:w="1108" w:type="dxa"/>
            <w:noWrap w:val="0"/>
            <w:tcMar>
              <w:left w:w="28" w:type="dxa"/>
              <w:right w:w="28" w:type="dxa"/>
            </w:tcMar>
            <w:vAlign w:val="center"/>
          </w:tcPr>
          <w:p w14:paraId="2F3DAF60">
            <w:pPr>
              <w:pStyle w:val="50"/>
              <w:keepNext w:val="0"/>
              <w:keepLines w:val="0"/>
              <w:suppressLineNumbers w:val="0"/>
              <w:spacing w:before="0" w:beforeLines="0" w:beforeAutospacing="0" w:after="0" w:afterLines="0" w:afterAutospacing="0" w:line="240" w:lineRule="auto"/>
              <w:ind w:left="0" w:right="0"/>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pPr>
            <w:r>
              <w:rPr>
                <w:rFonts w:hint="default" w:ascii="Times New Roman" w:hAnsi="黑体" w:eastAsia="黑体"/>
                <w:snapToGrid w:val="0"/>
                <w:color w:val="000000" w:themeColor="text1"/>
                <w:spacing w:val="-6"/>
                <w:kern w:val="21"/>
                <w:sz w:val="21"/>
                <w:szCs w:val="21"/>
                <w:highlight w:val="none"/>
                <w:lang w:val="en-US" w:eastAsia="zh-CN"/>
                <w14:textFill>
                  <w14:solidFill>
                    <w14:schemeClr w14:val="tx1"/>
                  </w14:solidFill>
                </w14:textFill>
              </w:rPr>
              <w:t>变化量</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begin"/>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instrText xml:space="preserve"> = 7 \* GB3 \* MERGEFORMAT </w:instrTex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separate"/>
            </w:r>
            <w:r>
              <w:rPr>
                <w:rFonts w:hint="default" w:ascii="黑体" w:hAnsi="黑体" w:eastAsia="黑体"/>
                <w:color w:val="000000" w:themeColor="text1"/>
                <w:kern w:val="2"/>
                <w:sz w:val="21"/>
                <w:szCs w:val="21"/>
                <w:highlight w:val="none"/>
                <w:lang w:val="en-US" w:eastAsia="zh-CN"/>
                <w14:textFill>
                  <w14:solidFill>
                    <w14:schemeClr w14:val="tx1"/>
                  </w14:solidFill>
                </w14:textFill>
              </w:rPr>
              <w:t>⑦</w:t>
            </w:r>
            <w:r>
              <w:rPr>
                <w:rFonts w:hint="default" w:ascii="Times New Roman" w:eastAsia="黑体"/>
                <w:snapToGrid w:val="0"/>
                <w:color w:val="000000" w:themeColor="text1"/>
                <w:spacing w:val="-6"/>
                <w:kern w:val="21"/>
                <w:sz w:val="21"/>
                <w:szCs w:val="21"/>
                <w:highlight w:val="none"/>
                <w:lang w:val="en-US" w:eastAsia="zh-CN"/>
                <w14:textFill>
                  <w14:solidFill>
                    <w14:schemeClr w14:val="tx1"/>
                  </w14:solidFill>
                </w14:textFill>
              </w:rPr>
              <w:fldChar w:fldCharType="end"/>
            </w:r>
          </w:p>
        </w:tc>
      </w:tr>
      <w:tr w14:paraId="60DBE1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noWrap w:val="0"/>
            <w:vAlign w:val="center"/>
          </w:tcPr>
          <w:p w14:paraId="652401B1">
            <w:pPr>
              <w:pStyle w:val="50"/>
              <w:keepNext w:val="0"/>
              <w:keepLines w:val="0"/>
              <w:suppressLineNumbers w:val="0"/>
              <w:spacing w:before="0" w:beforeLines="0" w:beforeAutospacing="0" w:after="0" w:afterLines="0" w:afterAutospacing="0" w:line="240" w:lineRule="auto"/>
              <w:ind w:left="0" w:right="0"/>
              <w:rPr>
                <w:rFonts w:hint="default" w:ascii="Times New Roman"/>
                <w:snapToGrid w:val="0"/>
                <w:color w:val="000000" w:themeColor="text1"/>
                <w:kern w:val="21"/>
                <w:sz w:val="21"/>
                <w:szCs w:val="21"/>
                <w:highlight w:val="none"/>
                <w:lang w:val="en-US" w:eastAsia="zh-CN"/>
                <w14:textFill>
                  <w14:solidFill>
                    <w14:schemeClr w14:val="tx1"/>
                  </w14:solidFill>
                </w14:textFill>
              </w:rPr>
            </w:pPr>
            <w:r>
              <w:rPr>
                <w:rFonts w:hint="eastAsia" w:ascii="Times New Roman"/>
                <w:snapToGrid w:val="0"/>
                <w:color w:val="000000" w:themeColor="text1"/>
                <w:kern w:val="21"/>
                <w:sz w:val="21"/>
                <w:szCs w:val="21"/>
                <w:highlight w:val="none"/>
                <w:lang w:val="en-US" w:eastAsia="zh-CN"/>
                <w14:textFill>
                  <w14:solidFill>
                    <w14:schemeClr w14:val="tx1"/>
                  </w14:solidFill>
                </w14:textFill>
              </w:rPr>
              <w:t>废气</w:t>
            </w:r>
          </w:p>
        </w:tc>
        <w:tc>
          <w:tcPr>
            <w:tcW w:w="1443" w:type="dxa"/>
            <w:noWrap w:val="0"/>
            <w:vAlign w:val="center"/>
          </w:tcPr>
          <w:p w14:paraId="780D7D64">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r>
              <w:rPr>
                <w:rFonts w:hint="eastAsia"/>
                <w:b w:val="0"/>
                <w:bCs w:val="0"/>
                <w:color w:val="auto"/>
                <w:sz w:val="21"/>
                <w:szCs w:val="21"/>
                <w:vertAlign w:val="baseline"/>
                <w:lang w:val="en-US" w:eastAsia="zh-CN"/>
              </w:rPr>
              <w:t>非甲烷总烃</w:t>
            </w:r>
          </w:p>
        </w:tc>
        <w:tc>
          <w:tcPr>
            <w:tcW w:w="1785" w:type="dxa"/>
            <w:noWrap w:val="0"/>
            <w:vAlign w:val="center"/>
          </w:tcPr>
          <w:p w14:paraId="09BD0891">
            <w:pPr>
              <w:keepNext w:val="0"/>
              <w:keepLines w:val="0"/>
              <w:suppressLineNumbers w:val="0"/>
              <w:spacing w:before="0" w:beforeAutospacing="0" w:after="0" w:afterAutospacing="0"/>
              <w:ind w:left="0" w:right="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7A15A2D8">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77BD336F">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467E319B">
            <w:pPr>
              <w:keepNext w:val="0"/>
              <w:keepLines w:val="0"/>
              <w:suppressLineNumbers w:val="0"/>
              <w:spacing w:before="0" w:beforeAutospacing="0" w:after="0" w:afterAutospacing="0"/>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0.2199</w:t>
            </w:r>
          </w:p>
        </w:tc>
        <w:tc>
          <w:tcPr>
            <w:tcW w:w="1575" w:type="dxa"/>
            <w:noWrap w:val="0"/>
            <w:vAlign w:val="center"/>
          </w:tcPr>
          <w:p w14:paraId="0F14CEB9">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3923D03F">
            <w:pPr>
              <w:keepNext w:val="0"/>
              <w:keepLines w:val="0"/>
              <w:suppressLineNumbers w:val="0"/>
              <w:spacing w:before="0" w:beforeAutospacing="0" w:after="0" w:afterAutospacing="0"/>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0.2199</w:t>
            </w:r>
          </w:p>
        </w:tc>
        <w:tc>
          <w:tcPr>
            <w:tcW w:w="1108" w:type="dxa"/>
            <w:noWrap w:val="0"/>
            <w:vAlign w:val="center"/>
          </w:tcPr>
          <w:p w14:paraId="4FA5A254">
            <w:pPr>
              <w:keepNext w:val="0"/>
              <w:keepLines w:val="0"/>
              <w:suppressLineNumbers w:val="0"/>
              <w:spacing w:before="0" w:beforeAutospacing="0" w:after="0" w:afterAutospacing="0"/>
              <w:ind w:left="0" w:leftChars="0" w:right="0" w:right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+0.2199</w:t>
            </w:r>
          </w:p>
        </w:tc>
      </w:tr>
      <w:tr w14:paraId="495277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restart"/>
            <w:noWrap w:val="0"/>
            <w:vAlign w:val="center"/>
          </w:tcPr>
          <w:p w14:paraId="67BEF12C">
            <w:pPr>
              <w:pStyle w:val="50"/>
              <w:keepNext w:val="0"/>
              <w:keepLines w:val="0"/>
              <w:suppressLineNumbers w:val="0"/>
              <w:spacing w:before="24" w:beforeAutospacing="0" w:after="24" w:afterAutospacing="0"/>
              <w:ind w:left="0" w:right="0"/>
              <w:rPr>
                <w:rFonts w:hint="default" w:ascii="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t>废水</w:t>
            </w:r>
          </w:p>
        </w:tc>
        <w:tc>
          <w:tcPr>
            <w:tcW w:w="1443" w:type="dxa"/>
            <w:noWrap w:val="0"/>
            <w:vAlign w:val="center"/>
          </w:tcPr>
          <w:p w14:paraId="01542050">
            <w:pPr>
              <w:keepNext w:val="0"/>
              <w:keepLines w:val="0"/>
              <w:suppressLineNumbers w:val="0"/>
              <w:tabs>
                <w:tab w:val="left" w:pos="3620"/>
              </w:tabs>
              <w:adjustRightInd w:val="0"/>
              <w:snapToGrid w:val="0"/>
              <w:spacing w:before="0" w:beforeAutospacing="0" w:after="0" w:afterAutospacing="0"/>
              <w:ind w:left="0" w:right="0"/>
              <w:jc w:val="center"/>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14:textFill>
                  <w14:solidFill>
                    <w14:schemeClr w14:val="tx1"/>
                  </w14:solidFill>
                </w14:textFill>
              </w:rPr>
              <w:t>COD</w:t>
            </w:r>
          </w:p>
        </w:tc>
        <w:tc>
          <w:tcPr>
            <w:tcW w:w="1785" w:type="dxa"/>
            <w:noWrap w:val="0"/>
            <w:vAlign w:val="center"/>
          </w:tcPr>
          <w:p w14:paraId="514D3FAB">
            <w:pPr>
              <w:keepNext w:val="0"/>
              <w:keepLines w:val="0"/>
              <w:suppressLineNumbers w:val="0"/>
              <w:spacing w:before="0" w:beforeAutospacing="0" w:after="0" w:afterAutospacing="0"/>
              <w:ind w:left="0" w:leftChars="0" w:right="0" w:right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597762E7">
            <w:pPr>
              <w:keepNext w:val="0"/>
              <w:keepLines w:val="0"/>
              <w:suppressLineNumbers w:val="0"/>
              <w:spacing w:before="0" w:beforeAutospacing="0" w:after="0" w:afterAutospacing="0"/>
              <w:ind w:left="0" w:leftChars="0" w:right="0" w:rightChars="0"/>
              <w:jc w:val="center"/>
              <w:rPr>
                <w:rFonts w:hint="eastAsia" w:eastAsia="宋体"/>
                <w:color w:val="000000" w:themeColor="text1"/>
                <w:sz w:val="21"/>
                <w:szCs w:val="21"/>
                <w:highlight w:val="none"/>
                <w:lang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4AD3B78B">
            <w:pPr>
              <w:keepNext w:val="0"/>
              <w:keepLines w:val="0"/>
              <w:suppressLineNumbers w:val="0"/>
              <w:spacing w:before="0" w:beforeAutospacing="0" w:after="0" w:afterAutospacing="0"/>
              <w:ind w:left="0" w:leftChars="0" w:right="0" w:right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33D749F9">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575" w:type="dxa"/>
            <w:noWrap w:val="0"/>
            <w:vAlign w:val="center"/>
          </w:tcPr>
          <w:p w14:paraId="753D3D27">
            <w:pPr>
              <w:keepNext w:val="0"/>
              <w:keepLines w:val="0"/>
              <w:suppressLineNumbers w:val="0"/>
              <w:spacing w:before="0" w:beforeAutospacing="0" w:after="0" w:afterAutospacing="0"/>
              <w:ind w:left="0" w:leftChars="0" w:right="0" w:rightChars="0"/>
              <w:jc w:val="center"/>
              <w:rPr>
                <w:rFonts w:hint="default"/>
                <w:color w:val="000000" w:themeColor="text1"/>
                <w:sz w:val="21"/>
                <w:szCs w:val="21"/>
                <w:highlight w:val="none"/>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564FD99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108" w:type="dxa"/>
            <w:noWrap w:val="0"/>
            <w:vAlign w:val="center"/>
          </w:tcPr>
          <w:p w14:paraId="2AD5FE9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r>
      <w:tr w14:paraId="0BCF9A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6034AF1B">
            <w:pPr>
              <w:pStyle w:val="50"/>
              <w:keepNext w:val="0"/>
              <w:keepLines w:val="0"/>
              <w:suppressLineNumbers w:val="0"/>
              <w:spacing w:before="24" w:beforeAutospacing="0" w:after="24" w:afterAutospacing="0"/>
              <w:ind w:left="0" w:right="0"/>
              <w:rPr>
                <w:rFonts w:hint="default" w:ascii="Times New Roman"/>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3DD03A58">
            <w:pPr>
              <w:keepNext w:val="0"/>
              <w:keepLines w:val="0"/>
              <w:suppressLineNumbers w:val="0"/>
              <w:tabs>
                <w:tab w:val="left" w:pos="3620"/>
              </w:tabs>
              <w:adjustRightInd w:val="0"/>
              <w:snapToGrid w:val="0"/>
              <w:spacing w:before="0" w:beforeAutospacing="0" w:after="0" w:afterAutospacing="0"/>
              <w:ind w:left="0" w:right="0"/>
              <w:jc w:val="center"/>
              <w:rPr>
                <w:rFonts w:hint="default"/>
                <w:color w:val="000000" w:themeColor="text1"/>
                <w:sz w:val="21"/>
                <w:szCs w:val="21"/>
                <w:highlight w:val="none"/>
                <w14:textFill>
                  <w14:solidFill>
                    <w14:schemeClr w14:val="tx1"/>
                  </w14:solidFill>
                </w14:textFill>
              </w:rPr>
            </w:pPr>
            <w:r>
              <w:rPr>
                <w:rFonts w:hint="default"/>
                <w:color w:val="000000" w:themeColor="text1"/>
                <w:sz w:val="21"/>
                <w:szCs w:val="21"/>
                <w:highlight w:val="none"/>
                <w14:textFill>
                  <w14:solidFill>
                    <w14:schemeClr w14:val="tx1"/>
                  </w14:solidFill>
                </w14:textFill>
              </w:rPr>
              <w:t>NH</w:t>
            </w:r>
            <w:r>
              <w:rPr>
                <w:rFonts w:hint="default"/>
                <w:color w:val="000000" w:themeColor="text1"/>
                <w:sz w:val="21"/>
                <w:szCs w:val="21"/>
                <w:highlight w:val="none"/>
                <w:vertAlign w:val="subscript"/>
                <w14:textFill>
                  <w14:solidFill>
                    <w14:schemeClr w14:val="tx1"/>
                  </w14:solidFill>
                </w14:textFill>
              </w:rPr>
              <w:t>3</w:t>
            </w:r>
            <w:r>
              <w:rPr>
                <w:rFonts w:hint="default"/>
                <w:color w:val="000000" w:themeColor="text1"/>
                <w:sz w:val="21"/>
                <w:szCs w:val="21"/>
                <w:highlight w:val="none"/>
                <w14:textFill>
                  <w14:solidFill>
                    <w14:schemeClr w14:val="tx1"/>
                  </w14:solidFill>
                </w14:textFill>
              </w:rPr>
              <w:t>-N</w:t>
            </w:r>
          </w:p>
        </w:tc>
        <w:tc>
          <w:tcPr>
            <w:tcW w:w="1785" w:type="dxa"/>
            <w:noWrap w:val="0"/>
            <w:vAlign w:val="center"/>
          </w:tcPr>
          <w:p w14:paraId="3BA72B1F">
            <w:pPr>
              <w:keepNext w:val="0"/>
              <w:keepLines w:val="0"/>
              <w:suppressLineNumbers w:val="0"/>
              <w:spacing w:before="0" w:beforeAutospacing="0" w:after="0" w:afterAutospacing="0"/>
              <w:ind w:left="0" w:leftChars="0" w:right="0" w:right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00862B09">
            <w:pPr>
              <w:keepNext w:val="0"/>
              <w:keepLines w:val="0"/>
              <w:suppressLineNumbers w:val="0"/>
              <w:spacing w:before="0" w:beforeAutospacing="0" w:after="0" w:afterAutospacing="0"/>
              <w:ind w:left="0" w:leftChars="0" w:right="0" w:rightChars="0"/>
              <w:jc w:val="center"/>
              <w:rPr>
                <w:rFonts w:hint="eastAsia" w:eastAsia="宋体"/>
                <w:color w:val="000000" w:themeColor="text1"/>
                <w:sz w:val="21"/>
                <w:szCs w:val="21"/>
                <w:highlight w:val="none"/>
                <w:lang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49B9DC31">
            <w:pPr>
              <w:keepNext w:val="0"/>
              <w:keepLines w:val="0"/>
              <w:suppressLineNumbers w:val="0"/>
              <w:spacing w:before="0" w:beforeAutospacing="0" w:after="0" w:afterAutospacing="0"/>
              <w:ind w:left="0" w:leftChars="0" w:right="0" w:rightChars="0"/>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56ABC2E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575" w:type="dxa"/>
            <w:noWrap w:val="0"/>
            <w:vAlign w:val="center"/>
          </w:tcPr>
          <w:p w14:paraId="227BC733">
            <w:pPr>
              <w:keepNext w:val="0"/>
              <w:keepLines w:val="0"/>
              <w:suppressLineNumbers w:val="0"/>
              <w:spacing w:before="0" w:beforeAutospacing="0" w:after="0" w:afterAutospacing="0"/>
              <w:ind w:left="0" w:leftChars="0" w:right="0" w:rightChars="0"/>
              <w:jc w:val="center"/>
              <w:rPr>
                <w:rFonts w:hint="default"/>
                <w:color w:val="000000" w:themeColor="text1"/>
                <w:sz w:val="21"/>
                <w:szCs w:val="21"/>
                <w:highlight w:val="none"/>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15C9390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c>
          <w:tcPr>
            <w:tcW w:w="1108" w:type="dxa"/>
            <w:noWrap w:val="0"/>
            <w:vAlign w:val="center"/>
          </w:tcPr>
          <w:p w14:paraId="02E66A1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w:t>
            </w:r>
          </w:p>
        </w:tc>
      </w:tr>
      <w:tr w14:paraId="7295EB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restart"/>
            <w:noWrap w:val="0"/>
            <w:vAlign w:val="center"/>
          </w:tcPr>
          <w:p w14:paraId="4AB11A8E">
            <w:pPr>
              <w:pStyle w:val="50"/>
              <w:keepNext w:val="0"/>
              <w:keepLines w:val="0"/>
              <w:suppressLineNumbers w:val="0"/>
              <w:spacing w:before="0" w:beforeLines="0" w:beforeAutospacing="0" w:after="0" w:afterLines="0" w:afterAutospacing="0" w:line="240" w:lineRule="auto"/>
              <w:ind w:left="0" w:right="0"/>
              <w:rPr>
                <w:rFonts w:hint="default" w:ascii="Times New Roman"/>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t>一般工业</w:t>
            </w:r>
          </w:p>
          <w:p w14:paraId="2AA4E2C4">
            <w:pPr>
              <w:pStyle w:val="50"/>
              <w:keepNext w:val="0"/>
              <w:keepLines w:val="0"/>
              <w:suppressLineNumbers w:val="0"/>
              <w:spacing w:before="0" w:beforeLines="0" w:beforeAutospacing="0" w:after="0" w:afterLines="0" w:afterAutospacing="0" w:line="240" w:lineRule="auto"/>
              <w:ind w:left="0" w:right="0"/>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r>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t>固体废物</w:t>
            </w:r>
          </w:p>
        </w:tc>
        <w:tc>
          <w:tcPr>
            <w:tcW w:w="1443" w:type="dxa"/>
            <w:noWrap w:val="0"/>
            <w:vAlign w:val="center"/>
          </w:tcPr>
          <w:p w14:paraId="6A215C5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snapToGrid w:val="0"/>
                <w:color w:val="000000" w:themeColor="text1"/>
                <w:kern w:val="21"/>
                <w:sz w:val="21"/>
                <w:szCs w:val="21"/>
                <w:highlight w:val="none"/>
                <w:lang w:val="en-US" w:eastAsia="zh-CN"/>
                <w14:textFill>
                  <w14:solidFill>
                    <w14:schemeClr w14:val="tx1"/>
                  </w14:solidFill>
                </w14:textFill>
              </w:rPr>
            </w:pPr>
            <w:r>
              <w:rPr>
                <w:rFonts w:hint="eastAsia" w:hAnsi="宋体"/>
                <w:sz w:val="21"/>
                <w:szCs w:val="21"/>
              </w:rPr>
              <w:t>废</w:t>
            </w:r>
            <w:r>
              <w:rPr>
                <w:rFonts w:hint="eastAsia" w:hAnsi="宋体"/>
                <w:sz w:val="21"/>
                <w:szCs w:val="21"/>
                <w:lang w:val="en-US" w:eastAsia="zh-CN"/>
              </w:rPr>
              <w:t>包装物</w:t>
            </w:r>
          </w:p>
        </w:tc>
        <w:tc>
          <w:tcPr>
            <w:tcW w:w="1785" w:type="dxa"/>
            <w:noWrap w:val="0"/>
            <w:vAlign w:val="center"/>
          </w:tcPr>
          <w:p w14:paraId="166B1AD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3D32E66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15B09A37">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0F62289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25</w:t>
            </w:r>
          </w:p>
        </w:tc>
        <w:tc>
          <w:tcPr>
            <w:tcW w:w="1575" w:type="dxa"/>
            <w:noWrap w:val="0"/>
            <w:vAlign w:val="center"/>
          </w:tcPr>
          <w:p w14:paraId="6C5410DE">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6166F8E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25</w:t>
            </w:r>
          </w:p>
        </w:tc>
        <w:tc>
          <w:tcPr>
            <w:tcW w:w="1108" w:type="dxa"/>
            <w:noWrap w:val="0"/>
            <w:vAlign w:val="center"/>
          </w:tcPr>
          <w:p w14:paraId="4D02AD1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25</w:t>
            </w:r>
          </w:p>
        </w:tc>
      </w:tr>
      <w:tr w14:paraId="5CE6B2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5B0CA5E3">
            <w:pPr>
              <w:pStyle w:val="50"/>
              <w:keepNext w:val="0"/>
              <w:keepLines w:val="0"/>
              <w:suppressLineNumbers w:val="0"/>
              <w:spacing w:before="0" w:beforeLines="0" w:beforeAutospacing="0" w:after="0" w:afterLines="0" w:afterAutospacing="0" w:line="240" w:lineRule="auto"/>
              <w:ind w:left="0" w:right="0"/>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3B9B00C8">
            <w:pPr>
              <w:keepNext w:val="0"/>
              <w:keepLines w:val="0"/>
              <w:suppressLineNumbers w:val="0"/>
              <w:adjustRightInd w:val="0"/>
              <w:snapToGrid w:val="0"/>
              <w:spacing w:before="0" w:beforeAutospacing="0" w:after="0" w:afterAutospacing="0"/>
              <w:ind w:left="0" w:right="0"/>
              <w:jc w:val="center"/>
              <w:rPr>
                <w:rFonts w:hint="default" w:hAnsi="宋体" w:eastAsia="宋体"/>
                <w:sz w:val="21"/>
                <w:szCs w:val="21"/>
                <w:lang w:val="en-US" w:eastAsia="zh-CN"/>
              </w:rPr>
            </w:pPr>
            <w:r>
              <w:rPr>
                <w:rFonts w:hint="eastAsia" w:hAnsi="宋体"/>
                <w:sz w:val="21"/>
                <w:szCs w:val="21"/>
                <w:lang w:val="en-US" w:eastAsia="zh-CN"/>
              </w:rPr>
              <w:t>废边角料</w:t>
            </w:r>
          </w:p>
        </w:tc>
        <w:tc>
          <w:tcPr>
            <w:tcW w:w="1785" w:type="dxa"/>
            <w:noWrap w:val="0"/>
            <w:vAlign w:val="center"/>
          </w:tcPr>
          <w:p w14:paraId="0AE159F9">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3AAE0B41">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337D5F16">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3FA8CF85">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11.6</w:t>
            </w:r>
          </w:p>
        </w:tc>
        <w:tc>
          <w:tcPr>
            <w:tcW w:w="1575" w:type="dxa"/>
            <w:noWrap w:val="0"/>
            <w:vAlign w:val="center"/>
          </w:tcPr>
          <w:p w14:paraId="7D8BCB71">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3FA1227F">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11.6</w:t>
            </w:r>
          </w:p>
        </w:tc>
        <w:tc>
          <w:tcPr>
            <w:tcW w:w="1108" w:type="dxa"/>
            <w:noWrap w:val="0"/>
            <w:vAlign w:val="center"/>
          </w:tcPr>
          <w:p w14:paraId="1E4EAABE">
            <w:pPr>
              <w:keepNext w:val="0"/>
              <w:keepLines w:val="0"/>
              <w:suppressLineNumbers w:val="0"/>
              <w:spacing w:before="0" w:beforeAutospacing="0" w:after="0" w:afterAutospacing="0"/>
              <w:ind w:left="0" w:leftChars="0" w:right="0" w:rightChars="0"/>
              <w:jc w:val="center"/>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+11.6</w:t>
            </w:r>
          </w:p>
        </w:tc>
      </w:tr>
      <w:tr w14:paraId="0CB422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restart"/>
            <w:noWrap w:val="0"/>
            <w:vAlign w:val="center"/>
          </w:tcPr>
          <w:p w14:paraId="144F85B8">
            <w:pPr>
              <w:pStyle w:val="50"/>
              <w:keepNext w:val="0"/>
              <w:keepLines w:val="0"/>
              <w:suppressLineNumbers w:val="0"/>
              <w:spacing w:before="0" w:beforeLines="0" w:beforeAutospacing="0" w:after="0" w:afterLines="0" w:afterAutospacing="0" w:line="240" w:lineRule="auto"/>
              <w:ind w:left="0" w:right="0"/>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r>
              <w:rPr>
                <w:rFonts w:hint="eastAsia" w:ascii="Times New Roman" w:hAnsi="宋体"/>
                <w:snapToGrid w:val="0"/>
                <w:color w:val="000000" w:themeColor="text1"/>
                <w:kern w:val="21"/>
                <w:sz w:val="21"/>
                <w:szCs w:val="21"/>
                <w:highlight w:val="none"/>
                <w:lang w:val="en-US" w:eastAsia="zh-CN"/>
                <w14:textFill>
                  <w14:solidFill>
                    <w14:schemeClr w14:val="tx1"/>
                  </w14:solidFill>
                </w14:textFill>
              </w:rPr>
              <w:t>危险废物</w:t>
            </w:r>
          </w:p>
        </w:tc>
        <w:tc>
          <w:tcPr>
            <w:tcW w:w="1443" w:type="dxa"/>
            <w:noWrap w:val="0"/>
            <w:vAlign w:val="center"/>
          </w:tcPr>
          <w:p w14:paraId="70F6A011">
            <w:pPr>
              <w:keepNext w:val="0"/>
              <w:keepLines w:val="0"/>
              <w:suppressLineNumbers w:val="0"/>
              <w:adjustRightInd w:val="0"/>
              <w:snapToGrid w:val="0"/>
              <w:spacing w:before="0" w:beforeAutospacing="0" w:after="0" w:afterAutospacing="0"/>
              <w:ind w:left="0" w:leftChars="0" w:right="0" w:rightChars="0"/>
              <w:jc w:val="center"/>
              <w:rPr>
                <w:rFonts w:hint="eastAsia" w:ascii="Times New Roman" w:hAnsi="Times New Roman" w:eastAsia="宋体" w:cs="Times New Roman"/>
                <w:sz w:val="21"/>
                <w:szCs w:val="21"/>
                <w:highlight w:val="none"/>
                <w:lang w:val="en-US" w:eastAsia="zh-CN"/>
              </w:rPr>
            </w:pPr>
            <w:r>
              <w:rPr>
                <w:rFonts w:hint="eastAsia" w:hAnsi="宋体"/>
                <w:sz w:val="21"/>
                <w:szCs w:val="21"/>
              </w:rPr>
              <w:t>废活性炭</w:t>
            </w:r>
          </w:p>
        </w:tc>
        <w:tc>
          <w:tcPr>
            <w:tcW w:w="1785" w:type="dxa"/>
            <w:noWrap w:val="0"/>
            <w:vAlign w:val="center"/>
          </w:tcPr>
          <w:p w14:paraId="262B4C7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49A6F2A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7F93262B">
            <w:pPr>
              <w:keepNext w:val="0"/>
              <w:keepLines w:val="0"/>
              <w:suppressLineNumbers w:val="0"/>
              <w:spacing w:before="0" w:beforeAutospacing="0" w:after="0" w:afterAutospacing="0"/>
              <w:ind w:left="0" w:leftChars="0" w:right="0" w:rightChars="0"/>
              <w:jc w:val="center"/>
              <w:rPr>
                <w:rFonts w:hint="default" w:eastAsia="宋体"/>
                <w:color w:val="000000"/>
                <w:kern w:val="24"/>
                <w:sz w:val="21"/>
                <w:szCs w:val="21"/>
                <w:highlight w:val="none"/>
                <w:lang w:val="en-US" w:eastAsia="zh-CN"/>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7DFC5941">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0.3</w:t>
            </w:r>
          </w:p>
        </w:tc>
        <w:tc>
          <w:tcPr>
            <w:tcW w:w="1575" w:type="dxa"/>
            <w:noWrap w:val="0"/>
            <w:vAlign w:val="center"/>
          </w:tcPr>
          <w:p w14:paraId="17E5DEBE">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06F2E2AE">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0.3</w:t>
            </w:r>
          </w:p>
        </w:tc>
        <w:tc>
          <w:tcPr>
            <w:tcW w:w="1108" w:type="dxa"/>
            <w:noWrap w:val="0"/>
            <w:vAlign w:val="center"/>
          </w:tcPr>
          <w:p w14:paraId="7FAD9B80">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+0.3</w:t>
            </w:r>
          </w:p>
        </w:tc>
      </w:tr>
      <w:tr w14:paraId="53D642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5903FDCE">
            <w:pPr>
              <w:pStyle w:val="50"/>
              <w:keepNext w:val="0"/>
              <w:keepLines w:val="0"/>
              <w:suppressLineNumbers w:val="0"/>
              <w:spacing w:before="0" w:beforeLines="0" w:beforeAutospacing="0" w:after="0" w:afterLines="0" w:afterAutospacing="0" w:line="240" w:lineRule="auto"/>
              <w:ind w:left="0" w:right="0"/>
              <w:rPr>
                <w:rFonts w:hint="eastAsia"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4A384DAC">
            <w:pPr>
              <w:keepNext w:val="0"/>
              <w:keepLines w:val="0"/>
              <w:suppressLineNumbers w:val="0"/>
              <w:adjustRightInd w:val="0"/>
              <w:snapToGrid w:val="0"/>
              <w:spacing w:before="0" w:beforeAutospacing="0" w:after="0" w:afterAutospacing="0"/>
              <w:ind w:left="0" w:leftChars="0" w:right="0" w:rightChars="0"/>
              <w:jc w:val="center"/>
              <w:rPr>
                <w:rFonts w:hint="eastAsia" w:hAnsi="宋体"/>
                <w:sz w:val="21"/>
                <w:szCs w:val="21"/>
              </w:rPr>
            </w:pPr>
            <w:r>
              <w:rPr>
                <w:rFonts w:hint="eastAsia" w:hAnsi="宋体"/>
                <w:sz w:val="21"/>
                <w:szCs w:val="21"/>
              </w:rPr>
              <w:t>废催化剂</w:t>
            </w:r>
          </w:p>
        </w:tc>
        <w:tc>
          <w:tcPr>
            <w:tcW w:w="1785" w:type="dxa"/>
            <w:noWrap w:val="0"/>
            <w:vAlign w:val="center"/>
          </w:tcPr>
          <w:p w14:paraId="79D7F8E1">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16FE8B05">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5922A877">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228308D9">
            <w:pPr>
              <w:keepNext w:val="0"/>
              <w:keepLines w:val="0"/>
              <w:suppressLineNumbers w:val="0"/>
              <w:spacing w:before="0" w:beforeAutospacing="0" w:after="0" w:afterAutospacing="0"/>
              <w:ind w:left="0" w:leftChars="0" w:right="0" w:rightChars="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0.15</w:t>
            </w:r>
          </w:p>
        </w:tc>
        <w:tc>
          <w:tcPr>
            <w:tcW w:w="1575" w:type="dxa"/>
            <w:noWrap w:val="0"/>
            <w:vAlign w:val="center"/>
          </w:tcPr>
          <w:p w14:paraId="3C08F7F3">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403A55E4">
            <w:pPr>
              <w:keepNext w:val="0"/>
              <w:keepLines w:val="0"/>
              <w:suppressLineNumbers w:val="0"/>
              <w:spacing w:before="0" w:beforeAutospacing="0" w:after="0" w:afterAutospacing="0"/>
              <w:ind w:left="0" w:leftChars="0" w:right="0" w:rightChars="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0.15</w:t>
            </w:r>
          </w:p>
        </w:tc>
        <w:tc>
          <w:tcPr>
            <w:tcW w:w="1108" w:type="dxa"/>
            <w:noWrap w:val="0"/>
            <w:vAlign w:val="center"/>
          </w:tcPr>
          <w:p w14:paraId="5CB9F1D7">
            <w:pPr>
              <w:keepNext w:val="0"/>
              <w:keepLines w:val="0"/>
              <w:suppressLineNumbers w:val="0"/>
              <w:spacing w:before="0" w:beforeAutospacing="0" w:after="0" w:afterAutospacing="0"/>
              <w:ind w:left="0" w:leftChars="0" w:right="0" w:rightChars="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+0.15</w:t>
            </w:r>
          </w:p>
        </w:tc>
      </w:tr>
      <w:tr w14:paraId="0C6446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34D05B60">
            <w:pPr>
              <w:pStyle w:val="50"/>
              <w:keepNext w:val="0"/>
              <w:keepLines w:val="0"/>
              <w:suppressLineNumbers w:val="0"/>
              <w:spacing w:before="0" w:beforeLines="0" w:beforeAutospacing="0" w:after="0" w:afterLines="0" w:afterAutospacing="0" w:line="240" w:lineRule="auto"/>
              <w:ind w:left="0" w:right="0"/>
              <w:rPr>
                <w:rFonts w:hint="eastAsia"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16BCC963">
            <w:pPr>
              <w:keepNext w:val="0"/>
              <w:keepLines w:val="0"/>
              <w:suppressLineNumbers w:val="0"/>
              <w:adjustRightInd w:val="0"/>
              <w:snapToGrid w:val="0"/>
              <w:spacing w:before="0" w:beforeAutospacing="0" w:after="0" w:afterAutospacing="0"/>
              <w:ind w:left="0" w:right="0"/>
              <w:jc w:val="center"/>
              <w:rPr>
                <w:rFonts w:hint="eastAsia" w:hAnsi="宋体"/>
                <w:sz w:val="21"/>
                <w:szCs w:val="21"/>
              </w:rPr>
            </w:pPr>
            <w:r>
              <w:rPr>
                <w:rFonts w:hint="eastAsia"/>
                <w:sz w:val="21"/>
                <w:szCs w:val="21"/>
              </w:rPr>
              <w:t>废柔印版</w:t>
            </w:r>
          </w:p>
        </w:tc>
        <w:tc>
          <w:tcPr>
            <w:tcW w:w="1785" w:type="dxa"/>
            <w:noWrap w:val="0"/>
            <w:vAlign w:val="center"/>
          </w:tcPr>
          <w:p w14:paraId="26BC9BE2">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0E03C79F">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787D0277">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57BE14C5">
            <w:pPr>
              <w:keepNext w:val="0"/>
              <w:keepLines w:val="0"/>
              <w:suppressLineNumbers w:val="0"/>
              <w:adjustRightInd w:val="0"/>
              <w:snapToGrid w:val="0"/>
              <w:spacing w:before="0" w:beforeAutospacing="0" w:after="0" w:afterAutospacing="0"/>
              <w:ind w:left="0" w:right="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0.002</w:t>
            </w:r>
          </w:p>
        </w:tc>
        <w:tc>
          <w:tcPr>
            <w:tcW w:w="1575" w:type="dxa"/>
            <w:noWrap w:val="0"/>
            <w:vAlign w:val="center"/>
          </w:tcPr>
          <w:p w14:paraId="19F16857">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1A742707">
            <w:pPr>
              <w:keepNext w:val="0"/>
              <w:keepLines w:val="0"/>
              <w:suppressLineNumbers w:val="0"/>
              <w:adjustRightInd w:val="0"/>
              <w:snapToGrid w:val="0"/>
              <w:spacing w:before="0" w:beforeAutospacing="0" w:after="0" w:afterAutospacing="0"/>
              <w:ind w:left="0" w:right="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0.002</w:t>
            </w:r>
          </w:p>
        </w:tc>
        <w:tc>
          <w:tcPr>
            <w:tcW w:w="1108" w:type="dxa"/>
            <w:noWrap w:val="0"/>
            <w:vAlign w:val="center"/>
          </w:tcPr>
          <w:p w14:paraId="7D16810B">
            <w:pPr>
              <w:keepNext w:val="0"/>
              <w:keepLines w:val="0"/>
              <w:suppressLineNumbers w:val="0"/>
              <w:adjustRightInd w:val="0"/>
              <w:snapToGrid w:val="0"/>
              <w:spacing w:before="0" w:beforeAutospacing="0" w:after="0" w:afterAutospacing="0"/>
              <w:ind w:left="0" w:right="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r>
              <w:rPr>
                <w:rFonts w:hint="eastAsia"/>
                <w:color w:val="000000" w:themeColor="text1"/>
                <w:sz w:val="21"/>
                <w:szCs w:val="21"/>
                <w14:textFill>
                  <w14:solidFill>
                    <w14:schemeClr w14:val="tx1"/>
                  </w14:solidFill>
                </w14:textFill>
              </w:rPr>
              <w:t>0.002</w:t>
            </w:r>
          </w:p>
        </w:tc>
      </w:tr>
      <w:tr w14:paraId="712B3D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586E5827">
            <w:pPr>
              <w:pStyle w:val="50"/>
              <w:keepNext w:val="0"/>
              <w:keepLines w:val="0"/>
              <w:suppressLineNumbers w:val="0"/>
              <w:spacing w:before="0" w:beforeLines="0" w:beforeAutospacing="0" w:after="0" w:afterLines="0" w:afterAutospacing="0" w:line="240" w:lineRule="auto"/>
              <w:ind w:left="0" w:right="0"/>
              <w:rPr>
                <w:rFonts w:hint="eastAsia"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55717DA0">
            <w:pPr>
              <w:keepNext w:val="0"/>
              <w:keepLines w:val="0"/>
              <w:suppressLineNumbers w:val="0"/>
              <w:adjustRightInd w:val="0"/>
              <w:snapToGrid w:val="0"/>
              <w:spacing w:before="0" w:beforeAutospacing="0" w:after="0" w:afterAutospacing="0"/>
              <w:ind w:left="0" w:right="0"/>
              <w:jc w:val="center"/>
              <w:rPr>
                <w:rFonts w:hint="eastAsia" w:hAnsi="宋体"/>
                <w:sz w:val="21"/>
                <w:szCs w:val="21"/>
              </w:rPr>
            </w:pPr>
            <w:r>
              <w:rPr>
                <w:rFonts w:hint="eastAsia"/>
                <w:sz w:val="21"/>
                <w:szCs w:val="21"/>
              </w:rPr>
              <w:t>废抹布</w:t>
            </w:r>
          </w:p>
        </w:tc>
        <w:tc>
          <w:tcPr>
            <w:tcW w:w="1785" w:type="dxa"/>
            <w:noWrap w:val="0"/>
            <w:vAlign w:val="center"/>
          </w:tcPr>
          <w:p w14:paraId="54F199BD">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257" w:type="dxa"/>
            <w:noWrap w:val="0"/>
            <w:vAlign w:val="center"/>
          </w:tcPr>
          <w:p w14:paraId="31D1A4B0">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803" w:type="dxa"/>
            <w:noWrap w:val="0"/>
            <w:vAlign w:val="center"/>
          </w:tcPr>
          <w:p w14:paraId="3DD92046">
            <w:pPr>
              <w:keepNext w:val="0"/>
              <w:keepLines w:val="0"/>
              <w:suppressLineNumbers w:val="0"/>
              <w:spacing w:before="0" w:beforeAutospacing="0" w:after="0" w:afterAutospacing="0"/>
              <w:ind w:left="0" w:leftChars="0" w:right="0" w:rightChars="0"/>
              <w:jc w:val="center"/>
              <w:rPr>
                <w:rFonts w:hint="eastAsia"/>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1680" w:type="dxa"/>
            <w:noWrap w:val="0"/>
            <w:vAlign w:val="center"/>
          </w:tcPr>
          <w:p w14:paraId="424F9F89">
            <w:pPr>
              <w:keepNext w:val="0"/>
              <w:keepLines w:val="0"/>
              <w:suppressLineNumbers w:val="0"/>
              <w:adjustRightInd w:val="0"/>
              <w:snapToGrid w:val="0"/>
              <w:spacing w:before="0" w:beforeAutospacing="0" w:after="0" w:afterAutospacing="0"/>
              <w:ind w:left="0" w:right="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0.03</w:t>
            </w:r>
          </w:p>
        </w:tc>
        <w:tc>
          <w:tcPr>
            <w:tcW w:w="1575" w:type="dxa"/>
            <w:noWrap w:val="0"/>
            <w:vAlign w:val="center"/>
          </w:tcPr>
          <w:p w14:paraId="3039FF3D">
            <w:pPr>
              <w:keepNext w:val="0"/>
              <w:keepLines w:val="0"/>
              <w:suppressLineNumbers w:val="0"/>
              <w:spacing w:before="0" w:beforeAutospacing="0" w:after="0" w:afterAutospacing="0"/>
              <w:ind w:left="0" w:leftChars="0" w:right="0" w:rightChars="0"/>
              <w:jc w:val="center"/>
              <w:rPr>
                <w:rFonts w:hint="default"/>
                <w:snapToGrid w:val="0"/>
                <w:color w:val="000000" w:themeColor="text1"/>
                <w:kern w:val="21"/>
                <w:sz w:val="21"/>
                <w:szCs w:val="21"/>
                <w:highlight w:val="none"/>
                <w:lang w:val="en-US" w:eastAsia="zh-CN"/>
                <w14:textFill>
                  <w14:solidFill>
                    <w14:schemeClr w14:val="tx1"/>
                  </w14:solidFill>
                </w14:textFill>
              </w:rPr>
            </w:pPr>
            <w:r>
              <w:rPr>
                <w:rFonts w:hint="eastAsia"/>
                <w:snapToGrid w:val="0"/>
                <w:color w:val="000000" w:themeColor="text1"/>
                <w:kern w:val="21"/>
                <w:sz w:val="21"/>
                <w:szCs w:val="21"/>
                <w:highlight w:val="none"/>
                <w:lang w:val="en-US" w:eastAsia="zh-CN"/>
                <w14:textFill>
                  <w14:solidFill>
                    <w14:schemeClr w14:val="tx1"/>
                  </w14:solidFill>
                </w14:textFill>
              </w:rPr>
              <w:t>/</w:t>
            </w:r>
          </w:p>
        </w:tc>
        <w:tc>
          <w:tcPr>
            <w:tcW w:w="2040" w:type="dxa"/>
            <w:noWrap w:val="0"/>
            <w:vAlign w:val="center"/>
          </w:tcPr>
          <w:p w14:paraId="761FCB50">
            <w:pPr>
              <w:keepNext w:val="0"/>
              <w:keepLines w:val="0"/>
              <w:suppressLineNumbers w:val="0"/>
              <w:adjustRightInd w:val="0"/>
              <w:snapToGrid w:val="0"/>
              <w:spacing w:before="0" w:beforeAutospacing="0" w:after="0" w:afterAutospacing="0"/>
              <w:ind w:left="0" w:right="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14:textFill>
                  <w14:solidFill>
                    <w14:schemeClr w14:val="tx1"/>
                  </w14:solidFill>
                </w14:textFill>
              </w:rPr>
              <w:t>0.03</w:t>
            </w:r>
          </w:p>
        </w:tc>
        <w:tc>
          <w:tcPr>
            <w:tcW w:w="1108" w:type="dxa"/>
            <w:noWrap w:val="0"/>
            <w:vAlign w:val="center"/>
          </w:tcPr>
          <w:p w14:paraId="3B8367BA">
            <w:pPr>
              <w:keepNext w:val="0"/>
              <w:keepLines w:val="0"/>
              <w:suppressLineNumbers w:val="0"/>
              <w:adjustRightInd w:val="0"/>
              <w:snapToGrid w:val="0"/>
              <w:spacing w:before="0" w:beforeAutospacing="0" w:after="0" w:afterAutospacing="0"/>
              <w:ind w:left="0" w:right="0"/>
              <w:jc w:val="center"/>
              <w:rPr>
                <w:rFonts w:hint="eastAsia" w:cs="Times New Roman"/>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w:t>
            </w:r>
            <w:r>
              <w:rPr>
                <w:rFonts w:hint="eastAsia"/>
                <w:color w:val="000000" w:themeColor="text1"/>
                <w:sz w:val="21"/>
                <w:szCs w:val="21"/>
                <w14:textFill>
                  <w14:solidFill>
                    <w14:schemeClr w14:val="tx1"/>
                  </w14:solidFill>
                </w14:textFill>
              </w:rPr>
              <w:t>0.03</w:t>
            </w:r>
          </w:p>
        </w:tc>
      </w:tr>
      <w:tr w14:paraId="37186C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97" w:type="dxa"/>
            <w:vMerge w:val="continue"/>
            <w:noWrap w:val="0"/>
            <w:vAlign w:val="center"/>
          </w:tcPr>
          <w:p w14:paraId="42A2F14C">
            <w:pPr>
              <w:pStyle w:val="50"/>
              <w:keepNext w:val="0"/>
              <w:keepLines w:val="0"/>
              <w:suppressLineNumbers w:val="0"/>
              <w:spacing w:before="0" w:beforeLines="0" w:beforeAutospacing="0" w:after="0" w:afterLines="0" w:afterAutospacing="0" w:line="240" w:lineRule="auto"/>
              <w:ind w:left="0" w:right="0"/>
              <w:rPr>
                <w:rFonts w:hint="default" w:ascii="Times New Roman" w:hAnsi="宋体"/>
                <w:snapToGrid w:val="0"/>
                <w:color w:val="000000" w:themeColor="text1"/>
                <w:kern w:val="21"/>
                <w:sz w:val="21"/>
                <w:szCs w:val="21"/>
                <w:highlight w:val="none"/>
                <w:lang w:val="en-US" w:eastAsia="zh-CN"/>
                <w14:textFill>
                  <w14:solidFill>
                    <w14:schemeClr w14:val="tx1"/>
                  </w14:solidFill>
                </w14:textFill>
              </w:rPr>
            </w:pPr>
          </w:p>
        </w:tc>
        <w:tc>
          <w:tcPr>
            <w:tcW w:w="1443" w:type="dxa"/>
            <w:noWrap w:val="0"/>
            <w:vAlign w:val="center"/>
          </w:tcPr>
          <w:p w14:paraId="70DF8F08">
            <w:pPr>
              <w:keepNext w:val="0"/>
              <w:keepLines w:val="0"/>
              <w:suppressLineNumbers w:val="0"/>
              <w:adjustRightInd w:val="0"/>
              <w:snapToGrid w:val="0"/>
              <w:spacing w:before="0" w:beforeAutospacing="0" w:after="0" w:afterAutospacing="0"/>
              <w:ind w:left="0" w:leftChars="0" w:right="0" w:rightChars="0"/>
              <w:jc w:val="center"/>
              <w:rPr>
                <w:rFonts w:hint="default" w:hAnsi="宋体" w:eastAsia="宋体"/>
                <w:sz w:val="21"/>
                <w:szCs w:val="21"/>
                <w:lang w:val="en-US" w:eastAsia="zh-CN"/>
              </w:rPr>
            </w:pPr>
            <w:r>
              <w:rPr>
                <w:rFonts w:hint="eastAsia" w:hAnsi="宋体"/>
                <w:sz w:val="21"/>
                <w:szCs w:val="21"/>
                <w:lang w:val="en-US" w:eastAsia="zh-CN"/>
              </w:rPr>
              <w:t>废包装桶</w:t>
            </w:r>
          </w:p>
        </w:tc>
        <w:tc>
          <w:tcPr>
            <w:tcW w:w="1785" w:type="dxa"/>
            <w:noWrap w:val="0"/>
            <w:vAlign w:val="center"/>
          </w:tcPr>
          <w:p w14:paraId="159B258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257" w:type="dxa"/>
            <w:noWrap w:val="0"/>
            <w:vAlign w:val="center"/>
          </w:tcPr>
          <w:p w14:paraId="53A45A6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1803" w:type="dxa"/>
            <w:noWrap w:val="0"/>
            <w:vAlign w:val="center"/>
          </w:tcPr>
          <w:p w14:paraId="6E32BC98">
            <w:pPr>
              <w:keepNext w:val="0"/>
              <w:keepLines w:val="0"/>
              <w:suppressLineNumbers w:val="0"/>
              <w:spacing w:before="0" w:beforeAutospacing="0" w:after="0" w:afterAutospacing="0"/>
              <w:ind w:left="0" w:leftChars="0" w:right="0" w:rightChars="0"/>
              <w:jc w:val="center"/>
              <w:rPr>
                <w:rFonts w:hint="default" w:eastAsia="宋体"/>
                <w:bCs/>
                <w:sz w:val="21"/>
                <w:szCs w:val="21"/>
                <w:highlight w:val="none"/>
                <w:lang w:val="en-US" w:eastAsia="zh-CN"/>
              </w:rPr>
            </w:pPr>
            <w:r>
              <w:rPr>
                <w:rFonts w:hint="eastAsia"/>
                <w:bCs/>
                <w:sz w:val="21"/>
                <w:szCs w:val="21"/>
                <w:highlight w:val="none"/>
                <w:lang w:val="en-US" w:eastAsia="zh-CN"/>
              </w:rPr>
              <w:t>/</w:t>
            </w:r>
          </w:p>
        </w:tc>
        <w:tc>
          <w:tcPr>
            <w:tcW w:w="1680" w:type="dxa"/>
            <w:noWrap w:val="0"/>
            <w:vAlign w:val="center"/>
          </w:tcPr>
          <w:p w14:paraId="514093FF">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2.4</w:t>
            </w:r>
          </w:p>
        </w:tc>
        <w:tc>
          <w:tcPr>
            <w:tcW w:w="1575" w:type="dxa"/>
            <w:noWrap w:val="0"/>
            <w:vAlign w:val="center"/>
          </w:tcPr>
          <w:p w14:paraId="321F5973">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w:t>
            </w:r>
          </w:p>
        </w:tc>
        <w:tc>
          <w:tcPr>
            <w:tcW w:w="2040" w:type="dxa"/>
            <w:noWrap w:val="0"/>
            <w:vAlign w:val="center"/>
          </w:tcPr>
          <w:p w14:paraId="04D82661">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2.4</w:t>
            </w:r>
          </w:p>
        </w:tc>
        <w:tc>
          <w:tcPr>
            <w:tcW w:w="1108" w:type="dxa"/>
            <w:noWrap w:val="0"/>
            <w:vAlign w:val="center"/>
          </w:tcPr>
          <w:p w14:paraId="28A3AF77">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+2.4</w:t>
            </w:r>
          </w:p>
        </w:tc>
      </w:tr>
    </w:tbl>
    <w:p w14:paraId="0907C4DF">
      <w:pPr>
        <w:rPr>
          <w:rFonts w:ascii="宋体" w:hAnsi="宋体" w:eastAsia="黑体"/>
        </w:rPr>
        <w:sectPr>
          <w:pgSz w:w="16838" w:h="11906" w:orient="landscape"/>
          <w:pgMar w:top="1417" w:right="1701" w:bottom="1417"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ascii="宋体" w:hAnsi="宋体" w:eastAsia="黑体"/>
        </w:rPr>
        <w:t>注：</w:t>
      </w:r>
      <w:r>
        <w:rPr>
          <w:rFonts w:ascii="宋体" w:hAnsi="宋体" w:eastAsia="黑体"/>
        </w:rPr>
        <w:fldChar w:fldCharType="begin"/>
      </w:r>
      <w:r>
        <w:rPr>
          <w:rFonts w:ascii="宋体" w:hAnsi="宋体" w:eastAsia="黑体"/>
        </w:rPr>
        <w:instrText xml:space="preserve"> = 6 \* GB3 \* MERGEFORMAT </w:instrText>
      </w:r>
      <w:r>
        <w:rPr>
          <w:rFonts w:ascii="宋体" w:hAnsi="宋体" w:eastAsia="黑体"/>
        </w:rPr>
        <w:fldChar w:fldCharType="separate"/>
      </w:r>
      <w:r>
        <w:rPr>
          <w:rFonts w:hint="eastAsia" w:ascii="宋体" w:hAnsi="宋体" w:eastAsia="黑体"/>
        </w:rPr>
        <w:t>⑥</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1 \* GB3 \* MERGEFORMAT </w:instrText>
      </w:r>
      <w:r>
        <w:rPr>
          <w:rFonts w:ascii="宋体" w:hAnsi="宋体" w:eastAsia="黑体"/>
        </w:rPr>
        <w:fldChar w:fldCharType="separate"/>
      </w:r>
      <w:r>
        <w:rPr>
          <w:rFonts w:hint="eastAsia" w:ascii="宋体" w:hAnsi="宋体" w:eastAsia="黑体"/>
        </w:rPr>
        <w:t>①</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3 \* GB3 \* MERGEFORMAT </w:instrText>
      </w:r>
      <w:r>
        <w:rPr>
          <w:rFonts w:ascii="宋体" w:hAnsi="宋体" w:eastAsia="黑体"/>
        </w:rPr>
        <w:fldChar w:fldCharType="separate"/>
      </w:r>
      <w:r>
        <w:rPr>
          <w:rFonts w:hint="eastAsia" w:ascii="宋体" w:hAnsi="宋体" w:eastAsia="黑体"/>
        </w:rPr>
        <w:t>③</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4 \* GB3 \* MERGEFORMAT </w:instrText>
      </w:r>
      <w:r>
        <w:rPr>
          <w:rFonts w:ascii="宋体" w:hAnsi="宋体" w:eastAsia="黑体"/>
        </w:rPr>
        <w:fldChar w:fldCharType="separate"/>
      </w:r>
      <w:r>
        <w:rPr>
          <w:rFonts w:hint="eastAsia" w:ascii="宋体" w:hAnsi="宋体" w:eastAsia="黑体"/>
        </w:rPr>
        <w:t>④</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5 \* GB3 \* MERGEFORMAT </w:instrText>
      </w:r>
      <w:r>
        <w:rPr>
          <w:rFonts w:ascii="宋体" w:hAnsi="宋体" w:eastAsia="黑体"/>
        </w:rPr>
        <w:fldChar w:fldCharType="separate"/>
      </w:r>
      <w:r>
        <w:rPr>
          <w:rFonts w:hint="eastAsia" w:ascii="宋体" w:hAnsi="宋体" w:eastAsia="黑体"/>
        </w:rPr>
        <w:t>⑤</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7 \* GB3 \* MERGEFORMAT </w:instrText>
      </w:r>
      <w:r>
        <w:rPr>
          <w:rFonts w:ascii="宋体" w:hAnsi="宋体" w:eastAsia="黑体"/>
        </w:rPr>
        <w:fldChar w:fldCharType="separate"/>
      </w:r>
      <w:r>
        <w:rPr>
          <w:rFonts w:hint="eastAsia" w:ascii="宋体" w:hAnsi="宋体" w:eastAsia="黑体"/>
        </w:rPr>
        <w:t>⑦</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6 \* GB3 \* MERGEFORMAT </w:instrText>
      </w:r>
      <w:r>
        <w:rPr>
          <w:rFonts w:ascii="宋体" w:hAnsi="宋体" w:eastAsia="黑体"/>
        </w:rPr>
        <w:fldChar w:fldCharType="separate"/>
      </w:r>
      <w:r>
        <w:rPr>
          <w:rFonts w:hint="eastAsia" w:ascii="宋体" w:hAnsi="宋体" w:eastAsia="黑体"/>
        </w:rPr>
        <w:t>⑥</w:t>
      </w:r>
      <w:r>
        <w:rPr>
          <w:rFonts w:ascii="宋体" w:hAnsi="宋体" w:eastAsia="黑体"/>
        </w:rPr>
        <w:fldChar w:fldCharType="end"/>
      </w:r>
      <w:r>
        <w:rPr>
          <w:rFonts w:ascii="宋体" w:hAnsi="宋体" w:eastAsia="黑体"/>
        </w:rPr>
        <w:t>-</w:t>
      </w:r>
      <w:r>
        <w:rPr>
          <w:rFonts w:ascii="宋体" w:hAnsi="宋体" w:eastAsia="黑体"/>
        </w:rPr>
        <w:fldChar w:fldCharType="begin"/>
      </w:r>
      <w:r>
        <w:rPr>
          <w:rFonts w:ascii="宋体" w:hAnsi="宋体" w:eastAsia="黑体"/>
        </w:rPr>
        <w:instrText xml:space="preserve"> = 1 \* GB3 \* MERGEFORMAT </w:instrText>
      </w:r>
      <w:r>
        <w:rPr>
          <w:rFonts w:ascii="宋体" w:hAnsi="宋体" w:eastAsia="黑体"/>
        </w:rPr>
        <w:fldChar w:fldCharType="separate"/>
      </w:r>
      <w:r>
        <w:rPr>
          <w:rFonts w:hint="eastAsia" w:ascii="宋体" w:hAnsi="宋体" w:eastAsia="黑体"/>
        </w:rPr>
        <w:t>①</w:t>
      </w:r>
      <w:r>
        <w:rPr>
          <w:rFonts w:ascii="宋体" w:hAnsi="宋体" w:eastAsia="黑体"/>
        </w:rPr>
        <w:fldChar w:fldCharType="end"/>
      </w:r>
    </w:p>
    <w:p w14:paraId="10971F27">
      <w:pPr>
        <w:pStyle w:val="21"/>
        <w:keepNext w:val="0"/>
        <w:keepLines w:val="0"/>
        <w:pageBreakBefore w:val="0"/>
        <w:widowControl w:val="0"/>
        <w:kinsoku/>
        <w:wordWrap/>
        <w:overflowPunct/>
        <w:topLinePunct w:val="0"/>
        <w:autoSpaceDE/>
        <w:autoSpaceDN/>
        <w:bidi w:val="0"/>
        <w:adjustRightInd/>
        <w:snapToGrid/>
        <w:ind w:left="0" w:leftChars="0" w:firstLine="0"/>
        <w:textAlignment w:val="auto"/>
        <w:rPr>
          <w:rFonts w:hint="default"/>
          <w:lang w:val="en-US" w:eastAsia="zh-CN"/>
        </w:rPr>
      </w:pPr>
      <w:r>
        <w:rPr>
          <w:rFonts w:hint="default"/>
          <w:lang w:val="en-US" w:eastAsia="zh-CN"/>
        </w:rPr>
        <w:drawing>
          <wp:inline distT="0" distB="0" distL="114300" distR="114300">
            <wp:extent cx="5757545" cy="8208645"/>
            <wp:effectExtent l="0" t="0" r="14605" b="1905"/>
            <wp:docPr id="8" name="图片 8" descr="委托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委托书_01"/>
                    <pic:cNvPicPr>
                      <a:picLocks noChangeAspect="1"/>
                    </pic:cNvPicPr>
                  </pic:nvPicPr>
                  <pic:blipFill>
                    <a:blip r:embed="rId23"/>
                    <a:stretch>
                      <a:fillRect/>
                    </a:stretch>
                  </pic:blipFill>
                  <pic:spPr>
                    <a:xfrm>
                      <a:off x="0" y="0"/>
                      <a:ext cx="5757545" cy="8208645"/>
                    </a:xfrm>
                    <a:prstGeom prst="rect">
                      <a:avLst/>
                    </a:prstGeom>
                  </pic:spPr>
                </pic:pic>
              </a:graphicData>
            </a:graphic>
          </wp:inline>
        </w:drawing>
      </w:r>
    </w:p>
    <w:p w14:paraId="28102DCA">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inline distT="0" distB="0" distL="114300" distR="114300">
            <wp:extent cx="5262880" cy="7686675"/>
            <wp:effectExtent l="0" t="0" r="13970" b="9525"/>
            <wp:docPr id="19" name="图片 19" descr="4f9baa19c33c58eb65ebc98aa4980a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4f9baa19c33c58eb65ebc98aa4980a6a"/>
                    <pic:cNvPicPr>
                      <a:picLocks noChangeAspect="1"/>
                    </pic:cNvPicPr>
                  </pic:nvPicPr>
                  <pic:blipFill>
                    <a:blip r:embed="rId24"/>
                    <a:stretch>
                      <a:fillRect/>
                    </a:stretch>
                  </pic:blipFill>
                  <pic:spPr>
                    <a:xfrm>
                      <a:off x="0" y="0"/>
                      <a:ext cx="5262880" cy="7686675"/>
                    </a:xfrm>
                    <a:prstGeom prst="rect">
                      <a:avLst/>
                    </a:prstGeom>
                  </pic:spPr>
                </pic:pic>
              </a:graphicData>
            </a:graphic>
          </wp:inline>
        </w:drawing>
      </w:r>
    </w:p>
    <w:p w14:paraId="2C03450F">
      <w:pPr>
        <w:rPr>
          <w:rFonts w:hint="default"/>
          <w:lang w:val="en-US" w:eastAsia="zh-CN"/>
        </w:rPr>
      </w:pPr>
      <w:r>
        <w:rPr>
          <w:rFonts w:hint="eastAsia" w:eastAsiaTheme="minorEastAsia"/>
          <w:lang w:eastAsia="zh-CN"/>
        </w:rPr>
        <w:drawing>
          <wp:inline distT="0" distB="0" distL="114300" distR="114300">
            <wp:extent cx="5273040" cy="7517765"/>
            <wp:effectExtent l="0" t="0" r="3810" b="6985"/>
            <wp:docPr id="20" name="图片 20" descr="承诺确认书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承诺确认书_01(1)"/>
                    <pic:cNvPicPr>
                      <a:picLocks noChangeAspect="1"/>
                    </pic:cNvPicPr>
                  </pic:nvPicPr>
                  <pic:blipFill>
                    <a:blip r:embed="rId25"/>
                    <a:stretch>
                      <a:fillRect/>
                    </a:stretch>
                  </pic:blipFill>
                  <pic:spPr>
                    <a:xfrm>
                      <a:off x="0" y="0"/>
                      <a:ext cx="5273040" cy="7517765"/>
                    </a:xfrm>
                    <a:prstGeom prst="rect">
                      <a:avLst/>
                    </a:prstGeom>
                  </pic:spPr>
                </pic:pic>
              </a:graphicData>
            </a:graphic>
          </wp:inline>
        </w:drawing>
      </w:r>
    </w:p>
    <w:p w14:paraId="2F642248">
      <w:pPr>
        <w:pStyle w:val="21"/>
        <w:rPr>
          <w:rFonts w:hint="eastAsia" w:eastAsiaTheme="minorEastAsia"/>
          <w:lang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eastAsiaTheme="minorEastAsia"/>
          <w:lang w:eastAsia="zh-CN"/>
        </w:rPr>
        <w:drawing>
          <wp:inline distT="0" distB="0" distL="114300" distR="114300">
            <wp:extent cx="5262880" cy="7501255"/>
            <wp:effectExtent l="0" t="0" r="13970" b="4445"/>
            <wp:docPr id="9" name="图片 9" descr="cb922cc15fae033bbc96bccf8a06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b922cc15fae033bbc96bccf8a060237"/>
                    <pic:cNvPicPr>
                      <a:picLocks noChangeAspect="1"/>
                    </pic:cNvPicPr>
                  </pic:nvPicPr>
                  <pic:blipFill>
                    <a:blip r:embed="rId26"/>
                    <a:stretch>
                      <a:fillRect/>
                    </a:stretch>
                  </pic:blipFill>
                  <pic:spPr>
                    <a:xfrm>
                      <a:off x="0" y="0"/>
                      <a:ext cx="5262880" cy="7501255"/>
                    </a:xfrm>
                    <a:prstGeom prst="rect">
                      <a:avLst/>
                    </a:prstGeom>
                  </pic:spPr>
                </pic:pic>
              </a:graphicData>
            </a:graphic>
          </wp:inline>
        </w:drawing>
      </w:r>
    </w:p>
    <w:p w14:paraId="026EBFAA">
      <w:pPr>
        <w:rPr>
          <w:rFonts w:hint="default"/>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5753100" cy="8136890"/>
            <wp:effectExtent l="0" t="0" r="0" b="16510"/>
            <wp:docPr id="10" name="图片 10" descr="12   2025年水性油墨VOC-恒清源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2   2025年水性油墨VOC-恒清源_01"/>
                    <pic:cNvPicPr>
                      <a:picLocks noChangeAspect="1"/>
                    </pic:cNvPicPr>
                  </pic:nvPicPr>
                  <pic:blipFill>
                    <a:blip r:embed="rId27"/>
                    <a:stretch>
                      <a:fillRect/>
                    </a:stretch>
                  </pic:blipFill>
                  <pic:spPr>
                    <a:xfrm>
                      <a:off x="0" y="0"/>
                      <a:ext cx="5753100" cy="8136890"/>
                    </a:xfrm>
                    <a:prstGeom prst="rect">
                      <a:avLst/>
                    </a:prstGeom>
                  </pic:spPr>
                </pic:pic>
              </a:graphicData>
            </a:graphic>
          </wp:inline>
        </w:drawing>
      </w:r>
    </w:p>
    <w:p w14:paraId="564E9662">
      <w:pPr>
        <w:pStyle w:val="21"/>
        <w:rPr>
          <w:rFonts w:hint="default"/>
          <w:lang w:val="en-US" w:eastAsia="zh-CN"/>
        </w:rPr>
      </w:pPr>
    </w:p>
    <w:p w14:paraId="4EC1640B">
      <w:pPr>
        <w:rPr>
          <w:rFonts w:hint="default"/>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5753100" cy="8136890"/>
            <wp:effectExtent l="0" t="0" r="0" b="16510"/>
            <wp:docPr id="14" name="图片 14" descr="12   2025年水性油墨VOC-恒清源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2   2025年水性油墨VOC-恒清源_02"/>
                    <pic:cNvPicPr>
                      <a:picLocks noChangeAspect="1"/>
                    </pic:cNvPicPr>
                  </pic:nvPicPr>
                  <pic:blipFill>
                    <a:blip r:embed="rId28"/>
                    <a:stretch>
                      <a:fillRect/>
                    </a:stretch>
                  </pic:blipFill>
                  <pic:spPr>
                    <a:xfrm>
                      <a:off x="0" y="0"/>
                      <a:ext cx="5753100" cy="8136890"/>
                    </a:xfrm>
                    <a:prstGeom prst="rect">
                      <a:avLst/>
                    </a:prstGeom>
                  </pic:spPr>
                </pic:pic>
              </a:graphicData>
            </a:graphic>
          </wp:inline>
        </w:drawing>
      </w:r>
    </w:p>
    <w:p w14:paraId="3B75F124">
      <w:pPr>
        <w:pStyle w:val="21"/>
        <w:keepNext w:val="0"/>
        <w:keepLines w:val="0"/>
        <w:pageBreakBefore w:val="0"/>
        <w:widowControl w:val="0"/>
        <w:kinsoku/>
        <w:wordWrap/>
        <w:overflowPunct/>
        <w:topLinePunct w:val="0"/>
        <w:autoSpaceDE/>
        <w:autoSpaceDN/>
        <w:bidi w:val="0"/>
        <w:adjustRightInd/>
        <w:snapToGrid/>
        <w:ind w:left="0" w:leftChars="0" w:firstLine="0"/>
        <w:jc w:val="both"/>
        <w:textAlignment w:val="auto"/>
        <w:rPr>
          <w:rFonts w:hint="default"/>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5753100" cy="8136890"/>
            <wp:effectExtent l="0" t="0" r="0" b="16510"/>
            <wp:docPr id="15" name="图片 15" descr="12   2025年水性油墨VOC-恒清源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2   2025年水性油墨VOC-恒清源_03"/>
                    <pic:cNvPicPr>
                      <a:picLocks noChangeAspect="1"/>
                    </pic:cNvPicPr>
                  </pic:nvPicPr>
                  <pic:blipFill>
                    <a:blip r:embed="rId29"/>
                    <a:stretch>
                      <a:fillRect/>
                    </a:stretch>
                  </pic:blipFill>
                  <pic:spPr>
                    <a:xfrm>
                      <a:off x="0" y="0"/>
                      <a:ext cx="5753100" cy="8136890"/>
                    </a:xfrm>
                    <a:prstGeom prst="rect">
                      <a:avLst/>
                    </a:prstGeom>
                  </pic:spPr>
                </pic:pic>
              </a:graphicData>
            </a:graphic>
          </wp:inline>
        </w:drawing>
      </w:r>
    </w:p>
    <w:p w14:paraId="257DD006">
      <w:pPr>
        <w:rPr>
          <w:rFonts w:hint="default"/>
          <w:lang w:val="en-US" w:eastAsia="zh-CN"/>
        </w:rPr>
        <w:sectPr>
          <w:pgSz w:w="11906" w:h="16838"/>
          <w:pgMar w:top="1701" w:right="1417" w:bottom="1701" w:left="1417"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5753100" cy="8136890"/>
            <wp:effectExtent l="0" t="0" r="0" b="16510"/>
            <wp:docPr id="16" name="图片 16" descr="12   2025年水性油墨VOC-恒清源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2   2025年水性油墨VOC-恒清源_04"/>
                    <pic:cNvPicPr>
                      <a:picLocks noChangeAspect="1"/>
                    </pic:cNvPicPr>
                  </pic:nvPicPr>
                  <pic:blipFill>
                    <a:blip r:embed="rId30"/>
                    <a:stretch>
                      <a:fillRect/>
                    </a:stretch>
                  </pic:blipFill>
                  <pic:spPr>
                    <a:xfrm>
                      <a:off x="0" y="0"/>
                      <a:ext cx="5753100" cy="8136890"/>
                    </a:xfrm>
                    <a:prstGeom prst="rect">
                      <a:avLst/>
                    </a:prstGeom>
                  </pic:spPr>
                </pic:pic>
              </a:graphicData>
            </a:graphic>
          </wp:inline>
        </w:drawing>
      </w:r>
    </w:p>
    <w:p w14:paraId="30F9470F">
      <w:pPr>
        <w:pStyle w:val="21"/>
        <w:keepNext w:val="0"/>
        <w:keepLines w:val="0"/>
        <w:pageBreakBefore w:val="0"/>
        <w:widowControl w:val="0"/>
        <w:kinsoku/>
        <w:wordWrap/>
        <w:overflowPunct/>
        <w:topLinePunct w:val="0"/>
        <w:autoSpaceDE/>
        <w:autoSpaceDN/>
        <w:bidi w:val="0"/>
        <w:adjustRightInd/>
        <w:snapToGrid/>
        <w:ind w:left="0" w:leftChars="0" w:firstLine="0"/>
        <w:textAlignment w:val="auto"/>
        <w:rPr>
          <w:rFonts w:hint="default"/>
          <w:lang w:val="en-US" w:eastAsia="zh-CN"/>
        </w:rPr>
        <w:sectPr>
          <w:pgSz w:w="16838" w:h="11906" w:orient="landscape"/>
          <w:pgMar w:top="1417" w:right="1701" w:bottom="1417"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lang w:val="en-US" w:eastAsia="zh-CN"/>
        </w:rPr>
        <w:drawing>
          <wp:inline distT="0" distB="0" distL="114300" distR="114300">
            <wp:extent cx="8530590" cy="1697355"/>
            <wp:effectExtent l="0" t="0" r="3810" b="17145"/>
            <wp:docPr id="17" name="图片 17" descr="鑫亚纳米_2025112816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鑫亚纳米_20251128164221"/>
                    <pic:cNvPicPr>
                      <a:picLocks noChangeAspect="1"/>
                    </pic:cNvPicPr>
                  </pic:nvPicPr>
                  <pic:blipFill>
                    <a:blip r:embed="rId31"/>
                    <a:stretch>
                      <a:fillRect/>
                    </a:stretch>
                  </pic:blipFill>
                  <pic:spPr>
                    <a:xfrm>
                      <a:off x="0" y="0"/>
                      <a:ext cx="8530590" cy="1697355"/>
                    </a:xfrm>
                    <a:prstGeom prst="rect">
                      <a:avLst/>
                    </a:prstGeom>
                  </pic:spPr>
                </pic:pic>
              </a:graphicData>
            </a:graphic>
          </wp:inline>
        </w:drawing>
      </w:r>
    </w:p>
    <w:p w14:paraId="45201FC2">
      <w:pPr>
        <w:jc w:val="center"/>
        <w:rPr>
          <w:rFonts w:hint="eastAsia" w:ascii="Times New Roman" w:hAnsi="Times New Roman" w:eastAsia="方正小标宋_GBK" w:cs="Times New Roman"/>
          <w:sz w:val="44"/>
          <w:szCs w:val="44"/>
          <w:lang w:val="en-US" w:eastAsia="zh-CN"/>
        </w:rPr>
      </w:pPr>
    </w:p>
    <w:p w14:paraId="0049FC61">
      <w:pPr>
        <w:jc w:val="center"/>
        <w:rPr>
          <w:rFonts w:hint="default" w:ascii="Times New Roman" w:hAnsi="Times New Roman" w:eastAsia="方正小标宋_GBK" w:cs="Times New Roman"/>
          <w:sz w:val="44"/>
          <w:szCs w:val="44"/>
          <w:lang w:val="en-US" w:eastAsia="zh-CN"/>
        </w:rPr>
      </w:pPr>
      <w:r>
        <w:rPr>
          <w:rFonts w:hint="eastAsia" w:ascii="Times New Roman" w:hAnsi="Times New Roman" w:eastAsia="方正小标宋_GBK" w:cs="Times New Roman"/>
          <w:sz w:val="44"/>
          <w:szCs w:val="44"/>
          <w:lang w:val="en-US" w:eastAsia="zh-CN"/>
        </w:rPr>
        <w:t>新乡鑫亚纳米材料有限公司</w:t>
      </w:r>
      <w:r>
        <w:rPr>
          <w:rFonts w:hint="default" w:ascii="Times New Roman" w:hAnsi="Times New Roman" w:eastAsia="方正小标宋_GBK" w:cs="Times New Roman"/>
          <w:sz w:val="44"/>
          <w:szCs w:val="44"/>
          <w:lang w:val="en-US" w:eastAsia="zh-CN"/>
        </w:rPr>
        <w:t>减排情况说明</w:t>
      </w:r>
    </w:p>
    <w:p w14:paraId="5E3B9150">
      <w:pPr>
        <w:rPr>
          <w:rFonts w:hint="default" w:ascii="Times New Roman" w:hAnsi="Times New Roman" w:cs="Times New Roman"/>
          <w:lang w:val="en-US" w:eastAsia="zh-CN"/>
        </w:rPr>
      </w:pPr>
    </w:p>
    <w:p w14:paraId="34ACDB52">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新乡鑫亚纳米材料有限公司位于新乡市新乡县，属于有机化学原料制造业，企业年产胞嘧啶200吨，废气采用催化燃烧+光氧催化活性炭吸附治理工艺，企业于2023年8月关停并注销了排污许可。</w:t>
      </w:r>
    </w:p>
    <w:p w14:paraId="63F02A42">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按照《271化学药品原药制造行业系数手册》中</w:t>
      </w:r>
      <w:r>
        <w:rPr>
          <w:rFonts w:hint="default" w:ascii="Times New Roman" w:hAnsi="Times New Roman" w:eastAsia="方正仿宋_GBK" w:cs="Times New Roman"/>
          <w:sz w:val="32"/>
          <w:szCs w:val="32"/>
          <w:lang w:val="en-US" w:eastAsia="zh-CN"/>
        </w:rPr>
        <w:t>271化学药品原料药制造行业（续表4），</w:t>
      </w:r>
      <w:r>
        <w:rPr>
          <w:rFonts w:hint="eastAsia" w:ascii="Times New Roman" w:hAnsi="Times New Roman" w:eastAsia="方正仿宋_GBK" w:cs="Times New Roman"/>
          <w:sz w:val="32"/>
          <w:szCs w:val="32"/>
          <w:lang w:val="en-US" w:eastAsia="zh-CN"/>
        </w:rPr>
        <w:t>200吨及以上生产线VOCs产污系数取125.7千克/吨产品，收集效率</w:t>
      </w:r>
      <w:r>
        <w:rPr>
          <w:rFonts w:hint="eastAsia" w:eastAsia="方正仿宋_GBK" w:cs="Times New Roman"/>
          <w:sz w:val="32"/>
          <w:szCs w:val="32"/>
          <w:lang w:val="en-US" w:eastAsia="zh-CN"/>
        </w:rPr>
        <w:t>按照</w:t>
      </w:r>
      <w:r>
        <w:rPr>
          <w:rFonts w:hint="eastAsia" w:ascii="Times New Roman" w:hAnsi="Times New Roman" w:eastAsia="方正仿宋_GBK" w:cs="Times New Roman"/>
          <w:sz w:val="32"/>
          <w:szCs w:val="32"/>
          <w:lang w:val="en-US" w:eastAsia="zh-CN"/>
        </w:rPr>
        <w:t>密闭管道收集取95%</w:t>
      </w:r>
      <w:r>
        <w:rPr>
          <w:rFonts w:hint="eastAsia" w:eastAsia="方正仿宋_GBK" w:cs="Times New Roman"/>
          <w:sz w:val="32"/>
          <w:szCs w:val="32"/>
          <w:lang w:val="en-US" w:eastAsia="zh-CN"/>
        </w:rPr>
        <w:t>，治理工艺以80%+（1-80%）*15%计算为83%。</w:t>
      </w:r>
    </w:p>
    <w:p w14:paraId="5F6076A8">
      <w:pPr>
        <w:keepNext w:val="0"/>
        <w:keepLines w:val="0"/>
        <w:pageBreakBefore w:val="0"/>
        <w:widowControl w:val="0"/>
        <w:kinsoku/>
        <w:wordWrap/>
        <w:overflowPunct/>
        <w:topLinePunct w:val="0"/>
        <w:autoSpaceDE/>
        <w:autoSpaceDN/>
        <w:bidi w:val="0"/>
        <w:adjustRightInd/>
        <w:snapToGrid/>
        <w:ind w:firstLine="640" w:firstLineChars="200"/>
        <w:textAlignment w:val="auto"/>
        <w:rPr>
          <w:rFonts w:hint="default" w:ascii="Times New Roman" w:hAnsi="Times New Roman" w:eastAsia="方正仿宋_GBK" w:cs="Times New Roman"/>
          <w:b/>
          <w:bCs/>
          <w:sz w:val="32"/>
          <w:szCs w:val="32"/>
          <w:lang w:val="en-US" w:eastAsia="zh-CN"/>
        </w:rPr>
      </w:pPr>
      <w:r>
        <w:rPr>
          <w:rFonts w:hint="eastAsia" w:eastAsia="方正仿宋_GBK" w:cs="Times New Roman"/>
          <w:sz w:val="32"/>
          <w:szCs w:val="32"/>
          <w:lang w:val="en-US" w:eastAsia="zh-CN"/>
        </w:rPr>
        <w:t>企业关停后VOCs减排量以125.7*200*（1-95%*83%）/1000计算为5.3171吨。</w:t>
      </w:r>
    </w:p>
    <w:p w14:paraId="62CE5F4B">
      <w:pPr>
        <w:rPr>
          <w:rFonts w:hint="default"/>
          <w:lang w:val="en-US" w:eastAsia="zh-CN"/>
        </w:rPr>
        <w:sectPr>
          <w:pgSz w:w="11906" w:h="16838"/>
          <w:pgMar w:top="1440" w:right="1800" w:bottom="1440" w:left="1800" w:header="851" w:footer="992" w:gutter="0"/>
          <w:cols w:space="425" w:num="1"/>
          <w:docGrid w:type="lines" w:linePitch="312" w:charSpace="0"/>
        </w:sectPr>
      </w:pPr>
    </w:p>
    <w:p w14:paraId="3953D93E">
      <w:pPr>
        <w:pStyle w:val="19"/>
        <w:rPr>
          <w:rFonts w:hint="default"/>
          <w:lang w:val="en-US" w:eastAsia="zh-CN"/>
        </w:rPr>
        <w:sectPr>
          <w:pgSz w:w="11906" w:h="16838"/>
          <w:pgMar w:top="1440" w:right="1800" w:bottom="1440" w:left="1800" w:header="851" w:footer="992" w:gutter="0"/>
          <w:cols w:space="425" w:num="1"/>
          <w:docGrid w:type="lines" w:linePitch="312" w:charSpace="0"/>
        </w:sectPr>
      </w:pPr>
      <w:r>
        <w:rPr>
          <w:rFonts w:hint="default"/>
          <w:lang w:val="en-US" w:eastAsia="zh-CN"/>
        </w:rPr>
        <w:drawing>
          <wp:inline distT="0" distB="0" distL="114300" distR="114300">
            <wp:extent cx="5267960" cy="7450455"/>
            <wp:effectExtent l="0" t="0" r="8890" b="17145"/>
            <wp:docPr id="18" name="图片 18" descr="鑫亚纳米关停情况说明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鑫亚纳米关停情况说明_01"/>
                    <pic:cNvPicPr>
                      <a:picLocks noChangeAspect="1"/>
                    </pic:cNvPicPr>
                  </pic:nvPicPr>
                  <pic:blipFill>
                    <a:blip r:embed="rId32"/>
                    <a:stretch>
                      <a:fillRect/>
                    </a:stretch>
                  </pic:blipFill>
                  <pic:spPr>
                    <a:xfrm>
                      <a:off x="0" y="0"/>
                      <a:ext cx="5267960" cy="7450455"/>
                    </a:xfrm>
                    <a:prstGeom prst="rect">
                      <a:avLst/>
                    </a:prstGeom>
                  </pic:spPr>
                </pic:pic>
              </a:graphicData>
            </a:graphic>
          </wp:inline>
        </w:drawing>
      </w:r>
    </w:p>
    <w:p w14:paraId="1E30C49C">
      <w:pPr>
        <w:pStyle w:val="19"/>
        <w:rPr>
          <w:rFonts w:hint="default"/>
          <w:lang w:val="en-US" w:eastAsia="zh-CN"/>
        </w:rPr>
        <w:sectPr>
          <w:pgSz w:w="16838" w:h="11906" w:orient="landscape"/>
          <w:pgMar w:top="1800" w:right="1440" w:bottom="1800" w:left="1440" w:header="851" w:footer="992" w:gutter="0"/>
          <w:cols w:space="425" w:num="1"/>
          <w:docGrid w:type="lines" w:linePitch="312" w:charSpace="0"/>
        </w:sectPr>
      </w:pPr>
      <w:r>
        <w:rPr>
          <w:rFonts w:hint="default"/>
          <w:lang w:val="en-US" w:eastAsia="zh-CN"/>
        </w:rPr>
        <w:drawing>
          <wp:inline distT="0" distB="0" distL="114300" distR="114300">
            <wp:extent cx="7452360" cy="5267960"/>
            <wp:effectExtent l="0" t="0" r="15240" b="8890"/>
            <wp:docPr id="22" name="图片 22" descr="附图一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附图一_01"/>
                    <pic:cNvPicPr>
                      <a:picLocks noChangeAspect="1"/>
                    </pic:cNvPicPr>
                  </pic:nvPicPr>
                  <pic:blipFill>
                    <a:blip r:embed="rId33"/>
                    <a:stretch>
                      <a:fillRect/>
                    </a:stretch>
                  </pic:blipFill>
                  <pic:spPr>
                    <a:xfrm>
                      <a:off x="0" y="0"/>
                      <a:ext cx="7452360" cy="5267960"/>
                    </a:xfrm>
                    <a:prstGeom prst="rect">
                      <a:avLst/>
                    </a:prstGeom>
                  </pic:spPr>
                </pic:pic>
              </a:graphicData>
            </a:graphic>
          </wp:inline>
        </w:drawing>
      </w:r>
    </w:p>
    <w:p w14:paraId="28504D38">
      <w:pPr>
        <w:pStyle w:val="19"/>
        <w:rPr>
          <w:rFonts w:hint="default"/>
          <w:lang w:val="en-US" w:eastAsia="zh-CN"/>
        </w:rPr>
        <w:sectPr>
          <w:pgSz w:w="11906" w:h="16838"/>
          <w:pgMar w:top="1440" w:right="1800" w:bottom="1440" w:left="1800" w:header="851" w:footer="992" w:gutter="0"/>
          <w:cols w:space="425" w:num="1"/>
          <w:docGrid w:type="lines" w:linePitch="312" w:charSpace="0"/>
        </w:sectPr>
      </w:pPr>
      <w:r>
        <w:rPr>
          <w:rFonts w:hint="default"/>
          <w:lang w:val="en-US" w:eastAsia="zh-CN"/>
        </w:rPr>
        <w:drawing>
          <wp:inline distT="0" distB="0" distL="114300" distR="114300">
            <wp:extent cx="5267960" cy="7452360"/>
            <wp:effectExtent l="0" t="0" r="8890" b="15240"/>
            <wp:docPr id="21" name="图片 21" descr="附图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附图二_01"/>
                    <pic:cNvPicPr>
                      <a:picLocks noChangeAspect="1"/>
                    </pic:cNvPicPr>
                  </pic:nvPicPr>
                  <pic:blipFill>
                    <a:blip r:embed="rId34"/>
                    <a:stretch>
                      <a:fillRect/>
                    </a:stretch>
                  </pic:blipFill>
                  <pic:spPr>
                    <a:xfrm>
                      <a:off x="0" y="0"/>
                      <a:ext cx="5267960" cy="7452360"/>
                    </a:xfrm>
                    <a:prstGeom prst="rect">
                      <a:avLst/>
                    </a:prstGeom>
                  </pic:spPr>
                </pic:pic>
              </a:graphicData>
            </a:graphic>
          </wp:inline>
        </w:drawing>
      </w:r>
    </w:p>
    <w:p w14:paraId="53050939">
      <w:pPr>
        <w:pStyle w:val="19"/>
        <w:rPr>
          <w:rFonts w:hint="default"/>
          <w:lang w:val="en-US" w:eastAsia="zh-CN"/>
        </w:rPr>
        <w:sectPr>
          <w:pgSz w:w="16838" w:h="11906" w:orient="landscape"/>
          <w:pgMar w:top="1800" w:right="1440" w:bottom="1800" w:left="1440" w:header="851" w:footer="992" w:gutter="0"/>
          <w:cols w:space="425" w:num="1"/>
          <w:docGrid w:type="lines" w:linePitch="312" w:charSpace="0"/>
        </w:sectPr>
      </w:pPr>
      <w:r>
        <w:rPr>
          <w:rFonts w:hint="default"/>
          <w:lang w:val="en-US" w:eastAsia="zh-CN"/>
        </w:rPr>
        <w:drawing>
          <wp:inline distT="0" distB="0" distL="114300" distR="114300">
            <wp:extent cx="5260340" cy="3074035"/>
            <wp:effectExtent l="0" t="0" r="16510" b="12065"/>
            <wp:docPr id="23" name="图片 23" descr="附图三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附图三_01"/>
                    <pic:cNvPicPr>
                      <a:picLocks noChangeAspect="1"/>
                    </pic:cNvPicPr>
                  </pic:nvPicPr>
                  <pic:blipFill>
                    <a:blip r:embed="rId35"/>
                    <a:stretch>
                      <a:fillRect/>
                    </a:stretch>
                  </pic:blipFill>
                  <pic:spPr>
                    <a:xfrm>
                      <a:off x="0" y="0"/>
                      <a:ext cx="5260340" cy="3074035"/>
                    </a:xfrm>
                    <a:prstGeom prst="rect">
                      <a:avLst/>
                    </a:prstGeom>
                  </pic:spPr>
                </pic:pic>
              </a:graphicData>
            </a:graphic>
          </wp:inline>
        </w:drawing>
      </w:r>
    </w:p>
    <w:p w14:paraId="601D3F46">
      <w:pPr>
        <w:pStyle w:val="19"/>
        <w:rPr>
          <w:rFonts w:hint="default"/>
          <w:lang w:val="en-US" w:eastAsia="zh-CN"/>
        </w:rPr>
        <w:sectPr>
          <w:pgSz w:w="16838" w:h="11906" w:orient="landscape"/>
          <w:pgMar w:top="1800" w:right="1440" w:bottom="1800" w:left="1440" w:header="851" w:footer="992" w:gutter="0"/>
          <w:cols w:space="425" w:num="1"/>
          <w:docGrid w:type="lines" w:linePitch="312" w:charSpace="0"/>
        </w:sectPr>
      </w:pPr>
      <w:r>
        <w:rPr>
          <w:rFonts w:hint="default"/>
          <w:lang w:val="en-US" w:eastAsia="zh-CN"/>
        </w:rPr>
        <w:drawing>
          <wp:inline distT="0" distB="0" distL="114300" distR="114300">
            <wp:extent cx="7452360" cy="5267960"/>
            <wp:effectExtent l="0" t="0" r="15240" b="8890"/>
            <wp:docPr id="24" name="图片 24" descr="附图四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附图四_01"/>
                    <pic:cNvPicPr>
                      <a:picLocks noChangeAspect="1"/>
                    </pic:cNvPicPr>
                  </pic:nvPicPr>
                  <pic:blipFill>
                    <a:blip r:embed="rId36"/>
                    <a:stretch>
                      <a:fillRect/>
                    </a:stretch>
                  </pic:blipFill>
                  <pic:spPr>
                    <a:xfrm>
                      <a:off x="0" y="0"/>
                      <a:ext cx="7452360" cy="5267960"/>
                    </a:xfrm>
                    <a:prstGeom prst="rect">
                      <a:avLst/>
                    </a:prstGeom>
                  </pic:spPr>
                </pic:pic>
              </a:graphicData>
            </a:graphic>
          </wp:inline>
        </w:drawing>
      </w:r>
    </w:p>
    <w:p w14:paraId="6C38CF13">
      <w:pPr>
        <w:pStyle w:val="19"/>
        <w:rPr>
          <w:rFonts w:hint="default"/>
          <w:lang w:val="en-US" w:eastAsia="zh-CN"/>
        </w:rPr>
      </w:pPr>
      <w:r>
        <w:rPr>
          <w:rFonts w:hint="default"/>
          <w:lang w:val="en-US" w:eastAsia="zh-CN"/>
        </w:rPr>
        <w:drawing>
          <wp:inline distT="0" distB="0" distL="114300" distR="114300">
            <wp:extent cx="5267960" cy="7452360"/>
            <wp:effectExtent l="0" t="0" r="8890" b="15240"/>
            <wp:docPr id="25" name="图片 25" descr="附图五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附图五_01"/>
                    <pic:cNvPicPr>
                      <a:picLocks noChangeAspect="1"/>
                    </pic:cNvPicPr>
                  </pic:nvPicPr>
                  <pic:blipFill>
                    <a:blip r:embed="rId37"/>
                    <a:stretch>
                      <a:fillRect/>
                    </a:stretch>
                  </pic:blipFill>
                  <pic:spPr>
                    <a:xfrm>
                      <a:off x="0" y="0"/>
                      <a:ext cx="5267960" cy="7452360"/>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1"/>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auto"/>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Microsoft JhengHei Light">
    <w:panose1 w:val="020B0304030504040204"/>
    <w:charset w:val="88"/>
    <w:family w:val="swiss"/>
    <w:pitch w:val="default"/>
    <w:sig w:usb0="800002A7" w:usb1="28CF4400" w:usb2="00000016" w:usb3="00000000" w:csb0="00100009" w:csb1="00000000"/>
  </w:font>
  <w:font w:name="Cambria Math">
    <w:panose1 w:val="02040503050406030204"/>
    <w:charset w:val="00"/>
    <w:family w:val="roman"/>
    <w:pitch w:val="default"/>
    <w:sig w:usb0="E00006FF" w:usb1="420024FF" w:usb2="02000000" w:usb3="00000000" w:csb0="2000019F" w:csb1="00000000"/>
  </w:font>
  <w:font w:name="方正小标宋_GBK">
    <w:altName w:val="Arial Unicode MS"/>
    <w:panose1 w:val="02000000000000000000"/>
    <w:charset w:val="86"/>
    <w:family w:val="script"/>
    <w:pitch w:val="default"/>
    <w:sig w:usb0="00000000" w:usb1="00000000" w:usb2="00082016" w:usb3="00000000" w:csb0="00040001" w:csb1="00000000"/>
  </w:font>
  <w:font w:name="Arial Unicode MS">
    <w:panose1 w:val="020B0604020202020204"/>
    <w:charset w:val="86"/>
    <w:family w:val="auto"/>
    <w:pitch w:val="default"/>
    <w:sig w:usb0="F7FFAEFF" w:usb1="F9DFFFFF" w:usb2="0000007F" w:usb3="00000000" w:csb0="203F01FF" w:csb1="DFFF0000"/>
  </w:font>
  <w:font w:name="方正仿宋_GBK">
    <w:altName w:val="Arial Unicode MS"/>
    <w:panose1 w:val="02000000000000000000"/>
    <w:charset w:val="86"/>
    <w:family w:val="auto"/>
    <w:pitch w:val="default"/>
    <w:sig w:usb0="00000000" w:usb1="00000000" w:usb2="00000000" w:usb3="00000000" w:csb0="00040000" w:csb1="00000000"/>
  </w:font>
  <w:font w:name="KSOF51D5AD36">
    <w:panose1 w:val="02000000000000000000"/>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9F4296">
    <w:pPr>
      <w:jc w:val="center"/>
      <w:rPr>
        <w:rStyle w:val="26"/>
        <w:rFonts w:ascii="宋体" w:hAnsi="宋体"/>
        <w:szCs w:val="21"/>
      </w:rPr>
    </w:pPr>
    <w:r>
      <w:rPr>
        <w:rStyle w:val="26"/>
        <w:rFonts w:hint="default" w:ascii="Times New Roman" w:hAnsi="Times New Roman" w:cs="Times New Roman"/>
        <w:szCs w:val="21"/>
      </w:rPr>
      <w:t xml:space="preserve"> </w:t>
    </w:r>
    <w:r>
      <w:rPr>
        <w:rStyle w:val="26"/>
        <w:rFonts w:hint="default" w:ascii="Times New Roman" w:hAnsi="Times New Roman" w:cs="Times New Roman"/>
        <w:szCs w:val="21"/>
      </w:rPr>
      <w:fldChar w:fldCharType="begin"/>
    </w:r>
    <w:r>
      <w:rPr>
        <w:rStyle w:val="26"/>
        <w:rFonts w:hint="default" w:ascii="Times New Roman" w:hAnsi="Times New Roman" w:cs="Times New Roman"/>
        <w:szCs w:val="21"/>
      </w:rPr>
      <w:instrText xml:space="preserve">PAGE  </w:instrText>
    </w:r>
    <w:r>
      <w:rPr>
        <w:rStyle w:val="26"/>
        <w:rFonts w:hint="default" w:ascii="Times New Roman" w:hAnsi="Times New Roman" w:cs="Times New Roman"/>
        <w:szCs w:val="21"/>
      </w:rPr>
      <w:fldChar w:fldCharType="separate"/>
    </w:r>
    <w:r>
      <w:rPr>
        <w:rStyle w:val="26"/>
        <w:rFonts w:hint="default" w:ascii="Times New Roman" w:hAnsi="Times New Roman" w:cs="Times New Roman"/>
        <w:szCs w:val="21"/>
      </w:rPr>
      <w:t>35</w:t>
    </w:r>
    <w:r>
      <w:rPr>
        <w:rStyle w:val="26"/>
        <w:rFonts w:hint="default" w:ascii="Times New Roman" w:hAnsi="Times New Roman" w:cs="Times New Roman"/>
        <w:szCs w:val="21"/>
      </w:rPr>
      <w:fldChar w:fldCharType="end"/>
    </w:r>
    <w:r>
      <w:rPr>
        <w:rStyle w:val="26"/>
        <w:rFonts w:hint="default" w:ascii="Times New Roman" w:hAnsi="Times New Roman" w:cs="Times New Roman"/>
        <w:szCs w:val="21"/>
      </w:rPr>
      <w:t xml:space="preserve"> </w:t>
    </w:r>
    <w:r>
      <w:rPr>
        <w:rStyle w:val="26"/>
        <w:rFonts w:hint="eastAsia" w:ascii="宋体" w:hAnsi="宋体"/>
        <w:szCs w:val="21"/>
      </w:rPr>
      <w:t xml:space="preserve"> </w:t>
    </w:r>
  </w:p>
  <w:p w14:paraId="75FDF5DD">
    <w:pPr>
      <w:pStyle w:val="16"/>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E92753">
    <w:pPr>
      <w:pStyle w:val="16"/>
      <w:rPr>
        <w:rStyle w:val="26"/>
        <w:rFonts w:ascii="宋体" w:hAnsi="宋体"/>
        <w:sz w:val="28"/>
        <w:szCs w:val="28"/>
      </w:rPr>
    </w:pPr>
    <w:r>
      <w:rPr>
        <w:sz w:val="2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175EA1">
                          <w:pPr>
                            <w:pStyle w:val="16"/>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53</w:t>
                          </w:r>
                          <w:r>
                            <w:rPr>
                              <w:sz w:val="24"/>
                              <w:szCs w:val="24"/>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14:paraId="55175EA1">
                    <w:pPr>
                      <w:pStyle w:val="16"/>
                      <w:rPr>
                        <w:sz w:val="24"/>
                        <w:szCs w:val="24"/>
                      </w:rPr>
                    </w:pPr>
                    <w:r>
                      <w:rPr>
                        <w:sz w:val="24"/>
                        <w:szCs w:val="24"/>
                      </w:rPr>
                      <w:fldChar w:fldCharType="begin"/>
                    </w:r>
                    <w:r>
                      <w:rPr>
                        <w:sz w:val="24"/>
                        <w:szCs w:val="24"/>
                      </w:rPr>
                      <w:instrText xml:space="preserve"> PAGE  \* MERGEFORMAT </w:instrText>
                    </w:r>
                    <w:r>
                      <w:rPr>
                        <w:sz w:val="24"/>
                        <w:szCs w:val="24"/>
                      </w:rPr>
                      <w:fldChar w:fldCharType="separate"/>
                    </w:r>
                    <w:r>
                      <w:rPr>
                        <w:sz w:val="24"/>
                        <w:szCs w:val="24"/>
                      </w:rPr>
                      <w:t>53</w:t>
                    </w:r>
                    <w:r>
                      <w:rPr>
                        <w:sz w:val="24"/>
                        <w:szCs w:val="24"/>
                      </w:rPr>
                      <w:fldChar w:fldCharType="end"/>
                    </w:r>
                  </w:p>
                </w:txbxContent>
              </v:textbox>
            </v:shape>
          </w:pict>
        </mc:Fallback>
      </mc:AlternateContent>
    </w:r>
    <w:r>
      <w:rPr>
        <w:sz w:val="2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AF49D6">
                          <w:pPr>
                            <w:pStyle w:val="16"/>
                            <w:rPr>
                              <w:rFonts w:hint="default" w:eastAsia="宋体"/>
                              <w:lang w:val="en-US"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07AF49D6">
                    <w:pPr>
                      <w:pStyle w:val="16"/>
                      <w:rPr>
                        <w:rFonts w:hint="default" w:eastAsia="宋体"/>
                        <w:lang w:val="en-US" w:eastAsia="zh-CN"/>
                      </w:rPr>
                    </w:pPr>
                  </w:p>
                </w:txbxContent>
              </v:textbox>
            </v:shape>
          </w:pict>
        </mc:Fallback>
      </mc:AlternateContent>
    </w:r>
  </w:p>
  <w:p w14:paraId="78C14B5B">
    <w:pPr>
      <w:pStyle w:val="16"/>
      <w:ind w:right="360" w:firstLine="360"/>
      <w:jc w:val="center"/>
      <w:rPr>
        <w:rFonts w:hint="eastAsia" w:eastAsia="宋体"/>
        <w:sz w:val="24"/>
        <w:szCs w:val="24"/>
        <w:lang w:val="en-US" w:eastAsia="zh-C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B5F3E">
    <w:pPr>
      <w:pStyle w:val="17"/>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913255">
    <w:pPr>
      <w:keepNext w:val="0"/>
      <w:keepLines w:val="0"/>
      <w:widowControl/>
      <w:suppressLineNumbers w:val="0"/>
      <w:pBdr>
        <w:bottom w:val="none" w:color="auto" w:sz="0" w:space="0"/>
      </w:pBd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492546"/>
    <w:multiLevelType w:val="singleLevel"/>
    <w:tmpl w:val="EA492546"/>
    <w:lvl w:ilvl="0" w:tentative="0">
      <w:start w:val="1"/>
      <w:numFmt w:val="decimal"/>
      <w:suff w:val="nothing"/>
      <w:lvlText w:val="%1、"/>
      <w:lvlJc w:val="left"/>
    </w:lvl>
  </w:abstractNum>
  <w:abstractNum w:abstractNumId="1">
    <w:nsid w:val="09624EB5"/>
    <w:multiLevelType w:val="singleLevel"/>
    <w:tmpl w:val="09624EB5"/>
    <w:lvl w:ilvl="0" w:tentative="0">
      <w:start w:val="2"/>
      <w:numFmt w:val="decimal"/>
      <w:suff w:val="nothing"/>
      <w:lvlText w:val="（%1）"/>
      <w:lvlJc w:val="left"/>
    </w:lvl>
  </w:abstractNum>
  <w:abstractNum w:abstractNumId="2">
    <w:nsid w:val="296014E5"/>
    <w:multiLevelType w:val="singleLevel"/>
    <w:tmpl w:val="296014E5"/>
    <w:lvl w:ilvl="0" w:tentative="0">
      <w:start w:val="3"/>
      <w:numFmt w:val="decimal"/>
      <w:suff w:val="nothing"/>
      <w:lvlText w:val="（%1）"/>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GZhMTQ4NjkyYjQ5YmE5ZDZlMzc4YTExMGMwNDljNTQifQ=="/>
  </w:docVars>
  <w:rsids>
    <w:rsidRoot w:val="00172A27"/>
    <w:rsid w:val="00003E10"/>
    <w:rsid w:val="000060B3"/>
    <w:rsid w:val="0001025A"/>
    <w:rsid w:val="00012110"/>
    <w:rsid w:val="0001250F"/>
    <w:rsid w:val="0001437F"/>
    <w:rsid w:val="00022A68"/>
    <w:rsid w:val="00025826"/>
    <w:rsid w:val="00025E89"/>
    <w:rsid w:val="0003339E"/>
    <w:rsid w:val="0003642C"/>
    <w:rsid w:val="00041C78"/>
    <w:rsid w:val="000434BC"/>
    <w:rsid w:val="0004364B"/>
    <w:rsid w:val="0004485A"/>
    <w:rsid w:val="00045F8A"/>
    <w:rsid w:val="000549D2"/>
    <w:rsid w:val="0005601F"/>
    <w:rsid w:val="00056413"/>
    <w:rsid w:val="00061B1F"/>
    <w:rsid w:val="0006238D"/>
    <w:rsid w:val="0006273D"/>
    <w:rsid w:val="00066043"/>
    <w:rsid w:val="00067BFC"/>
    <w:rsid w:val="000729DD"/>
    <w:rsid w:val="000733C4"/>
    <w:rsid w:val="0007386C"/>
    <w:rsid w:val="0007389B"/>
    <w:rsid w:val="00074422"/>
    <w:rsid w:val="00074783"/>
    <w:rsid w:val="0007669A"/>
    <w:rsid w:val="00076B2E"/>
    <w:rsid w:val="00077C1B"/>
    <w:rsid w:val="0008070B"/>
    <w:rsid w:val="000810AC"/>
    <w:rsid w:val="00081533"/>
    <w:rsid w:val="00081A02"/>
    <w:rsid w:val="00082231"/>
    <w:rsid w:val="00085CCD"/>
    <w:rsid w:val="000917B5"/>
    <w:rsid w:val="00092D38"/>
    <w:rsid w:val="0009377B"/>
    <w:rsid w:val="00095EA5"/>
    <w:rsid w:val="00097557"/>
    <w:rsid w:val="000A0E1F"/>
    <w:rsid w:val="000A1108"/>
    <w:rsid w:val="000A20C9"/>
    <w:rsid w:val="000A2DBF"/>
    <w:rsid w:val="000A63F0"/>
    <w:rsid w:val="000B058F"/>
    <w:rsid w:val="000B368D"/>
    <w:rsid w:val="000B4467"/>
    <w:rsid w:val="000B4DB9"/>
    <w:rsid w:val="000B7E98"/>
    <w:rsid w:val="000C0484"/>
    <w:rsid w:val="000C09AC"/>
    <w:rsid w:val="000C2B43"/>
    <w:rsid w:val="000C3F08"/>
    <w:rsid w:val="000C617D"/>
    <w:rsid w:val="000C699A"/>
    <w:rsid w:val="000C767F"/>
    <w:rsid w:val="000D02D7"/>
    <w:rsid w:val="000D1537"/>
    <w:rsid w:val="000D1D47"/>
    <w:rsid w:val="000D4598"/>
    <w:rsid w:val="000D5A44"/>
    <w:rsid w:val="000D7171"/>
    <w:rsid w:val="000E2FD7"/>
    <w:rsid w:val="000E3ED2"/>
    <w:rsid w:val="000E5F8A"/>
    <w:rsid w:val="000F0BD7"/>
    <w:rsid w:val="000F2BE8"/>
    <w:rsid w:val="000F4CC5"/>
    <w:rsid w:val="000F673D"/>
    <w:rsid w:val="000F69DD"/>
    <w:rsid w:val="001000CB"/>
    <w:rsid w:val="0010134C"/>
    <w:rsid w:val="00101A78"/>
    <w:rsid w:val="0010212A"/>
    <w:rsid w:val="00103D0D"/>
    <w:rsid w:val="00104023"/>
    <w:rsid w:val="00106229"/>
    <w:rsid w:val="001145CE"/>
    <w:rsid w:val="00121AF7"/>
    <w:rsid w:val="001231F0"/>
    <w:rsid w:val="00125123"/>
    <w:rsid w:val="001259B0"/>
    <w:rsid w:val="00126B1C"/>
    <w:rsid w:val="00131F42"/>
    <w:rsid w:val="00133FFC"/>
    <w:rsid w:val="001342C9"/>
    <w:rsid w:val="001353A3"/>
    <w:rsid w:val="001357F1"/>
    <w:rsid w:val="00135E0F"/>
    <w:rsid w:val="001377D8"/>
    <w:rsid w:val="001404E7"/>
    <w:rsid w:val="00140FA8"/>
    <w:rsid w:val="00142379"/>
    <w:rsid w:val="00142C50"/>
    <w:rsid w:val="00142FEB"/>
    <w:rsid w:val="00143A2D"/>
    <w:rsid w:val="00144B9F"/>
    <w:rsid w:val="00145A41"/>
    <w:rsid w:val="00151675"/>
    <w:rsid w:val="00151AE6"/>
    <w:rsid w:val="00152C83"/>
    <w:rsid w:val="00157435"/>
    <w:rsid w:val="0016059D"/>
    <w:rsid w:val="00161DC1"/>
    <w:rsid w:val="00162109"/>
    <w:rsid w:val="00162D35"/>
    <w:rsid w:val="0016326C"/>
    <w:rsid w:val="001632DA"/>
    <w:rsid w:val="001638D1"/>
    <w:rsid w:val="00166B7E"/>
    <w:rsid w:val="00167927"/>
    <w:rsid w:val="00171E01"/>
    <w:rsid w:val="001747FE"/>
    <w:rsid w:val="0017504D"/>
    <w:rsid w:val="0017671A"/>
    <w:rsid w:val="00177422"/>
    <w:rsid w:val="00181411"/>
    <w:rsid w:val="00184590"/>
    <w:rsid w:val="001860D8"/>
    <w:rsid w:val="00186E82"/>
    <w:rsid w:val="001870D1"/>
    <w:rsid w:val="0018781E"/>
    <w:rsid w:val="00190243"/>
    <w:rsid w:val="0019262D"/>
    <w:rsid w:val="00194283"/>
    <w:rsid w:val="001943EB"/>
    <w:rsid w:val="0019640E"/>
    <w:rsid w:val="00196C42"/>
    <w:rsid w:val="00197778"/>
    <w:rsid w:val="001A11BF"/>
    <w:rsid w:val="001A1B35"/>
    <w:rsid w:val="001A3EE5"/>
    <w:rsid w:val="001A48A2"/>
    <w:rsid w:val="001A6139"/>
    <w:rsid w:val="001A63FC"/>
    <w:rsid w:val="001A67B2"/>
    <w:rsid w:val="001A6BFE"/>
    <w:rsid w:val="001A6C5D"/>
    <w:rsid w:val="001A6F61"/>
    <w:rsid w:val="001A7F91"/>
    <w:rsid w:val="001B09ED"/>
    <w:rsid w:val="001B26C6"/>
    <w:rsid w:val="001B416E"/>
    <w:rsid w:val="001B5D8F"/>
    <w:rsid w:val="001B60E1"/>
    <w:rsid w:val="001B72B8"/>
    <w:rsid w:val="001B7AE4"/>
    <w:rsid w:val="001C3174"/>
    <w:rsid w:val="001C383C"/>
    <w:rsid w:val="001C69B3"/>
    <w:rsid w:val="001D0DEB"/>
    <w:rsid w:val="001D1CAA"/>
    <w:rsid w:val="001D25C0"/>
    <w:rsid w:val="001D39D5"/>
    <w:rsid w:val="001D4447"/>
    <w:rsid w:val="001D5537"/>
    <w:rsid w:val="001D5595"/>
    <w:rsid w:val="001D6A2E"/>
    <w:rsid w:val="001D7874"/>
    <w:rsid w:val="001D7F22"/>
    <w:rsid w:val="001E2C9B"/>
    <w:rsid w:val="001E5527"/>
    <w:rsid w:val="001E74E5"/>
    <w:rsid w:val="001F0F17"/>
    <w:rsid w:val="001F2BE0"/>
    <w:rsid w:val="001F3347"/>
    <w:rsid w:val="001F5528"/>
    <w:rsid w:val="001F553E"/>
    <w:rsid w:val="001F69E4"/>
    <w:rsid w:val="001F784E"/>
    <w:rsid w:val="00204EEB"/>
    <w:rsid w:val="00205542"/>
    <w:rsid w:val="00206108"/>
    <w:rsid w:val="00206697"/>
    <w:rsid w:val="002072AB"/>
    <w:rsid w:val="002101D6"/>
    <w:rsid w:val="002118BF"/>
    <w:rsid w:val="002125B4"/>
    <w:rsid w:val="00212B81"/>
    <w:rsid w:val="002136B6"/>
    <w:rsid w:val="002155B8"/>
    <w:rsid w:val="00215F90"/>
    <w:rsid w:val="00222BC9"/>
    <w:rsid w:val="00223CE5"/>
    <w:rsid w:val="00224839"/>
    <w:rsid w:val="002249B2"/>
    <w:rsid w:val="002256F6"/>
    <w:rsid w:val="00226574"/>
    <w:rsid w:val="0022742B"/>
    <w:rsid w:val="002278EC"/>
    <w:rsid w:val="00231E6E"/>
    <w:rsid w:val="0023280E"/>
    <w:rsid w:val="00232DDB"/>
    <w:rsid w:val="00232E64"/>
    <w:rsid w:val="0023384F"/>
    <w:rsid w:val="0023387E"/>
    <w:rsid w:val="00234D62"/>
    <w:rsid w:val="00236123"/>
    <w:rsid w:val="0023634C"/>
    <w:rsid w:val="002377D1"/>
    <w:rsid w:val="0023796C"/>
    <w:rsid w:val="0024252E"/>
    <w:rsid w:val="002506BC"/>
    <w:rsid w:val="00251458"/>
    <w:rsid w:val="00252C1C"/>
    <w:rsid w:val="00254345"/>
    <w:rsid w:val="00255D41"/>
    <w:rsid w:val="00256AC5"/>
    <w:rsid w:val="0026314D"/>
    <w:rsid w:val="00264557"/>
    <w:rsid w:val="00265552"/>
    <w:rsid w:val="0026602C"/>
    <w:rsid w:val="00270C05"/>
    <w:rsid w:val="00273458"/>
    <w:rsid w:val="002805AB"/>
    <w:rsid w:val="002832C6"/>
    <w:rsid w:val="00284204"/>
    <w:rsid w:val="00285793"/>
    <w:rsid w:val="00291773"/>
    <w:rsid w:val="002A168C"/>
    <w:rsid w:val="002A3DC7"/>
    <w:rsid w:val="002A5D65"/>
    <w:rsid w:val="002A5FD3"/>
    <w:rsid w:val="002B005B"/>
    <w:rsid w:val="002B12A4"/>
    <w:rsid w:val="002B1500"/>
    <w:rsid w:val="002B3074"/>
    <w:rsid w:val="002B49E2"/>
    <w:rsid w:val="002B4D31"/>
    <w:rsid w:val="002B66A9"/>
    <w:rsid w:val="002B7B00"/>
    <w:rsid w:val="002B7C44"/>
    <w:rsid w:val="002C04C2"/>
    <w:rsid w:val="002C23A8"/>
    <w:rsid w:val="002C2B17"/>
    <w:rsid w:val="002C3A48"/>
    <w:rsid w:val="002D3DD0"/>
    <w:rsid w:val="002D5745"/>
    <w:rsid w:val="002D579B"/>
    <w:rsid w:val="002E1F3A"/>
    <w:rsid w:val="002E298A"/>
    <w:rsid w:val="002E2C2E"/>
    <w:rsid w:val="002E6845"/>
    <w:rsid w:val="002E7CBA"/>
    <w:rsid w:val="002E7F12"/>
    <w:rsid w:val="002F3461"/>
    <w:rsid w:val="002F5A6B"/>
    <w:rsid w:val="002F6570"/>
    <w:rsid w:val="00300D45"/>
    <w:rsid w:val="00301978"/>
    <w:rsid w:val="00301B1E"/>
    <w:rsid w:val="0030332C"/>
    <w:rsid w:val="00304DEC"/>
    <w:rsid w:val="003051C2"/>
    <w:rsid w:val="003057AE"/>
    <w:rsid w:val="00305C8C"/>
    <w:rsid w:val="0031022A"/>
    <w:rsid w:val="00312296"/>
    <w:rsid w:val="00312452"/>
    <w:rsid w:val="00313800"/>
    <w:rsid w:val="00314F0E"/>
    <w:rsid w:val="00320B1A"/>
    <w:rsid w:val="00321D8E"/>
    <w:rsid w:val="00323096"/>
    <w:rsid w:val="00325928"/>
    <w:rsid w:val="00326FFE"/>
    <w:rsid w:val="0032787A"/>
    <w:rsid w:val="00327902"/>
    <w:rsid w:val="003302E4"/>
    <w:rsid w:val="00332863"/>
    <w:rsid w:val="0033684D"/>
    <w:rsid w:val="00337B42"/>
    <w:rsid w:val="00340AA9"/>
    <w:rsid w:val="00341B42"/>
    <w:rsid w:val="0034261C"/>
    <w:rsid w:val="0034348F"/>
    <w:rsid w:val="00344252"/>
    <w:rsid w:val="00344F54"/>
    <w:rsid w:val="00345814"/>
    <w:rsid w:val="00345918"/>
    <w:rsid w:val="00345C87"/>
    <w:rsid w:val="003527EC"/>
    <w:rsid w:val="00354389"/>
    <w:rsid w:val="003550FC"/>
    <w:rsid w:val="003551F9"/>
    <w:rsid w:val="00355266"/>
    <w:rsid w:val="00356653"/>
    <w:rsid w:val="0035743F"/>
    <w:rsid w:val="00357BE2"/>
    <w:rsid w:val="0036170C"/>
    <w:rsid w:val="00361C61"/>
    <w:rsid w:val="0036269E"/>
    <w:rsid w:val="00362E4D"/>
    <w:rsid w:val="00366E0F"/>
    <w:rsid w:val="00367C4E"/>
    <w:rsid w:val="0037171E"/>
    <w:rsid w:val="00371C3E"/>
    <w:rsid w:val="003739C8"/>
    <w:rsid w:val="00373FA5"/>
    <w:rsid w:val="00374F00"/>
    <w:rsid w:val="00374F83"/>
    <w:rsid w:val="003756B5"/>
    <w:rsid w:val="003773BD"/>
    <w:rsid w:val="003809E0"/>
    <w:rsid w:val="00381923"/>
    <w:rsid w:val="00381A72"/>
    <w:rsid w:val="00381EC6"/>
    <w:rsid w:val="00384676"/>
    <w:rsid w:val="00386EF3"/>
    <w:rsid w:val="00390857"/>
    <w:rsid w:val="00391DBE"/>
    <w:rsid w:val="00393B76"/>
    <w:rsid w:val="0039726D"/>
    <w:rsid w:val="00397BEF"/>
    <w:rsid w:val="00397CE3"/>
    <w:rsid w:val="003A2209"/>
    <w:rsid w:val="003A4BF3"/>
    <w:rsid w:val="003A5FEA"/>
    <w:rsid w:val="003B2543"/>
    <w:rsid w:val="003B371F"/>
    <w:rsid w:val="003B420D"/>
    <w:rsid w:val="003B786A"/>
    <w:rsid w:val="003C26C0"/>
    <w:rsid w:val="003C65BC"/>
    <w:rsid w:val="003C6C16"/>
    <w:rsid w:val="003C7782"/>
    <w:rsid w:val="003C7E72"/>
    <w:rsid w:val="003D0C8E"/>
    <w:rsid w:val="003D2AAD"/>
    <w:rsid w:val="003D4941"/>
    <w:rsid w:val="003D51FD"/>
    <w:rsid w:val="003D5C3F"/>
    <w:rsid w:val="003D5D55"/>
    <w:rsid w:val="003D6288"/>
    <w:rsid w:val="003D7913"/>
    <w:rsid w:val="003D794D"/>
    <w:rsid w:val="003E02D5"/>
    <w:rsid w:val="003E053E"/>
    <w:rsid w:val="003E2FA3"/>
    <w:rsid w:val="003E3058"/>
    <w:rsid w:val="003E3126"/>
    <w:rsid w:val="003E3739"/>
    <w:rsid w:val="003E3B10"/>
    <w:rsid w:val="003E3F95"/>
    <w:rsid w:val="003E76A9"/>
    <w:rsid w:val="003F01C1"/>
    <w:rsid w:val="003F0809"/>
    <w:rsid w:val="003F0DF8"/>
    <w:rsid w:val="003F28E3"/>
    <w:rsid w:val="003F59A5"/>
    <w:rsid w:val="003F5CC8"/>
    <w:rsid w:val="003F6A8C"/>
    <w:rsid w:val="003F6AA8"/>
    <w:rsid w:val="003F755C"/>
    <w:rsid w:val="00405C7B"/>
    <w:rsid w:val="00406F01"/>
    <w:rsid w:val="00410EE6"/>
    <w:rsid w:val="00411617"/>
    <w:rsid w:val="004142FA"/>
    <w:rsid w:val="00416D50"/>
    <w:rsid w:val="00416FD5"/>
    <w:rsid w:val="00417772"/>
    <w:rsid w:val="00420E6A"/>
    <w:rsid w:val="00422FD1"/>
    <w:rsid w:val="0042326E"/>
    <w:rsid w:val="0042476C"/>
    <w:rsid w:val="00425A9E"/>
    <w:rsid w:val="00426D6B"/>
    <w:rsid w:val="00430768"/>
    <w:rsid w:val="0043099C"/>
    <w:rsid w:val="00430A43"/>
    <w:rsid w:val="00431E6C"/>
    <w:rsid w:val="00433CE7"/>
    <w:rsid w:val="00433DE6"/>
    <w:rsid w:val="004369C2"/>
    <w:rsid w:val="004431A1"/>
    <w:rsid w:val="00443B87"/>
    <w:rsid w:val="004457DC"/>
    <w:rsid w:val="00446619"/>
    <w:rsid w:val="00450D67"/>
    <w:rsid w:val="00452375"/>
    <w:rsid w:val="00452738"/>
    <w:rsid w:val="00454158"/>
    <w:rsid w:val="00456091"/>
    <w:rsid w:val="004600E4"/>
    <w:rsid w:val="0046062C"/>
    <w:rsid w:val="00463296"/>
    <w:rsid w:val="00466321"/>
    <w:rsid w:val="004744F8"/>
    <w:rsid w:val="00475C0D"/>
    <w:rsid w:val="00481AE9"/>
    <w:rsid w:val="00482C74"/>
    <w:rsid w:val="0048389F"/>
    <w:rsid w:val="00484B9B"/>
    <w:rsid w:val="004855F6"/>
    <w:rsid w:val="00486370"/>
    <w:rsid w:val="0048645A"/>
    <w:rsid w:val="0048661E"/>
    <w:rsid w:val="00494670"/>
    <w:rsid w:val="00496332"/>
    <w:rsid w:val="004966E3"/>
    <w:rsid w:val="004967DD"/>
    <w:rsid w:val="004971F7"/>
    <w:rsid w:val="004A09B6"/>
    <w:rsid w:val="004A1D9B"/>
    <w:rsid w:val="004A3823"/>
    <w:rsid w:val="004A4CE1"/>
    <w:rsid w:val="004A55E0"/>
    <w:rsid w:val="004A7B4C"/>
    <w:rsid w:val="004B173E"/>
    <w:rsid w:val="004B3A33"/>
    <w:rsid w:val="004B4759"/>
    <w:rsid w:val="004B5608"/>
    <w:rsid w:val="004B6942"/>
    <w:rsid w:val="004C5EAD"/>
    <w:rsid w:val="004C6648"/>
    <w:rsid w:val="004D06D0"/>
    <w:rsid w:val="004D0F56"/>
    <w:rsid w:val="004D21B6"/>
    <w:rsid w:val="004D2984"/>
    <w:rsid w:val="004D441C"/>
    <w:rsid w:val="004D6048"/>
    <w:rsid w:val="004D67A4"/>
    <w:rsid w:val="004E1014"/>
    <w:rsid w:val="004E3B67"/>
    <w:rsid w:val="004E3FA2"/>
    <w:rsid w:val="004E4474"/>
    <w:rsid w:val="004E6946"/>
    <w:rsid w:val="004E7A48"/>
    <w:rsid w:val="004F1AD8"/>
    <w:rsid w:val="004F315D"/>
    <w:rsid w:val="004F73ED"/>
    <w:rsid w:val="00500999"/>
    <w:rsid w:val="005039CB"/>
    <w:rsid w:val="0050402C"/>
    <w:rsid w:val="00504E40"/>
    <w:rsid w:val="0050558F"/>
    <w:rsid w:val="005057B5"/>
    <w:rsid w:val="00506286"/>
    <w:rsid w:val="00507D59"/>
    <w:rsid w:val="00510434"/>
    <w:rsid w:val="005106D7"/>
    <w:rsid w:val="00510813"/>
    <w:rsid w:val="00510E90"/>
    <w:rsid w:val="00511990"/>
    <w:rsid w:val="00511DE0"/>
    <w:rsid w:val="00514870"/>
    <w:rsid w:val="00514B9B"/>
    <w:rsid w:val="0051731D"/>
    <w:rsid w:val="00517F02"/>
    <w:rsid w:val="00521A1E"/>
    <w:rsid w:val="00524303"/>
    <w:rsid w:val="005255D5"/>
    <w:rsid w:val="005258A2"/>
    <w:rsid w:val="00525B22"/>
    <w:rsid w:val="00526B8E"/>
    <w:rsid w:val="00532A35"/>
    <w:rsid w:val="00533878"/>
    <w:rsid w:val="00534EDC"/>
    <w:rsid w:val="00534FBE"/>
    <w:rsid w:val="00535A64"/>
    <w:rsid w:val="00536ABD"/>
    <w:rsid w:val="005401AE"/>
    <w:rsid w:val="005421C7"/>
    <w:rsid w:val="00542E07"/>
    <w:rsid w:val="00545424"/>
    <w:rsid w:val="00545FBF"/>
    <w:rsid w:val="005507CA"/>
    <w:rsid w:val="00550AB7"/>
    <w:rsid w:val="005518D6"/>
    <w:rsid w:val="00552943"/>
    <w:rsid w:val="00553A80"/>
    <w:rsid w:val="0055413D"/>
    <w:rsid w:val="00554A7B"/>
    <w:rsid w:val="005551F5"/>
    <w:rsid w:val="0055572C"/>
    <w:rsid w:val="00555A78"/>
    <w:rsid w:val="0055703E"/>
    <w:rsid w:val="0056106A"/>
    <w:rsid w:val="005651D2"/>
    <w:rsid w:val="00570A72"/>
    <w:rsid w:val="005720AE"/>
    <w:rsid w:val="00574290"/>
    <w:rsid w:val="00574C6C"/>
    <w:rsid w:val="00575F85"/>
    <w:rsid w:val="0057630F"/>
    <w:rsid w:val="005801AD"/>
    <w:rsid w:val="00580912"/>
    <w:rsid w:val="00583499"/>
    <w:rsid w:val="00583E74"/>
    <w:rsid w:val="00584602"/>
    <w:rsid w:val="00586969"/>
    <w:rsid w:val="0058767B"/>
    <w:rsid w:val="00590C8B"/>
    <w:rsid w:val="00593CC5"/>
    <w:rsid w:val="00594D77"/>
    <w:rsid w:val="005951D8"/>
    <w:rsid w:val="005969E4"/>
    <w:rsid w:val="005A06B7"/>
    <w:rsid w:val="005A1759"/>
    <w:rsid w:val="005A18C2"/>
    <w:rsid w:val="005A68A7"/>
    <w:rsid w:val="005B1D4E"/>
    <w:rsid w:val="005B1DB4"/>
    <w:rsid w:val="005B39C2"/>
    <w:rsid w:val="005C294C"/>
    <w:rsid w:val="005C511A"/>
    <w:rsid w:val="005C74B4"/>
    <w:rsid w:val="005C74CA"/>
    <w:rsid w:val="005D0A45"/>
    <w:rsid w:val="005D3463"/>
    <w:rsid w:val="005D3673"/>
    <w:rsid w:val="005D36AB"/>
    <w:rsid w:val="005D3A94"/>
    <w:rsid w:val="005D4FEE"/>
    <w:rsid w:val="005D5966"/>
    <w:rsid w:val="005D5EDB"/>
    <w:rsid w:val="005E3180"/>
    <w:rsid w:val="005E33FE"/>
    <w:rsid w:val="005F3B4C"/>
    <w:rsid w:val="005F3E0A"/>
    <w:rsid w:val="005F4785"/>
    <w:rsid w:val="005F5051"/>
    <w:rsid w:val="005F759B"/>
    <w:rsid w:val="005F7BEE"/>
    <w:rsid w:val="006026B3"/>
    <w:rsid w:val="006045BC"/>
    <w:rsid w:val="006063C5"/>
    <w:rsid w:val="00606522"/>
    <w:rsid w:val="00606CEA"/>
    <w:rsid w:val="006100F5"/>
    <w:rsid w:val="006130A7"/>
    <w:rsid w:val="00613971"/>
    <w:rsid w:val="00616632"/>
    <w:rsid w:val="00616E72"/>
    <w:rsid w:val="00617CC3"/>
    <w:rsid w:val="0062410F"/>
    <w:rsid w:val="00624EF7"/>
    <w:rsid w:val="00625EC8"/>
    <w:rsid w:val="00626242"/>
    <w:rsid w:val="00627F38"/>
    <w:rsid w:val="00636801"/>
    <w:rsid w:val="006377A6"/>
    <w:rsid w:val="00637A3D"/>
    <w:rsid w:val="00640324"/>
    <w:rsid w:val="006411EF"/>
    <w:rsid w:val="00641CAF"/>
    <w:rsid w:val="0064388C"/>
    <w:rsid w:val="006439C3"/>
    <w:rsid w:val="00643BA8"/>
    <w:rsid w:val="006443D7"/>
    <w:rsid w:val="006454A0"/>
    <w:rsid w:val="00645614"/>
    <w:rsid w:val="00650194"/>
    <w:rsid w:val="00651DA0"/>
    <w:rsid w:val="006522B3"/>
    <w:rsid w:val="0066028C"/>
    <w:rsid w:val="00660CCF"/>
    <w:rsid w:val="00662258"/>
    <w:rsid w:val="006638DB"/>
    <w:rsid w:val="00666320"/>
    <w:rsid w:val="006675C1"/>
    <w:rsid w:val="00667D3C"/>
    <w:rsid w:val="00667F8C"/>
    <w:rsid w:val="006700B7"/>
    <w:rsid w:val="00671C86"/>
    <w:rsid w:val="006721FA"/>
    <w:rsid w:val="006724AE"/>
    <w:rsid w:val="006748B8"/>
    <w:rsid w:val="0067505F"/>
    <w:rsid w:val="006758F1"/>
    <w:rsid w:val="00675F19"/>
    <w:rsid w:val="006775C3"/>
    <w:rsid w:val="00680176"/>
    <w:rsid w:val="006801B4"/>
    <w:rsid w:val="00683325"/>
    <w:rsid w:val="00683B23"/>
    <w:rsid w:val="006846EB"/>
    <w:rsid w:val="00687166"/>
    <w:rsid w:val="00690A60"/>
    <w:rsid w:val="00690EB6"/>
    <w:rsid w:val="0069290A"/>
    <w:rsid w:val="006944D5"/>
    <w:rsid w:val="00694523"/>
    <w:rsid w:val="00695D13"/>
    <w:rsid w:val="00695D38"/>
    <w:rsid w:val="00695ED4"/>
    <w:rsid w:val="0069775A"/>
    <w:rsid w:val="00697813"/>
    <w:rsid w:val="006A039E"/>
    <w:rsid w:val="006A05FA"/>
    <w:rsid w:val="006A28DA"/>
    <w:rsid w:val="006A2F05"/>
    <w:rsid w:val="006A3EE8"/>
    <w:rsid w:val="006A6CAF"/>
    <w:rsid w:val="006A72BF"/>
    <w:rsid w:val="006A78E3"/>
    <w:rsid w:val="006B0158"/>
    <w:rsid w:val="006B03F2"/>
    <w:rsid w:val="006B0B8F"/>
    <w:rsid w:val="006B0C9E"/>
    <w:rsid w:val="006B2740"/>
    <w:rsid w:val="006B37DC"/>
    <w:rsid w:val="006B4F68"/>
    <w:rsid w:val="006C0592"/>
    <w:rsid w:val="006C0EF8"/>
    <w:rsid w:val="006C272E"/>
    <w:rsid w:val="006C2D6F"/>
    <w:rsid w:val="006C5479"/>
    <w:rsid w:val="006C7910"/>
    <w:rsid w:val="006D13B5"/>
    <w:rsid w:val="006D43DC"/>
    <w:rsid w:val="006D63D1"/>
    <w:rsid w:val="006D6BB4"/>
    <w:rsid w:val="006E09A6"/>
    <w:rsid w:val="006E12FF"/>
    <w:rsid w:val="006E26F6"/>
    <w:rsid w:val="006E2B9C"/>
    <w:rsid w:val="006E43FC"/>
    <w:rsid w:val="006E5146"/>
    <w:rsid w:val="006E56A7"/>
    <w:rsid w:val="006E58EA"/>
    <w:rsid w:val="006E607E"/>
    <w:rsid w:val="006F06F9"/>
    <w:rsid w:val="006F297B"/>
    <w:rsid w:val="006F429B"/>
    <w:rsid w:val="006F4C25"/>
    <w:rsid w:val="006F4F2A"/>
    <w:rsid w:val="006F5F86"/>
    <w:rsid w:val="00701CEE"/>
    <w:rsid w:val="00704CA6"/>
    <w:rsid w:val="00705042"/>
    <w:rsid w:val="00706576"/>
    <w:rsid w:val="00706C5D"/>
    <w:rsid w:val="00713BD2"/>
    <w:rsid w:val="00715F4B"/>
    <w:rsid w:val="007229DE"/>
    <w:rsid w:val="007238BA"/>
    <w:rsid w:val="007239F8"/>
    <w:rsid w:val="00730706"/>
    <w:rsid w:val="00732922"/>
    <w:rsid w:val="00732B55"/>
    <w:rsid w:val="00736576"/>
    <w:rsid w:val="007378C4"/>
    <w:rsid w:val="0074547E"/>
    <w:rsid w:val="0075162E"/>
    <w:rsid w:val="00752B36"/>
    <w:rsid w:val="00752C56"/>
    <w:rsid w:val="00754034"/>
    <w:rsid w:val="00755F87"/>
    <w:rsid w:val="00756556"/>
    <w:rsid w:val="00761075"/>
    <w:rsid w:val="007618C4"/>
    <w:rsid w:val="00762B27"/>
    <w:rsid w:val="00766B24"/>
    <w:rsid w:val="007671A3"/>
    <w:rsid w:val="00767980"/>
    <w:rsid w:val="00770B19"/>
    <w:rsid w:val="0077463F"/>
    <w:rsid w:val="0077503E"/>
    <w:rsid w:val="00776115"/>
    <w:rsid w:val="00777ADD"/>
    <w:rsid w:val="00777D41"/>
    <w:rsid w:val="00777E25"/>
    <w:rsid w:val="007836EA"/>
    <w:rsid w:val="00783A9E"/>
    <w:rsid w:val="00783C98"/>
    <w:rsid w:val="00784AFB"/>
    <w:rsid w:val="00784CDA"/>
    <w:rsid w:val="00785BE7"/>
    <w:rsid w:val="007906C4"/>
    <w:rsid w:val="007930C4"/>
    <w:rsid w:val="00793541"/>
    <w:rsid w:val="00793CC8"/>
    <w:rsid w:val="007940EA"/>
    <w:rsid w:val="00795371"/>
    <w:rsid w:val="007963F8"/>
    <w:rsid w:val="007967E8"/>
    <w:rsid w:val="00797052"/>
    <w:rsid w:val="007A0E5C"/>
    <w:rsid w:val="007A1114"/>
    <w:rsid w:val="007A1B25"/>
    <w:rsid w:val="007A2170"/>
    <w:rsid w:val="007A22BF"/>
    <w:rsid w:val="007A3323"/>
    <w:rsid w:val="007A66DB"/>
    <w:rsid w:val="007B0F3E"/>
    <w:rsid w:val="007B232F"/>
    <w:rsid w:val="007B64D8"/>
    <w:rsid w:val="007B72B8"/>
    <w:rsid w:val="007B7547"/>
    <w:rsid w:val="007B769E"/>
    <w:rsid w:val="007B7A58"/>
    <w:rsid w:val="007C21B5"/>
    <w:rsid w:val="007C2C0F"/>
    <w:rsid w:val="007C4565"/>
    <w:rsid w:val="007D1D72"/>
    <w:rsid w:val="007D1F66"/>
    <w:rsid w:val="007D3332"/>
    <w:rsid w:val="007D384E"/>
    <w:rsid w:val="007E0411"/>
    <w:rsid w:val="007E1807"/>
    <w:rsid w:val="007E3D59"/>
    <w:rsid w:val="007E4BD2"/>
    <w:rsid w:val="007E62FF"/>
    <w:rsid w:val="007F3E41"/>
    <w:rsid w:val="008001C9"/>
    <w:rsid w:val="0080121E"/>
    <w:rsid w:val="00801393"/>
    <w:rsid w:val="00801E39"/>
    <w:rsid w:val="00802F88"/>
    <w:rsid w:val="00805208"/>
    <w:rsid w:val="00806EA3"/>
    <w:rsid w:val="00807766"/>
    <w:rsid w:val="0081293E"/>
    <w:rsid w:val="00814114"/>
    <w:rsid w:val="00815465"/>
    <w:rsid w:val="00816B53"/>
    <w:rsid w:val="00817E96"/>
    <w:rsid w:val="00817E9A"/>
    <w:rsid w:val="0082132A"/>
    <w:rsid w:val="00823850"/>
    <w:rsid w:val="00824B5A"/>
    <w:rsid w:val="00825A51"/>
    <w:rsid w:val="008306BD"/>
    <w:rsid w:val="00831A80"/>
    <w:rsid w:val="008320C8"/>
    <w:rsid w:val="00833743"/>
    <w:rsid w:val="008340A4"/>
    <w:rsid w:val="00834962"/>
    <w:rsid w:val="00835527"/>
    <w:rsid w:val="0083719E"/>
    <w:rsid w:val="008428AF"/>
    <w:rsid w:val="0084305C"/>
    <w:rsid w:val="00847993"/>
    <w:rsid w:val="008505FC"/>
    <w:rsid w:val="0085081B"/>
    <w:rsid w:val="008522BC"/>
    <w:rsid w:val="00853918"/>
    <w:rsid w:val="00857E5F"/>
    <w:rsid w:val="00862C4D"/>
    <w:rsid w:val="008638D3"/>
    <w:rsid w:val="0086522F"/>
    <w:rsid w:val="0087135F"/>
    <w:rsid w:val="008717F1"/>
    <w:rsid w:val="0087216C"/>
    <w:rsid w:val="00872D94"/>
    <w:rsid w:val="008742D0"/>
    <w:rsid w:val="00874329"/>
    <w:rsid w:val="008766D5"/>
    <w:rsid w:val="008777F1"/>
    <w:rsid w:val="00880364"/>
    <w:rsid w:val="0088053B"/>
    <w:rsid w:val="00881AA0"/>
    <w:rsid w:val="00883D13"/>
    <w:rsid w:val="008859B1"/>
    <w:rsid w:val="00885A0E"/>
    <w:rsid w:val="00885ABE"/>
    <w:rsid w:val="008900E3"/>
    <w:rsid w:val="00891592"/>
    <w:rsid w:val="00891E9E"/>
    <w:rsid w:val="008929D0"/>
    <w:rsid w:val="00894CFD"/>
    <w:rsid w:val="008976C9"/>
    <w:rsid w:val="00897CFE"/>
    <w:rsid w:val="008A0AB3"/>
    <w:rsid w:val="008A2F68"/>
    <w:rsid w:val="008A7DD0"/>
    <w:rsid w:val="008A7EEE"/>
    <w:rsid w:val="008B08F9"/>
    <w:rsid w:val="008B3803"/>
    <w:rsid w:val="008B4FA6"/>
    <w:rsid w:val="008B5282"/>
    <w:rsid w:val="008B5486"/>
    <w:rsid w:val="008B7C17"/>
    <w:rsid w:val="008C2D01"/>
    <w:rsid w:val="008C40E6"/>
    <w:rsid w:val="008C7481"/>
    <w:rsid w:val="008C7B13"/>
    <w:rsid w:val="008D0F7A"/>
    <w:rsid w:val="008D1B9A"/>
    <w:rsid w:val="008D68E4"/>
    <w:rsid w:val="008D6D5C"/>
    <w:rsid w:val="008E0506"/>
    <w:rsid w:val="008E0CFF"/>
    <w:rsid w:val="008E479F"/>
    <w:rsid w:val="008E5D6B"/>
    <w:rsid w:val="008E63AC"/>
    <w:rsid w:val="008E6949"/>
    <w:rsid w:val="008E76F0"/>
    <w:rsid w:val="008F06C8"/>
    <w:rsid w:val="008F0800"/>
    <w:rsid w:val="008F15FE"/>
    <w:rsid w:val="008F2D29"/>
    <w:rsid w:val="008F4C34"/>
    <w:rsid w:val="008F5187"/>
    <w:rsid w:val="008F60D8"/>
    <w:rsid w:val="008F76A5"/>
    <w:rsid w:val="0090005A"/>
    <w:rsid w:val="009014C6"/>
    <w:rsid w:val="00902727"/>
    <w:rsid w:val="00902C87"/>
    <w:rsid w:val="0090312B"/>
    <w:rsid w:val="00905373"/>
    <w:rsid w:val="00906A10"/>
    <w:rsid w:val="00906AE4"/>
    <w:rsid w:val="00912A51"/>
    <w:rsid w:val="009145A5"/>
    <w:rsid w:val="00915642"/>
    <w:rsid w:val="00915663"/>
    <w:rsid w:val="0091609F"/>
    <w:rsid w:val="00916C43"/>
    <w:rsid w:val="009170BF"/>
    <w:rsid w:val="0091736D"/>
    <w:rsid w:val="009179F8"/>
    <w:rsid w:val="00920A08"/>
    <w:rsid w:val="00925005"/>
    <w:rsid w:val="00925919"/>
    <w:rsid w:val="00925A9D"/>
    <w:rsid w:val="00926AD9"/>
    <w:rsid w:val="009276CB"/>
    <w:rsid w:val="00927C01"/>
    <w:rsid w:val="0093037A"/>
    <w:rsid w:val="009307B6"/>
    <w:rsid w:val="009314B3"/>
    <w:rsid w:val="0093219B"/>
    <w:rsid w:val="0094154D"/>
    <w:rsid w:val="00942B8D"/>
    <w:rsid w:val="00944A9E"/>
    <w:rsid w:val="00945F6B"/>
    <w:rsid w:val="0094783D"/>
    <w:rsid w:val="0095155F"/>
    <w:rsid w:val="009515EF"/>
    <w:rsid w:val="00951BC7"/>
    <w:rsid w:val="0095430A"/>
    <w:rsid w:val="00954429"/>
    <w:rsid w:val="009563CE"/>
    <w:rsid w:val="00956C3F"/>
    <w:rsid w:val="00957AA3"/>
    <w:rsid w:val="00960C93"/>
    <w:rsid w:val="00963BCB"/>
    <w:rsid w:val="00963E4C"/>
    <w:rsid w:val="00966512"/>
    <w:rsid w:val="0096706E"/>
    <w:rsid w:val="00967F4D"/>
    <w:rsid w:val="00970110"/>
    <w:rsid w:val="00970A2F"/>
    <w:rsid w:val="00972480"/>
    <w:rsid w:val="0097294A"/>
    <w:rsid w:val="00973D7B"/>
    <w:rsid w:val="00974585"/>
    <w:rsid w:val="00976328"/>
    <w:rsid w:val="00976457"/>
    <w:rsid w:val="0097680D"/>
    <w:rsid w:val="00976FDD"/>
    <w:rsid w:val="00981B21"/>
    <w:rsid w:val="00982438"/>
    <w:rsid w:val="0098404C"/>
    <w:rsid w:val="00985283"/>
    <w:rsid w:val="00987B47"/>
    <w:rsid w:val="00990217"/>
    <w:rsid w:val="009939BD"/>
    <w:rsid w:val="0099441F"/>
    <w:rsid w:val="00994D32"/>
    <w:rsid w:val="00995992"/>
    <w:rsid w:val="00995CE8"/>
    <w:rsid w:val="009964CE"/>
    <w:rsid w:val="009974DF"/>
    <w:rsid w:val="009A03E5"/>
    <w:rsid w:val="009A0F3B"/>
    <w:rsid w:val="009A0FD5"/>
    <w:rsid w:val="009A1BB4"/>
    <w:rsid w:val="009A2628"/>
    <w:rsid w:val="009A3200"/>
    <w:rsid w:val="009A6C6C"/>
    <w:rsid w:val="009A79B4"/>
    <w:rsid w:val="009B0897"/>
    <w:rsid w:val="009B5C4F"/>
    <w:rsid w:val="009B673E"/>
    <w:rsid w:val="009B68F9"/>
    <w:rsid w:val="009B7BD9"/>
    <w:rsid w:val="009C34D0"/>
    <w:rsid w:val="009C3ACE"/>
    <w:rsid w:val="009C68F6"/>
    <w:rsid w:val="009C6F16"/>
    <w:rsid w:val="009C7DD5"/>
    <w:rsid w:val="009D1998"/>
    <w:rsid w:val="009D4BB6"/>
    <w:rsid w:val="009D5356"/>
    <w:rsid w:val="009D781A"/>
    <w:rsid w:val="009D7BDE"/>
    <w:rsid w:val="009E0384"/>
    <w:rsid w:val="009E0AA7"/>
    <w:rsid w:val="009E13B1"/>
    <w:rsid w:val="009E16AE"/>
    <w:rsid w:val="009E1F72"/>
    <w:rsid w:val="009E227D"/>
    <w:rsid w:val="009E3D86"/>
    <w:rsid w:val="009E4E8A"/>
    <w:rsid w:val="009E5019"/>
    <w:rsid w:val="009E68B2"/>
    <w:rsid w:val="009E7EA9"/>
    <w:rsid w:val="00A01FA0"/>
    <w:rsid w:val="00A04F1B"/>
    <w:rsid w:val="00A0501B"/>
    <w:rsid w:val="00A06AC5"/>
    <w:rsid w:val="00A07666"/>
    <w:rsid w:val="00A118C4"/>
    <w:rsid w:val="00A119CB"/>
    <w:rsid w:val="00A12A17"/>
    <w:rsid w:val="00A13110"/>
    <w:rsid w:val="00A14947"/>
    <w:rsid w:val="00A14997"/>
    <w:rsid w:val="00A1531F"/>
    <w:rsid w:val="00A17EC4"/>
    <w:rsid w:val="00A17F89"/>
    <w:rsid w:val="00A21E33"/>
    <w:rsid w:val="00A259EC"/>
    <w:rsid w:val="00A31183"/>
    <w:rsid w:val="00A32A83"/>
    <w:rsid w:val="00A33CFD"/>
    <w:rsid w:val="00A35168"/>
    <w:rsid w:val="00A35F6A"/>
    <w:rsid w:val="00A36390"/>
    <w:rsid w:val="00A368DB"/>
    <w:rsid w:val="00A37A88"/>
    <w:rsid w:val="00A4184E"/>
    <w:rsid w:val="00A41E19"/>
    <w:rsid w:val="00A423AA"/>
    <w:rsid w:val="00A4298A"/>
    <w:rsid w:val="00A4326A"/>
    <w:rsid w:val="00A4691E"/>
    <w:rsid w:val="00A4717E"/>
    <w:rsid w:val="00A47241"/>
    <w:rsid w:val="00A51657"/>
    <w:rsid w:val="00A52E58"/>
    <w:rsid w:val="00A53EC6"/>
    <w:rsid w:val="00A54D6D"/>
    <w:rsid w:val="00A55C0F"/>
    <w:rsid w:val="00A56C83"/>
    <w:rsid w:val="00A57228"/>
    <w:rsid w:val="00A600D8"/>
    <w:rsid w:val="00A60241"/>
    <w:rsid w:val="00A63A20"/>
    <w:rsid w:val="00A63C64"/>
    <w:rsid w:val="00A6467F"/>
    <w:rsid w:val="00A66204"/>
    <w:rsid w:val="00A66AE9"/>
    <w:rsid w:val="00A67A49"/>
    <w:rsid w:val="00A76573"/>
    <w:rsid w:val="00A766BB"/>
    <w:rsid w:val="00A8713F"/>
    <w:rsid w:val="00A90261"/>
    <w:rsid w:val="00A9029E"/>
    <w:rsid w:val="00A90B36"/>
    <w:rsid w:val="00A90BA1"/>
    <w:rsid w:val="00A918D7"/>
    <w:rsid w:val="00A94587"/>
    <w:rsid w:val="00A94A04"/>
    <w:rsid w:val="00A96A1F"/>
    <w:rsid w:val="00A97A9A"/>
    <w:rsid w:val="00AA0671"/>
    <w:rsid w:val="00AA2416"/>
    <w:rsid w:val="00AA2531"/>
    <w:rsid w:val="00AA304D"/>
    <w:rsid w:val="00AA355B"/>
    <w:rsid w:val="00AA767B"/>
    <w:rsid w:val="00AA7A97"/>
    <w:rsid w:val="00AB1E09"/>
    <w:rsid w:val="00AB3354"/>
    <w:rsid w:val="00AB4A0A"/>
    <w:rsid w:val="00AB5330"/>
    <w:rsid w:val="00AB56C6"/>
    <w:rsid w:val="00AB68AB"/>
    <w:rsid w:val="00AB767B"/>
    <w:rsid w:val="00AB7747"/>
    <w:rsid w:val="00AB77AB"/>
    <w:rsid w:val="00AC14CE"/>
    <w:rsid w:val="00AC2A56"/>
    <w:rsid w:val="00AC3880"/>
    <w:rsid w:val="00AC3B66"/>
    <w:rsid w:val="00AD055E"/>
    <w:rsid w:val="00AD0990"/>
    <w:rsid w:val="00AD3B78"/>
    <w:rsid w:val="00AD47A7"/>
    <w:rsid w:val="00AD5DF1"/>
    <w:rsid w:val="00AD610C"/>
    <w:rsid w:val="00AD6ABA"/>
    <w:rsid w:val="00AD78B8"/>
    <w:rsid w:val="00AE5DE7"/>
    <w:rsid w:val="00AE712E"/>
    <w:rsid w:val="00AF0CBF"/>
    <w:rsid w:val="00AF257F"/>
    <w:rsid w:val="00AF2930"/>
    <w:rsid w:val="00AF33CF"/>
    <w:rsid w:val="00AF4D50"/>
    <w:rsid w:val="00AF549E"/>
    <w:rsid w:val="00AF6179"/>
    <w:rsid w:val="00AF6F22"/>
    <w:rsid w:val="00B0145C"/>
    <w:rsid w:val="00B0318E"/>
    <w:rsid w:val="00B05A23"/>
    <w:rsid w:val="00B1295A"/>
    <w:rsid w:val="00B12A16"/>
    <w:rsid w:val="00B13AFB"/>
    <w:rsid w:val="00B16B24"/>
    <w:rsid w:val="00B17954"/>
    <w:rsid w:val="00B205A7"/>
    <w:rsid w:val="00B20A45"/>
    <w:rsid w:val="00B21C74"/>
    <w:rsid w:val="00B22C5C"/>
    <w:rsid w:val="00B23326"/>
    <w:rsid w:val="00B24F30"/>
    <w:rsid w:val="00B2501A"/>
    <w:rsid w:val="00B26425"/>
    <w:rsid w:val="00B275EF"/>
    <w:rsid w:val="00B301DD"/>
    <w:rsid w:val="00B30BD1"/>
    <w:rsid w:val="00B31ABF"/>
    <w:rsid w:val="00B33508"/>
    <w:rsid w:val="00B33BE3"/>
    <w:rsid w:val="00B3486E"/>
    <w:rsid w:val="00B34FD4"/>
    <w:rsid w:val="00B35592"/>
    <w:rsid w:val="00B41461"/>
    <w:rsid w:val="00B44F4D"/>
    <w:rsid w:val="00B515A6"/>
    <w:rsid w:val="00B53B5D"/>
    <w:rsid w:val="00B6055E"/>
    <w:rsid w:val="00B6317D"/>
    <w:rsid w:val="00B65986"/>
    <w:rsid w:val="00B67111"/>
    <w:rsid w:val="00B67533"/>
    <w:rsid w:val="00B70567"/>
    <w:rsid w:val="00B70C54"/>
    <w:rsid w:val="00B71D9E"/>
    <w:rsid w:val="00B76311"/>
    <w:rsid w:val="00B76CC4"/>
    <w:rsid w:val="00B7723F"/>
    <w:rsid w:val="00B77D27"/>
    <w:rsid w:val="00B80534"/>
    <w:rsid w:val="00B81E65"/>
    <w:rsid w:val="00B8433C"/>
    <w:rsid w:val="00B87491"/>
    <w:rsid w:val="00B91077"/>
    <w:rsid w:val="00B92484"/>
    <w:rsid w:val="00B939AC"/>
    <w:rsid w:val="00B94ACD"/>
    <w:rsid w:val="00BA29E9"/>
    <w:rsid w:val="00BA2B8C"/>
    <w:rsid w:val="00BA7142"/>
    <w:rsid w:val="00BA7800"/>
    <w:rsid w:val="00BA7FDB"/>
    <w:rsid w:val="00BB21EA"/>
    <w:rsid w:val="00BB237C"/>
    <w:rsid w:val="00BB41A3"/>
    <w:rsid w:val="00BB755B"/>
    <w:rsid w:val="00BC32DC"/>
    <w:rsid w:val="00BC35B6"/>
    <w:rsid w:val="00BC3B47"/>
    <w:rsid w:val="00BC5CF0"/>
    <w:rsid w:val="00BC5F11"/>
    <w:rsid w:val="00BD12DC"/>
    <w:rsid w:val="00BD1B51"/>
    <w:rsid w:val="00BD254B"/>
    <w:rsid w:val="00BD4596"/>
    <w:rsid w:val="00BD5795"/>
    <w:rsid w:val="00BE1405"/>
    <w:rsid w:val="00BE16FB"/>
    <w:rsid w:val="00BE312D"/>
    <w:rsid w:val="00BE57BA"/>
    <w:rsid w:val="00BE5F59"/>
    <w:rsid w:val="00BE70D3"/>
    <w:rsid w:val="00BF1C20"/>
    <w:rsid w:val="00BF1DC0"/>
    <w:rsid w:val="00BF3060"/>
    <w:rsid w:val="00BF5D94"/>
    <w:rsid w:val="00BF77C2"/>
    <w:rsid w:val="00C029DB"/>
    <w:rsid w:val="00C03066"/>
    <w:rsid w:val="00C075D8"/>
    <w:rsid w:val="00C10578"/>
    <w:rsid w:val="00C10E2D"/>
    <w:rsid w:val="00C11196"/>
    <w:rsid w:val="00C135BC"/>
    <w:rsid w:val="00C14FBB"/>
    <w:rsid w:val="00C15C95"/>
    <w:rsid w:val="00C16493"/>
    <w:rsid w:val="00C17A1D"/>
    <w:rsid w:val="00C17BCE"/>
    <w:rsid w:val="00C21B76"/>
    <w:rsid w:val="00C22856"/>
    <w:rsid w:val="00C22900"/>
    <w:rsid w:val="00C2469C"/>
    <w:rsid w:val="00C247E8"/>
    <w:rsid w:val="00C2596A"/>
    <w:rsid w:val="00C26CC5"/>
    <w:rsid w:val="00C27537"/>
    <w:rsid w:val="00C2757E"/>
    <w:rsid w:val="00C3013F"/>
    <w:rsid w:val="00C328FE"/>
    <w:rsid w:val="00C33507"/>
    <w:rsid w:val="00C4409D"/>
    <w:rsid w:val="00C44814"/>
    <w:rsid w:val="00C44E72"/>
    <w:rsid w:val="00C45A06"/>
    <w:rsid w:val="00C45D9D"/>
    <w:rsid w:val="00C45E95"/>
    <w:rsid w:val="00C4730D"/>
    <w:rsid w:val="00C47E5B"/>
    <w:rsid w:val="00C50C1D"/>
    <w:rsid w:val="00C515C0"/>
    <w:rsid w:val="00C53692"/>
    <w:rsid w:val="00C53EE0"/>
    <w:rsid w:val="00C55EC6"/>
    <w:rsid w:val="00C567BB"/>
    <w:rsid w:val="00C56F04"/>
    <w:rsid w:val="00C57AAB"/>
    <w:rsid w:val="00C57AD7"/>
    <w:rsid w:val="00C616A1"/>
    <w:rsid w:val="00C61E4B"/>
    <w:rsid w:val="00C64BFF"/>
    <w:rsid w:val="00C659E9"/>
    <w:rsid w:val="00C704E9"/>
    <w:rsid w:val="00C72340"/>
    <w:rsid w:val="00C7440D"/>
    <w:rsid w:val="00C759F5"/>
    <w:rsid w:val="00C75C8B"/>
    <w:rsid w:val="00C75FDA"/>
    <w:rsid w:val="00C76188"/>
    <w:rsid w:val="00C763C9"/>
    <w:rsid w:val="00C80057"/>
    <w:rsid w:val="00C802CB"/>
    <w:rsid w:val="00C81753"/>
    <w:rsid w:val="00C82232"/>
    <w:rsid w:val="00C82913"/>
    <w:rsid w:val="00C82C64"/>
    <w:rsid w:val="00C836A4"/>
    <w:rsid w:val="00C865BE"/>
    <w:rsid w:val="00C86CC6"/>
    <w:rsid w:val="00C87229"/>
    <w:rsid w:val="00C925F1"/>
    <w:rsid w:val="00C96372"/>
    <w:rsid w:val="00C96DDF"/>
    <w:rsid w:val="00C972B1"/>
    <w:rsid w:val="00C97758"/>
    <w:rsid w:val="00CA1429"/>
    <w:rsid w:val="00CA2CCE"/>
    <w:rsid w:val="00CA3689"/>
    <w:rsid w:val="00CA43FD"/>
    <w:rsid w:val="00CA794A"/>
    <w:rsid w:val="00CA7EF8"/>
    <w:rsid w:val="00CB05C5"/>
    <w:rsid w:val="00CB5435"/>
    <w:rsid w:val="00CC489B"/>
    <w:rsid w:val="00CC6909"/>
    <w:rsid w:val="00CC77BB"/>
    <w:rsid w:val="00CD14CC"/>
    <w:rsid w:val="00CD2BCD"/>
    <w:rsid w:val="00CD3A4C"/>
    <w:rsid w:val="00CD3DA9"/>
    <w:rsid w:val="00CE10E9"/>
    <w:rsid w:val="00CE2910"/>
    <w:rsid w:val="00CE2BDE"/>
    <w:rsid w:val="00CE5388"/>
    <w:rsid w:val="00CE5393"/>
    <w:rsid w:val="00CE5DDB"/>
    <w:rsid w:val="00CF36BE"/>
    <w:rsid w:val="00CF36E5"/>
    <w:rsid w:val="00CF54EA"/>
    <w:rsid w:val="00CF6000"/>
    <w:rsid w:val="00CF6E40"/>
    <w:rsid w:val="00D003F3"/>
    <w:rsid w:val="00D01395"/>
    <w:rsid w:val="00D0364F"/>
    <w:rsid w:val="00D05E54"/>
    <w:rsid w:val="00D06834"/>
    <w:rsid w:val="00D10606"/>
    <w:rsid w:val="00D1297C"/>
    <w:rsid w:val="00D16A32"/>
    <w:rsid w:val="00D16C43"/>
    <w:rsid w:val="00D21FFB"/>
    <w:rsid w:val="00D25A47"/>
    <w:rsid w:val="00D2717D"/>
    <w:rsid w:val="00D308ED"/>
    <w:rsid w:val="00D30FBB"/>
    <w:rsid w:val="00D31D89"/>
    <w:rsid w:val="00D31E45"/>
    <w:rsid w:val="00D324BC"/>
    <w:rsid w:val="00D358C0"/>
    <w:rsid w:val="00D36D86"/>
    <w:rsid w:val="00D4015D"/>
    <w:rsid w:val="00D41D3B"/>
    <w:rsid w:val="00D428AA"/>
    <w:rsid w:val="00D43A64"/>
    <w:rsid w:val="00D44252"/>
    <w:rsid w:val="00D44CE3"/>
    <w:rsid w:val="00D4691F"/>
    <w:rsid w:val="00D470AC"/>
    <w:rsid w:val="00D5075A"/>
    <w:rsid w:val="00D50A34"/>
    <w:rsid w:val="00D520B0"/>
    <w:rsid w:val="00D534A5"/>
    <w:rsid w:val="00D53EFA"/>
    <w:rsid w:val="00D60C49"/>
    <w:rsid w:val="00D62A5A"/>
    <w:rsid w:val="00D64AAC"/>
    <w:rsid w:val="00D652C0"/>
    <w:rsid w:val="00D65C06"/>
    <w:rsid w:val="00D70C88"/>
    <w:rsid w:val="00D71EDC"/>
    <w:rsid w:val="00D73180"/>
    <w:rsid w:val="00D75381"/>
    <w:rsid w:val="00D7638E"/>
    <w:rsid w:val="00D845D6"/>
    <w:rsid w:val="00D907CB"/>
    <w:rsid w:val="00D9170A"/>
    <w:rsid w:val="00D93C03"/>
    <w:rsid w:val="00D93CC7"/>
    <w:rsid w:val="00D9450A"/>
    <w:rsid w:val="00D94A7C"/>
    <w:rsid w:val="00D95896"/>
    <w:rsid w:val="00D96D13"/>
    <w:rsid w:val="00DA39A3"/>
    <w:rsid w:val="00DA39BB"/>
    <w:rsid w:val="00DA6CAA"/>
    <w:rsid w:val="00DA7669"/>
    <w:rsid w:val="00DB06FD"/>
    <w:rsid w:val="00DB2646"/>
    <w:rsid w:val="00DB2983"/>
    <w:rsid w:val="00DB2E2D"/>
    <w:rsid w:val="00DB46B1"/>
    <w:rsid w:val="00DB5ADC"/>
    <w:rsid w:val="00DC002A"/>
    <w:rsid w:val="00DC0FFE"/>
    <w:rsid w:val="00DC1257"/>
    <w:rsid w:val="00DC1F7A"/>
    <w:rsid w:val="00DC31D9"/>
    <w:rsid w:val="00DC3DC0"/>
    <w:rsid w:val="00DC5B2B"/>
    <w:rsid w:val="00DC629D"/>
    <w:rsid w:val="00DC6C8C"/>
    <w:rsid w:val="00DD224D"/>
    <w:rsid w:val="00DD318D"/>
    <w:rsid w:val="00DD4F14"/>
    <w:rsid w:val="00DD598D"/>
    <w:rsid w:val="00DD6B9F"/>
    <w:rsid w:val="00DD73C1"/>
    <w:rsid w:val="00DD7B8A"/>
    <w:rsid w:val="00DE0C67"/>
    <w:rsid w:val="00DE714D"/>
    <w:rsid w:val="00DF2E12"/>
    <w:rsid w:val="00DF4B30"/>
    <w:rsid w:val="00DF514A"/>
    <w:rsid w:val="00DF5218"/>
    <w:rsid w:val="00DF54F0"/>
    <w:rsid w:val="00DF6690"/>
    <w:rsid w:val="00DF6804"/>
    <w:rsid w:val="00E00600"/>
    <w:rsid w:val="00E01119"/>
    <w:rsid w:val="00E032A4"/>
    <w:rsid w:val="00E0358D"/>
    <w:rsid w:val="00E04170"/>
    <w:rsid w:val="00E04323"/>
    <w:rsid w:val="00E048D5"/>
    <w:rsid w:val="00E070A2"/>
    <w:rsid w:val="00E1357A"/>
    <w:rsid w:val="00E149F2"/>
    <w:rsid w:val="00E14A55"/>
    <w:rsid w:val="00E203FD"/>
    <w:rsid w:val="00E2306D"/>
    <w:rsid w:val="00E262D9"/>
    <w:rsid w:val="00E2656A"/>
    <w:rsid w:val="00E26E77"/>
    <w:rsid w:val="00E316D9"/>
    <w:rsid w:val="00E32BAC"/>
    <w:rsid w:val="00E33185"/>
    <w:rsid w:val="00E34918"/>
    <w:rsid w:val="00E34F38"/>
    <w:rsid w:val="00E36B23"/>
    <w:rsid w:val="00E412D0"/>
    <w:rsid w:val="00E42984"/>
    <w:rsid w:val="00E44E88"/>
    <w:rsid w:val="00E46607"/>
    <w:rsid w:val="00E51896"/>
    <w:rsid w:val="00E51BA1"/>
    <w:rsid w:val="00E534F5"/>
    <w:rsid w:val="00E56322"/>
    <w:rsid w:val="00E56397"/>
    <w:rsid w:val="00E56728"/>
    <w:rsid w:val="00E57981"/>
    <w:rsid w:val="00E60982"/>
    <w:rsid w:val="00E60DD2"/>
    <w:rsid w:val="00E61C47"/>
    <w:rsid w:val="00E62C62"/>
    <w:rsid w:val="00E6477A"/>
    <w:rsid w:val="00E65209"/>
    <w:rsid w:val="00E654C1"/>
    <w:rsid w:val="00E65D97"/>
    <w:rsid w:val="00E706F6"/>
    <w:rsid w:val="00E72A5A"/>
    <w:rsid w:val="00E73185"/>
    <w:rsid w:val="00E73354"/>
    <w:rsid w:val="00E802AA"/>
    <w:rsid w:val="00E80CBF"/>
    <w:rsid w:val="00E8188E"/>
    <w:rsid w:val="00E85D7B"/>
    <w:rsid w:val="00E903ED"/>
    <w:rsid w:val="00E920E9"/>
    <w:rsid w:val="00E922A4"/>
    <w:rsid w:val="00E9242D"/>
    <w:rsid w:val="00E92449"/>
    <w:rsid w:val="00E93B9A"/>
    <w:rsid w:val="00E94190"/>
    <w:rsid w:val="00EA040E"/>
    <w:rsid w:val="00EA0EAC"/>
    <w:rsid w:val="00EA3511"/>
    <w:rsid w:val="00EB2FE1"/>
    <w:rsid w:val="00EB41E0"/>
    <w:rsid w:val="00EB5255"/>
    <w:rsid w:val="00EB5C47"/>
    <w:rsid w:val="00EC049C"/>
    <w:rsid w:val="00EC4D13"/>
    <w:rsid w:val="00EC5669"/>
    <w:rsid w:val="00EC6626"/>
    <w:rsid w:val="00ED0639"/>
    <w:rsid w:val="00ED0898"/>
    <w:rsid w:val="00ED3E57"/>
    <w:rsid w:val="00ED6AA2"/>
    <w:rsid w:val="00ED7A30"/>
    <w:rsid w:val="00ED7F94"/>
    <w:rsid w:val="00EF0ABB"/>
    <w:rsid w:val="00EF1249"/>
    <w:rsid w:val="00EF2A42"/>
    <w:rsid w:val="00EF38C0"/>
    <w:rsid w:val="00EF38E8"/>
    <w:rsid w:val="00EF4559"/>
    <w:rsid w:val="00EF4614"/>
    <w:rsid w:val="00EF4755"/>
    <w:rsid w:val="00EF7135"/>
    <w:rsid w:val="00F01683"/>
    <w:rsid w:val="00F0271A"/>
    <w:rsid w:val="00F027DB"/>
    <w:rsid w:val="00F07460"/>
    <w:rsid w:val="00F13EAA"/>
    <w:rsid w:val="00F14A7A"/>
    <w:rsid w:val="00F15D4C"/>
    <w:rsid w:val="00F16B42"/>
    <w:rsid w:val="00F172AB"/>
    <w:rsid w:val="00F21773"/>
    <w:rsid w:val="00F22985"/>
    <w:rsid w:val="00F234BE"/>
    <w:rsid w:val="00F2732D"/>
    <w:rsid w:val="00F322F3"/>
    <w:rsid w:val="00F3383E"/>
    <w:rsid w:val="00F35156"/>
    <w:rsid w:val="00F3573D"/>
    <w:rsid w:val="00F43E3A"/>
    <w:rsid w:val="00F465A7"/>
    <w:rsid w:val="00F4661D"/>
    <w:rsid w:val="00F47EF8"/>
    <w:rsid w:val="00F5006A"/>
    <w:rsid w:val="00F50B7C"/>
    <w:rsid w:val="00F519CE"/>
    <w:rsid w:val="00F550E6"/>
    <w:rsid w:val="00F5602C"/>
    <w:rsid w:val="00F56163"/>
    <w:rsid w:val="00F56B15"/>
    <w:rsid w:val="00F57300"/>
    <w:rsid w:val="00F60DAE"/>
    <w:rsid w:val="00F63039"/>
    <w:rsid w:val="00F64063"/>
    <w:rsid w:val="00F712CE"/>
    <w:rsid w:val="00F716D5"/>
    <w:rsid w:val="00F71C3C"/>
    <w:rsid w:val="00F733AE"/>
    <w:rsid w:val="00F73784"/>
    <w:rsid w:val="00F73B84"/>
    <w:rsid w:val="00F74345"/>
    <w:rsid w:val="00F750C1"/>
    <w:rsid w:val="00F7672C"/>
    <w:rsid w:val="00F8098D"/>
    <w:rsid w:val="00F80A0A"/>
    <w:rsid w:val="00F82601"/>
    <w:rsid w:val="00F82B19"/>
    <w:rsid w:val="00F83A2E"/>
    <w:rsid w:val="00F871ED"/>
    <w:rsid w:val="00F91D42"/>
    <w:rsid w:val="00F9212D"/>
    <w:rsid w:val="00F94532"/>
    <w:rsid w:val="00F965DA"/>
    <w:rsid w:val="00FA406A"/>
    <w:rsid w:val="00FA4078"/>
    <w:rsid w:val="00FA5244"/>
    <w:rsid w:val="00FB0D6A"/>
    <w:rsid w:val="00FB278C"/>
    <w:rsid w:val="00FB503A"/>
    <w:rsid w:val="00FB516C"/>
    <w:rsid w:val="00FB7F9E"/>
    <w:rsid w:val="00FC1258"/>
    <w:rsid w:val="00FC31B6"/>
    <w:rsid w:val="00FC506D"/>
    <w:rsid w:val="00FC6646"/>
    <w:rsid w:val="00FC7137"/>
    <w:rsid w:val="00FD0236"/>
    <w:rsid w:val="00FD1414"/>
    <w:rsid w:val="00FD18F4"/>
    <w:rsid w:val="00FD258A"/>
    <w:rsid w:val="00FD2B5A"/>
    <w:rsid w:val="00FD36FC"/>
    <w:rsid w:val="00FD4644"/>
    <w:rsid w:val="00FD54DB"/>
    <w:rsid w:val="00FD619F"/>
    <w:rsid w:val="00FD62D5"/>
    <w:rsid w:val="00FD7523"/>
    <w:rsid w:val="00FE735E"/>
    <w:rsid w:val="00FF65A6"/>
    <w:rsid w:val="01290F7E"/>
    <w:rsid w:val="015D1E09"/>
    <w:rsid w:val="017A611A"/>
    <w:rsid w:val="019058A2"/>
    <w:rsid w:val="01E5421F"/>
    <w:rsid w:val="022168C8"/>
    <w:rsid w:val="023F4F2A"/>
    <w:rsid w:val="026477B5"/>
    <w:rsid w:val="02697903"/>
    <w:rsid w:val="02D152AF"/>
    <w:rsid w:val="02F46F81"/>
    <w:rsid w:val="02F96569"/>
    <w:rsid w:val="03393718"/>
    <w:rsid w:val="036B7687"/>
    <w:rsid w:val="038F3747"/>
    <w:rsid w:val="03D459C9"/>
    <w:rsid w:val="03EA7B21"/>
    <w:rsid w:val="03EB040F"/>
    <w:rsid w:val="03EB7E9A"/>
    <w:rsid w:val="03F452A7"/>
    <w:rsid w:val="040C75CD"/>
    <w:rsid w:val="044B7EF6"/>
    <w:rsid w:val="0450313E"/>
    <w:rsid w:val="0452688C"/>
    <w:rsid w:val="05101702"/>
    <w:rsid w:val="05411285"/>
    <w:rsid w:val="0546791D"/>
    <w:rsid w:val="05620295"/>
    <w:rsid w:val="05637683"/>
    <w:rsid w:val="0565010C"/>
    <w:rsid w:val="05BE0EFF"/>
    <w:rsid w:val="05E34EEB"/>
    <w:rsid w:val="05F83EAE"/>
    <w:rsid w:val="062D520C"/>
    <w:rsid w:val="063E7D85"/>
    <w:rsid w:val="06896151"/>
    <w:rsid w:val="069B2A76"/>
    <w:rsid w:val="069E2622"/>
    <w:rsid w:val="06E27BEB"/>
    <w:rsid w:val="06FD269B"/>
    <w:rsid w:val="07094A18"/>
    <w:rsid w:val="07293586"/>
    <w:rsid w:val="07295285"/>
    <w:rsid w:val="07636392"/>
    <w:rsid w:val="0773218C"/>
    <w:rsid w:val="07770C56"/>
    <w:rsid w:val="078E62CB"/>
    <w:rsid w:val="0797489E"/>
    <w:rsid w:val="07EA2D18"/>
    <w:rsid w:val="07FB6BDB"/>
    <w:rsid w:val="083718A6"/>
    <w:rsid w:val="0839554A"/>
    <w:rsid w:val="086B03E2"/>
    <w:rsid w:val="08AE1E9F"/>
    <w:rsid w:val="08BF276D"/>
    <w:rsid w:val="08CA0902"/>
    <w:rsid w:val="08FB150D"/>
    <w:rsid w:val="092217DD"/>
    <w:rsid w:val="09271661"/>
    <w:rsid w:val="09330E1C"/>
    <w:rsid w:val="093A7294"/>
    <w:rsid w:val="09673C9A"/>
    <w:rsid w:val="09683BE0"/>
    <w:rsid w:val="09687C62"/>
    <w:rsid w:val="096E0A3C"/>
    <w:rsid w:val="09772BD9"/>
    <w:rsid w:val="098544DA"/>
    <w:rsid w:val="09976A2F"/>
    <w:rsid w:val="09DE67B4"/>
    <w:rsid w:val="09E93240"/>
    <w:rsid w:val="0A074A5B"/>
    <w:rsid w:val="0A171F07"/>
    <w:rsid w:val="0A252915"/>
    <w:rsid w:val="0A263993"/>
    <w:rsid w:val="0A286FDF"/>
    <w:rsid w:val="0A2D0A8C"/>
    <w:rsid w:val="0A2D3AC2"/>
    <w:rsid w:val="0A606E0F"/>
    <w:rsid w:val="0AA755DF"/>
    <w:rsid w:val="0AF72C33"/>
    <w:rsid w:val="0B120D44"/>
    <w:rsid w:val="0B4E1717"/>
    <w:rsid w:val="0B974B09"/>
    <w:rsid w:val="0BC44A6C"/>
    <w:rsid w:val="0BD27BF6"/>
    <w:rsid w:val="0C3B3C7D"/>
    <w:rsid w:val="0C587015"/>
    <w:rsid w:val="0C6538B7"/>
    <w:rsid w:val="0C6E02C3"/>
    <w:rsid w:val="0CAB2EAE"/>
    <w:rsid w:val="0CC872A8"/>
    <w:rsid w:val="0D163535"/>
    <w:rsid w:val="0D621C7D"/>
    <w:rsid w:val="0D6864C0"/>
    <w:rsid w:val="0DD70FB8"/>
    <w:rsid w:val="0DE33A87"/>
    <w:rsid w:val="0E4C4DBC"/>
    <w:rsid w:val="0E73034D"/>
    <w:rsid w:val="0E793AB1"/>
    <w:rsid w:val="0E824E13"/>
    <w:rsid w:val="0EBD3DA0"/>
    <w:rsid w:val="0F13775A"/>
    <w:rsid w:val="0F5F45FE"/>
    <w:rsid w:val="0F6C1B67"/>
    <w:rsid w:val="0F841BAC"/>
    <w:rsid w:val="0F9A112B"/>
    <w:rsid w:val="10073775"/>
    <w:rsid w:val="10132CE3"/>
    <w:rsid w:val="102E7713"/>
    <w:rsid w:val="106D2F64"/>
    <w:rsid w:val="107C2F8D"/>
    <w:rsid w:val="10816865"/>
    <w:rsid w:val="10B63710"/>
    <w:rsid w:val="10C761F4"/>
    <w:rsid w:val="10F10820"/>
    <w:rsid w:val="10F44B0F"/>
    <w:rsid w:val="111B3AE8"/>
    <w:rsid w:val="111C2F7A"/>
    <w:rsid w:val="11206881"/>
    <w:rsid w:val="112B749A"/>
    <w:rsid w:val="11370250"/>
    <w:rsid w:val="11665CA1"/>
    <w:rsid w:val="11C90C9D"/>
    <w:rsid w:val="11EA053D"/>
    <w:rsid w:val="12A45FD2"/>
    <w:rsid w:val="13951726"/>
    <w:rsid w:val="13953615"/>
    <w:rsid w:val="13985C26"/>
    <w:rsid w:val="13D2503A"/>
    <w:rsid w:val="13E44050"/>
    <w:rsid w:val="13EA6429"/>
    <w:rsid w:val="14396509"/>
    <w:rsid w:val="143C5757"/>
    <w:rsid w:val="14651AB2"/>
    <w:rsid w:val="14843BD9"/>
    <w:rsid w:val="148D5E53"/>
    <w:rsid w:val="14DD2C3C"/>
    <w:rsid w:val="14EF5D19"/>
    <w:rsid w:val="14FE26E5"/>
    <w:rsid w:val="15066FB5"/>
    <w:rsid w:val="153F0EE5"/>
    <w:rsid w:val="155F36E9"/>
    <w:rsid w:val="16087E1D"/>
    <w:rsid w:val="160A7DFB"/>
    <w:rsid w:val="162D2075"/>
    <w:rsid w:val="16B74615"/>
    <w:rsid w:val="171952CF"/>
    <w:rsid w:val="172565EC"/>
    <w:rsid w:val="173269F8"/>
    <w:rsid w:val="17701D14"/>
    <w:rsid w:val="17735226"/>
    <w:rsid w:val="17BE4544"/>
    <w:rsid w:val="17C6288A"/>
    <w:rsid w:val="18114AE8"/>
    <w:rsid w:val="187C53BE"/>
    <w:rsid w:val="189F624C"/>
    <w:rsid w:val="18ED07C2"/>
    <w:rsid w:val="19120A76"/>
    <w:rsid w:val="1930409A"/>
    <w:rsid w:val="19353F17"/>
    <w:rsid w:val="19464237"/>
    <w:rsid w:val="195B78D1"/>
    <w:rsid w:val="19742FD7"/>
    <w:rsid w:val="19764314"/>
    <w:rsid w:val="197734F8"/>
    <w:rsid w:val="19874179"/>
    <w:rsid w:val="199776E9"/>
    <w:rsid w:val="19A15B8C"/>
    <w:rsid w:val="19DE010A"/>
    <w:rsid w:val="19E00033"/>
    <w:rsid w:val="19E97377"/>
    <w:rsid w:val="19EA3C0B"/>
    <w:rsid w:val="1A1C66C0"/>
    <w:rsid w:val="1A42393B"/>
    <w:rsid w:val="1A5B5472"/>
    <w:rsid w:val="1A624227"/>
    <w:rsid w:val="1A6E774D"/>
    <w:rsid w:val="1A7B3D17"/>
    <w:rsid w:val="1A886935"/>
    <w:rsid w:val="1AAD45DE"/>
    <w:rsid w:val="1ADC4437"/>
    <w:rsid w:val="1AEF2B0A"/>
    <w:rsid w:val="1B046F80"/>
    <w:rsid w:val="1B3267B5"/>
    <w:rsid w:val="1B40161D"/>
    <w:rsid w:val="1B441859"/>
    <w:rsid w:val="1B5B38A4"/>
    <w:rsid w:val="1B6606B1"/>
    <w:rsid w:val="1B680DC1"/>
    <w:rsid w:val="1BC11B30"/>
    <w:rsid w:val="1BDE10D9"/>
    <w:rsid w:val="1BF633B0"/>
    <w:rsid w:val="1C4865C1"/>
    <w:rsid w:val="1C5B1EE6"/>
    <w:rsid w:val="1C5E7925"/>
    <w:rsid w:val="1C78676A"/>
    <w:rsid w:val="1C7C1A9C"/>
    <w:rsid w:val="1CFD070F"/>
    <w:rsid w:val="1D156539"/>
    <w:rsid w:val="1D173770"/>
    <w:rsid w:val="1D391D7D"/>
    <w:rsid w:val="1D5319AE"/>
    <w:rsid w:val="1D5F6196"/>
    <w:rsid w:val="1D6132A5"/>
    <w:rsid w:val="1D864D41"/>
    <w:rsid w:val="1D8E56D5"/>
    <w:rsid w:val="1D957FBA"/>
    <w:rsid w:val="1DA146C9"/>
    <w:rsid w:val="1DDF655B"/>
    <w:rsid w:val="1E3F4C88"/>
    <w:rsid w:val="1E7A43DA"/>
    <w:rsid w:val="1EA673C2"/>
    <w:rsid w:val="1EC75469"/>
    <w:rsid w:val="1EFC2CFA"/>
    <w:rsid w:val="1F3A5DE3"/>
    <w:rsid w:val="1FE7539E"/>
    <w:rsid w:val="2015277A"/>
    <w:rsid w:val="20210DD0"/>
    <w:rsid w:val="20381626"/>
    <w:rsid w:val="204D57E5"/>
    <w:rsid w:val="205748D7"/>
    <w:rsid w:val="20671BE0"/>
    <w:rsid w:val="206E1210"/>
    <w:rsid w:val="20730B4D"/>
    <w:rsid w:val="207460B1"/>
    <w:rsid w:val="20963CB8"/>
    <w:rsid w:val="20A52631"/>
    <w:rsid w:val="20A81A1B"/>
    <w:rsid w:val="20AC194C"/>
    <w:rsid w:val="20AC3D49"/>
    <w:rsid w:val="20B07FB6"/>
    <w:rsid w:val="20B3409F"/>
    <w:rsid w:val="20B646FB"/>
    <w:rsid w:val="21394254"/>
    <w:rsid w:val="213B74B1"/>
    <w:rsid w:val="215A2310"/>
    <w:rsid w:val="2163494A"/>
    <w:rsid w:val="21654CB5"/>
    <w:rsid w:val="218602C2"/>
    <w:rsid w:val="21A90747"/>
    <w:rsid w:val="21B6637F"/>
    <w:rsid w:val="21DE318A"/>
    <w:rsid w:val="21E2678E"/>
    <w:rsid w:val="21E66351"/>
    <w:rsid w:val="21EF5B80"/>
    <w:rsid w:val="223B53BA"/>
    <w:rsid w:val="22576990"/>
    <w:rsid w:val="22631E9D"/>
    <w:rsid w:val="227F7949"/>
    <w:rsid w:val="2285589C"/>
    <w:rsid w:val="228D0920"/>
    <w:rsid w:val="22DB78DD"/>
    <w:rsid w:val="22F339FB"/>
    <w:rsid w:val="22F47480"/>
    <w:rsid w:val="23157590"/>
    <w:rsid w:val="234378C3"/>
    <w:rsid w:val="23571659"/>
    <w:rsid w:val="23652EF4"/>
    <w:rsid w:val="23DE1C48"/>
    <w:rsid w:val="23F5677C"/>
    <w:rsid w:val="23F62E75"/>
    <w:rsid w:val="240210CD"/>
    <w:rsid w:val="244006CD"/>
    <w:rsid w:val="245C2C9F"/>
    <w:rsid w:val="24683CE4"/>
    <w:rsid w:val="24AE49E2"/>
    <w:rsid w:val="24BF09F7"/>
    <w:rsid w:val="24C4063E"/>
    <w:rsid w:val="250D073D"/>
    <w:rsid w:val="2527505B"/>
    <w:rsid w:val="252D53FE"/>
    <w:rsid w:val="25361333"/>
    <w:rsid w:val="255B4D05"/>
    <w:rsid w:val="25644B0D"/>
    <w:rsid w:val="25711A11"/>
    <w:rsid w:val="259326F1"/>
    <w:rsid w:val="25A67CCB"/>
    <w:rsid w:val="25B61B9F"/>
    <w:rsid w:val="25C73E15"/>
    <w:rsid w:val="25CB59E7"/>
    <w:rsid w:val="25EC2D81"/>
    <w:rsid w:val="26075AD4"/>
    <w:rsid w:val="2685028B"/>
    <w:rsid w:val="269A360B"/>
    <w:rsid w:val="26E614EE"/>
    <w:rsid w:val="26FE3B9A"/>
    <w:rsid w:val="26FE3D7D"/>
    <w:rsid w:val="27086F53"/>
    <w:rsid w:val="2719665F"/>
    <w:rsid w:val="277057A2"/>
    <w:rsid w:val="277A5916"/>
    <w:rsid w:val="278E4350"/>
    <w:rsid w:val="2791576E"/>
    <w:rsid w:val="27B122BE"/>
    <w:rsid w:val="282274AA"/>
    <w:rsid w:val="283A25D8"/>
    <w:rsid w:val="288C27C5"/>
    <w:rsid w:val="28AF7842"/>
    <w:rsid w:val="28DF4D77"/>
    <w:rsid w:val="28FB32DD"/>
    <w:rsid w:val="290B4866"/>
    <w:rsid w:val="29192F0D"/>
    <w:rsid w:val="29206EB8"/>
    <w:rsid w:val="294F4B81"/>
    <w:rsid w:val="29595666"/>
    <w:rsid w:val="29712D49"/>
    <w:rsid w:val="29874881"/>
    <w:rsid w:val="29A4429D"/>
    <w:rsid w:val="29BF5775"/>
    <w:rsid w:val="29D725CF"/>
    <w:rsid w:val="29E325E0"/>
    <w:rsid w:val="2A21651D"/>
    <w:rsid w:val="2A2A5CDA"/>
    <w:rsid w:val="2A452503"/>
    <w:rsid w:val="2A60484F"/>
    <w:rsid w:val="2A6B613D"/>
    <w:rsid w:val="2A6E0744"/>
    <w:rsid w:val="2A707412"/>
    <w:rsid w:val="2A7467F6"/>
    <w:rsid w:val="2B2D015D"/>
    <w:rsid w:val="2B2F1D6E"/>
    <w:rsid w:val="2B5B2D39"/>
    <w:rsid w:val="2B5B43E9"/>
    <w:rsid w:val="2B6D5CBC"/>
    <w:rsid w:val="2B7D59D5"/>
    <w:rsid w:val="2B8723B0"/>
    <w:rsid w:val="2B8D0149"/>
    <w:rsid w:val="2B944ACD"/>
    <w:rsid w:val="2B9F3B9D"/>
    <w:rsid w:val="2BA936A8"/>
    <w:rsid w:val="2C315A5A"/>
    <w:rsid w:val="2C4B1C25"/>
    <w:rsid w:val="2CB30145"/>
    <w:rsid w:val="2CBB2C3A"/>
    <w:rsid w:val="2CCD03B2"/>
    <w:rsid w:val="2CD258AD"/>
    <w:rsid w:val="2CF02411"/>
    <w:rsid w:val="2D3C541C"/>
    <w:rsid w:val="2D6973AD"/>
    <w:rsid w:val="2D9E56F5"/>
    <w:rsid w:val="2DBB39A9"/>
    <w:rsid w:val="2DC976A1"/>
    <w:rsid w:val="2E171B05"/>
    <w:rsid w:val="2E667F96"/>
    <w:rsid w:val="2E8226AB"/>
    <w:rsid w:val="2EDB09DE"/>
    <w:rsid w:val="2EFD3C6D"/>
    <w:rsid w:val="2F556561"/>
    <w:rsid w:val="2F581804"/>
    <w:rsid w:val="2FA97EAC"/>
    <w:rsid w:val="2FBE5DAE"/>
    <w:rsid w:val="2FD065E6"/>
    <w:rsid w:val="2FD96870"/>
    <w:rsid w:val="2FE9288F"/>
    <w:rsid w:val="30202DD3"/>
    <w:rsid w:val="30580BC9"/>
    <w:rsid w:val="30961732"/>
    <w:rsid w:val="311E2ED7"/>
    <w:rsid w:val="313A2942"/>
    <w:rsid w:val="314C656B"/>
    <w:rsid w:val="315619EE"/>
    <w:rsid w:val="315C449C"/>
    <w:rsid w:val="31AE55C2"/>
    <w:rsid w:val="31B82709"/>
    <w:rsid w:val="31D05482"/>
    <w:rsid w:val="32400B34"/>
    <w:rsid w:val="32413963"/>
    <w:rsid w:val="32506B03"/>
    <w:rsid w:val="32571FF6"/>
    <w:rsid w:val="329E6876"/>
    <w:rsid w:val="32A36A1D"/>
    <w:rsid w:val="32EB25DC"/>
    <w:rsid w:val="33042EAD"/>
    <w:rsid w:val="333015F2"/>
    <w:rsid w:val="334B6320"/>
    <w:rsid w:val="335A529C"/>
    <w:rsid w:val="33864689"/>
    <w:rsid w:val="33921838"/>
    <w:rsid w:val="33B72FA9"/>
    <w:rsid w:val="33D934D4"/>
    <w:rsid w:val="33E53710"/>
    <w:rsid w:val="33FE2F6A"/>
    <w:rsid w:val="340E07E5"/>
    <w:rsid w:val="34235BF7"/>
    <w:rsid w:val="34372941"/>
    <w:rsid w:val="344968DD"/>
    <w:rsid w:val="344B2032"/>
    <w:rsid w:val="345D2E9C"/>
    <w:rsid w:val="34897488"/>
    <w:rsid w:val="351C03B3"/>
    <w:rsid w:val="35482E39"/>
    <w:rsid w:val="358C5FA8"/>
    <w:rsid w:val="35A20611"/>
    <w:rsid w:val="35C15DF1"/>
    <w:rsid w:val="35D73F34"/>
    <w:rsid w:val="36074A7F"/>
    <w:rsid w:val="36923549"/>
    <w:rsid w:val="36B75FBF"/>
    <w:rsid w:val="36BC4B34"/>
    <w:rsid w:val="36BD0C45"/>
    <w:rsid w:val="36CE3589"/>
    <w:rsid w:val="373C7433"/>
    <w:rsid w:val="37594C6E"/>
    <w:rsid w:val="37701469"/>
    <w:rsid w:val="377F402B"/>
    <w:rsid w:val="379D3A66"/>
    <w:rsid w:val="37E00298"/>
    <w:rsid w:val="37EC081F"/>
    <w:rsid w:val="38166DF8"/>
    <w:rsid w:val="3818013A"/>
    <w:rsid w:val="38271DCF"/>
    <w:rsid w:val="386A108F"/>
    <w:rsid w:val="3878127C"/>
    <w:rsid w:val="38B302F9"/>
    <w:rsid w:val="38D83318"/>
    <w:rsid w:val="38EE4F10"/>
    <w:rsid w:val="38F12CD3"/>
    <w:rsid w:val="38F94775"/>
    <w:rsid w:val="391050F3"/>
    <w:rsid w:val="392971ED"/>
    <w:rsid w:val="39325651"/>
    <w:rsid w:val="39477622"/>
    <w:rsid w:val="39E65BB5"/>
    <w:rsid w:val="3A761B04"/>
    <w:rsid w:val="3A872856"/>
    <w:rsid w:val="3B27770B"/>
    <w:rsid w:val="3B3763D1"/>
    <w:rsid w:val="3B6914E4"/>
    <w:rsid w:val="3B7F495D"/>
    <w:rsid w:val="3B8E32E7"/>
    <w:rsid w:val="3BCB0097"/>
    <w:rsid w:val="3BE7364F"/>
    <w:rsid w:val="3C2B179C"/>
    <w:rsid w:val="3C2F6E1E"/>
    <w:rsid w:val="3C4A1903"/>
    <w:rsid w:val="3C4F64BA"/>
    <w:rsid w:val="3C5C5193"/>
    <w:rsid w:val="3C6D58F6"/>
    <w:rsid w:val="3C75570C"/>
    <w:rsid w:val="3CC73F22"/>
    <w:rsid w:val="3CDA245A"/>
    <w:rsid w:val="3CDB69FF"/>
    <w:rsid w:val="3CDE4BFD"/>
    <w:rsid w:val="3CE6551C"/>
    <w:rsid w:val="3CE7042A"/>
    <w:rsid w:val="3CEE7A91"/>
    <w:rsid w:val="3D062EB0"/>
    <w:rsid w:val="3D1E06B7"/>
    <w:rsid w:val="3D3578D9"/>
    <w:rsid w:val="3D74242C"/>
    <w:rsid w:val="3DA648F9"/>
    <w:rsid w:val="3DEB282F"/>
    <w:rsid w:val="3DF044EF"/>
    <w:rsid w:val="3DFA1107"/>
    <w:rsid w:val="3DFF0731"/>
    <w:rsid w:val="3E0D274E"/>
    <w:rsid w:val="3E292D8F"/>
    <w:rsid w:val="3E477D61"/>
    <w:rsid w:val="3EC40666"/>
    <w:rsid w:val="3EDA0523"/>
    <w:rsid w:val="3F1644D6"/>
    <w:rsid w:val="3F8A1452"/>
    <w:rsid w:val="3FA00F3A"/>
    <w:rsid w:val="4028431C"/>
    <w:rsid w:val="40325B01"/>
    <w:rsid w:val="403958D8"/>
    <w:rsid w:val="405108D1"/>
    <w:rsid w:val="407A6407"/>
    <w:rsid w:val="408B5DFF"/>
    <w:rsid w:val="40A514E5"/>
    <w:rsid w:val="40A965D8"/>
    <w:rsid w:val="40CF5D4F"/>
    <w:rsid w:val="40E57644"/>
    <w:rsid w:val="4120538F"/>
    <w:rsid w:val="414D2D67"/>
    <w:rsid w:val="41856F3A"/>
    <w:rsid w:val="418B446A"/>
    <w:rsid w:val="41AC11DF"/>
    <w:rsid w:val="41B23984"/>
    <w:rsid w:val="41E920E8"/>
    <w:rsid w:val="41F540C0"/>
    <w:rsid w:val="4200449D"/>
    <w:rsid w:val="42314467"/>
    <w:rsid w:val="423A3BCC"/>
    <w:rsid w:val="424E57D2"/>
    <w:rsid w:val="425B28AF"/>
    <w:rsid w:val="428F3E63"/>
    <w:rsid w:val="42B26C49"/>
    <w:rsid w:val="42D45CE1"/>
    <w:rsid w:val="430E3019"/>
    <w:rsid w:val="430F216E"/>
    <w:rsid w:val="43194EF2"/>
    <w:rsid w:val="431D1161"/>
    <w:rsid w:val="433230F1"/>
    <w:rsid w:val="433A6FE6"/>
    <w:rsid w:val="43480868"/>
    <w:rsid w:val="4350713C"/>
    <w:rsid w:val="436653E0"/>
    <w:rsid w:val="43994F1E"/>
    <w:rsid w:val="43B644DD"/>
    <w:rsid w:val="43C4431A"/>
    <w:rsid w:val="43C55573"/>
    <w:rsid w:val="43D03656"/>
    <w:rsid w:val="43E04373"/>
    <w:rsid w:val="440F1C53"/>
    <w:rsid w:val="44320903"/>
    <w:rsid w:val="443A6796"/>
    <w:rsid w:val="44691568"/>
    <w:rsid w:val="44832483"/>
    <w:rsid w:val="44B951CC"/>
    <w:rsid w:val="44CD14E0"/>
    <w:rsid w:val="44D32901"/>
    <w:rsid w:val="44E20341"/>
    <w:rsid w:val="44F20B0B"/>
    <w:rsid w:val="45180CC4"/>
    <w:rsid w:val="452E5F4C"/>
    <w:rsid w:val="45341B2C"/>
    <w:rsid w:val="454A5E13"/>
    <w:rsid w:val="45612018"/>
    <w:rsid w:val="458946E9"/>
    <w:rsid w:val="459F2F61"/>
    <w:rsid w:val="45A47C0E"/>
    <w:rsid w:val="45CE5353"/>
    <w:rsid w:val="45D37956"/>
    <w:rsid w:val="45FE72BB"/>
    <w:rsid w:val="46341847"/>
    <w:rsid w:val="46523984"/>
    <w:rsid w:val="46577FD6"/>
    <w:rsid w:val="469B7E7E"/>
    <w:rsid w:val="46D955A7"/>
    <w:rsid w:val="46EA66D5"/>
    <w:rsid w:val="47125E4A"/>
    <w:rsid w:val="47133957"/>
    <w:rsid w:val="472A0B6A"/>
    <w:rsid w:val="473A5340"/>
    <w:rsid w:val="477F18CB"/>
    <w:rsid w:val="479971D7"/>
    <w:rsid w:val="47A07E0C"/>
    <w:rsid w:val="47A23C1C"/>
    <w:rsid w:val="47AD50E6"/>
    <w:rsid w:val="47DA005D"/>
    <w:rsid w:val="480908C5"/>
    <w:rsid w:val="48123636"/>
    <w:rsid w:val="481B05F8"/>
    <w:rsid w:val="483218AA"/>
    <w:rsid w:val="48457149"/>
    <w:rsid w:val="4870272E"/>
    <w:rsid w:val="48F25003"/>
    <w:rsid w:val="491B2DF6"/>
    <w:rsid w:val="496407B2"/>
    <w:rsid w:val="49822167"/>
    <w:rsid w:val="49C574BA"/>
    <w:rsid w:val="49DC2E0E"/>
    <w:rsid w:val="49DC7715"/>
    <w:rsid w:val="49EC13C3"/>
    <w:rsid w:val="49ED2B2D"/>
    <w:rsid w:val="4A023139"/>
    <w:rsid w:val="4A5E379E"/>
    <w:rsid w:val="4A7B576F"/>
    <w:rsid w:val="4A9D52F4"/>
    <w:rsid w:val="4AF561A9"/>
    <w:rsid w:val="4B102A00"/>
    <w:rsid w:val="4B2C6611"/>
    <w:rsid w:val="4B2D194F"/>
    <w:rsid w:val="4B315A7E"/>
    <w:rsid w:val="4B4469F6"/>
    <w:rsid w:val="4B8B7843"/>
    <w:rsid w:val="4BB06DB8"/>
    <w:rsid w:val="4BD72A88"/>
    <w:rsid w:val="4C4267E4"/>
    <w:rsid w:val="4C4A0649"/>
    <w:rsid w:val="4C6F0F12"/>
    <w:rsid w:val="4C7E5ECA"/>
    <w:rsid w:val="4C876AA5"/>
    <w:rsid w:val="4C9606EC"/>
    <w:rsid w:val="4CF40BB6"/>
    <w:rsid w:val="4CFD3C38"/>
    <w:rsid w:val="4D0E00FB"/>
    <w:rsid w:val="4D154E8B"/>
    <w:rsid w:val="4D176606"/>
    <w:rsid w:val="4D587BF8"/>
    <w:rsid w:val="4DEC4FB0"/>
    <w:rsid w:val="4DF711BF"/>
    <w:rsid w:val="4E075D8A"/>
    <w:rsid w:val="4E1A0137"/>
    <w:rsid w:val="4E566C6E"/>
    <w:rsid w:val="4E8A421F"/>
    <w:rsid w:val="4EB35F79"/>
    <w:rsid w:val="4EB64E7B"/>
    <w:rsid w:val="4EC00FAD"/>
    <w:rsid w:val="4EED0ABB"/>
    <w:rsid w:val="4EF45D9B"/>
    <w:rsid w:val="4F585C8E"/>
    <w:rsid w:val="4F9843DC"/>
    <w:rsid w:val="4FC62A8C"/>
    <w:rsid w:val="4FD53F62"/>
    <w:rsid w:val="4FE20F0D"/>
    <w:rsid w:val="4FE51552"/>
    <w:rsid w:val="504A3037"/>
    <w:rsid w:val="50504C4B"/>
    <w:rsid w:val="505503E9"/>
    <w:rsid w:val="505B01BA"/>
    <w:rsid w:val="506A211C"/>
    <w:rsid w:val="50923421"/>
    <w:rsid w:val="509C6E7C"/>
    <w:rsid w:val="50A53D8C"/>
    <w:rsid w:val="50B43820"/>
    <w:rsid w:val="50B96C00"/>
    <w:rsid w:val="50DC5D82"/>
    <w:rsid w:val="510D24D8"/>
    <w:rsid w:val="510D4856"/>
    <w:rsid w:val="512322CB"/>
    <w:rsid w:val="5127196E"/>
    <w:rsid w:val="512D5190"/>
    <w:rsid w:val="51481DCD"/>
    <w:rsid w:val="51495E20"/>
    <w:rsid w:val="51497F84"/>
    <w:rsid w:val="514A3707"/>
    <w:rsid w:val="514C537E"/>
    <w:rsid w:val="5162104E"/>
    <w:rsid w:val="519E1021"/>
    <w:rsid w:val="51BD159B"/>
    <w:rsid w:val="51C25394"/>
    <w:rsid w:val="52045760"/>
    <w:rsid w:val="521A6AAB"/>
    <w:rsid w:val="522910BA"/>
    <w:rsid w:val="52974D1F"/>
    <w:rsid w:val="52B70983"/>
    <w:rsid w:val="53426A39"/>
    <w:rsid w:val="53457C1F"/>
    <w:rsid w:val="5346301D"/>
    <w:rsid w:val="53582700"/>
    <w:rsid w:val="535E1F8C"/>
    <w:rsid w:val="53A039CC"/>
    <w:rsid w:val="53A1505A"/>
    <w:rsid w:val="54063E08"/>
    <w:rsid w:val="5411538F"/>
    <w:rsid w:val="54314A02"/>
    <w:rsid w:val="543437E8"/>
    <w:rsid w:val="543552EA"/>
    <w:rsid w:val="54391142"/>
    <w:rsid w:val="54460179"/>
    <w:rsid w:val="54460539"/>
    <w:rsid w:val="54595C00"/>
    <w:rsid w:val="547075D6"/>
    <w:rsid w:val="547E7F44"/>
    <w:rsid w:val="54867BBC"/>
    <w:rsid w:val="54AA2D9E"/>
    <w:rsid w:val="54B61E35"/>
    <w:rsid w:val="54BB15CE"/>
    <w:rsid w:val="54E13BA7"/>
    <w:rsid w:val="54F73313"/>
    <w:rsid w:val="54F80955"/>
    <w:rsid w:val="5506363A"/>
    <w:rsid w:val="55254864"/>
    <w:rsid w:val="555170A7"/>
    <w:rsid w:val="55826821"/>
    <w:rsid w:val="5587536D"/>
    <w:rsid w:val="559B174B"/>
    <w:rsid w:val="55AA11AB"/>
    <w:rsid w:val="55CE0CF4"/>
    <w:rsid w:val="56065F6F"/>
    <w:rsid w:val="561674B5"/>
    <w:rsid w:val="56167F29"/>
    <w:rsid w:val="56AE528D"/>
    <w:rsid w:val="56B22A9C"/>
    <w:rsid w:val="56BC18A7"/>
    <w:rsid w:val="56D07064"/>
    <w:rsid w:val="56EE0C86"/>
    <w:rsid w:val="57002240"/>
    <w:rsid w:val="579706B0"/>
    <w:rsid w:val="579A2803"/>
    <w:rsid w:val="57A41E19"/>
    <w:rsid w:val="57B72A76"/>
    <w:rsid w:val="57C06AC6"/>
    <w:rsid w:val="57C3426C"/>
    <w:rsid w:val="57C71608"/>
    <w:rsid w:val="57CE1F93"/>
    <w:rsid w:val="57F10402"/>
    <w:rsid w:val="57F2466C"/>
    <w:rsid w:val="580B364C"/>
    <w:rsid w:val="583C00B4"/>
    <w:rsid w:val="587B4A7E"/>
    <w:rsid w:val="588743D1"/>
    <w:rsid w:val="5887701A"/>
    <w:rsid w:val="58D319AC"/>
    <w:rsid w:val="59012EF2"/>
    <w:rsid w:val="5902548A"/>
    <w:rsid w:val="59174204"/>
    <w:rsid w:val="59376914"/>
    <w:rsid w:val="59B021AC"/>
    <w:rsid w:val="59C0439F"/>
    <w:rsid w:val="59D94497"/>
    <w:rsid w:val="5A7871E4"/>
    <w:rsid w:val="5A81078E"/>
    <w:rsid w:val="5ABE2233"/>
    <w:rsid w:val="5AC02876"/>
    <w:rsid w:val="5AFD6302"/>
    <w:rsid w:val="5B252B7C"/>
    <w:rsid w:val="5B390F56"/>
    <w:rsid w:val="5B5C08B4"/>
    <w:rsid w:val="5B8A5421"/>
    <w:rsid w:val="5BD64622"/>
    <w:rsid w:val="5BDF5D95"/>
    <w:rsid w:val="5BFE7528"/>
    <w:rsid w:val="5C0E1586"/>
    <w:rsid w:val="5C7C23A3"/>
    <w:rsid w:val="5CCC438A"/>
    <w:rsid w:val="5CDF354A"/>
    <w:rsid w:val="5D223308"/>
    <w:rsid w:val="5D240CDB"/>
    <w:rsid w:val="5D6121B1"/>
    <w:rsid w:val="5DEC2EC1"/>
    <w:rsid w:val="5E1951D9"/>
    <w:rsid w:val="5E2467F1"/>
    <w:rsid w:val="5E2B7CC0"/>
    <w:rsid w:val="5E363FE7"/>
    <w:rsid w:val="5E7637FE"/>
    <w:rsid w:val="5E7A49EE"/>
    <w:rsid w:val="5EB013A1"/>
    <w:rsid w:val="5EFF5730"/>
    <w:rsid w:val="5F1A2B43"/>
    <w:rsid w:val="5F2E2567"/>
    <w:rsid w:val="5F2F70DC"/>
    <w:rsid w:val="5F3759A0"/>
    <w:rsid w:val="5F4F13E1"/>
    <w:rsid w:val="5F7A6958"/>
    <w:rsid w:val="5F8403BB"/>
    <w:rsid w:val="5F8A0E44"/>
    <w:rsid w:val="5FB837BB"/>
    <w:rsid w:val="5FC87DCF"/>
    <w:rsid w:val="60183C3E"/>
    <w:rsid w:val="60243980"/>
    <w:rsid w:val="60306D75"/>
    <w:rsid w:val="604E1113"/>
    <w:rsid w:val="604E36B1"/>
    <w:rsid w:val="60C058C6"/>
    <w:rsid w:val="60CC405A"/>
    <w:rsid w:val="61046BE4"/>
    <w:rsid w:val="615D35E3"/>
    <w:rsid w:val="61A85D23"/>
    <w:rsid w:val="61DB30C2"/>
    <w:rsid w:val="61E215D8"/>
    <w:rsid w:val="62021CF4"/>
    <w:rsid w:val="620E751D"/>
    <w:rsid w:val="621B3775"/>
    <w:rsid w:val="62364782"/>
    <w:rsid w:val="623E6F65"/>
    <w:rsid w:val="625131EF"/>
    <w:rsid w:val="62783AF4"/>
    <w:rsid w:val="62C55CE9"/>
    <w:rsid w:val="62E4037F"/>
    <w:rsid w:val="6342047F"/>
    <w:rsid w:val="634371A7"/>
    <w:rsid w:val="6381535B"/>
    <w:rsid w:val="6394356A"/>
    <w:rsid w:val="63C61B2C"/>
    <w:rsid w:val="63D40BE9"/>
    <w:rsid w:val="63D478A7"/>
    <w:rsid w:val="63DC2A95"/>
    <w:rsid w:val="63EB1B26"/>
    <w:rsid w:val="63FA5542"/>
    <w:rsid w:val="64102431"/>
    <w:rsid w:val="64A5243A"/>
    <w:rsid w:val="64B02BC8"/>
    <w:rsid w:val="64D515E0"/>
    <w:rsid w:val="64DB34BA"/>
    <w:rsid w:val="64F531DE"/>
    <w:rsid w:val="65256574"/>
    <w:rsid w:val="65373578"/>
    <w:rsid w:val="65670581"/>
    <w:rsid w:val="656C41F2"/>
    <w:rsid w:val="65B27275"/>
    <w:rsid w:val="660C3D04"/>
    <w:rsid w:val="663F764A"/>
    <w:rsid w:val="66481EF6"/>
    <w:rsid w:val="668D0E99"/>
    <w:rsid w:val="66E04A8F"/>
    <w:rsid w:val="66FB27B8"/>
    <w:rsid w:val="671F124A"/>
    <w:rsid w:val="67234B3D"/>
    <w:rsid w:val="673420F1"/>
    <w:rsid w:val="673D47F9"/>
    <w:rsid w:val="677A33C6"/>
    <w:rsid w:val="678E6299"/>
    <w:rsid w:val="67995DB7"/>
    <w:rsid w:val="67D4222E"/>
    <w:rsid w:val="68172E56"/>
    <w:rsid w:val="681F6961"/>
    <w:rsid w:val="685430F2"/>
    <w:rsid w:val="68610A2F"/>
    <w:rsid w:val="68805514"/>
    <w:rsid w:val="689203D4"/>
    <w:rsid w:val="68996CA3"/>
    <w:rsid w:val="68997279"/>
    <w:rsid w:val="68B24209"/>
    <w:rsid w:val="68D57192"/>
    <w:rsid w:val="68D868DF"/>
    <w:rsid w:val="69316E2F"/>
    <w:rsid w:val="694E2071"/>
    <w:rsid w:val="69526CDE"/>
    <w:rsid w:val="695D107B"/>
    <w:rsid w:val="69766163"/>
    <w:rsid w:val="6979332A"/>
    <w:rsid w:val="697A3B33"/>
    <w:rsid w:val="69986B8B"/>
    <w:rsid w:val="699F6337"/>
    <w:rsid w:val="69D44760"/>
    <w:rsid w:val="69F85A5F"/>
    <w:rsid w:val="6A341401"/>
    <w:rsid w:val="6A520EC7"/>
    <w:rsid w:val="6A862596"/>
    <w:rsid w:val="6AB253C6"/>
    <w:rsid w:val="6ACD70D8"/>
    <w:rsid w:val="6AE95E85"/>
    <w:rsid w:val="6AF87E20"/>
    <w:rsid w:val="6B322639"/>
    <w:rsid w:val="6B3375C2"/>
    <w:rsid w:val="6B4F21E3"/>
    <w:rsid w:val="6B7F6B8B"/>
    <w:rsid w:val="6B853525"/>
    <w:rsid w:val="6B8F6EB7"/>
    <w:rsid w:val="6BFD39ED"/>
    <w:rsid w:val="6C03399D"/>
    <w:rsid w:val="6C053876"/>
    <w:rsid w:val="6C636C38"/>
    <w:rsid w:val="6CB57E24"/>
    <w:rsid w:val="6CC82FAC"/>
    <w:rsid w:val="6CCB33A9"/>
    <w:rsid w:val="6CDF07F0"/>
    <w:rsid w:val="6D875B5B"/>
    <w:rsid w:val="6D8F4488"/>
    <w:rsid w:val="6D927244"/>
    <w:rsid w:val="6DA46816"/>
    <w:rsid w:val="6DB34098"/>
    <w:rsid w:val="6DB545B6"/>
    <w:rsid w:val="6DC3150A"/>
    <w:rsid w:val="6DD14C0D"/>
    <w:rsid w:val="6DE02FB4"/>
    <w:rsid w:val="6E14108A"/>
    <w:rsid w:val="6E42473E"/>
    <w:rsid w:val="6E514CED"/>
    <w:rsid w:val="6E674762"/>
    <w:rsid w:val="6E88590D"/>
    <w:rsid w:val="6EB153BC"/>
    <w:rsid w:val="6EB563D5"/>
    <w:rsid w:val="6EB86E64"/>
    <w:rsid w:val="6EBD7464"/>
    <w:rsid w:val="6ED92677"/>
    <w:rsid w:val="6F0D66BE"/>
    <w:rsid w:val="6F101C89"/>
    <w:rsid w:val="6F225983"/>
    <w:rsid w:val="6F3F32A7"/>
    <w:rsid w:val="6F474FFF"/>
    <w:rsid w:val="6F5D2BD1"/>
    <w:rsid w:val="6F5E106A"/>
    <w:rsid w:val="6F712728"/>
    <w:rsid w:val="6F7B465E"/>
    <w:rsid w:val="6F9E7F1B"/>
    <w:rsid w:val="6FA9746E"/>
    <w:rsid w:val="6FB93762"/>
    <w:rsid w:val="6FBC4FF3"/>
    <w:rsid w:val="6FFC5590"/>
    <w:rsid w:val="700F78E9"/>
    <w:rsid w:val="702D3BED"/>
    <w:rsid w:val="703F0930"/>
    <w:rsid w:val="706D1DD0"/>
    <w:rsid w:val="70856B87"/>
    <w:rsid w:val="708F31E5"/>
    <w:rsid w:val="70C804F8"/>
    <w:rsid w:val="70D527EE"/>
    <w:rsid w:val="70F10D07"/>
    <w:rsid w:val="711C6E9E"/>
    <w:rsid w:val="715173C6"/>
    <w:rsid w:val="715B5300"/>
    <w:rsid w:val="718810E7"/>
    <w:rsid w:val="71C034F3"/>
    <w:rsid w:val="71D27F8A"/>
    <w:rsid w:val="71F55C18"/>
    <w:rsid w:val="72130821"/>
    <w:rsid w:val="721B697B"/>
    <w:rsid w:val="721D6EC1"/>
    <w:rsid w:val="723F785F"/>
    <w:rsid w:val="72553024"/>
    <w:rsid w:val="727A2494"/>
    <w:rsid w:val="72850351"/>
    <w:rsid w:val="72910164"/>
    <w:rsid w:val="72B30690"/>
    <w:rsid w:val="73122968"/>
    <w:rsid w:val="73180476"/>
    <w:rsid w:val="731F5D5E"/>
    <w:rsid w:val="73351CBE"/>
    <w:rsid w:val="736E51D0"/>
    <w:rsid w:val="73C51AD5"/>
    <w:rsid w:val="741E793C"/>
    <w:rsid w:val="744234EA"/>
    <w:rsid w:val="745846D6"/>
    <w:rsid w:val="745E3944"/>
    <w:rsid w:val="74716D26"/>
    <w:rsid w:val="7472484C"/>
    <w:rsid w:val="74C5690F"/>
    <w:rsid w:val="74D84FF7"/>
    <w:rsid w:val="74F52643"/>
    <w:rsid w:val="75022089"/>
    <w:rsid w:val="755C396F"/>
    <w:rsid w:val="757E5A2E"/>
    <w:rsid w:val="75E45BAD"/>
    <w:rsid w:val="75E4686F"/>
    <w:rsid w:val="75F30A79"/>
    <w:rsid w:val="760706B3"/>
    <w:rsid w:val="760A40C2"/>
    <w:rsid w:val="762312B9"/>
    <w:rsid w:val="7635099D"/>
    <w:rsid w:val="763B5ECD"/>
    <w:rsid w:val="76B914B7"/>
    <w:rsid w:val="77737A4C"/>
    <w:rsid w:val="77762421"/>
    <w:rsid w:val="777A1A35"/>
    <w:rsid w:val="77933CBE"/>
    <w:rsid w:val="779562C4"/>
    <w:rsid w:val="77B56B1F"/>
    <w:rsid w:val="78066D81"/>
    <w:rsid w:val="780F09F4"/>
    <w:rsid w:val="782E3B7D"/>
    <w:rsid w:val="783A38D3"/>
    <w:rsid w:val="78A90480"/>
    <w:rsid w:val="78C913ED"/>
    <w:rsid w:val="78D23F01"/>
    <w:rsid w:val="794C77EC"/>
    <w:rsid w:val="79DB78C6"/>
    <w:rsid w:val="7A147D16"/>
    <w:rsid w:val="7A364017"/>
    <w:rsid w:val="7A3A1A3C"/>
    <w:rsid w:val="7A3E00A9"/>
    <w:rsid w:val="7A4F24B2"/>
    <w:rsid w:val="7A661346"/>
    <w:rsid w:val="7A8265E1"/>
    <w:rsid w:val="7A97397D"/>
    <w:rsid w:val="7AB317CB"/>
    <w:rsid w:val="7AEA4406"/>
    <w:rsid w:val="7B203254"/>
    <w:rsid w:val="7B306547"/>
    <w:rsid w:val="7B4E7DC1"/>
    <w:rsid w:val="7B686D42"/>
    <w:rsid w:val="7B841746"/>
    <w:rsid w:val="7BB62F97"/>
    <w:rsid w:val="7BE25BFE"/>
    <w:rsid w:val="7BF72FDA"/>
    <w:rsid w:val="7C1242A9"/>
    <w:rsid w:val="7C240819"/>
    <w:rsid w:val="7C480CB4"/>
    <w:rsid w:val="7C6C5AC7"/>
    <w:rsid w:val="7C7378DE"/>
    <w:rsid w:val="7CC6544B"/>
    <w:rsid w:val="7CD53B62"/>
    <w:rsid w:val="7CDC15F5"/>
    <w:rsid w:val="7CFB22B1"/>
    <w:rsid w:val="7D0239FF"/>
    <w:rsid w:val="7D0E4813"/>
    <w:rsid w:val="7D51609B"/>
    <w:rsid w:val="7D5E40CD"/>
    <w:rsid w:val="7DC117F0"/>
    <w:rsid w:val="7DCD56F2"/>
    <w:rsid w:val="7DF77816"/>
    <w:rsid w:val="7DFD19B3"/>
    <w:rsid w:val="7E8930CB"/>
    <w:rsid w:val="7F001CE7"/>
    <w:rsid w:val="7F0C03A8"/>
    <w:rsid w:val="7F616428"/>
    <w:rsid w:val="7FA02BB5"/>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1"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qFormat="1" w:unhideWhenUsed="0" w:uiPriority="99"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99" w:semiHidden="0" w:name="Body Text Indent 2" w:locked="1"/>
    <w:lsdException w:unhideWhenUsed="0" w:uiPriority="0" w:semiHidden="0" w:name="Body Text Indent 3" w:locked="1"/>
    <w:lsdException w:qFormat="1" w:unhideWhenUsed="0" w:uiPriority="0" w:semiHidden="0" w:name="Block Text" w:locked="1"/>
    <w:lsdException w:qFormat="1"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qFormat="1"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left"/>
    </w:pPr>
    <w:rPr>
      <w:rFonts w:ascii="Times New Roman" w:hAnsi="Times New Roman" w:eastAsia="宋体" w:cs="Times New Roman"/>
      <w:kern w:val="2"/>
      <w:sz w:val="24"/>
      <w:szCs w:val="24"/>
      <w:lang w:val="en-US" w:eastAsia="zh-CN" w:bidi="ar-SA"/>
    </w:rPr>
  </w:style>
  <w:style w:type="paragraph" w:styleId="2">
    <w:name w:val="heading 1"/>
    <w:basedOn w:val="1"/>
    <w:next w:val="1"/>
    <w:autoRedefine/>
    <w:qFormat/>
    <w:locked/>
    <w:uiPriority w:val="99"/>
    <w:pPr>
      <w:keepNext/>
      <w:overflowPunct w:val="0"/>
      <w:snapToGrid w:val="0"/>
      <w:spacing w:before="120" w:after="160" w:line="240" w:lineRule="auto"/>
      <w:ind w:left="0" w:hanging="432"/>
      <w:jc w:val="left"/>
      <w:outlineLvl w:val="0"/>
    </w:pPr>
    <w:rPr>
      <w:rFonts w:ascii="宋体" w:hAnsi="宋体"/>
      <w:b/>
      <w:color w:val="000000"/>
      <w:kern w:val="44"/>
      <w:sz w:val="24"/>
      <w:szCs w:val="30"/>
    </w:rPr>
  </w:style>
  <w:style w:type="paragraph" w:styleId="3">
    <w:name w:val="heading 2"/>
    <w:basedOn w:val="1"/>
    <w:next w:val="1"/>
    <w:link w:val="34"/>
    <w:autoRedefine/>
    <w:unhideWhenUsed/>
    <w:qFormat/>
    <w:locked/>
    <w:uiPriority w:val="0"/>
    <w:pPr>
      <w:keepNext/>
      <w:keepLines/>
      <w:spacing w:before="260" w:after="260" w:line="416" w:lineRule="auto"/>
      <w:outlineLvl w:val="1"/>
    </w:pPr>
    <w:rPr>
      <w:rFonts w:ascii="Cambria" w:hAnsi="Cambria" w:eastAsia="宋体" w:cs="Times New Roman"/>
      <w:b/>
      <w:bCs/>
      <w:sz w:val="32"/>
      <w:szCs w:val="32"/>
    </w:rPr>
  </w:style>
  <w:style w:type="paragraph" w:styleId="4">
    <w:name w:val="heading 4"/>
    <w:basedOn w:val="1"/>
    <w:next w:val="1"/>
    <w:link w:val="35"/>
    <w:autoRedefine/>
    <w:unhideWhenUsed/>
    <w:qFormat/>
    <w:locked/>
    <w:uiPriority w:val="0"/>
    <w:pPr>
      <w:keepNext/>
      <w:keepLines/>
      <w:spacing w:before="280" w:after="290" w:line="376" w:lineRule="auto"/>
      <w:outlineLvl w:val="3"/>
    </w:pPr>
    <w:rPr>
      <w:rFonts w:ascii="Cambria" w:hAnsi="Cambria" w:eastAsia="宋体" w:cs="Times New Roman"/>
      <w:b/>
      <w:bCs/>
      <w:sz w:val="28"/>
      <w:szCs w:val="28"/>
    </w:rPr>
  </w:style>
  <w:style w:type="character" w:default="1" w:styleId="25">
    <w:name w:val="Default Paragraph Font"/>
    <w:autoRedefine/>
    <w:semiHidden/>
    <w:qFormat/>
    <w:uiPriority w:val="0"/>
  </w:style>
  <w:style w:type="table" w:default="1" w:styleId="22">
    <w:name w:val="Normal Table"/>
    <w:autoRedefin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5">
    <w:name w:val="Normal Indent"/>
    <w:basedOn w:val="1"/>
    <w:next w:val="1"/>
    <w:autoRedefine/>
    <w:qFormat/>
    <w:locked/>
    <w:uiPriority w:val="0"/>
    <w:rPr>
      <w:rFonts w:eastAsia="宋体"/>
      <w:sz w:val="24"/>
      <w:szCs w:val="20"/>
    </w:rPr>
  </w:style>
  <w:style w:type="paragraph" w:styleId="6">
    <w:name w:val="caption"/>
    <w:basedOn w:val="1"/>
    <w:next w:val="1"/>
    <w:unhideWhenUsed/>
    <w:qFormat/>
    <w:locked/>
    <w:uiPriority w:val="0"/>
    <w:pPr>
      <w:ind w:firstLine="0" w:firstLineChars="0"/>
      <w:jc w:val="center"/>
    </w:pPr>
    <w:rPr>
      <w:b/>
    </w:rPr>
  </w:style>
  <w:style w:type="paragraph" w:styleId="7">
    <w:name w:val="annotation text"/>
    <w:basedOn w:val="1"/>
    <w:link w:val="36"/>
    <w:autoRedefine/>
    <w:semiHidden/>
    <w:qFormat/>
    <w:uiPriority w:val="0"/>
    <w:pPr>
      <w:jc w:val="left"/>
    </w:pPr>
    <w:rPr>
      <w:kern w:val="0"/>
      <w:sz w:val="24"/>
      <w:szCs w:val="20"/>
    </w:rPr>
  </w:style>
  <w:style w:type="paragraph" w:styleId="8">
    <w:name w:val="Body Text"/>
    <w:basedOn w:val="1"/>
    <w:link w:val="37"/>
    <w:autoRedefine/>
    <w:qFormat/>
    <w:uiPriority w:val="0"/>
    <w:pPr>
      <w:widowControl/>
      <w:snapToGrid w:val="0"/>
      <w:spacing w:before="60" w:after="160" w:line="259" w:lineRule="auto"/>
      <w:ind w:right="113"/>
    </w:pPr>
    <w:rPr>
      <w:kern w:val="0"/>
      <w:sz w:val="18"/>
      <w:szCs w:val="20"/>
    </w:rPr>
  </w:style>
  <w:style w:type="paragraph" w:styleId="9">
    <w:name w:val="Body Text Indent"/>
    <w:basedOn w:val="1"/>
    <w:next w:val="8"/>
    <w:link w:val="38"/>
    <w:autoRedefine/>
    <w:qFormat/>
    <w:uiPriority w:val="0"/>
    <w:pPr>
      <w:spacing w:after="120"/>
      <w:ind w:left="420" w:leftChars="200"/>
    </w:pPr>
    <w:rPr>
      <w:kern w:val="0"/>
      <w:sz w:val="24"/>
      <w:szCs w:val="20"/>
    </w:rPr>
  </w:style>
  <w:style w:type="paragraph" w:styleId="10">
    <w:name w:val="Block Text"/>
    <w:basedOn w:val="1"/>
    <w:next w:val="1"/>
    <w:autoRedefine/>
    <w:qFormat/>
    <w:locked/>
    <w:uiPriority w:val="0"/>
    <w:pPr>
      <w:snapToGrid w:val="0"/>
      <w:spacing w:line="408" w:lineRule="auto"/>
      <w:ind w:left="-113" w:right="-510" w:firstLine="510"/>
    </w:pPr>
    <w:rPr>
      <w:sz w:val="24"/>
      <w:szCs w:val="20"/>
    </w:rPr>
  </w:style>
  <w:style w:type="paragraph" w:styleId="11">
    <w:name w:val="Plain Text"/>
    <w:basedOn w:val="1"/>
    <w:link w:val="39"/>
    <w:autoRedefine/>
    <w:qFormat/>
    <w:locked/>
    <w:uiPriority w:val="0"/>
    <w:rPr>
      <w:rFonts w:ascii="宋体" w:hAnsi="Courier New" w:cs="Courier New"/>
      <w:szCs w:val="21"/>
    </w:rPr>
  </w:style>
  <w:style w:type="paragraph" w:styleId="12">
    <w:name w:val="Date"/>
    <w:basedOn w:val="1"/>
    <w:next w:val="1"/>
    <w:link w:val="40"/>
    <w:autoRedefine/>
    <w:qFormat/>
    <w:uiPriority w:val="0"/>
    <w:pPr>
      <w:ind w:left="100" w:leftChars="2500"/>
    </w:pPr>
    <w:rPr>
      <w:kern w:val="0"/>
      <w:sz w:val="24"/>
      <w:szCs w:val="20"/>
    </w:rPr>
  </w:style>
  <w:style w:type="paragraph" w:styleId="13">
    <w:name w:val="Body Text Indent 2"/>
    <w:basedOn w:val="14"/>
    <w:next w:val="1"/>
    <w:autoRedefine/>
    <w:qFormat/>
    <w:locked/>
    <w:uiPriority w:val="99"/>
    <w:pPr>
      <w:spacing w:after="120" w:afterLines="0" w:line="480" w:lineRule="auto"/>
      <w:ind w:left="420" w:leftChars="200"/>
    </w:pPr>
  </w:style>
  <w:style w:type="paragraph" w:customStyle="1" w:styleId="14">
    <w:name w:val="表头"/>
    <w:basedOn w:val="1"/>
    <w:autoRedefine/>
    <w:qFormat/>
    <w:uiPriority w:val="0"/>
    <w:pPr>
      <w:spacing w:line="360" w:lineRule="auto"/>
      <w:jc w:val="center"/>
    </w:pPr>
    <w:rPr>
      <w:b/>
      <w:sz w:val="24"/>
    </w:rPr>
  </w:style>
  <w:style w:type="paragraph" w:styleId="15">
    <w:name w:val="Balloon Text"/>
    <w:basedOn w:val="1"/>
    <w:link w:val="41"/>
    <w:autoRedefine/>
    <w:semiHidden/>
    <w:qFormat/>
    <w:uiPriority w:val="0"/>
    <w:rPr>
      <w:kern w:val="0"/>
      <w:sz w:val="18"/>
      <w:szCs w:val="20"/>
    </w:rPr>
  </w:style>
  <w:style w:type="paragraph" w:styleId="16">
    <w:name w:val="footer"/>
    <w:basedOn w:val="1"/>
    <w:link w:val="42"/>
    <w:autoRedefine/>
    <w:qFormat/>
    <w:uiPriority w:val="99"/>
    <w:pPr>
      <w:tabs>
        <w:tab w:val="center" w:pos="4153"/>
        <w:tab w:val="right" w:pos="8306"/>
      </w:tabs>
      <w:snapToGrid w:val="0"/>
      <w:jc w:val="left"/>
    </w:pPr>
    <w:rPr>
      <w:kern w:val="0"/>
      <w:sz w:val="18"/>
      <w:szCs w:val="20"/>
    </w:rPr>
  </w:style>
  <w:style w:type="paragraph" w:styleId="17">
    <w:name w:val="header"/>
    <w:basedOn w:val="1"/>
    <w:link w:val="43"/>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18">
    <w:name w:val="Normal (Web)"/>
    <w:basedOn w:val="1"/>
    <w:link w:val="44"/>
    <w:autoRedefine/>
    <w:qFormat/>
    <w:uiPriority w:val="0"/>
    <w:pPr>
      <w:widowControl/>
      <w:spacing w:before="100" w:beforeAutospacing="1" w:after="100" w:afterAutospacing="1"/>
      <w:jc w:val="left"/>
    </w:pPr>
    <w:rPr>
      <w:rFonts w:ascii="宋体" w:hAnsi="宋体"/>
      <w:kern w:val="0"/>
      <w:sz w:val="24"/>
      <w:szCs w:val="20"/>
    </w:rPr>
  </w:style>
  <w:style w:type="paragraph" w:styleId="19">
    <w:name w:val="Title"/>
    <w:basedOn w:val="1"/>
    <w:link w:val="45"/>
    <w:autoRedefine/>
    <w:qFormat/>
    <w:locked/>
    <w:uiPriority w:val="1"/>
    <w:pPr>
      <w:spacing w:before="28"/>
      <w:ind w:right="18"/>
      <w:jc w:val="center"/>
    </w:pPr>
    <w:rPr>
      <w:rFonts w:ascii="宋体" w:hAnsi="宋体" w:cs="宋体"/>
      <w:b/>
      <w:bCs/>
      <w:sz w:val="52"/>
      <w:szCs w:val="52"/>
    </w:rPr>
  </w:style>
  <w:style w:type="paragraph" w:styleId="20">
    <w:name w:val="annotation subject"/>
    <w:basedOn w:val="7"/>
    <w:next w:val="7"/>
    <w:link w:val="46"/>
    <w:autoRedefine/>
    <w:semiHidden/>
    <w:qFormat/>
    <w:uiPriority w:val="0"/>
    <w:rPr>
      <w:b/>
      <w:kern w:val="2"/>
    </w:rPr>
  </w:style>
  <w:style w:type="paragraph" w:styleId="21">
    <w:name w:val="Body Text First Indent 2"/>
    <w:basedOn w:val="9"/>
    <w:next w:val="1"/>
    <w:autoRedefine/>
    <w:qFormat/>
    <w:locked/>
    <w:uiPriority w:val="99"/>
    <w:pPr>
      <w:ind w:firstLine="420"/>
    </w:pPr>
    <w:rPr>
      <w:sz w:val="21"/>
    </w:rPr>
  </w:style>
  <w:style w:type="table" w:styleId="23">
    <w:name w:val="Table Grid"/>
    <w:basedOn w:val="22"/>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24">
    <w:name w:val="Table Theme"/>
    <w:basedOn w:val="22"/>
    <w:autoRedefine/>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page number"/>
    <w:basedOn w:val="25"/>
    <w:autoRedefine/>
    <w:qFormat/>
    <w:locked/>
    <w:uiPriority w:val="0"/>
  </w:style>
  <w:style w:type="character" w:styleId="27">
    <w:name w:val="Hyperlink"/>
    <w:autoRedefine/>
    <w:unhideWhenUsed/>
    <w:qFormat/>
    <w:locked/>
    <w:uiPriority w:val="99"/>
    <w:rPr>
      <w:color w:val="0000FF"/>
      <w:u w:val="single"/>
    </w:rPr>
  </w:style>
  <w:style w:type="character" w:styleId="28">
    <w:name w:val="annotation reference"/>
    <w:autoRedefine/>
    <w:semiHidden/>
    <w:qFormat/>
    <w:uiPriority w:val="0"/>
    <w:rPr>
      <w:sz w:val="21"/>
    </w:rPr>
  </w:style>
  <w:style w:type="paragraph" w:customStyle="1" w:styleId="29">
    <w:name w:val="样式 正文文本缩进 + 行距: 1.5 倍行距"/>
    <w:basedOn w:val="1"/>
    <w:autoRedefine/>
    <w:qFormat/>
    <w:uiPriority w:val="0"/>
    <w:pPr>
      <w:spacing w:after="120" w:line="360" w:lineRule="auto"/>
      <w:ind w:left="90" w:leftChars="32" w:firstLine="560" w:firstLineChars="200"/>
    </w:pPr>
    <w:rPr>
      <w:rFonts w:cs="宋体"/>
    </w:rPr>
  </w:style>
  <w:style w:type="paragraph" w:customStyle="1" w:styleId="30">
    <w:name w:val="Default"/>
    <w:basedOn w:val="31"/>
    <w:next w:val="1"/>
    <w:autoRedefine/>
    <w:qFormat/>
    <w:uiPriority w:val="0"/>
    <w:pPr>
      <w:widowControl w:val="0"/>
      <w:autoSpaceDE w:val="0"/>
      <w:autoSpaceDN w:val="0"/>
      <w:adjustRightInd w:val="0"/>
    </w:pPr>
    <w:rPr>
      <w:rFonts w:ascii="宋体" w:cs="宋体"/>
      <w:color w:val="000000"/>
      <w:sz w:val="24"/>
      <w:szCs w:val="24"/>
      <w:lang w:val="en-US" w:eastAsia="zh-CN" w:bidi="ar-SA"/>
    </w:rPr>
  </w:style>
  <w:style w:type="paragraph" w:customStyle="1" w:styleId="31">
    <w:name w:val="标题2"/>
    <w:basedOn w:val="1"/>
    <w:autoRedefine/>
    <w:qFormat/>
    <w:uiPriority w:val="0"/>
    <w:rPr>
      <w:rFonts w:ascii="宋体" w:hAnsi="宋体"/>
      <w:b/>
      <w:kern w:val="0"/>
      <w:sz w:val="24"/>
      <w:szCs w:val="24"/>
    </w:rPr>
  </w:style>
  <w:style w:type="paragraph" w:customStyle="1" w:styleId="32">
    <w:name w:val="样式35"/>
    <w:basedOn w:val="1"/>
    <w:next w:val="1"/>
    <w:autoRedefine/>
    <w:qFormat/>
    <w:uiPriority w:val="0"/>
    <w:pPr>
      <w:spacing w:line="312" w:lineRule="auto"/>
      <w:ind w:firstLine="567"/>
    </w:pPr>
    <w:rPr>
      <w:rFonts w:ascii="宋体"/>
      <w:sz w:val="28"/>
    </w:rPr>
  </w:style>
  <w:style w:type="paragraph" w:customStyle="1" w:styleId="33">
    <w:name w:val="无间隔1"/>
    <w:autoRedefine/>
    <w:qFormat/>
    <w:uiPriority w:val="0"/>
    <w:pPr>
      <w:adjustRightInd w:val="0"/>
      <w:snapToGrid w:val="0"/>
    </w:pPr>
    <w:rPr>
      <w:rFonts w:ascii="Tahoma" w:hAnsi="Tahoma" w:eastAsia="微软雅黑" w:cs="Times New Roman"/>
      <w:sz w:val="22"/>
      <w:szCs w:val="22"/>
      <w:lang w:val="en-US" w:eastAsia="zh-CN" w:bidi="ar-SA"/>
    </w:rPr>
  </w:style>
  <w:style w:type="character" w:customStyle="1" w:styleId="34">
    <w:name w:val="标题 2 Char"/>
    <w:link w:val="3"/>
    <w:autoRedefine/>
    <w:semiHidden/>
    <w:qFormat/>
    <w:uiPriority w:val="0"/>
    <w:rPr>
      <w:rFonts w:ascii="Cambria" w:hAnsi="Cambria" w:eastAsia="宋体" w:cs="Times New Roman"/>
      <w:b/>
      <w:bCs/>
      <w:kern w:val="2"/>
      <w:sz w:val="32"/>
      <w:szCs w:val="32"/>
    </w:rPr>
  </w:style>
  <w:style w:type="character" w:customStyle="1" w:styleId="35">
    <w:name w:val="标题 4 Char"/>
    <w:link w:val="4"/>
    <w:autoRedefine/>
    <w:semiHidden/>
    <w:qFormat/>
    <w:uiPriority w:val="0"/>
    <w:rPr>
      <w:rFonts w:ascii="Cambria" w:hAnsi="Cambria" w:eastAsia="宋体" w:cs="Times New Roman"/>
      <w:b/>
      <w:bCs/>
      <w:kern w:val="2"/>
      <w:sz w:val="28"/>
      <w:szCs w:val="28"/>
    </w:rPr>
  </w:style>
  <w:style w:type="character" w:customStyle="1" w:styleId="36">
    <w:name w:val="批注文字 Char"/>
    <w:link w:val="7"/>
    <w:autoRedefine/>
    <w:qFormat/>
    <w:locked/>
    <w:uiPriority w:val="0"/>
    <w:rPr>
      <w:rFonts w:ascii="Times New Roman" w:hAnsi="Times New Roman" w:eastAsia="宋体"/>
      <w:sz w:val="24"/>
    </w:rPr>
  </w:style>
  <w:style w:type="character" w:customStyle="1" w:styleId="37">
    <w:name w:val="正文文本 Char"/>
    <w:link w:val="8"/>
    <w:autoRedefine/>
    <w:qFormat/>
    <w:locked/>
    <w:uiPriority w:val="0"/>
    <w:rPr>
      <w:sz w:val="18"/>
    </w:rPr>
  </w:style>
  <w:style w:type="character" w:customStyle="1" w:styleId="38">
    <w:name w:val="正文文本缩进 Char"/>
    <w:link w:val="9"/>
    <w:autoRedefine/>
    <w:semiHidden/>
    <w:qFormat/>
    <w:locked/>
    <w:uiPriority w:val="0"/>
    <w:rPr>
      <w:rFonts w:ascii="Times New Roman" w:hAnsi="Times New Roman" w:eastAsia="宋体"/>
      <w:sz w:val="24"/>
    </w:rPr>
  </w:style>
  <w:style w:type="character" w:customStyle="1" w:styleId="39">
    <w:name w:val="纯文本 Char"/>
    <w:link w:val="11"/>
    <w:autoRedefine/>
    <w:qFormat/>
    <w:uiPriority w:val="0"/>
    <w:rPr>
      <w:rFonts w:ascii="宋体" w:hAnsi="Courier New" w:cs="Courier New"/>
      <w:kern w:val="2"/>
      <w:sz w:val="21"/>
      <w:szCs w:val="21"/>
    </w:rPr>
  </w:style>
  <w:style w:type="character" w:customStyle="1" w:styleId="40">
    <w:name w:val="日期 Char"/>
    <w:link w:val="12"/>
    <w:autoRedefine/>
    <w:qFormat/>
    <w:locked/>
    <w:uiPriority w:val="0"/>
    <w:rPr>
      <w:rFonts w:ascii="Times New Roman" w:hAnsi="Times New Roman" w:eastAsia="宋体"/>
      <w:sz w:val="24"/>
    </w:rPr>
  </w:style>
  <w:style w:type="character" w:customStyle="1" w:styleId="41">
    <w:name w:val="批注框文本 Char"/>
    <w:link w:val="15"/>
    <w:autoRedefine/>
    <w:semiHidden/>
    <w:qFormat/>
    <w:locked/>
    <w:uiPriority w:val="0"/>
    <w:rPr>
      <w:rFonts w:ascii="Times New Roman" w:hAnsi="Times New Roman" w:eastAsia="宋体"/>
      <w:sz w:val="18"/>
    </w:rPr>
  </w:style>
  <w:style w:type="character" w:customStyle="1" w:styleId="42">
    <w:name w:val="页脚 Char"/>
    <w:link w:val="16"/>
    <w:autoRedefine/>
    <w:qFormat/>
    <w:locked/>
    <w:uiPriority w:val="99"/>
    <w:rPr>
      <w:sz w:val="18"/>
    </w:rPr>
  </w:style>
  <w:style w:type="character" w:customStyle="1" w:styleId="43">
    <w:name w:val="页眉 Char"/>
    <w:link w:val="17"/>
    <w:autoRedefine/>
    <w:qFormat/>
    <w:locked/>
    <w:uiPriority w:val="0"/>
    <w:rPr>
      <w:sz w:val="18"/>
    </w:rPr>
  </w:style>
  <w:style w:type="character" w:customStyle="1" w:styleId="44">
    <w:name w:val="普通(网站) Char"/>
    <w:link w:val="18"/>
    <w:autoRedefine/>
    <w:qFormat/>
    <w:locked/>
    <w:uiPriority w:val="0"/>
    <w:rPr>
      <w:rFonts w:ascii="宋体" w:hAnsi="宋体" w:eastAsia="宋体"/>
      <w:sz w:val="24"/>
    </w:rPr>
  </w:style>
  <w:style w:type="character" w:customStyle="1" w:styleId="45">
    <w:name w:val="标题 Char"/>
    <w:link w:val="19"/>
    <w:autoRedefine/>
    <w:qFormat/>
    <w:uiPriority w:val="1"/>
    <w:rPr>
      <w:rFonts w:ascii="宋体" w:hAnsi="宋体" w:cs="宋体"/>
      <w:b/>
      <w:bCs/>
      <w:kern w:val="2"/>
      <w:sz w:val="52"/>
      <w:szCs w:val="52"/>
    </w:rPr>
  </w:style>
  <w:style w:type="character" w:customStyle="1" w:styleId="46">
    <w:name w:val="批注主题 Char"/>
    <w:link w:val="20"/>
    <w:autoRedefine/>
    <w:semiHidden/>
    <w:qFormat/>
    <w:locked/>
    <w:uiPriority w:val="0"/>
    <w:rPr>
      <w:rFonts w:ascii="Times New Roman" w:hAnsi="Times New Roman" w:eastAsia="宋体"/>
      <w:b/>
      <w:kern w:val="2"/>
      <w:sz w:val="24"/>
    </w:rPr>
  </w:style>
  <w:style w:type="character" w:customStyle="1" w:styleId="47">
    <w:name w:val="页脚 字符"/>
    <w:basedOn w:val="25"/>
    <w:autoRedefine/>
    <w:qFormat/>
    <w:uiPriority w:val="99"/>
  </w:style>
  <w:style w:type="character" w:customStyle="1" w:styleId="48">
    <w:name w:val="正文文本 字符1"/>
    <w:autoRedefine/>
    <w:semiHidden/>
    <w:qFormat/>
    <w:uiPriority w:val="0"/>
    <w:rPr>
      <w:rFonts w:ascii="Times New Roman" w:hAnsi="Times New Roman" w:eastAsia="宋体"/>
      <w:sz w:val="24"/>
    </w:rPr>
  </w:style>
  <w:style w:type="character" w:customStyle="1" w:styleId="49">
    <w:name w:val="表格 Char"/>
    <w:link w:val="50"/>
    <w:autoRedefine/>
    <w:qFormat/>
    <w:locked/>
    <w:uiPriority w:val="0"/>
    <w:rPr>
      <w:rFonts w:ascii="宋体"/>
      <w:sz w:val="21"/>
    </w:rPr>
  </w:style>
  <w:style w:type="paragraph" w:customStyle="1" w:styleId="50">
    <w:name w:val="表格"/>
    <w:basedOn w:val="5"/>
    <w:next w:val="1"/>
    <w:link w:val="49"/>
    <w:autoRedefine/>
    <w:qFormat/>
    <w:uiPriority w:val="0"/>
    <w:pPr>
      <w:adjustRightInd w:val="0"/>
      <w:snapToGrid w:val="0"/>
      <w:spacing w:beforeLines="10" w:afterLines="10" w:line="259" w:lineRule="auto"/>
      <w:jc w:val="center"/>
    </w:pPr>
    <w:rPr>
      <w:rFonts w:ascii="宋体"/>
      <w:kern w:val="0"/>
      <w:szCs w:val="20"/>
    </w:rPr>
  </w:style>
  <w:style w:type="character" w:customStyle="1" w:styleId="51">
    <w:name w:val="日期 字符"/>
    <w:autoRedefine/>
    <w:semiHidden/>
    <w:qFormat/>
    <w:uiPriority w:val="0"/>
    <w:rPr>
      <w:rFonts w:ascii="Times New Roman" w:hAnsi="Times New Roman" w:eastAsia="宋体"/>
      <w:sz w:val="24"/>
    </w:rPr>
  </w:style>
  <w:style w:type="character" w:customStyle="1" w:styleId="52">
    <w:name w:val="批注文字 字符1"/>
    <w:autoRedefine/>
    <w:semiHidden/>
    <w:qFormat/>
    <w:uiPriority w:val="0"/>
    <w:rPr>
      <w:rFonts w:ascii="Times New Roman" w:hAnsi="Times New Roman" w:eastAsia="宋体"/>
      <w:sz w:val="24"/>
    </w:rPr>
  </w:style>
  <w:style w:type="paragraph" w:customStyle="1" w:styleId="53">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4">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55">
    <w:name w:val="段落"/>
    <w:basedOn w:val="11"/>
    <w:autoRedefine/>
    <w:qFormat/>
    <w:uiPriority w:val="0"/>
    <w:pPr>
      <w:spacing w:line="480" w:lineRule="exact"/>
      <w:ind w:firstLine="578"/>
    </w:pPr>
    <w:rPr>
      <w:sz w:val="28"/>
      <w:szCs w:val="28"/>
    </w:rPr>
  </w:style>
  <w:style w:type="paragraph" w:customStyle="1" w:styleId="56">
    <w:name w:val="段落 Char"/>
    <w:basedOn w:val="11"/>
    <w:autoRedefine/>
    <w:qFormat/>
    <w:uiPriority w:val="0"/>
    <w:pPr>
      <w:spacing w:line="500" w:lineRule="exact"/>
      <w:ind w:firstLine="578"/>
    </w:pPr>
    <w:rPr>
      <w:rFonts w:ascii="Times New Roman" w:hAnsi="Times New Roman" w:cs="Times New Roman"/>
      <w:sz w:val="28"/>
      <w:szCs w:val="28"/>
    </w:rPr>
  </w:style>
  <w:style w:type="paragraph" w:customStyle="1" w:styleId="57">
    <w:name w:val="文字"/>
    <w:basedOn w:val="1"/>
    <w:autoRedefine/>
    <w:qFormat/>
    <w:uiPriority w:val="0"/>
    <w:pPr>
      <w:widowControl/>
      <w:spacing w:afterLines="50" w:line="360" w:lineRule="auto"/>
      <w:ind w:firstLine="420"/>
    </w:pPr>
    <w:rPr>
      <w:kern w:val="0"/>
      <w:sz w:val="24"/>
    </w:rPr>
  </w:style>
  <w:style w:type="character" w:customStyle="1" w:styleId="58">
    <w:name w:val="NormalCharacter"/>
    <w:autoRedefine/>
    <w:qFormat/>
    <w:uiPriority w:val="0"/>
  </w:style>
  <w:style w:type="character" w:customStyle="1" w:styleId="59">
    <w:name w:val="UserStyle_1"/>
    <w:link w:val="60"/>
    <w:autoRedefine/>
    <w:qFormat/>
    <w:locked/>
    <w:uiPriority w:val="0"/>
    <w:rPr>
      <w:rFonts w:ascii="宋体" w:hAnsi="宋体"/>
      <w:sz w:val="28"/>
    </w:rPr>
  </w:style>
  <w:style w:type="paragraph" w:customStyle="1" w:styleId="60">
    <w:name w:val="NormalIndent"/>
    <w:basedOn w:val="1"/>
    <w:link w:val="59"/>
    <w:autoRedefine/>
    <w:qFormat/>
    <w:uiPriority w:val="0"/>
    <w:pPr>
      <w:widowControl/>
      <w:textAlignment w:val="baseline"/>
    </w:pPr>
    <w:rPr>
      <w:rFonts w:ascii="宋体" w:hAnsi="宋体"/>
      <w:kern w:val="0"/>
      <w:sz w:val="28"/>
      <w:szCs w:val="20"/>
    </w:rPr>
  </w:style>
  <w:style w:type="paragraph" w:customStyle="1" w:styleId="61">
    <w:name w:val="Table Paragraph"/>
    <w:basedOn w:val="1"/>
    <w:autoRedefine/>
    <w:qFormat/>
    <w:uiPriority w:val="1"/>
    <w:pPr>
      <w:widowControl/>
      <w:jc w:val="left"/>
    </w:pPr>
    <w:rPr>
      <w:rFonts w:ascii="Calibri" w:hAnsi="Calibri" w:cs="宋体"/>
      <w:kern w:val="0"/>
      <w:sz w:val="22"/>
      <w:szCs w:val="22"/>
    </w:rPr>
  </w:style>
  <w:style w:type="paragraph" w:customStyle="1" w:styleId="62">
    <w:name w:val="TT正文"/>
    <w:basedOn w:val="1"/>
    <w:autoRedefine/>
    <w:qFormat/>
    <w:uiPriority w:val="0"/>
    <w:pPr>
      <w:ind w:firstLine="200" w:firstLineChars="200"/>
    </w:pPr>
    <w:rPr>
      <w:rFonts w:cs="宋体"/>
      <w:color w:val="000000"/>
      <w:sz w:val="24"/>
      <w:szCs w:val="20"/>
    </w:rPr>
  </w:style>
  <w:style w:type="paragraph" w:customStyle="1" w:styleId="63">
    <w:name w:val="表内"/>
    <w:basedOn w:val="1"/>
    <w:autoRedefine/>
    <w:qFormat/>
    <w:uiPriority w:val="99"/>
    <w:pPr>
      <w:framePr w:hSpace="180" w:wrap="around" w:vAnchor="page" w:hAnchor="margin" w:y="1411"/>
      <w:widowControl/>
    </w:pPr>
    <w:rPr>
      <w:rFonts w:ascii="宋体" w:hAnsi="宋体" w:eastAsia="仿宋"/>
      <w:kern w:val="0"/>
      <w:sz w:val="20"/>
      <w:szCs w:val="20"/>
    </w:rPr>
  </w:style>
  <w:style w:type="paragraph" w:customStyle="1" w:styleId="64">
    <w:name w:val="样式1"/>
    <w:basedOn w:val="1"/>
    <w:link w:val="65"/>
    <w:autoRedefine/>
    <w:qFormat/>
    <w:uiPriority w:val="0"/>
    <w:pPr>
      <w:jc w:val="left"/>
    </w:pPr>
    <w:rPr>
      <w:rFonts w:eastAsia="仿宋" w:cs="Times New Roman"/>
      <w:snapToGrid w:val="0"/>
      <w:kern w:val="0"/>
      <w:sz w:val="20"/>
      <w:szCs w:val="20"/>
      <w:shd w:val="clear" w:color="auto" w:fill="FFFFFF"/>
    </w:rPr>
  </w:style>
  <w:style w:type="character" w:customStyle="1" w:styleId="65">
    <w:name w:val="样式1 Char"/>
    <w:link w:val="64"/>
    <w:autoRedefine/>
    <w:qFormat/>
    <w:uiPriority w:val="0"/>
    <w:rPr>
      <w:rFonts w:eastAsia="仿宋" w:cs="Times New Roman"/>
      <w:snapToGrid w:val="0"/>
    </w:rPr>
  </w:style>
  <w:style w:type="paragraph" w:customStyle="1" w:styleId="66">
    <w:name w:val="22磅行间距"/>
    <w:autoRedefine/>
    <w:qFormat/>
    <w:uiPriority w:val="0"/>
    <w:pPr>
      <w:widowControl w:val="0"/>
      <w:adjustRightInd w:val="0"/>
      <w:snapToGrid w:val="0"/>
      <w:spacing w:line="440" w:lineRule="exact"/>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67">
    <w:name w:val="鸿达表头"/>
    <w:basedOn w:val="1"/>
    <w:autoRedefine/>
    <w:qFormat/>
    <w:uiPriority w:val="0"/>
    <w:pPr>
      <w:adjustRightInd/>
      <w:snapToGrid/>
      <w:textAlignment w:val="auto"/>
    </w:pPr>
    <w:rPr>
      <w:b/>
      <w:kern w:val="2"/>
      <w:szCs w:val="24"/>
    </w:rPr>
  </w:style>
  <w:style w:type="paragraph" w:customStyle="1" w:styleId="68">
    <w:name w:val="样式36"/>
    <w:autoRedefine/>
    <w:qFormat/>
    <w:uiPriority w:val="0"/>
    <w:pPr>
      <w:autoSpaceDE w:val="0"/>
      <w:autoSpaceDN w:val="0"/>
      <w:adjustRightInd w:val="0"/>
      <w:snapToGrid w:val="0"/>
      <w:spacing w:after="157" w:afterLines="50"/>
      <w:jc w:val="left"/>
    </w:pPr>
    <w:rPr>
      <w:rFonts w:hint="eastAsia" w:ascii="Times New Roman" w:hAnsi="Times New Roman" w:eastAsia="宋体" w:cs="Times New Roman"/>
    </w:rPr>
  </w:style>
  <w:style w:type="paragraph" w:customStyle="1" w:styleId="69">
    <w:name w:val="样式37"/>
    <w:autoRedefine/>
    <w:qFormat/>
    <w:uiPriority w:val="0"/>
    <w:pPr>
      <w:autoSpaceDE w:val="0"/>
      <w:autoSpaceDN w:val="0"/>
      <w:adjustRightInd w:val="0"/>
      <w:snapToGrid w:val="0"/>
      <w:jc w:val="left"/>
    </w:pPr>
    <w:rPr>
      <w:rFonts w:ascii="Times New Roman" w:hAnsi="Times New Roman" w:eastAsia="宋体" w:cs="Times New Roman"/>
      <w:sz w:val="24"/>
    </w:rPr>
  </w:style>
  <w:style w:type="paragraph" w:styleId="70">
    <w:name w:val="List Paragraph"/>
    <w:basedOn w:val="1"/>
    <w:autoRedefine/>
    <w:qFormat/>
    <w:uiPriority w:val="34"/>
    <w:pPr>
      <w:ind w:firstLine="420" w:firstLineChars="200"/>
    </w:pPr>
  </w:style>
  <w:style w:type="paragraph" w:customStyle="1" w:styleId="71">
    <w:name w:val="鸿达表格文字"/>
    <w:basedOn w:val="1"/>
    <w:autoRedefine/>
    <w:qFormat/>
    <w:uiPriority w:val="0"/>
    <w:pPr>
      <w:contextualSpacing/>
      <w:jc w:val="center"/>
    </w:pPr>
    <w:rPr>
      <w:rFonts w:ascii="Times New Roman" w:hAnsi="Times New Roman" w:eastAsia="宋体"/>
      <w:szCs w:val="21"/>
    </w:rPr>
  </w:style>
  <w:style w:type="paragraph" w:customStyle="1" w:styleId="72">
    <w:name w:val="_Style 1"/>
    <w:basedOn w:val="1"/>
    <w:autoRedefine/>
    <w:qFormat/>
    <w:uiPriority w:val="34"/>
    <w:pPr>
      <w:ind w:firstLine="420" w:firstLineChars="200"/>
    </w:pPr>
    <w:rPr>
      <w:rFonts w:ascii="Times New Roman" w:hAnsi="Times New Roman" w:eastAsia="宋体"/>
    </w:rPr>
  </w:style>
  <w:style w:type="paragraph" w:customStyle="1" w:styleId="73">
    <w:name w:val="中文报告书样式"/>
    <w:basedOn w:val="1"/>
    <w:autoRedefine/>
    <w:qFormat/>
    <w:uiPriority w:val="0"/>
    <w:pPr>
      <w:adjustRightInd w:val="0"/>
      <w:spacing w:line="480" w:lineRule="atLeast"/>
      <w:ind w:firstLine="482"/>
      <w:textAlignment w:val="baseline"/>
    </w:pPr>
    <w:rPr>
      <w:rFonts w:cs="宋体"/>
      <w:color w:val="000000"/>
      <w:kern w:val="24"/>
      <w:sz w:val="24"/>
    </w:rPr>
  </w:style>
  <w:style w:type="paragraph" w:customStyle="1" w:styleId="74">
    <w:name w:val="赵正文"/>
    <w:basedOn w:val="1"/>
    <w:autoRedefine/>
    <w:qFormat/>
    <w:uiPriority w:val="0"/>
    <w:pPr>
      <w:spacing w:line="520" w:lineRule="exact"/>
      <w:ind w:firstLine="640" w:firstLineChars="200"/>
    </w:pPr>
    <w:rPr>
      <w:kern w:val="0"/>
      <w:sz w:val="24"/>
    </w:rPr>
  </w:style>
  <w:style w:type="paragraph" w:customStyle="1" w:styleId="75">
    <w:name w:val="正文1"/>
    <w:basedOn w:val="1"/>
    <w:autoRedefine/>
    <w:qFormat/>
    <w:uiPriority w:val="0"/>
    <w:pPr>
      <w:ind w:firstLine="552"/>
    </w:pPr>
    <w:rPr>
      <w:rFonts w:ascii="楷体_GB2312" w:eastAsia="楷体_GB2312"/>
      <w:b/>
    </w:rPr>
  </w:style>
  <w:style w:type="character" w:customStyle="1" w:styleId="76">
    <w:name w:val="font21"/>
    <w:basedOn w:val="25"/>
    <w:autoRedefine/>
    <w:qFormat/>
    <w:uiPriority w:val="0"/>
    <w:rPr>
      <w:rFonts w:hint="default" w:ascii="Times New Roman" w:hAnsi="Times New Roman" w:cs="Times New Roman"/>
      <w:color w:val="000000"/>
      <w:sz w:val="21"/>
      <w:szCs w:val="21"/>
      <w:u w:val="none"/>
    </w:rPr>
  </w:style>
  <w:style w:type="character" w:customStyle="1" w:styleId="77">
    <w:name w:val="font11"/>
    <w:basedOn w:val="25"/>
    <w:autoRedefine/>
    <w:qFormat/>
    <w:uiPriority w:val="0"/>
    <w:rPr>
      <w:rFonts w:hint="eastAsia" w:ascii="宋体" w:hAnsi="宋体" w:eastAsia="宋体" w:cs="宋体"/>
      <w:color w:val="000000"/>
      <w:sz w:val="21"/>
      <w:szCs w:val="21"/>
      <w:u w:val="none"/>
    </w:rPr>
  </w:style>
  <w:style w:type="paragraph" w:customStyle="1" w:styleId="78">
    <w:name w:val="鸿达表加粗"/>
    <w:basedOn w:val="1"/>
    <w:autoRedefine/>
    <w:qFormat/>
    <w:uiPriority w:val="0"/>
    <w:pPr>
      <w:adjustRightInd/>
      <w:snapToGrid/>
      <w:spacing w:line="240" w:lineRule="auto"/>
      <w:ind w:firstLine="0" w:firstLineChars="0"/>
      <w:jc w:val="center"/>
      <w:textAlignment w:val="auto"/>
    </w:pPr>
    <w:rPr>
      <w:rFonts w:cs="宋体"/>
      <w:b/>
      <w:color w:val="000000"/>
      <w:kern w:val="2"/>
      <w:sz w:val="21"/>
    </w:rPr>
  </w:style>
  <w:style w:type="paragraph" w:customStyle="1" w:styleId="79">
    <w:name w:val="表格内容"/>
    <w:basedOn w:val="1"/>
    <w:autoRedefine/>
    <w:qFormat/>
    <w:uiPriority w:val="0"/>
    <w:pPr>
      <w:spacing w:line="400" w:lineRule="atLeast"/>
      <w:jc w:val="center"/>
    </w:pPr>
    <w:rPr>
      <w:rFonts w:hint="eastAsia" w:ascii="Microsoft JhengHei Light" w:hAnsi="Microsoft JhengHei Light" w:eastAsia="Microsoft JhengHei Light"/>
      <w:color w:val="000000"/>
      <w:kern w:val="0"/>
      <w:sz w:val="22"/>
    </w:rPr>
  </w:style>
  <w:style w:type="paragraph" w:customStyle="1" w:styleId="80">
    <w:name w:val="1.1.1.1 格式"/>
    <w:basedOn w:val="1"/>
    <w:qFormat/>
    <w:uiPriority w:val="0"/>
    <w:pPr>
      <w:ind w:firstLine="0" w:firstLineChars="0"/>
      <w:outlineLvl w:val="3"/>
    </w:p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header" Target="header2.xml"/><Relationship Id="rId40" Type="http://schemas.openxmlformats.org/officeDocument/2006/relationships/fontTable" Target="fontTable.xml"/><Relationship Id="rId4" Type="http://schemas.openxmlformats.org/officeDocument/2006/relationships/footer" Target="footer1.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jpeg"/><Relationship Id="rId25" Type="http://schemas.openxmlformats.org/officeDocument/2006/relationships/image" Target="media/image16.png"/><Relationship Id="rId24" Type="http://schemas.openxmlformats.org/officeDocument/2006/relationships/image" Target="media/image15.jpe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emf"/><Relationship Id="rId18" Type="http://schemas.openxmlformats.org/officeDocument/2006/relationships/oleObject" Target="embeddings/oleObject2.bin"/><Relationship Id="rId17" Type="http://schemas.openxmlformats.org/officeDocument/2006/relationships/image" Target="media/image9.emf"/><Relationship Id="rId16" Type="http://schemas.openxmlformats.org/officeDocument/2006/relationships/oleObject" Target="embeddings/oleObject1.bin"/><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77</Pages>
  <Words>17987</Words>
  <Characters>19596</Characters>
  <Lines>1</Lines>
  <Paragraphs>1</Paragraphs>
  <TotalTime>8</TotalTime>
  <ScaleCrop>false</ScaleCrop>
  <LinksUpToDate>false</LinksUpToDate>
  <CharactersWithSpaces>19799</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WPS_1509862140</cp:lastModifiedBy>
  <cp:lastPrinted>2025-12-25T07:28:00Z</cp:lastPrinted>
  <dcterms:modified xsi:type="dcterms:W3CDTF">2025-12-25T07:36:42Z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F916D12C3A204D47871AAABA47C6EE3D_13</vt:lpwstr>
  </property>
  <property fmtid="{D5CDD505-2E9C-101B-9397-08002B2CF9AE}" pid="4" name="KSOTemplateDocerSaveRecord">
    <vt:lpwstr>eyJoZGlkIjoiZWZhMmE3Y2ZkMWQ0NzBlOThhODRlMGIzZmZkZGIwNGEiLCJ1c2VySWQiOiIzMjAyNDgwNzEifQ==</vt:lpwstr>
  </property>
</Properties>
</file>