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bidi w:val="0"/>
        <w:ind w:left="0" w:leftChars="0" w:firstLine="0" w:firstLineChars="0"/>
        <w:jc w:val="center"/>
        <w:rPr>
          <w:rFonts w:hint="eastAsia"/>
          <w:lang w:eastAsia="zh-CN"/>
        </w:rPr>
      </w:pPr>
      <w:bookmarkStart w:id="0" w:name="_GoBack"/>
      <w:bookmarkEnd w:id="0"/>
      <w:r>
        <w:rPr>
          <w:rFonts w:hint="eastAsia"/>
          <w:lang w:eastAsia="zh-CN"/>
        </w:rPr>
        <w:t>新乡县固定资产投资项目审批</w:t>
      </w:r>
      <w:r>
        <w:rPr>
          <w:rFonts w:hint="eastAsia"/>
          <w:lang w:val="en-US" w:eastAsia="zh-CN"/>
        </w:rPr>
        <w:t xml:space="preserve">         </w:t>
      </w:r>
      <w:r>
        <w:rPr>
          <w:rFonts w:hint="eastAsia"/>
          <w:lang w:eastAsia="zh-CN"/>
        </w:rPr>
        <w:t>“高效办成一件事”办事指南</w:t>
      </w:r>
    </w:p>
    <w:p>
      <w:pPr>
        <w:pStyle w:val="3"/>
        <w:bidi w:val="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一、基本信息</w:t>
      </w:r>
    </w:p>
    <w:p>
      <w:pPr>
        <w:bidi w:val="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事项名称:固定资产投资项目审批“一件事”</w:t>
      </w:r>
    </w:p>
    <w:p>
      <w:pPr>
        <w:bidi w:val="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联办事项:1.企业投资(含外商投资)项目核准/备案；2.固定资产投资项目节能审查；3.建设项目用地预审与选址意见书核发；4.建设项目环境影响评价。</w:t>
      </w:r>
    </w:p>
    <w:p>
      <w:pPr>
        <w:bidi w:val="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实施主体:县发改委、县自然资源局、县生态环境分局</w:t>
      </w:r>
    </w:p>
    <w:p>
      <w:pPr>
        <w:bidi w:val="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办理时限:各审批事项均采取联办模式的，备案类项目在20个工作日内办结，核准类项目在30个工作日内办结(不含评审、公示等特别程序和项目单位修改补正材料的时间)。</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网上办理地址:河南省政务服务网(https://tzxm</w:t>
      </w:r>
      <w:r>
        <w:rPr>
          <w:rFonts w:hint="eastAsia" w:ascii="仿宋_GB2312" w:hAnsi="仿宋_GB2312" w:eastAsia="仿宋_GB2312" w:cs="仿宋_GB2312"/>
          <w:color w:val="000000"/>
          <w:lang w:val="en-US" w:eastAsia="zh-CN"/>
        </w:rPr>
        <w:t>.</w:t>
      </w:r>
      <w:r>
        <w:rPr>
          <w:rFonts w:hint="eastAsia" w:ascii="仿宋_GB2312" w:hAnsi="仿宋_GB2312" w:eastAsia="仿宋_GB2312" w:cs="仿宋_GB2312"/>
          <w:color w:val="000000"/>
          <w:lang w:eastAsia="zh-CN"/>
        </w:rPr>
        <w:t>fgw.henan</w:t>
      </w:r>
      <w:r>
        <w:rPr>
          <w:rFonts w:hint="eastAsia" w:ascii="仿宋_GB2312" w:hAnsi="仿宋_GB2312" w:eastAsia="仿宋_GB2312" w:cs="仿宋_GB2312"/>
          <w:color w:val="000000"/>
          <w:lang w:val="en-US" w:eastAsia="zh-CN"/>
        </w:rPr>
        <w:t>.</w:t>
      </w:r>
      <w:r>
        <w:rPr>
          <w:rFonts w:hint="eastAsia" w:ascii="仿宋_GB2312" w:hAnsi="仿宋_GB2312" w:eastAsia="仿宋_GB2312" w:cs="仿宋_GB2312"/>
          <w:color w:val="000000"/>
          <w:lang w:eastAsia="zh-CN"/>
        </w:rPr>
        <w:t>gov.cn:8443</w:t>
      </w:r>
      <w:r>
        <w:rPr>
          <w:rFonts w:hint="eastAsia" w:ascii="仿宋_GB2312" w:hAnsi="仿宋_GB2312" w:eastAsia="仿宋_GB2312" w:cs="仿宋_GB2312"/>
          <w:color w:val="000000"/>
          <w:lang w:val="en-US" w:eastAsia="zh-CN"/>
        </w:rPr>
        <w:t>/</w:t>
      </w:r>
      <w:r>
        <w:rPr>
          <w:rFonts w:hint="eastAsia" w:ascii="仿宋_GB2312" w:hAnsi="仿宋_GB2312" w:eastAsia="仿宋_GB2312" w:cs="仿宋_GB2312"/>
          <w:color w:val="000000"/>
          <w:lang w:eastAsia="zh-CN"/>
        </w:rPr>
        <w:t>szwptToXmsbindex.jspx)或省投资项目在线审批监管平台(http://tzls.hazw.gov.cn)</w:t>
      </w:r>
    </w:p>
    <w:p>
      <w:pPr>
        <w:bidi w:val="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现场办理地址:新乡县中央大道与金融路交叉口向南50米路东新乡县政务服务中心大厅“高效办成一件事”综合受理窗口</w:t>
      </w:r>
    </w:p>
    <w:p>
      <w:pPr>
        <w:pStyle w:val="2"/>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kern w:val="2"/>
          <w:sz w:val="32"/>
          <w:szCs w:val="32"/>
          <w:lang w:val="en-US" w:eastAsia="zh-CN" w:bidi="ar-SA"/>
        </w:rPr>
        <w:t>网上办理时间：</w:t>
      </w:r>
      <w:r>
        <w:rPr>
          <w:rFonts w:hint="eastAsia" w:ascii="仿宋_GB2312" w:hAnsi="仿宋_GB2312" w:eastAsia="仿宋_GB2312" w:cs="仿宋_GB2312"/>
          <w:color w:val="000000"/>
          <w:lang w:val="en-US" w:eastAsia="zh-CN"/>
        </w:rPr>
        <w:t>24小时均可提出申请。</w:t>
      </w:r>
    </w:p>
    <w:p>
      <w:pP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现场办理时间：周一至周五  上午9:00-12:00;下午13:00-17:00（法定节假日除外）</w:t>
      </w:r>
    </w:p>
    <w:p>
      <w:pPr>
        <w:pStyle w:val="3"/>
        <w:bidi w:val="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二、适用对象</w:t>
      </w:r>
    </w:p>
    <w:p>
      <w:pPr>
        <w:bidi w:val="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在我县行政区域内开展固定资产投资活动的企业(含外商投资企业)，以及利用自有资金、不申请政府投资建设固定资产投资项目的事业单位、社会团体等非企业组织。</w:t>
      </w:r>
    </w:p>
    <w:p>
      <w:pPr>
        <w:pStyle w:val="3"/>
        <w:bidi w:val="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三、收费信息（无）</w:t>
      </w:r>
    </w:p>
    <w:p>
      <w:pPr>
        <w:pStyle w:val="3"/>
        <w:bidi w:val="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四、申报条件</w:t>
      </w:r>
    </w:p>
    <w:p>
      <w:pPr>
        <w:bidi w:val="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w:t>
      </w:r>
      <w:r>
        <w:rPr>
          <w:rFonts w:hint="eastAsia" w:ascii="仿宋_GB2312" w:hAnsi="仿宋_GB2312" w:eastAsia="仿宋_GB2312" w:cs="仿宋_GB2312"/>
          <w:b/>
          <w:bCs/>
          <w:color w:val="000000"/>
          <w:lang w:val="en-US" w:eastAsia="zh-CN"/>
        </w:rPr>
        <w:t>企业投资（含外商投资）项目核准/备案。</w:t>
      </w:r>
      <w:r>
        <w:rPr>
          <w:rFonts w:hint="eastAsia" w:ascii="仿宋_GB2312" w:hAnsi="仿宋_GB2312" w:eastAsia="仿宋_GB2312" w:cs="仿宋_GB2312"/>
          <w:color w:val="000000"/>
          <w:lang w:val="en-US" w:eastAsia="zh-CN"/>
        </w:rPr>
        <w:t>对关系国家安全、涉及全国重大生产力布局、战略性资源开发和重大公共利益等项目，实行核准管理。具体项目范围以及核准机关、核准权限依照《政府核准的投资项目目录》执行。《政府核准的投资项目目录》外的项目，实行备案管理。</w:t>
      </w:r>
    </w:p>
    <w:p>
      <w:pPr>
        <w:bidi w:val="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b/>
          <w:bCs/>
          <w:color w:val="000000"/>
          <w:lang w:val="en-US" w:eastAsia="zh-CN"/>
        </w:rPr>
        <w:t>固定资产投资项目节能审查</w:t>
      </w:r>
      <w:r>
        <w:rPr>
          <w:rFonts w:hint="eastAsia" w:ascii="仿宋_GB2312" w:hAnsi="仿宋_GB2312" w:eastAsia="仿宋_GB2312" w:cs="仿宋_GB2312"/>
          <w:color w:val="000000"/>
          <w:lang w:val="en-US" w:eastAsia="zh-CN"/>
        </w:rPr>
        <w:t>。对于企业投资项目，建设单位需在开工建设前取得节能审查机关出具的节能审查意见。具有下列情形之一的固定资产投资项目，节能审查机关不再单独进行节能审查，不再出具节能审查意见：（一）年综合能源消费量不满1000吨标准煤，且年电力消费量不满500万千瓦时的项目；（二）涉及国家秘密以及国家发展改革委公布的不再单独进行节能审查行业目录内的项目。</w:t>
      </w:r>
    </w:p>
    <w:p>
      <w:pPr>
        <w:bidi w:val="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lang w:val="en-US" w:eastAsia="zh-CN"/>
        </w:rPr>
        <w:t>3.</w:t>
      </w:r>
      <w:r>
        <w:rPr>
          <w:rFonts w:hint="eastAsia" w:ascii="仿宋_GB2312" w:hAnsi="仿宋_GB2312" w:eastAsia="仿宋_GB2312" w:cs="仿宋_GB2312"/>
          <w:b/>
          <w:bCs/>
          <w:color w:val="000000"/>
          <w:lang w:val="en-US" w:eastAsia="zh-CN"/>
        </w:rPr>
        <w:t>建设项目用地预审与选址意见书核发</w:t>
      </w:r>
      <w:r>
        <w:rPr>
          <w:rFonts w:hint="eastAsia" w:ascii="仿宋_GB2312" w:hAnsi="仿宋_GB2312" w:eastAsia="仿宋_GB2312" w:cs="仿宋_GB2312"/>
          <w:color w:val="000000"/>
          <w:lang w:val="en-US" w:eastAsia="zh-CN"/>
        </w:rPr>
        <w:t>。按照国家规定需要有关部门批准、核准或者备案的建设项目，建设单位在报送有关部门批准、核准之前或者备案前后，应向自然资源主管部门申请核发建设项目用地预审与选址意见书。符合下列情形之一的，无需申请办理用地预审与选址意见书：</w:t>
      </w:r>
      <w:r>
        <w:rPr>
          <w:rFonts w:hint="eastAsia" w:ascii="仿宋_GB2312" w:hAnsi="仿宋_GB2312" w:eastAsia="仿宋_GB2312" w:cs="仿宋_GB2312"/>
          <w:color w:val="000000"/>
          <w:sz w:val="32"/>
          <w:lang w:val="en-US" w:eastAsia="zh-CN"/>
        </w:rPr>
        <w:t>（一）国土空间规划确定的城镇和村庄建设用地范围内以及原有合法建设用地范围内，以出让方式提供国有土地使用权或使用集体建设用地的；（二）“探采合一”和“探转采”油气类及钻井配套设施（不包括煤炭、金属等矿产类型）、以出让方式提供国有土地使用权的建设用地；（三）具备直接出让采矿权条件且能够明确具体用地范围的采矿用地，主要包括：石灰岩（建筑石料用）、砂岩（砖瓦用）、天然石英砂（建筑、砖瓦用）、粘土（砖瓦用）、页岩（砖瓦用）及开展砂石土等直接出让采矿权的“净矿”出让；（四）露天煤矿接续用地（即在划定矿区范围内依煤矿储量情况和年度产能需求为保障接续生产而必需的新增建设用地）；（五）不涉及建设用地的项目及符合国家政策要求的其他情形。</w:t>
      </w:r>
    </w:p>
    <w:p>
      <w:pPr>
        <w:bidi w:val="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4.</w:t>
      </w:r>
      <w:r>
        <w:rPr>
          <w:rFonts w:hint="eastAsia" w:ascii="仿宋_GB2312" w:hAnsi="仿宋_GB2312" w:eastAsia="仿宋_GB2312" w:cs="仿宋_GB2312"/>
          <w:b/>
          <w:bCs/>
          <w:color w:val="000000"/>
          <w:lang w:val="en-US" w:eastAsia="zh-CN"/>
        </w:rPr>
        <w:t>建设项目环境影响评价</w:t>
      </w:r>
      <w:r>
        <w:rPr>
          <w:rFonts w:hint="eastAsia" w:ascii="仿宋_GB2312" w:hAnsi="仿宋_GB2312" w:eastAsia="仿宋_GB2312" w:cs="仿宋_GB2312"/>
          <w:color w:val="000000"/>
          <w:lang w:val="en-US" w:eastAsia="zh-CN"/>
        </w:rPr>
        <w:t>。建设项目的环境影响评价文件未依法经审批部门审查或者审查后未予批准的，建设单位不得开工建设。国家根据建设项目对环境的影响程度，对建设项目的环境影响评价实行分类管理。建设单位应当按照下列规定组织编制环境影响报告书、环境影响报告表或者填报环境影响登记表（统称环境影响评价文件）：（一）可能造成重大环境影响的，应当编制环境影响报告书，对产生的环境影响进行全面评价；（二）可能造成轻度环境影响的，应当编制环境影响报告表，对产生的环境影响进行分析或者专项评价；（三）对环境影响很小、不需要进行环境影响评价的，应当填报环境影响登记表。《建设项目环境影响评价分类管理名录》，由国务院生态环境主管部门制定并公布。</w:t>
      </w:r>
    </w:p>
    <w:p>
      <w:pPr>
        <w:pStyle w:val="3"/>
        <w:bidi w:val="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五、申请材料</w:t>
      </w:r>
    </w:p>
    <w:p>
      <w:pPr>
        <w:keepNext w:val="0"/>
        <w:keepLines w:val="0"/>
        <w:widowControl/>
        <w:suppressLineNumbers w:val="0"/>
        <w:spacing w:line="240" w:lineRule="auto"/>
        <w:jc w:val="left"/>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 xml:space="preserve">扫码查看  </w:t>
      </w:r>
      <w:r>
        <w:rPr>
          <w:rFonts w:hint="eastAsia" w:ascii="仿宋_GB2312" w:hAnsi="仿宋_GB2312" w:eastAsia="仿宋_GB2312" w:cs="仿宋_GB2312"/>
          <w:color w:val="000000"/>
          <w:lang w:val="en-US" w:eastAsia="zh-CN"/>
        </w:rPr>
        <w:drawing>
          <wp:inline distT="0" distB="0" distL="114300" distR="114300">
            <wp:extent cx="1124585" cy="1101090"/>
            <wp:effectExtent l="0" t="0" r="18415" b="3810"/>
            <wp:docPr id="1" name="图片 5" descr="微信图片_2025-11-04_095022_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微信图片_2025-11-04_095022_610"/>
                    <pic:cNvPicPr>
                      <a:picLocks noChangeAspect="1"/>
                    </pic:cNvPicPr>
                  </pic:nvPicPr>
                  <pic:blipFill>
                    <a:blip r:embed="rId7"/>
                    <a:stretch>
                      <a:fillRect/>
                    </a:stretch>
                  </pic:blipFill>
                  <pic:spPr>
                    <a:xfrm>
                      <a:off x="0" y="0"/>
                      <a:ext cx="1124585" cy="1101090"/>
                    </a:xfrm>
                    <a:prstGeom prst="rect">
                      <a:avLst/>
                    </a:prstGeom>
                    <a:noFill/>
                    <a:ln>
                      <a:noFill/>
                    </a:ln>
                  </pic:spPr>
                </pic:pic>
              </a:graphicData>
            </a:graphic>
          </wp:inline>
        </w:drawing>
      </w:r>
    </w:p>
    <w:p>
      <w:pPr>
        <w:pStyle w:val="3"/>
        <w:bidi w:val="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六、咨询电话</w:t>
      </w:r>
    </w:p>
    <w:p>
      <w:pP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县发改委        0373-5688060、5688071</w:t>
      </w:r>
    </w:p>
    <w:p>
      <w:pPr>
        <w:bidi w:val="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县自然资源局    0373-6331181</w:t>
      </w:r>
    </w:p>
    <w:p>
      <w:pP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县生态环境分局  0373-5618805</w:t>
      </w:r>
    </w:p>
    <w:p>
      <w:pPr>
        <w:pStyle w:val="3"/>
        <w:bidi w:val="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七、投诉电话</w:t>
      </w:r>
    </w:p>
    <w:p>
      <w:pP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0373-5589960</w:t>
      </w:r>
    </w:p>
    <w:p>
      <w:pPr>
        <w:pStyle w:val="3"/>
        <w:bidi w:val="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八、常见问题答疑</w:t>
      </w:r>
    </w:p>
    <w:p>
      <w:pP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w:t>
      </w:r>
      <w:r>
        <w:rPr>
          <w:rFonts w:hint="eastAsia" w:ascii="仿宋_GB2312" w:hAnsi="仿宋_GB2312" w:eastAsia="仿宋_GB2312" w:cs="仿宋_GB2312"/>
          <w:b/>
          <w:bCs/>
          <w:color w:val="000000"/>
          <w:lang w:val="en-US" w:eastAsia="zh-CN"/>
        </w:rPr>
        <w:t>备案类项目</w:t>
      </w:r>
      <w:r>
        <w:rPr>
          <w:rFonts w:hint="eastAsia" w:ascii="仿宋_GB2312" w:hAnsi="仿宋_GB2312" w:eastAsia="仿宋_GB2312" w:cs="仿宋_GB2312"/>
          <w:color w:val="000000"/>
          <w:lang w:val="en-US" w:eastAsia="zh-CN"/>
        </w:rPr>
        <w:t>。按照告知性备案要求，项目信息填报完整，相应的投资主管部门收到填报信息即完成备案。项目单位根据需要选择办理用地预审与选址意见书、节能审查和环境影响评价审批中的一个或多个手续。项目单位申请材料齐全、符合法定形式的，审批机关应当予以受理，限时办结。各审批事项均采取联办模式的，在20个工作日内办结。</w:t>
      </w:r>
    </w:p>
    <w:p>
      <w:pP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b/>
          <w:bCs/>
          <w:color w:val="000000"/>
          <w:lang w:val="en-US" w:eastAsia="zh-CN"/>
        </w:rPr>
        <w:t>核准类项目</w:t>
      </w:r>
      <w:r>
        <w:rPr>
          <w:rFonts w:hint="eastAsia" w:ascii="仿宋_GB2312" w:hAnsi="仿宋_GB2312" w:eastAsia="仿宋_GB2312" w:cs="仿宋_GB2312"/>
          <w:color w:val="000000"/>
          <w:lang w:val="en-US" w:eastAsia="zh-CN"/>
        </w:rPr>
        <w:t>。无需办理或已办理用地预审与选址意见书的，项目单位可自主选择并联办理项目核准、节能审查和环境影响评价审批。依据法律法规，节能审查和环境影响评价审批已不是企业投资项目立项的前置条件，在开工前办理即可。项目单位可自主选择是否将节能审查和环境影响评价审批提前到与核准手续并联办理。项目单位申请材料齐全、符合法定形式的，审批机关应当予以受理，限时办结。联办部门加强信息共享，通过在线平台及时将办理流程信息、审批结果信息等推送给联办部门。</w:t>
      </w:r>
    </w:p>
    <w:p>
      <w:pP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需要办理用地预审与选址意见书的项目，结合项目实际情况可申请“容缺办理”项目核准手续。依据法律法规，用地预审与选址意见书是项目核准的必要前置条件。一般情况下，项目单位先向自然资源主管部门申请办理用地预审与选址意见书。未通过用地预审审批的，“一件事”办理终结。通过自然资源部门审批获得用地预审与选址意见书的，在线平台自动将办理结果共享给发展改革、生态环境等部门办理项目核准、节能审查和环境影响评价审批等事项。各审批事项均采取联办模式的，在30个工作日内办结。根据《河南省推广投资项目审批“容缺办理”模式实施方案》(豫发改投资〔2018〕698号)符合“投资主体或实施单位明确、用地范围基本确定”等条件的项目，可结合实际申请“容缺办理”项目核准手续。</w:t>
      </w:r>
    </w:p>
    <w:sectPr>
      <w:footerReference r:id="rId5" w:type="default"/>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OpenSymbo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CESI仿宋-GB2312">
    <w:panose1 w:val="02000500000000000000"/>
    <w:charset w:val="86"/>
    <w:family w:val="auto"/>
    <w:pitch w:val="default"/>
    <w:sig w:usb0="800002AF" w:usb1="084F6CF8" w:usb2="00000010" w:usb3="00000000" w:csb0="0004000F" w:csb1="00000000"/>
  </w:font>
  <w:font w:name="国标黑体">
    <w:panose1 w:val="02000500000000000000"/>
    <w:charset w:val="86"/>
    <w:family w:val="auto"/>
    <w:pitch w:val="default"/>
    <w:sig w:usb0="00000001" w:usb1="08000000" w:usb2="00000000" w:usb3="00000000" w:csb0="00040000" w:csb1="00000000"/>
  </w:font>
  <w:font w:name="国标楷体-GB/T 2312">
    <w:panose1 w:val="020005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国标仿宋-GB/T 2312">
    <w:panose1 w:val="02000500000000000000"/>
    <w:charset w:val="86"/>
    <w:family w:val="auto"/>
    <w:pitch w:val="default"/>
    <w:sig w:usb0="800002AF" w:usb1="08476CF8" w:usb2="00000010" w:usb3="00000000" w:csb0="00040000" w:csb1="00000000"/>
  </w:font>
  <w:font w:name="CESI小标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00"/>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E47E2"/>
    <w:rsid w:val="3BAEFD28"/>
    <w:rsid w:val="3FBF6B10"/>
    <w:rsid w:val="4DFAD8A8"/>
    <w:rsid w:val="573FEB8C"/>
    <w:rsid w:val="57AB7231"/>
    <w:rsid w:val="5DDC8228"/>
    <w:rsid w:val="5FEBA39B"/>
    <w:rsid w:val="62BF4061"/>
    <w:rsid w:val="6D7BF856"/>
    <w:rsid w:val="6D7F5F7E"/>
    <w:rsid w:val="6DFF3BC2"/>
    <w:rsid w:val="6FD60ED2"/>
    <w:rsid w:val="739FECF5"/>
    <w:rsid w:val="73EF3A91"/>
    <w:rsid w:val="75F6748B"/>
    <w:rsid w:val="75FF9CEF"/>
    <w:rsid w:val="7BD23742"/>
    <w:rsid w:val="7DEA5280"/>
    <w:rsid w:val="7ED4EC48"/>
    <w:rsid w:val="7F1FFD34"/>
    <w:rsid w:val="7F3FC941"/>
    <w:rsid w:val="7F6F669D"/>
    <w:rsid w:val="7F7B90A7"/>
    <w:rsid w:val="8BEFAA3A"/>
    <w:rsid w:val="8BFC2CF1"/>
    <w:rsid w:val="9EEFE674"/>
    <w:rsid w:val="B3A6EA24"/>
    <w:rsid w:val="B7BF2997"/>
    <w:rsid w:val="BF7F6981"/>
    <w:rsid w:val="D0BDE094"/>
    <w:rsid w:val="D76C3185"/>
    <w:rsid w:val="D7F6F6A9"/>
    <w:rsid w:val="DBBE9796"/>
    <w:rsid w:val="DBFFFDA8"/>
    <w:rsid w:val="DF67F38F"/>
    <w:rsid w:val="DFEB86F0"/>
    <w:rsid w:val="E53EF319"/>
    <w:rsid w:val="E67BC792"/>
    <w:rsid w:val="EDFCDF50"/>
    <w:rsid w:val="EEDFDC71"/>
    <w:rsid w:val="EFFD407A"/>
    <w:rsid w:val="EFFF94B6"/>
    <w:rsid w:val="F675EDC6"/>
    <w:rsid w:val="F6B3DD0D"/>
    <w:rsid w:val="F77BD7D4"/>
    <w:rsid w:val="F7A5ACB0"/>
    <w:rsid w:val="FBED4FDB"/>
    <w:rsid w:val="FBFB3A59"/>
    <w:rsid w:val="FBFD9DEB"/>
    <w:rsid w:val="FBFFAE9C"/>
    <w:rsid w:val="FD7F6C77"/>
    <w:rsid w:val="FDFA8A57"/>
    <w:rsid w:val="FF787E34"/>
    <w:rsid w:val="FFD719CF"/>
    <w:rsid w:val="FFFF93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640" w:firstLineChars="200"/>
      <w:jc w:val="left"/>
    </w:pPr>
    <w:rPr>
      <w:rFonts w:ascii="Nimbus Roman" w:hAnsi="Nimbus Roman" w:eastAsia="CESI仿宋-GB2312" w:cs="Times New Roman"/>
      <w:kern w:val="2"/>
      <w:sz w:val="32"/>
      <w:szCs w:val="32"/>
      <w:lang w:val="en-US" w:eastAsia="zh-CN" w:bidi="ar-SA"/>
    </w:rPr>
  </w:style>
  <w:style w:type="paragraph" w:styleId="3">
    <w:name w:val="heading 1"/>
    <w:basedOn w:val="1"/>
    <w:next w:val="1"/>
    <w:link w:val="11"/>
    <w:qFormat/>
    <w:uiPriority w:val="0"/>
    <w:pPr>
      <w:spacing w:beforeAutospacing="0" w:afterAutospacing="0"/>
      <w:jc w:val="left"/>
      <w:outlineLvl w:val="0"/>
    </w:pPr>
    <w:rPr>
      <w:rFonts w:hint="eastAsia" w:ascii="宋体" w:hAnsi="宋体" w:eastAsia="国标黑体" w:cs="宋体"/>
      <w:kern w:val="44"/>
      <w:szCs w:val="32"/>
      <w:lang w:bidi="ar"/>
    </w:rPr>
  </w:style>
  <w:style w:type="paragraph" w:styleId="4">
    <w:name w:val="heading 2"/>
    <w:basedOn w:val="1"/>
    <w:next w:val="1"/>
    <w:link w:val="12"/>
    <w:unhideWhenUsed/>
    <w:qFormat/>
    <w:uiPriority w:val="0"/>
    <w:pPr>
      <w:keepNext/>
      <w:keepLines/>
      <w:adjustRightInd w:val="0"/>
      <w:snapToGrid w:val="0"/>
      <w:spacing w:beforeLines="0" w:beforeAutospacing="0" w:afterLines="0" w:afterAutospacing="0" w:line="560" w:lineRule="exact"/>
      <w:ind w:firstLine="640" w:firstLineChars="200"/>
      <w:jc w:val="left"/>
      <w:outlineLvl w:val="1"/>
    </w:pPr>
    <w:rPr>
      <w:rFonts w:ascii="国标楷体-GB/T 2312" w:hAnsi="国标楷体-GB/T 2312" w:eastAsia="国标楷体-GB/T 2312"/>
      <w:szCs w:val="22"/>
    </w:rPr>
  </w:style>
  <w:style w:type="paragraph" w:styleId="5">
    <w:name w:val="heading 3"/>
    <w:basedOn w:val="1"/>
    <w:next w:val="1"/>
    <w:link w:val="13"/>
    <w:unhideWhenUsed/>
    <w:qFormat/>
    <w:uiPriority w:val="0"/>
    <w:pPr>
      <w:spacing w:before="0" w:beforeAutospacing="0" w:after="0" w:afterAutospacing="0"/>
      <w:jc w:val="left"/>
      <w:outlineLvl w:val="2"/>
    </w:pPr>
    <w:rPr>
      <w:rFonts w:hint="eastAsia" w:cs="宋体"/>
      <w:b/>
      <w:bCs/>
      <w:kern w:val="0"/>
      <w:szCs w:val="27"/>
      <w:lang w:bidi="ar"/>
    </w:rPr>
  </w:style>
  <w:style w:type="paragraph" w:styleId="2">
    <w:name w:val="heading 4"/>
    <w:basedOn w:val="1"/>
    <w:next w:val="1"/>
    <w:unhideWhenUsed/>
    <w:qFormat/>
    <w:uiPriority w:val="0"/>
    <w:pPr>
      <w:keepNext/>
      <w:keepLines/>
      <w:adjustRightInd w:val="0"/>
      <w:snapToGrid w:val="0"/>
      <w:spacing w:beforeLines="0" w:beforeAutospacing="0" w:afterLines="0" w:afterAutospacing="0" w:line="560" w:lineRule="exact"/>
      <w:ind w:firstLine="883" w:firstLineChars="200"/>
      <w:outlineLvl w:val="3"/>
    </w:pPr>
    <w:rPr>
      <w:rFonts w:ascii="Arial" w:hAnsi="Arial" w:eastAsia="国标仿宋-GB/T 2312"/>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uiPriority w:val="0"/>
    <w:rPr>
      <w:color w:val="0000FF"/>
      <w:u w:val="single"/>
    </w:rPr>
  </w:style>
  <w:style w:type="character" w:customStyle="1" w:styleId="11">
    <w:name w:val="标题 1 Char"/>
    <w:link w:val="3"/>
    <w:qFormat/>
    <w:uiPriority w:val="0"/>
    <w:rPr>
      <w:rFonts w:hint="eastAsia" w:ascii="宋体" w:hAnsi="宋体" w:eastAsia="国标黑体" w:cs="宋体"/>
      <w:kern w:val="44"/>
      <w:sz w:val="32"/>
      <w:szCs w:val="32"/>
      <w:lang w:val="en-US" w:eastAsia="zh-CN" w:bidi="ar"/>
    </w:rPr>
  </w:style>
  <w:style w:type="character" w:customStyle="1" w:styleId="12">
    <w:name w:val="标题 2 Char"/>
    <w:link w:val="4"/>
    <w:qFormat/>
    <w:uiPriority w:val="0"/>
    <w:rPr>
      <w:rFonts w:ascii="国标楷体-GB/T 2312" w:hAnsi="国标楷体-GB/T 2312" w:eastAsia="国标楷体-GB/T 2312" w:cs="Times New Roman"/>
      <w:sz w:val="32"/>
      <w:szCs w:val="22"/>
    </w:rPr>
  </w:style>
  <w:style w:type="character" w:customStyle="1" w:styleId="13">
    <w:name w:val="标题 3 Char"/>
    <w:link w:val="5"/>
    <w:qFormat/>
    <w:uiPriority w:val="0"/>
    <w:rPr>
      <w:rFonts w:hint="eastAsia" w:ascii="Nimbus Roman" w:hAnsi="Nimbus Roman" w:eastAsia="CESI仿宋-GB2312" w:cs="宋体"/>
      <w:b/>
      <w:bCs/>
      <w:kern w:val="0"/>
      <w:szCs w:val="27"/>
      <w:lang w:bidi="ar"/>
    </w:rPr>
  </w:style>
  <w:style w:type="paragraph" w:customStyle="1" w:styleId="14">
    <w:name w:val="大标题"/>
    <w:basedOn w:val="1"/>
    <w:qFormat/>
    <w:uiPriority w:val="0"/>
    <w:pPr>
      <w:spacing w:before="200" w:beforeLines="200" w:after="100" w:afterLines="100"/>
      <w:jc w:val="center"/>
      <w:outlineLvl w:val="9"/>
    </w:pPr>
    <w:rPr>
      <w:rFonts w:hint="eastAsia" w:ascii="CESI小标宋-GB2312" w:hAnsi="CESI小标宋-GB2312" w:eastAsia="CESI小标宋-GB2312" w:cs="仿宋_GB2312"/>
      <w:color w:val="auto"/>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2232</Words>
  <Characters>2410</Characters>
  <Lines>0</Lines>
  <Paragraphs>0</Paragraphs>
  <TotalTime>14</TotalTime>
  <ScaleCrop>false</ScaleCrop>
  <LinksUpToDate>false</LinksUpToDate>
  <CharactersWithSpaces>2437</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2024-04-02T14:49:00Z</dcterms:created>
  <dc:creator>thtf</dc:creator>
  <cp:lastModifiedBy>wangban01</cp:lastModifiedBy>
  <cp:lastPrinted>2025-11-15T19:48:19Z</cp:lastPrinted>
  <dcterms:modified xsi:type="dcterms:W3CDTF">2025-11-18T15:37:12Z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F4ADA81AC93FE2F028221C6912D722D3</vt:lpwstr>
  </property>
  <property fmtid="{D5CDD505-2E9C-101B-9397-08002B2CF9AE}" pid="4" name="KSOTemplateDocerSaveRecord">
    <vt:lpwstr>eyJoZGlkIjoiZWU1MDViMzk1MjYxN2ZhOTFmNDliYjgwMTEwYzM2ODkiLCJ1c2VySWQiOiI2NzYwNDE3MTgifQ==</vt:lpwstr>
  </property>
</Properties>
</file>