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旅游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随机抽查事项清单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429"/>
        <w:gridCol w:w="3430"/>
        <w:gridCol w:w="3430"/>
        <w:gridCol w:w="3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77" w:hRule="atLeast"/>
        </w:trPr>
        <w:tc>
          <w:tcPr>
            <w:tcW w:w="3429" w:type="dxa"/>
            <w:noWrap w:val="0"/>
            <w:vAlign w:val="center"/>
          </w:tcPr>
          <w:p>
            <w:pPr>
              <w:pStyle w:val="6"/>
              <w:ind w:left="0" w:leftChars="0"/>
              <w:jc w:val="center"/>
              <w:rPr>
                <w:rFonts w:hint="eastAsia" w:ascii="国标黑体" w:hAnsi="国标黑体" w:eastAsia="国标黑体" w:cs="国标黑体"/>
                <w:sz w:val="28"/>
                <w:szCs w:val="28"/>
              </w:rPr>
            </w:pPr>
            <w:r>
              <w:rPr>
                <w:rFonts w:hint="eastAsia" w:ascii="国标黑体" w:hAnsi="国标黑体" w:eastAsia="国标黑体" w:cs="国标黑体"/>
                <w:sz w:val="28"/>
                <w:szCs w:val="28"/>
              </w:rPr>
              <w:t>抽查类别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6"/>
              <w:ind w:left="0" w:leftChars="0"/>
              <w:jc w:val="center"/>
              <w:rPr>
                <w:rFonts w:hint="eastAsia" w:ascii="国标黑体" w:hAnsi="国标黑体" w:eastAsia="国标黑体" w:cs="国标黑体"/>
                <w:sz w:val="28"/>
                <w:szCs w:val="28"/>
              </w:rPr>
            </w:pPr>
            <w:r>
              <w:rPr>
                <w:rFonts w:hint="eastAsia" w:ascii="国标黑体" w:hAnsi="国标黑体" w:eastAsia="国标黑体" w:cs="国标黑体"/>
                <w:sz w:val="28"/>
                <w:szCs w:val="28"/>
              </w:rPr>
              <w:t>具体检查事项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jc w:val="center"/>
              <w:rPr>
                <w:rFonts w:hint="eastAsia" w:ascii="国标黑体" w:hAnsi="国标黑体" w:eastAsia="国标黑体" w:cs="国标黑体"/>
                <w:sz w:val="28"/>
                <w:szCs w:val="28"/>
                <w:vertAlign w:val="baseline"/>
              </w:rPr>
            </w:pPr>
            <w:r>
              <w:rPr>
                <w:rFonts w:hint="eastAsia" w:ascii="国标黑体" w:hAnsi="国标黑体" w:eastAsia="国标黑体" w:cs="国标黑体"/>
                <w:sz w:val="28"/>
                <w:szCs w:val="28"/>
              </w:rPr>
              <w:t>检查依据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jc w:val="center"/>
              <w:rPr>
                <w:rFonts w:hint="eastAsia" w:ascii="国标黑体" w:hAnsi="国标黑体" w:eastAsia="国标黑体" w:cs="国标黑体"/>
                <w:sz w:val="28"/>
                <w:szCs w:val="28"/>
                <w:vertAlign w:val="baseline"/>
              </w:rPr>
            </w:pPr>
            <w:r>
              <w:rPr>
                <w:rFonts w:hint="eastAsia" w:ascii="国标黑体" w:hAnsi="国标黑体" w:eastAsia="国标黑体" w:cs="国标黑体"/>
                <w:sz w:val="28"/>
                <w:szCs w:val="28"/>
              </w:rPr>
              <w:t>检查方式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44" w:hRule="atLeast"/>
        </w:trPr>
        <w:tc>
          <w:tcPr>
            <w:tcW w:w="342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旅行社经营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6"/>
              <w:ind w:left="0" w:leftChars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1. 经营旅行社业务是否取得许可；2. 是否与旅游者规范签订旅游合同；3. 有无虚假宣传或利用格式条款侵害消费者权益行为；4. 价格公示是否规范，有无价格欺诈行为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等。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《中华人民共和国旅游法》《旅行社条例》《价格法》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6"/>
              <w:ind w:left="0" w:leftChars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实地查看、查阅资料、现场询问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804" w:hRule="atLeast"/>
        </w:trPr>
        <w:tc>
          <w:tcPr>
            <w:tcW w:w="342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导游执业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1. 是否取得导游证并规范执业；2. 有无强迫或变相强迫旅游者消费行为；3. 服务行为是否符合行业规范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6"/>
              <w:ind w:left="0" w:leftChars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《中华人民共和国旅游法》《导游人员管理条例》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现场核查、游客回访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等</w:t>
            </w:r>
          </w:p>
        </w:tc>
      </w:tr>
    </w:tbl>
    <w:p>
      <w:pPr>
        <w:rPr>
          <w:rFonts w:hint="eastAsia" w:ascii="华文仿宋" w:hAnsi="华文仿宋" w:eastAsia="华文仿宋" w:cs="华文仿宋"/>
        </w:rPr>
      </w:pPr>
    </w:p>
    <w:p>
      <w:pPr>
        <w:rPr>
          <w:rFonts w:hint="eastAsia" w:ascii="华文仿宋" w:hAnsi="华文仿宋" w:eastAsia="华文仿宋" w:cs="华文仿宋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C8AC9"/>
    <w:rsid w:val="EAEFD771"/>
    <w:rsid w:val="FFFC8A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paragraph" w:styleId="2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2025-10-16T18:32:00Z</dcterms:created>
  <dc:creator>thtf</dc:creator>
  <cp:lastModifiedBy>thtf</cp:lastModifiedBy>
  <dcterms:modified xsi:type="dcterms:W3CDTF">2025-10-16T15:53:04Z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03992B8DC1F9F9C860A4F068BC4E19B4</vt:lpwstr>
  </property>
</Properties>
</file>