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-1397000</wp:posOffset>
            </wp:positionV>
            <wp:extent cx="7560310" cy="9662160"/>
            <wp:effectExtent l="0" t="0" r="2540" b="15240"/>
            <wp:wrapNone/>
            <wp:docPr id="2" name="图片 2" descr="局 小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局 小红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662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关于印发《政务大厅多功能服务区自助服务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设施设备管理办法》的通知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各部门窗口，各科室：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政务服务中心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设备的安全运行管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理，提高运行效率，方便企业群众办事，现将《政务大厅多功能服务区自助服务设施设备管理办法》印发你们，请认真贯彻执行。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新乡县政务服务中心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280" w:firstLineChars="16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211" w:right="1531" w:bottom="1871" w:left="1531" w:header="851" w:footer="1474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2025年5月21日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政务大厅多功能服务区自助服务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设施设备管理办法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第一条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为加强和规范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政务服务大厅自助服务设施设备的管理，保障正常运行，充分发挥自助服务设施设备的便民服务功能和效益，制定本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所称的自助服务设施设备是指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政务服务大厅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、各乡镇便民服务中心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24小时自助服务区为企业群众提供自助式服务的智能化设施设备。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准入与退出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第三条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入驻政务服务中心部门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根据实际需要增设多功能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服务区自助服务设备的，应就新增设备数量、摆放位置等相关事宜向分管领导提出申请，分管领导同意后，报请中心研究决定。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自助服务设备因故障维修或更换等原因，需要搬离、撤走的，由提供单位统一向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政务服务中心报备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第三章 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日常管理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落实专人对自助服务设施设备进行日常巡查，并做好日常管护记录台帐。在每个工作日上午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前开启自助服务设施设备，检查是否可以正常使用，并确保网络畅通。节假日前一天下班时应将自助服务设施设备切断电源。每季度对自助服务设施设备进行盘点，及时处置不能正常使用的设施设备。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投放设备有关部门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负责提供自助服务设施设备的操作指南和咨询联系电话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；县政务服务中心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根据实际需要配备咨询帮办人员，对企业群众使用自助服务设施设备办理政务服务事项进行引导帮办，及时解答办事群众在使用过程中遇到的问题。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自助服务设施设备发生故障时，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投放设备部门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需及时进行维修，不能立即修复使用的，应在大厅醒目位置张贴公告，并标明维修起止日期。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第八条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自助服务设施设备长期暂停使用 (2个月以上)的，应封存或撤出政务服务大厅。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第九条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管理并督促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人员加强对自助服务设施设备的清洁卫生整治和日常巡查，确保设施设备安全，防止被盗窃、破坏。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第四章 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政务服务中心负责解释。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第十一条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自印发之日起开始实行。</w:t>
      </w:r>
    </w:p>
    <w:sectPr>
      <w:pgSz w:w="11906" w:h="16838"/>
      <w:pgMar w:top="2211" w:right="1531" w:bottom="1871" w:left="1531" w:header="851" w:footer="147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5303"/>
    <w:rsid w:val="03B46C2F"/>
    <w:rsid w:val="16B34B25"/>
    <w:rsid w:val="1ADD03C2"/>
    <w:rsid w:val="1DA91A6B"/>
    <w:rsid w:val="1EAF02C7"/>
    <w:rsid w:val="1EF60561"/>
    <w:rsid w:val="218E5D4F"/>
    <w:rsid w:val="2E3F243D"/>
    <w:rsid w:val="3E20307A"/>
    <w:rsid w:val="446427EC"/>
    <w:rsid w:val="44714470"/>
    <w:rsid w:val="48B6114E"/>
    <w:rsid w:val="54252654"/>
    <w:rsid w:val="54E4286A"/>
    <w:rsid w:val="59E30AA1"/>
    <w:rsid w:val="5D221689"/>
    <w:rsid w:val="605B738C"/>
    <w:rsid w:val="6297415B"/>
    <w:rsid w:val="6344582E"/>
    <w:rsid w:val="7BF3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目录"/>
    <w:basedOn w:val="1"/>
    <w:qFormat/>
    <w:uiPriority w:val="0"/>
    <w:pPr>
      <w:jc w:val="center"/>
    </w:pPr>
    <w:rPr>
      <w:rFonts w:hint="eastAsia" w:ascii="方正小标宋简体" w:hAnsi="方正小标宋简体" w:eastAsia="方正小标宋简体" w:cs="方正小标宋简体"/>
      <w:sz w:val="52"/>
      <w:szCs w:val="6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2024-04-26T07:42:00Z</dcterms:created>
  <dc:creator>Administrator</dc:creator>
  <cp:lastModifiedBy>Administrator</cp:lastModifiedBy>
  <cp:lastPrinted>2025-05-21T03:14:16Z</cp:lastPrinted>
  <dcterms:modified xsi:type="dcterms:W3CDTF">2025-05-21T03:19:05Z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B1ED9E02A8F34E9BB33FDF4E4D104C6E_12</vt:lpwstr>
  </property>
  <property fmtid="{D5CDD505-2E9C-101B-9397-08002B2CF9AE}" pid="4" name="KSOTemplateDocerSaveRecord">
    <vt:lpwstr>eyJoZGlkIjoiNTcyZTkzY2ZkZDE5NjIxZDUyYjNlNWI0YWQ4MTVkZTkiLCJ1c2VySWQiOiIyNTU5MTcwMDcifQ==</vt:lpwstr>
  </property>
</Properties>
</file>