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E5F8990">
      <w:pPr>
        <w:bidi w:val="0"/>
        <w:spacing w:line="360" w:lineRule="auto"/>
        <w:jc w:val="center"/>
        <w:rPr>
          <w:rFonts w:hint="eastAsia" w:ascii="黑体" w:hAnsi="黑体" w:eastAsia="黑体" w:cs="黑体"/>
          <w:b w:val="0"/>
          <w:bCs w:val="0"/>
          <w:sz w:val="30"/>
          <w:szCs w:val="30"/>
          <w:lang w:eastAsia="zh-CN"/>
        </w:rPr>
        <w:sectPr>
          <w:headerReference r:id="rId3" w:type="default"/>
          <w:footerReference r:id="rId4" w:type="default"/>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r>
        <w:rPr>
          <w:rFonts w:hint="eastAsia" w:ascii="黑体" w:hAnsi="黑体" w:eastAsia="黑体" w:cs="黑体"/>
          <w:b w:val="0"/>
          <w:bCs w:val="0"/>
          <w:sz w:val="30"/>
          <w:szCs w:val="30"/>
          <w:lang w:eastAsia="zh-CN"/>
        </w:rPr>
        <w:drawing>
          <wp:inline distT="0" distB="0" distL="114300" distR="114300">
            <wp:extent cx="5615305" cy="7722870"/>
            <wp:effectExtent l="0" t="0" r="4445" b="11430"/>
            <wp:docPr id="4" name="图片 4" descr="95c34b085ec7779161f2a47a6746c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5c34b085ec7779161f2a47a6746c7d"/>
                    <pic:cNvPicPr>
                      <a:picLocks noChangeAspect="1"/>
                    </pic:cNvPicPr>
                  </pic:nvPicPr>
                  <pic:blipFill>
                    <a:blip r:embed="rId8"/>
                    <a:stretch>
                      <a:fillRect/>
                    </a:stretch>
                  </pic:blipFill>
                  <pic:spPr>
                    <a:xfrm>
                      <a:off x="0" y="0"/>
                      <a:ext cx="5615305" cy="7722870"/>
                    </a:xfrm>
                    <a:prstGeom prst="rect">
                      <a:avLst/>
                    </a:prstGeom>
                  </pic:spPr>
                </pic:pic>
              </a:graphicData>
            </a:graphic>
          </wp:inline>
        </w:drawing>
      </w:r>
    </w:p>
    <w:p w14:paraId="6C0ADFD8">
      <w:pPr>
        <w:bidi w:val="0"/>
        <w:spacing w:line="360" w:lineRule="auto"/>
        <w:jc w:val="center"/>
        <w:rPr>
          <w:rFonts w:hint="eastAsia" w:ascii="黑体" w:hAnsi="黑体" w:eastAsia="黑体" w:cs="黑体"/>
          <w:b w:val="0"/>
          <w:bCs w:val="0"/>
          <w:sz w:val="30"/>
          <w:szCs w:val="30"/>
          <w:lang w:eastAsia="zh-CN"/>
        </w:rPr>
        <w:sectPr>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r>
        <w:rPr>
          <w:rFonts w:hint="eastAsia" w:ascii="黑体" w:hAnsi="黑体" w:eastAsia="黑体" w:cs="黑体"/>
          <w:b w:val="0"/>
          <w:bCs w:val="0"/>
          <w:sz w:val="30"/>
          <w:szCs w:val="30"/>
          <w:lang w:eastAsia="zh-CN"/>
        </w:rPr>
        <w:drawing>
          <wp:inline distT="0" distB="0" distL="114300" distR="114300">
            <wp:extent cx="5615305" cy="7942580"/>
            <wp:effectExtent l="0" t="0" r="4445" b="1270"/>
            <wp:docPr id="5" name="图片 5" descr="1-2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23_01"/>
                    <pic:cNvPicPr>
                      <a:picLocks noChangeAspect="1"/>
                    </pic:cNvPicPr>
                  </pic:nvPicPr>
                  <pic:blipFill>
                    <a:blip r:embed="rId9"/>
                    <a:stretch>
                      <a:fillRect/>
                    </a:stretch>
                  </pic:blipFill>
                  <pic:spPr>
                    <a:xfrm>
                      <a:off x="0" y="0"/>
                      <a:ext cx="5615305" cy="7942580"/>
                    </a:xfrm>
                    <a:prstGeom prst="rect">
                      <a:avLst/>
                    </a:prstGeom>
                  </pic:spPr>
                </pic:pic>
              </a:graphicData>
            </a:graphic>
          </wp:inline>
        </w:drawing>
      </w:r>
    </w:p>
    <w:p w14:paraId="19E29D5D">
      <w:pPr>
        <w:bidi w:val="0"/>
        <w:spacing w:line="360" w:lineRule="auto"/>
        <w:jc w:val="center"/>
        <w:rPr>
          <w:rFonts w:hint="eastAsia" w:ascii="黑体" w:hAnsi="黑体" w:eastAsia="黑体" w:cs="黑体"/>
          <w:b w:val="0"/>
          <w:bCs w:val="0"/>
          <w:sz w:val="30"/>
          <w:szCs w:val="30"/>
          <w:lang w:eastAsia="zh-CN"/>
        </w:rPr>
        <w:sectPr>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r>
        <w:rPr>
          <w:rFonts w:hint="eastAsia" w:ascii="黑体" w:hAnsi="黑体" w:eastAsia="黑体" w:cs="黑体"/>
          <w:b w:val="0"/>
          <w:bCs w:val="0"/>
          <w:sz w:val="30"/>
          <w:szCs w:val="30"/>
          <w:lang w:eastAsia="zh-CN"/>
        </w:rPr>
        <w:drawing>
          <wp:inline distT="0" distB="0" distL="114300" distR="114300">
            <wp:extent cx="5615305" cy="7942580"/>
            <wp:effectExtent l="0" t="0" r="4445" b="1270"/>
            <wp:docPr id="6" name="图片 6" descr="1-2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23_00"/>
                    <pic:cNvPicPr>
                      <a:picLocks noChangeAspect="1"/>
                    </pic:cNvPicPr>
                  </pic:nvPicPr>
                  <pic:blipFill>
                    <a:blip r:embed="rId10"/>
                    <a:stretch>
                      <a:fillRect/>
                    </a:stretch>
                  </pic:blipFill>
                  <pic:spPr>
                    <a:xfrm>
                      <a:off x="0" y="0"/>
                      <a:ext cx="5615305" cy="7942580"/>
                    </a:xfrm>
                    <a:prstGeom prst="rect">
                      <a:avLst/>
                    </a:prstGeom>
                  </pic:spPr>
                </pic:pic>
              </a:graphicData>
            </a:graphic>
          </wp:inline>
        </w:drawing>
      </w:r>
    </w:p>
    <w:p w14:paraId="048467CE">
      <w:pPr>
        <w:bidi w:val="0"/>
        <w:spacing w:line="360" w:lineRule="auto"/>
        <w:jc w:val="center"/>
        <w:rPr>
          <w:rFonts w:hint="eastAsia" w:ascii="黑体" w:hAnsi="黑体" w:eastAsia="黑体" w:cs="黑体"/>
          <w:b w:val="0"/>
          <w:bCs w:val="0"/>
          <w:sz w:val="30"/>
          <w:szCs w:val="30"/>
        </w:rPr>
        <w:sectPr>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r>
        <w:drawing>
          <wp:inline distT="0" distB="0" distL="114300" distR="114300">
            <wp:extent cx="8030210" cy="6141720"/>
            <wp:effectExtent l="0" t="0" r="11430" b="889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1"/>
                    <a:stretch>
                      <a:fillRect/>
                    </a:stretch>
                  </pic:blipFill>
                  <pic:spPr>
                    <a:xfrm rot="16200000">
                      <a:off x="0" y="0"/>
                      <a:ext cx="8030210" cy="6141720"/>
                    </a:xfrm>
                    <a:prstGeom prst="rect">
                      <a:avLst/>
                    </a:prstGeom>
                    <a:noFill/>
                    <a:ln>
                      <a:noFill/>
                    </a:ln>
                  </pic:spPr>
                </pic:pic>
              </a:graphicData>
            </a:graphic>
          </wp:inline>
        </w:drawing>
      </w:r>
    </w:p>
    <w:p w14:paraId="3222C50D">
      <w:pPr>
        <w:bidi w:val="0"/>
        <w:spacing w:line="360" w:lineRule="auto"/>
        <w:jc w:val="center"/>
      </w:pPr>
      <w:r>
        <w:drawing>
          <wp:inline distT="0" distB="0" distL="114300" distR="114300">
            <wp:extent cx="5904865" cy="8305165"/>
            <wp:effectExtent l="0" t="0" r="635" b="63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2"/>
                    <a:stretch>
                      <a:fillRect/>
                    </a:stretch>
                  </pic:blipFill>
                  <pic:spPr>
                    <a:xfrm rot="10800000">
                      <a:off x="0" y="0"/>
                      <a:ext cx="5904865" cy="8305165"/>
                    </a:xfrm>
                    <a:prstGeom prst="rect">
                      <a:avLst/>
                    </a:prstGeom>
                    <a:noFill/>
                    <a:ln>
                      <a:noFill/>
                    </a:ln>
                  </pic:spPr>
                </pic:pic>
              </a:graphicData>
            </a:graphic>
          </wp:inline>
        </w:drawing>
      </w:r>
    </w:p>
    <w:p w14:paraId="593867BB">
      <w:pPr>
        <w:bidi w:val="0"/>
        <w:spacing w:line="360" w:lineRule="auto"/>
        <w:jc w:val="center"/>
        <w:sectPr>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38DBE933">
      <w:pPr>
        <w:bidi w:val="0"/>
        <w:spacing w:line="360" w:lineRule="auto"/>
        <w:jc w:val="center"/>
        <w:rPr>
          <w:rFonts w:hint="eastAsia" w:eastAsia="宋体"/>
          <w:lang w:eastAsia="zh-CN"/>
        </w:rPr>
        <w:sectPr>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r>
        <w:rPr>
          <w:rFonts w:hint="eastAsia" w:eastAsia="宋体"/>
          <w:lang w:eastAsia="zh-CN"/>
        </w:rPr>
        <w:drawing>
          <wp:inline distT="0" distB="0" distL="114300" distR="114300">
            <wp:extent cx="5615305" cy="7935595"/>
            <wp:effectExtent l="0" t="0" r="4445" b="8255"/>
            <wp:docPr id="44" name="图片 44" descr="尚洁12月份社保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尚洁12月份社保_00"/>
                    <pic:cNvPicPr>
                      <a:picLocks noChangeAspect="1"/>
                    </pic:cNvPicPr>
                  </pic:nvPicPr>
                  <pic:blipFill>
                    <a:blip r:embed="rId13"/>
                    <a:stretch>
                      <a:fillRect/>
                    </a:stretch>
                  </pic:blipFill>
                  <pic:spPr>
                    <a:xfrm>
                      <a:off x="0" y="0"/>
                      <a:ext cx="5615305" cy="7935595"/>
                    </a:xfrm>
                    <a:prstGeom prst="rect">
                      <a:avLst/>
                    </a:prstGeom>
                  </pic:spPr>
                </pic:pic>
              </a:graphicData>
            </a:graphic>
          </wp:inline>
        </w:drawing>
      </w:r>
    </w:p>
    <w:p w14:paraId="4AA1F705">
      <w:pPr>
        <w:bidi w:val="0"/>
        <w:spacing w:line="360" w:lineRule="auto"/>
        <w:jc w:val="center"/>
        <w:rPr>
          <w:rFonts w:hint="eastAsia" w:ascii="黑体" w:hAnsi="黑体" w:eastAsia="黑体" w:cs="黑体"/>
          <w:b w:val="0"/>
          <w:bCs w:val="0"/>
          <w:sz w:val="30"/>
          <w:szCs w:val="30"/>
          <w:lang w:val="en-US" w:eastAsia="zh-CN"/>
        </w:rPr>
      </w:pPr>
      <w:r>
        <w:rPr>
          <w:rFonts w:hint="eastAsia" w:ascii="黑体" w:hAnsi="黑体" w:eastAsia="黑体" w:cs="黑体"/>
          <w:b w:val="0"/>
          <w:bCs w:val="0"/>
          <w:sz w:val="30"/>
          <w:szCs w:val="30"/>
        </w:rPr>
        <w:t>一、建设项目基本情况</w:t>
      </w:r>
    </w:p>
    <w:tbl>
      <w:tblPr>
        <w:tblStyle w:val="22"/>
        <w:tblW w:w="97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184"/>
        <w:gridCol w:w="2505"/>
        <w:gridCol w:w="1958"/>
        <w:gridCol w:w="3107"/>
      </w:tblGrid>
      <w:tr w14:paraId="190E73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atLeast"/>
          <w:jc w:val="center"/>
        </w:trPr>
        <w:tc>
          <w:tcPr>
            <w:tcW w:w="2184" w:type="dxa"/>
            <w:noWrap w:val="0"/>
            <w:tcMar>
              <w:top w:w="16" w:type="dxa"/>
              <w:left w:w="16" w:type="dxa"/>
              <w:right w:w="16" w:type="dxa"/>
            </w:tcMar>
            <w:vAlign w:val="center"/>
          </w:tcPr>
          <w:p w14:paraId="343CB87E">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建设项目名称</w:t>
            </w:r>
          </w:p>
        </w:tc>
        <w:tc>
          <w:tcPr>
            <w:tcW w:w="7570" w:type="dxa"/>
            <w:gridSpan w:val="3"/>
            <w:noWrap w:val="0"/>
            <w:vAlign w:val="center"/>
          </w:tcPr>
          <w:p w14:paraId="7EE27D47">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4"/>
                <w:highlight w:val="yellow"/>
                <w:lang w:val="en-US" w:eastAsia="zh-CN"/>
              </w:rPr>
            </w:pPr>
            <w:r>
              <w:rPr>
                <w:rFonts w:hint="eastAsia" w:ascii="宋体" w:hAnsi="宋体" w:cs="宋体"/>
                <w:sz w:val="24"/>
                <w:szCs w:val="24"/>
                <w:highlight w:val="none"/>
                <w:lang w:val="en-US" w:eastAsia="zh-CN"/>
              </w:rPr>
              <w:t>新乡市华恩机械有限公司年产</w:t>
            </w:r>
            <w:r>
              <w:rPr>
                <w:rFonts w:hint="default" w:ascii="Times New Roman" w:hAnsi="Times New Roman" w:cs="Times New Roman"/>
                <w:sz w:val="24"/>
                <w:szCs w:val="24"/>
                <w:highlight w:val="none"/>
                <w:lang w:val="en-US" w:eastAsia="zh-CN"/>
              </w:rPr>
              <w:t>1.2</w:t>
            </w:r>
            <w:r>
              <w:rPr>
                <w:rFonts w:hint="eastAsia" w:ascii="宋体" w:hAnsi="宋体" w:cs="宋体"/>
                <w:sz w:val="24"/>
                <w:szCs w:val="24"/>
                <w:highlight w:val="none"/>
                <w:lang w:val="en-US" w:eastAsia="zh-CN"/>
              </w:rPr>
              <w:t>万件变幅杆项目</w:t>
            </w:r>
          </w:p>
        </w:tc>
      </w:tr>
      <w:tr w14:paraId="5F8AE0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4D3CE232">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项目代码</w:t>
            </w:r>
          </w:p>
        </w:tc>
        <w:tc>
          <w:tcPr>
            <w:tcW w:w="7570" w:type="dxa"/>
            <w:gridSpan w:val="3"/>
            <w:noWrap w:val="0"/>
            <w:vAlign w:val="center"/>
          </w:tcPr>
          <w:p w14:paraId="49976E61">
            <w:pPr>
              <w:keepNext w:val="0"/>
              <w:keepLines w:val="0"/>
              <w:suppressLineNumbers w:val="0"/>
              <w:adjustRightInd w:val="0"/>
              <w:snapToGrid w:val="0"/>
              <w:spacing w:before="0" w:beforeAutospacing="0" w:after="0" w:afterAutospacing="0"/>
              <w:ind w:left="0" w:right="0"/>
              <w:jc w:val="center"/>
              <w:rPr>
                <w:rFonts w:hint="default" w:ascii="宋体" w:hAnsi="宋体" w:eastAsia="宋体"/>
                <w:color w:val="FF0000"/>
                <w:sz w:val="24"/>
                <w:highlight w:val="none"/>
                <w:lang w:val="en-US" w:eastAsia="zh-CN"/>
              </w:rPr>
            </w:pPr>
            <w:r>
              <w:rPr>
                <w:rFonts w:hint="eastAsia" w:cs="Times New Roman"/>
                <w:sz w:val="24"/>
                <w:szCs w:val="24"/>
                <w:highlight w:val="none"/>
                <w:lang w:val="en-US" w:eastAsia="zh-CN"/>
              </w:rPr>
              <w:t>2411-410721-04-01-291302</w:t>
            </w:r>
          </w:p>
        </w:tc>
      </w:tr>
      <w:tr w14:paraId="25E79E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6C4297F7">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建设单位联系人</w:t>
            </w:r>
          </w:p>
        </w:tc>
        <w:tc>
          <w:tcPr>
            <w:tcW w:w="2505" w:type="dxa"/>
            <w:noWrap w:val="0"/>
            <w:vAlign w:val="center"/>
          </w:tcPr>
          <w:p w14:paraId="590C867E">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olor w:val="FF0000"/>
                <w:sz w:val="24"/>
                <w:highlight w:val="none"/>
                <w:lang w:val="en-US" w:eastAsia="zh-CN"/>
              </w:rPr>
            </w:pPr>
            <w:r>
              <w:rPr>
                <w:rFonts w:hint="eastAsia" w:ascii="宋体" w:hAnsi="宋体"/>
                <w:color w:val="auto"/>
                <w:sz w:val="24"/>
                <w:highlight w:val="none"/>
                <w:lang w:val="en-US" w:eastAsia="zh-CN"/>
              </w:rPr>
              <w:t>侯鹏辉</w:t>
            </w:r>
          </w:p>
        </w:tc>
        <w:tc>
          <w:tcPr>
            <w:tcW w:w="1958" w:type="dxa"/>
            <w:noWrap w:val="0"/>
            <w:vAlign w:val="center"/>
          </w:tcPr>
          <w:p w14:paraId="43152E9D">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FF0000"/>
                <w:sz w:val="24"/>
                <w:highlight w:val="none"/>
              </w:rPr>
            </w:pPr>
            <w:r>
              <w:rPr>
                <w:rFonts w:hint="default" w:ascii="宋体" w:hAnsi="宋体"/>
                <w:color w:val="auto"/>
                <w:sz w:val="24"/>
                <w:highlight w:val="none"/>
              </w:rPr>
              <w:t>联系方式</w:t>
            </w:r>
          </w:p>
        </w:tc>
        <w:tc>
          <w:tcPr>
            <w:tcW w:w="3107" w:type="dxa"/>
            <w:noWrap w:val="0"/>
            <w:vAlign w:val="center"/>
          </w:tcPr>
          <w:p w14:paraId="149FE58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FF0000"/>
                <w:sz w:val="24"/>
                <w:highlight w:val="none"/>
                <w:lang w:val="en-US" w:eastAsia="zh-CN"/>
              </w:rPr>
            </w:pPr>
            <w:r>
              <w:rPr>
                <w:rFonts w:hint="eastAsia" w:cs="Times New Roman"/>
                <w:bCs/>
                <w:color w:val="auto"/>
                <w:sz w:val="24"/>
                <w:highlight w:val="none"/>
                <w:lang w:val="en-US" w:eastAsia="zh-CN"/>
              </w:rPr>
              <w:t>13938738459</w:t>
            </w:r>
          </w:p>
        </w:tc>
      </w:tr>
      <w:tr w14:paraId="07A53B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01D31282">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建设单位法人</w:t>
            </w:r>
          </w:p>
        </w:tc>
        <w:tc>
          <w:tcPr>
            <w:tcW w:w="2505" w:type="dxa"/>
            <w:noWrap w:val="0"/>
            <w:vAlign w:val="center"/>
          </w:tcPr>
          <w:p w14:paraId="5AEE61F1">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bCs/>
                <w:color w:val="auto"/>
                <w:sz w:val="24"/>
                <w:highlight w:val="none"/>
                <w:lang w:val="en-US"/>
              </w:rPr>
            </w:pPr>
            <w:r>
              <w:rPr>
                <w:rFonts w:hint="eastAsia" w:ascii="宋体" w:hAnsi="宋体"/>
                <w:bCs/>
                <w:color w:val="auto"/>
                <w:sz w:val="24"/>
                <w:highlight w:val="none"/>
                <w:lang w:val="en-US" w:eastAsia="zh-CN"/>
              </w:rPr>
              <w:t>侯鹏辉</w:t>
            </w:r>
            <w:r>
              <w:rPr>
                <w:rFonts w:hint="eastAsia" w:cs="Times New Roman"/>
                <w:b w:val="0"/>
                <w:bCs w:val="0"/>
                <w:color w:val="auto"/>
                <w:sz w:val="24"/>
                <w:szCs w:val="24"/>
                <w:highlight w:val="none"/>
                <w:lang w:val="en-US" w:eastAsia="zh-CN"/>
              </w:rPr>
              <w:t>410721198109092512</w:t>
            </w:r>
          </w:p>
        </w:tc>
        <w:tc>
          <w:tcPr>
            <w:tcW w:w="1958" w:type="dxa"/>
            <w:noWrap w:val="0"/>
            <w:vAlign w:val="center"/>
          </w:tcPr>
          <w:p w14:paraId="7BD3CDAA">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4"/>
                <w:highlight w:val="none"/>
              </w:rPr>
            </w:pPr>
            <w:r>
              <w:rPr>
                <w:rFonts w:hint="default" w:ascii="宋体" w:hAnsi="宋体"/>
                <w:color w:val="auto"/>
                <w:sz w:val="24"/>
                <w:highlight w:val="none"/>
              </w:rPr>
              <w:t>统一社会信用代码</w:t>
            </w:r>
          </w:p>
        </w:tc>
        <w:tc>
          <w:tcPr>
            <w:tcW w:w="3107" w:type="dxa"/>
            <w:noWrap w:val="0"/>
            <w:vAlign w:val="center"/>
          </w:tcPr>
          <w:p w14:paraId="6F44E8E9">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sz w:val="24"/>
                <w:highlight w:val="none"/>
                <w:lang w:val="en-US" w:eastAsia="zh-CN"/>
              </w:rPr>
            </w:pPr>
            <w:r>
              <w:rPr>
                <w:rFonts w:hint="eastAsia" w:cs="Times New Roman"/>
                <w:sz w:val="24"/>
                <w:szCs w:val="24"/>
                <w:lang w:val="en-US" w:eastAsia="zh-CN"/>
              </w:rPr>
              <w:t>91410721MADHK9BC8B</w:t>
            </w:r>
          </w:p>
        </w:tc>
      </w:tr>
      <w:tr w14:paraId="6400FC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42AFCAB4">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eastAsia" w:hAnsi="宋体"/>
                <w:color w:val="000000"/>
                <w:sz w:val="24"/>
              </w:rPr>
              <w:t>建设单位</w:t>
            </w:r>
          </w:p>
        </w:tc>
        <w:tc>
          <w:tcPr>
            <w:tcW w:w="7570" w:type="dxa"/>
            <w:gridSpan w:val="3"/>
            <w:noWrap w:val="0"/>
            <w:vAlign w:val="center"/>
          </w:tcPr>
          <w:p w14:paraId="2579F3F8">
            <w:pPr>
              <w:pStyle w:val="18"/>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eastAsia="宋体"/>
                <w:color w:val="000000"/>
                <w:sz w:val="24"/>
                <w:lang w:val="en-US" w:eastAsia="zh-CN"/>
              </w:rPr>
            </w:pPr>
            <w:r>
              <w:rPr>
                <w:rFonts w:hint="eastAsia"/>
                <w:color w:val="000000"/>
                <w:sz w:val="24"/>
                <w:lang w:val="en-US" w:eastAsia="zh-CN"/>
              </w:rPr>
              <w:t>新乡市华恩机械有限公司</w:t>
            </w:r>
          </w:p>
        </w:tc>
      </w:tr>
      <w:tr w14:paraId="191801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5F2199C0">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建设地点</w:t>
            </w:r>
          </w:p>
        </w:tc>
        <w:tc>
          <w:tcPr>
            <w:tcW w:w="7570" w:type="dxa"/>
            <w:gridSpan w:val="3"/>
            <w:noWrap w:val="0"/>
            <w:vAlign w:val="center"/>
          </w:tcPr>
          <w:p w14:paraId="2861C48D">
            <w:pPr>
              <w:pStyle w:val="18"/>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eastAsia="宋体"/>
                <w:sz w:val="24"/>
                <w:lang w:val="en-US" w:eastAsia="zh-CN"/>
              </w:rPr>
            </w:pPr>
            <w:r>
              <w:rPr>
                <w:rFonts w:hint="eastAsia" w:cs="宋体"/>
                <w:color w:val="auto"/>
                <w:sz w:val="24"/>
                <w:szCs w:val="24"/>
                <w:lang w:val="en-US" w:eastAsia="zh-CN"/>
              </w:rPr>
              <w:t>河南省新乡市新乡县中央大道兴隆路交叉口西南角处</w:t>
            </w:r>
          </w:p>
        </w:tc>
      </w:tr>
      <w:tr w14:paraId="219618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3033ECA2">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地理坐标</w:t>
            </w:r>
          </w:p>
        </w:tc>
        <w:tc>
          <w:tcPr>
            <w:tcW w:w="7570" w:type="dxa"/>
            <w:gridSpan w:val="3"/>
            <w:noWrap w:val="0"/>
            <w:vAlign w:val="center"/>
          </w:tcPr>
          <w:p w14:paraId="25B84D67">
            <w:pPr>
              <w:keepNext w:val="0"/>
              <w:keepLines w:val="0"/>
              <w:suppressLineNumbers w:val="0"/>
              <w:spacing w:before="0" w:beforeAutospacing="0" w:after="0" w:afterAutospacing="0"/>
              <w:ind w:left="0" w:right="0"/>
              <w:jc w:val="center"/>
              <w:rPr>
                <w:rFonts w:hint="default" w:ascii="宋体" w:hAnsi="宋体"/>
                <w:sz w:val="24"/>
              </w:rPr>
            </w:pPr>
            <w:r>
              <w:rPr>
                <w:rFonts w:hint="default" w:ascii="Times New Roman" w:hAnsi="Times New Roman" w:cs="Times New Roman"/>
                <w:color w:val="auto"/>
                <w:sz w:val="24"/>
                <w:highlight w:val="none"/>
                <w:shd w:val="clear"/>
              </w:rPr>
              <w:t>（</w:t>
            </w:r>
            <w:r>
              <w:rPr>
                <w:rFonts w:hint="eastAsia" w:ascii="Times New Roman" w:hAnsi="Times New Roman" w:cs="Times New Roman"/>
                <w:color w:val="auto"/>
                <w:sz w:val="24"/>
                <w:highlight w:val="none"/>
                <w:u w:val="single"/>
                <w:shd w:val="clear"/>
                <w:lang w:val="en-US" w:eastAsia="zh-CN"/>
              </w:rPr>
              <w:t>11</w:t>
            </w:r>
            <w:r>
              <w:rPr>
                <w:rFonts w:hint="eastAsia" w:cs="Times New Roman"/>
                <w:color w:val="auto"/>
                <w:sz w:val="24"/>
                <w:highlight w:val="none"/>
                <w:u w:val="single"/>
                <w:shd w:val="clear"/>
                <w:lang w:val="en-US" w:eastAsia="zh-CN"/>
              </w:rPr>
              <w:t>3</w:t>
            </w:r>
            <w:r>
              <w:rPr>
                <w:rFonts w:hint="default" w:ascii="Times New Roman" w:hAnsi="Times New Roman" w:cs="Times New Roman"/>
                <w:color w:val="auto"/>
                <w:sz w:val="24"/>
                <w:highlight w:val="none"/>
                <w:shd w:val="clear"/>
              </w:rPr>
              <w:t>度</w:t>
            </w:r>
            <w:r>
              <w:rPr>
                <w:rFonts w:hint="eastAsia" w:cs="Times New Roman"/>
                <w:color w:val="auto"/>
                <w:sz w:val="24"/>
                <w:highlight w:val="none"/>
                <w:u w:val="single"/>
                <w:shd w:val="clear"/>
                <w:lang w:val="en-US" w:eastAsia="zh-CN"/>
              </w:rPr>
              <w:t>47</w:t>
            </w:r>
            <w:r>
              <w:rPr>
                <w:rFonts w:hint="default" w:ascii="Times New Roman" w:hAnsi="Times New Roman" w:cs="Times New Roman"/>
                <w:color w:val="auto"/>
                <w:sz w:val="24"/>
                <w:highlight w:val="none"/>
                <w:shd w:val="clear"/>
              </w:rPr>
              <w:t>分</w:t>
            </w:r>
            <w:r>
              <w:rPr>
                <w:rFonts w:hint="eastAsia" w:cs="Times New Roman"/>
                <w:color w:val="auto"/>
                <w:sz w:val="24"/>
                <w:highlight w:val="none"/>
                <w:u w:val="single"/>
                <w:shd w:val="clear"/>
                <w:lang w:val="en-US" w:eastAsia="zh-CN"/>
              </w:rPr>
              <w:t>31.775</w:t>
            </w:r>
            <w:r>
              <w:rPr>
                <w:rFonts w:hint="default" w:ascii="Times New Roman" w:hAnsi="Times New Roman" w:cs="Times New Roman"/>
                <w:color w:val="auto"/>
                <w:sz w:val="24"/>
                <w:highlight w:val="none"/>
                <w:shd w:val="clear"/>
              </w:rPr>
              <w:t>秒，</w:t>
            </w:r>
            <w:r>
              <w:rPr>
                <w:rFonts w:hint="default" w:ascii="Times New Roman" w:hAnsi="Times New Roman" w:cs="Times New Roman"/>
                <w:color w:val="auto"/>
                <w:sz w:val="24"/>
                <w:highlight w:val="none"/>
                <w:u w:val="single"/>
                <w:shd w:val="clear"/>
              </w:rPr>
              <w:t>35</w:t>
            </w:r>
            <w:r>
              <w:rPr>
                <w:rFonts w:hint="default" w:ascii="Times New Roman" w:hAnsi="Times New Roman" w:cs="Times New Roman"/>
                <w:color w:val="auto"/>
                <w:sz w:val="24"/>
                <w:highlight w:val="none"/>
                <w:shd w:val="clear"/>
              </w:rPr>
              <w:t>度</w:t>
            </w:r>
            <w:r>
              <w:rPr>
                <w:rFonts w:hint="eastAsia" w:cs="Times New Roman"/>
                <w:color w:val="auto"/>
                <w:sz w:val="24"/>
                <w:highlight w:val="none"/>
                <w:u w:val="single"/>
                <w:shd w:val="clear"/>
                <w:lang w:val="en-US" w:eastAsia="zh-CN"/>
              </w:rPr>
              <w:t>12</w:t>
            </w:r>
            <w:r>
              <w:rPr>
                <w:rFonts w:hint="default" w:ascii="Times New Roman" w:hAnsi="Times New Roman" w:cs="Times New Roman"/>
                <w:color w:val="auto"/>
                <w:sz w:val="24"/>
                <w:highlight w:val="none"/>
                <w:shd w:val="clear"/>
              </w:rPr>
              <w:t>分</w:t>
            </w:r>
            <w:r>
              <w:rPr>
                <w:rFonts w:hint="eastAsia" w:cs="Times New Roman"/>
                <w:color w:val="auto"/>
                <w:sz w:val="24"/>
                <w:highlight w:val="none"/>
                <w:u w:val="single"/>
                <w:shd w:val="clear"/>
                <w:lang w:val="en-US" w:eastAsia="zh-CN"/>
              </w:rPr>
              <w:t>11.111</w:t>
            </w:r>
            <w:r>
              <w:rPr>
                <w:rFonts w:hint="default" w:ascii="Times New Roman" w:hAnsi="Times New Roman" w:cs="Times New Roman"/>
                <w:color w:val="auto"/>
                <w:sz w:val="24"/>
                <w:highlight w:val="none"/>
                <w:shd w:val="clear"/>
              </w:rPr>
              <w:t>秒）</w:t>
            </w:r>
          </w:p>
        </w:tc>
      </w:tr>
      <w:tr w14:paraId="1CB60B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307C0B82">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rPr>
            </w:pPr>
            <w:r>
              <w:rPr>
                <w:rFonts w:hint="default" w:ascii="宋体" w:hAnsi="宋体"/>
                <w:color w:val="auto"/>
                <w:sz w:val="24"/>
              </w:rPr>
              <w:t>国民经济</w:t>
            </w:r>
          </w:p>
          <w:p w14:paraId="1E47336D">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rPr>
            </w:pPr>
            <w:r>
              <w:rPr>
                <w:rFonts w:hint="default" w:ascii="宋体" w:hAnsi="宋体"/>
                <w:color w:val="auto"/>
                <w:sz w:val="24"/>
              </w:rPr>
              <w:t>行业类别</w:t>
            </w:r>
          </w:p>
        </w:tc>
        <w:tc>
          <w:tcPr>
            <w:tcW w:w="2505" w:type="dxa"/>
            <w:noWrap w:val="0"/>
            <w:vAlign w:val="center"/>
          </w:tcPr>
          <w:p w14:paraId="7A32C69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宋体" w:hAnsi="宋体"/>
                <w:color w:val="auto"/>
                <w:sz w:val="24"/>
                <w:highlight w:val="yellow"/>
                <w:lang w:val="en-US"/>
              </w:rPr>
            </w:pPr>
            <w:r>
              <w:rPr>
                <w:rFonts w:hint="eastAsia" w:cs="Times New Roman"/>
                <w:sz w:val="24"/>
                <w:highlight w:val="none"/>
                <w:lang w:val="en-US" w:eastAsia="zh-CN"/>
              </w:rPr>
              <w:t>C3484机械零部件加工</w:t>
            </w:r>
          </w:p>
        </w:tc>
        <w:tc>
          <w:tcPr>
            <w:tcW w:w="1958" w:type="dxa"/>
            <w:noWrap w:val="0"/>
            <w:vAlign w:val="center"/>
          </w:tcPr>
          <w:p w14:paraId="15E20D49">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highlight w:val="none"/>
              </w:rPr>
            </w:pPr>
            <w:r>
              <w:rPr>
                <w:rFonts w:hint="default" w:ascii="宋体" w:hAnsi="宋体"/>
                <w:color w:val="auto"/>
                <w:sz w:val="24"/>
                <w:highlight w:val="none"/>
              </w:rPr>
              <w:t>建设项目</w:t>
            </w:r>
          </w:p>
          <w:p w14:paraId="02171E6E">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4"/>
                <w:highlight w:val="none"/>
              </w:rPr>
            </w:pPr>
            <w:r>
              <w:rPr>
                <w:rFonts w:hint="default" w:ascii="宋体" w:hAnsi="宋体"/>
                <w:color w:val="auto"/>
                <w:sz w:val="24"/>
                <w:highlight w:val="none"/>
              </w:rPr>
              <w:t>行业类别</w:t>
            </w:r>
          </w:p>
        </w:tc>
        <w:tc>
          <w:tcPr>
            <w:tcW w:w="3107" w:type="dxa"/>
            <w:noWrap w:val="0"/>
            <w:vAlign w:val="center"/>
          </w:tcPr>
          <w:p w14:paraId="750C1F91">
            <w:pPr>
              <w:keepNext w:val="0"/>
              <w:keepLines w:val="0"/>
              <w:suppressLineNumbers w:val="0"/>
              <w:bidi w:val="0"/>
              <w:spacing w:before="0" w:beforeAutospacing="0" w:after="0" w:afterAutospacing="0"/>
              <w:ind w:left="0" w:leftChars="0" w:right="0" w:rightChars="0"/>
              <w:jc w:val="both"/>
              <w:rPr>
                <w:rFonts w:hint="default" w:ascii="宋体" w:hAnsi="宋体"/>
                <w:color w:val="auto"/>
                <w:sz w:val="24"/>
                <w:highlight w:val="none"/>
                <w:lang w:val="en-US"/>
              </w:rPr>
            </w:pPr>
            <w:r>
              <w:rPr>
                <w:rFonts w:hint="eastAsia"/>
                <w:lang w:val="en-US" w:eastAsia="zh-CN"/>
              </w:rPr>
              <w:t>三十一、通用设备制造业，34-69通用零部件制造348—其他（仅分割、焊接、组装的除外；年用非溶剂型低VOCs含量涂料10吨以下的除外）</w:t>
            </w:r>
          </w:p>
        </w:tc>
      </w:tr>
      <w:tr w14:paraId="553089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1BE03D4C">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建设性质</w:t>
            </w:r>
          </w:p>
        </w:tc>
        <w:tc>
          <w:tcPr>
            <w:tcW w:w="2505" w:type="dxa"/>
            <w:noWrap w:val="0"/>
            <w:vAlign w:val="center"/>
          </w:tcPr>
          <w:p w14:paraId="7E28F90B">
            <w:pPr>
              <w:keepNext w:val="0"/>
              <w:keepLines w:val="0"/>
              <w:suppressLineNumbers w:val="0"/>
              <w:spacing w:before="0" w:beforeAutospacing="0" w:after="0" w:afterAutospacing="0"/>
              <w:ind w:left="0" w:right="0"/>
              <w:jc w:val="left"/>
              <w:rPr>
                <w:rFonts w:hint="default" w:ascii="宋体" w:hAnsi="宋体"/>
                <w:sz w:val="24"/>
              </w:rPr>
            </w:pPr>
            <w:r>
              <w:rPr>
                <w:rFonts w:hint="eastAsia" w:ascii="宋体" w:hAnsi="宋体"/>
                <w:sz w:val="24"/>
                <w:lang w:eastAsia="zh-CN"/>
              </w:rPr>
              <w:t>☑</w:t>
            </w:r>
            <w:r>
              <w:rPr>
                <w:rFonts w:hint="default" w:ascii="宋体" w:hAnsi="宋体"/>
                <w:sz w:val="24"/>
              </w:rPr>
              <w:t>新建（迁建）</w:t>
            </w:r>
          </w:p>
          <w:p w14:paraId="7D0EDC04">
            <w:pPr>
              <w:keepNext w:val="0"/>
              <w:keepLines w:val="0"/>
              <w:suppressLineNumbers w:val="0"/>
              <w:spacing w:before="0" w:beforeAutospacing="0" w:after="0" w:afterAutospacing="0"/>
              <w:ind w:left="0" w:right="0"/>
              <w:jc w:val="left"/>
              <w:rPr>
                <w:rFonts w:hint="default" w:ascii="宋体" w:hAnsi="宋体"/>
                <w:sz w:val="24"/>
              </w:rPr>
            </w:pPr>
            <w:r>
              <w:rPr>
                <w:rFonts w:hint="eastAsia" w:ascii="宋体" w:hAnsi="宋体"/>
                <w:sz w:val="24"/>
                <w:lang w:eastAsia="zh-CN"/>
              </w:rPr>
              <w:t>□</w:t>
            </w:r>
            <w:r>
              <w:rPr>
                <w:rFonts w:hint="default" w:ascii="宋体" w:hAnsi="宋体"/>
                <w:sz w:val="24"/>
              </w:rPr>
              <w:t>改建</w:t>
            </w:r>
          </w:p>
          <w:p w14:paraId="5ABD4EB8">
            <w:pPr>
              <w:keepNext w:val="0"/>
              <w:keepLines w:val="0"/>
              <w:suppressLineNumbers w:val="0"/>
              <w:spacing w:before="0" w:beforeAutospacing="0" w:after="0" w:afterAutospacing="0"/>
              <w:ind w:left="0" w:right="0"/>
              <w:jc w:val="left"/>
              <w:rPr>
                <w:rFonts w:hint="default" w:ascii="宋体" w:hAnsi="宋体"/>
                <w:sz w:val="24"/>
              </w:rPr>
            </w:pPr>
            <w:r>
              <w:rPr>
                <w:rFonts w:hint="eastAsia" w:ascii="宋体" w:hAnsi="宋体"/>
                <w:sz w:val="24"/>
                <w:lang w:eastAsia="zh-CN"/>
              </w:rPr>
              <w:t>□</w:t>
            </w:r>
            <w:r>
              <w:rPr>
                <w:rFonts w:hint="default" w:ascii="宋体" w:hAnsi="宋体"/>
                <w:sz w:val="24"/>
              </w:rPr>
              <w:t>扩建</w:t>
            </w:r>
          </w:p>
          <w:p w14:paraId="28876B03">
            <w:pPr>
              <w:keepNext w:val="0"/>
              <w:keepLines w:val="0"/>
              <w:suppressLineNumbers w:val="0"/>
              <w:spacing w:before="0" w:beforeAutospacing="0" w:after="0" w:afterAutospacing="0"/>
              <w:ind w:left="0" w:right="0"/>
              <w:jc w:val="left"/>
              <w:rPr>
                <w:rFonts w:hint="default"/>
                <w:sz w:val="24"/>
              </w:rPr>
            </w:pPr>
            <w:r>
              <w:rPr>
                <w:rFonts w:hint="default" w:ascii="宋体" w:hAnsi="宋体"/>
                <w:sz w:val="24"/>
              </w:rPr>
              <w:t>□技术改造</w:t>
            </w:r>
          </w:p>
        </w:tc>
        <w:tc>
          <w:tcPr>
            <w:tcW w:w="1958" w:type="dxa"/>
            <w:noWrap w:val="0"/>
            <w:vAlign w:val="center"/>
          </w:tcPr>
          <w:p w14:paraId="476E3F9B">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建设项目</w:t>
            </w:r>
          </w:p>
          <w:p w14:paraId="724053BC">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申报情形</w:t>
            </w:r>
          </w:p>
        </w:tc>
        <w:tc>
          <w:tcPr>
            <w:tcW w:w="3107" w:type="dxa"/>
            <w:noWrap w:val="0"/>
            <w:vAlign w:val="center"/>
          </w:tcPr>
          <w:p w14:paraId="33E78831">
            <w:pPr>
              <w:keepNext w:val="0"/>
              <w:keepLines w:val="0"/>
              <w:suppressLineNumbers w:val="0"/>
              <w:spacing w:before="0" w:beforeAutospacing="0" w:after="0" w:afterAutospacing="0"/>
              <w:ind w:left="0" w:right="0"/>
              <w:jc w:val="left"/>
              <w:rPr>
                <w:rFonts w:hint="default"/>
                <w:sz w:val="24"/>
              </w:rPr>
            </w:pPr>
            <w:r>
              <w:rPr>
                <w:rFonts w:hint="eastAsia" w:ascii="宋体" w:hAnsi="宋体"/>
                <w:sz w:val="24"/>
                <w:lang w:eastAsia="zh-CN"/>
              </w:rPr>
              <w:t>☑</w:t>
            </w:r>
            <w:r>
              <w:rPr>
                <w:rFonts w:hint="default" w:hAnsi="宋体"/>
                <w:sz w:val="24"/>
              </w:rPr>
              <w:t>首次申报项目</w:t>
            </w:r>
            <w:r>
              <w:rPr>
                <w:rFonts w:hint="default"/>
                <w:sz w:val="24"/>
              </w:rPr>
              <w:t xml:space="preserve">             </w:t>
            </w:r>
          </w:p>
          <w:p w14:paraId="79F96C2C">
            <w:pPr>
              <w:keepNext w:val="0"/>
              <w:keepLines w:val="0"/>
              <w:suppressLineNumbers w:val="0"/>
              <w:spacing w:before="0" w:beforeAutospacing="0" w:after="0" w:afterAutospacing="0"/>
              <w:ind w:left="0" w:right="0"/>
              <w:jc w:val="left"/>
              <w:rPr>
                <w:rFonts w:hint="default" w:ascii="宋体" w:hAnsi="宋体"/>
                <w:sz w:val="24"/>
              </w:rPr>
            </w:pPr>
            <w:r>
              <w:rPr>
                <w:rFonts w:hint="default" w:ascii="宋体" w:hAnsi="宋体"/>
                <w:sz w:val="24"/>
              </w:rPr>
              <w:t>□不予批准后再次申报项目</w:t>
            </w:r>
          </w:p>
          <w:p w14:paraId="22DA3A21">
            <w:pPr>
              <w:keepNext w:val="0"/>
              <w:keepLines w:val="0"/>
              <w:suppressLineNumbers w:val="0"/>
              <w:spacing w:before="0" w:beforeAutospacing="0" w:after="0" w:afterAutospacing="0"/>
              <w:ind w:left="0" w:right="0"/>
              <w:jc w:val="left"/>
              <w:rPr>
                <w:rFonts w:hint="default" w:ascii="宋体" w:hAnsi="宋体"/>
                <w:sz w:val="24"/>
              </w:rPr>
            </w:pPr>
            <w:r>
              <w:rPr>
                <w:rFonts w:hint="default" w:ascii="宋体" w:hAnsi="宋体"/>
                <w:sz w:val="24"/>
              </w:rPr>
              <w:t xml:space="preserve">□超五年重新审核项目     </w:t>
            </w:r>
          </w:p>
          <w:p w14:paraId="7405AA24">
            <w:pPr>
              <w:keepNext w:val="0"/>
              <w:keepLines w:val="0"/>
              <w:suppressLineNumbers w:val="0"/>
              <w:spacing w:before="0" w:beforeAutospacing="0" w:after="0" w:afterAutospacing="0"/>
              <w:ind w:left="0" w:right="0"/>
              <w:jc w:val="left"/>
              <w:rPr>
                <w:rFonts w:hint="default"/>
                <w:sz w:val="24"/>
              </w:rPr>
            </w:pPr>
            <w:r>
              <w:rPr>
                <w:rFonts w:hint="default" w:ascii="宋体" w:hAnsi="宋体"/>
                <w:sz w:val="24"/>
              </w:rPr>
              <w:t>□重大变动重新报批项目</w:t>
            </w:r>
          </w:p>
        </w:tc>
      </w:tr>
      <w:tr w14:paraId="0DF555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5978D4FA">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项目审批（核准/</w:t>
            </w:r>
          </w:p>
          <w:p w14:paraId="33A1F016">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备案）部门（选填）</w:t>
            </w:r>
          </w:p>
        </w:tc>
        <w:tc>
          <w:tcPr>
            <w:tcW w:w="2505" w:type="dxa"/>
            <w:noWrap w:val="0"/>
            <w:vAlign w:val="center"/>
          </w:tcPr>
          <w:p w14:paraId="67C4E490">
            <w:pPr>
              <w:keepNext w:val="0"/>
              <w:keepLines w:val="0"/>
              <w:suppressLineNumbers w:val="0"/>
              <w:adjustRightInd w:val="0"/>
              <w:snapToGrid w:val="0"/>
              <w:spacing w:before="0" w:beforeAutospacing="0" w:after="0" w:afterAutospacing="0"/>
              <w:ind w:left="0" w:right="0"/>
              <w:jc w:val="center"/>
              <w:rPr>
                <w:rFonts w:hint="eastAsia" w:ascii="宋体" w:hAnsi="宋体"/>
                <w:sz w:val="24"/>
                <w:highlight w:val="none"/>
                <w:lang w:val="en-US" w:eastAsia="zh-CN"/>
              </w:rPr>
            </w:pPr>
            <w:r>
              <w:rPr>
                <w:rFonts w:hint="eastAsia" w:ascii="宋体" w:hAnsi="宋体"/>
                <w:sz w:val="24"/>
                <w:highlight w:val="none"/>
                <w:lang w:val="en-US" w:eastAsia="zh-CN"/>
              </w:rPr>
              <w:t>新乡县</w:t>
            </w:r>
          </w:p>
          <w:p w14:paraId="522C9A63">
            <w:pPr>
              <w:keepNext w:val="0"/>
              <w:keepLines w:val="0"/>
              <w:suppressLineNumbers w:val="0"/>
              <w:adjustRightInd w:val="0"/>
              <w:snapToGrid w:val="0"/>
              <w:spacing w:before="0" w:beforeAutospacing="0" w:after="0" w:afterAutospacing="0"/>
              <w:ind w:left="0" w:right="0"/>
              <w:jc w:val="center"/>
              <w:rPr>
                <w:rFonts w:hint="default" w:ascii="宋体" w:hAnsi="宋体"/>
                <w:sz w:val="24"/>
                <w:lang w:val="en-US"/>
              </w:rPr>
            </w:pPr>
            <w:r>
              <w:rPr>
                <w:rFonts w:hint="eastAsia" w:ascii="宋体" w:hAnsi="宋体"/>
                <w:sz w:val="24"/>
                <w:highlight w:val="none"/>
                <w:lang w:val="en-US" w:eastAsia="zh-CN"/>
              </w:rPr>
              <w:t>发展和改革委员会</w:t>
            </w:r>
          </w:p>
        </w:tc>
        <w:tc>
          <w:tcPr>
            <w:tcW w:w="1958" w:type="dxa"/>
            <w:noWrap w:val="0"/>
            <w:vAlign w:val="center"/>
          </w:tcPr>
          <w:p w14:paraId="71380766">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项目审批（核准/</w:t>
            </w:r>
          </w:p>
          <w:p w14:paraId="0AAF291A">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备案）文号（选填）</w:t>
            </w:r>
          </w:p>
        </w:tc>
        <w:tc>
          <w:tcPr>
            <w:tcW w:w="3107" w:type="dxa"/>
            <w:noWrap w:val="0"/>
            <w:vAlign w:val="center"/>
          </w:tcPr>
          <w:p w14:paraId="36405E01">
            <w:pPr>
              <w:keepNext w:val="0"/>
              <w:keepLines w:val="0"/>
              <w:suppressLineNumbers w:val="0"/>
              <w:adjustRightInd w:val="0"/>
              <w:snapToGrid w:val="0"/>
              <w:spacing w:before="0" w:beforeAutospacing="0" w:after="0" w:afterAutospacing="0"/>
              <w:ind w:left="0" w:right="0"/>
              <w:jc w:val="center"/>
              <w:rPr>
                <w:rFonts w:hint="default" w:ascii="宋体" w:hAnsi="宋体" w:eastAsia="宋体"/>
                <w:color w:val="FF0000"/>
                <w:sz w:val="24"/>
                <w:lang w:val="en-US" w:eastAsia="zh-CN"/>
              </w:rPr>
            </w:pPr>
            <w:r>
              <w:rPr>
                <w:rFonts w:hint="eastAsia" w:ascii="宋体" w:hAnsi="宋体"/>
                <w:color w:val="auto"/>
                <w:sz w:val="24"/>
                <w:lang w:val="en-US" w:eastAsia="zh-CN"/>
              </w:rPr>
              <w:t>/</w:t>
            </w:r>
          </w:p>
        </w:tc>
      </w:tr>
      <w:tr w14:paraId="578195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40B9A8AF">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4"/>
              </w:rPr>
            </w:pPr>
            <w:r>
              <w:rPr>
                <w:rFonts w:hint="default" w:ascii="宋体" w:hAnsi="宋体"/>
                <w:color w:val="000000"/>
                <w:sz w:val="24"/>
              </w:rPr>
              <w:t>总投资（万元）</w:t>
            </w:r>
          </w:p>
        </w:tc>
        <w:tc>
          <w:tcPr>
            <w:tcW w:w="2505" w:type="dxa"/>
            <w:noWrap w:val="0"/>
            <w:vAlign w:val="center"/>
          </w:tcPr>
          <w:p w14:paraId="69F2757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200</w:t>
            </w:r>
          </w:p>
        </w:tc>
        <w:tc>
          <w:tcPr>
            <w:tcW w:w="1958" w:type="dxa"/>
            <w:noWrap w:val="0"/>
            <w:tcMar>
              <w:top w:w="16" w:type="dxa"/>
              <w:left w:w="16" w:type="dxa"/>
              <w:right w:w="16" w:type="dxa"/>
            </w:tcMar>
            <w:vAlign w:val="center"/>
          </w:tcPr>
          <w:p w14:paraId="6B6305E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环保投资（万元）</w:t>
            </w:r>
          </w:p>
        </w:tc>
        <w:tc>
          <w:tcPr>
            <w:tcW w:w="3107" w:type="dxa"/>
            <w:noWrap w:val="0"/>
            <w:vAlign w:val="center"/>
          </w:tcPr>
          <w:p w14:paraId="41B1750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4"/>
                <w:highlight w:val="yellow"/>
                <w:lang w:val="en-US" w:eastAsia="zh-CN"/>
              </w:rPr>
            </w:pPr>
            <w:r>
              <w:rPr>
                <w:rFonts w:hint="eastAsia" w:cs="Times New Roman"/>
                <w:color w:val="000000"/>
                <w:sz w:val="24"/>
                <w:highlight w:val="none"/>
                <w:lang w:val="en-US" w:eastAsia="zh-CN"/>
              </w:rPr>
              <w:t>12</w:t>
            </w:r>
          </w:p>
        </w:tc>
      </w:tr>
      <w:tr w14:paraId="3E4A2B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492C2552">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4"/>
              </w:rPr>
            </w:pPr>
            <w:r>
              <w:rPr>
                <w:rFonts w:hint="default" w:ascii="宋体" w:hAnsi="宋体"/>
                <w:color w:val="000000"/>
                <w:sz w:val="24"/>
              </w:rPr>
              <w:t>环保投资占比（</w:t>
            </w:r>
            <w:r>
              <w:rPr>
                <w:rFonts w:hint="default" w:ascii="Times New Roman" w:hAnsi="Times New Roman" w:cs="Times New Roman"/>
                <w:color w:val="000000"/>
                <w:sz w:val="24"/>
              </w:rPr>
              <w:t>%</w:t>
            </w:r>
            <w:r>
              <w:rPr>
                <w:rFonts w:hint="default" w:ascii="宋体" w:hAnsi="宋体"/>
                <w:color w:val="000000"/>
                <w:sz w:val="24"/>
              </w:rPr>
              <w:t>）</w:t>
            </w:r>
          </w:p>
        </w:tc>
        <w:tc>
          <w:tcPr>
            <w:tcW w:w="2505" w:type="dxa"/>
            <w:noWrap w:val="0"/>
            <w:vAlign w:val="center"/>
          </w:tcPr>
          <w:p w14:paraId="37F178E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6</w:t>
            </w:r>
          </w:p>
        </w:tc>
        <w:tc>
          <w:tcPr>
            <w:tcW w:w="1958" w:type="dxa"/>
            <w:noWrap w:val="0"/>
            <w:tcMar>
              <w:top w:w="16" w:type="dxa"/>
              <w:left w:w="16" w:type="dxa"/>
              <w:right w:w="16" w:type="dxa"/>
            </w:tcMar>
            <w:vAlign w:val="center"/>
          </w:tcPr>
          <w:p w14:paraId="1EC9352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施工工期</w:t>
            </w:r>
          </w:p>
        </w:tc>
        <w:tc>
          <w:tcPr>
            <w:tcW w:w="3107" w:type="dxa"/>
            <w:noWrap w:val="0"/>
            <w:vAlign w:val="center"/>
          </w:tcPr>
          <w:p w14:paraId="5629A95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4"/>
                <w:highlight w:val="yellow"/>
              </w:rPr>
            </w:pPr>
            <w:r>
              <w:rPr>
                <w:rFonts w:hint="eastAsia" w:cs="Times New Roman"/>
                <w:color w:val="000000"/>
                <w:sz w:val="24"/>
                <w:highlight w:val="none"/>
                <w:lang w:val="en-US" w:eastAsia="zh-CN"/>
              </w:rPr>
              <w:t>3</w:t>
            </w:r>
            <w:r>
              <w:rPr>
                <w:rFonts w:hint="default" w:ascii="Times New Roman" w:hAnsi="Times New Roman" w:cs="Times New Roman"/>
                <w:color w:val="000000"/>
                <w:sz w:val="24"/>
                <w:highlight w:val="none"/>
              </w:rPr>
              <w:t>个月</w:t>
            </w:r>
          </w:p>
        </w:tc>
      </w:tr>
      <w:tr w14:paraId="376124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2184" w:type="dxa"/>
            <w:noWrap w:val="0"/>
            <w:tcMar>
              <w:top w:w="16" w:type="dxa"/>
              <w:left w:w="16" w:type="dxa"/>
              <w:right w:w="16" w:type="dxa"/>
            </w:tcMar>
            <w:vAlign w:val="center"/>
          </w:tcPr>
          <w:p w14:paraId="20D8F8B1">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是否开工建设</w:t>
            </w:r>
          </w:p>
        </w:tc>
        <w:tc>
          <w:tcPr>
            <w:tcW w:w="2505" w:type="dxa"/>
            <w:noWrap w:val="0"/>
            <w:vAlign w:val="center"/>
          </w:tcPr>
          <w:p w14:paraId="1B20FA71">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否</w:t>
            </w:r>
          </w:p>
          <w:p w14:paraId="4E1E4BE9">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sz w:val="24"/>
                <w:highlight w:val="none"/>
              </w:rPr>
            </w:pPr>
            <w:r>
              <w:rPr>
                <w:rFonts w:hint="eastAsia" w:ascii="Times New Roman" w:hAnsi="Times New Roman" w:cs="Times New Roman"/>
                <w:sz w:val="24"/>
                <w:highlight w:val="none"/>
                <w:lang w:eastAsia="zh-CN"/>
              </w:rPr>
              <w:t>□</w:t>
            </w:r>
            <w:r>
              <w:rPr>
                <w:rFonts w:hint="default" w:ascii="Times New Roman" w:hAnsi="Times New Roman" w:cs="Times New Roman"/>
                <w:sz w:val="24"/>
                <w:highlight w:val="none"/>
              </w:rPr>
              <w:t>是：</w:t>
            </w:r>
            <w:r>
              <w:rPr>
                <w:rFonts w:hint="default" w:ascii="Times New Roman" w:hAnsi="Times New Roman" w:cs="Times New Roman"/>
                <w:sz w:val="24"/>
                <w:highlight w:val="none"/>
                <w:u w:val="single"/>
              </w:rPr>
              <w:t xml:space="preserve">             </w:t>
            </w:r>
          </w:p>
        </w:tc>
        <w:tc>
          <w:tcPr>
            <w:tcW w:w="1958" w:type="dxa"/>
            <w:noWrap w:val="0"/>
            <w:tcMar>
              <w:top w:w="16" w:type="dxa"/>
              <w:left w:w="16" w:type="dxa"/>
              <w:right w:w="16" w:type="dxa"/>
            </w:tcMar>
            <w:vAlign w:val="center"/>
          </w:tcPr>
          <w:p w14:paraId="1AB868D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pacing w:val="-6"/>
                <w:sz w:val="24"/>
                <w:highlight w:val="none"/>
              </w:rPr>
            </w:pPr>
            <w:r>
              <w:rPr>
                <w:rFonts w:hint="default" w:ascii="Times New Roman" w:hAnsi="Times New Roman" w:cs="Times New Roman"/>
                <w:spacing w:val="-6"/>
                <w:sz w:val="24"/>
                <w:highlight w:val="none"/>
              </w:rPr>
              <w:t>用地面积（m</w:t>
            </w:r>
            <w:r>
              <w:rPr>
                <w:rFonts w:hint="default" w:ascii="Times New Roman" w:hAnsi="Times New Roman" w:cs="Times New Roman"/>
                <w:spacing w:val="-6"/>
                <w:sz w:val="24"/>
                <w:highlight w:val="none"/>
                <w:vertAlign w:val="superscript"/>
              </w:rPr>
              <w:t>2</w:t>
            </w:r>
            <w:r>
              <w:rPr>
                <w:rFonts w:hint="default" w:ascii="Times New Roman" w:hAnsi="Times New Roman" w:cs="Times New Roman"/>
                <w:spacing w:val="-6"/>
                <w:sz w:val="24"/>
                <w:highlight w:val="none"/>
              </w:rPr>
              <w:t>）</w:t>
            </w:r>
          </w:p>
        </w:tc>
        <w:tc>
          <w:tcPr>
            <w:tcW w:w="3107" w:type="dxa"/>
            <w:noWrap w:val="0"/>
            <w:vAlign w:val="center"/>
          </w:tcPr>
          <w:p w14:paraId="5A7AF75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highlight w:val="none"/>
                <w:lang w:val="en-US" w:eastAsia="zh-CN"/>
              </w:rPr>
            </w:pPr>
            <w:r>
              <w:rPr>
                <w:rFonts w:hint="eastAsia" w:cs="Times New Roman"/>
                <w:color w:val="auto"/>
                <w:sz w:val="24"/>
                <w:highlight w:val="none"/>
                <w:lang w:val="en-US" w:eastAsia="zh-CN"/>
              </w:rPr>
              <w:t>600</w:t>
            </w:r>
          </w:p>
        </w:tc>
      </w:tr>
      <w:tr w14:paraId="30242C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2184" w:type="dxa"/>
            <w:noWrap w:val="0"/>
            <w:vAlign w:val="center"/>
          </w:tcPr>
          <w:p w14:paraId="1484F996">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hAnsi="宋体"/>
                <w:kern w:val="0"/>
                <w:sz w:val="24"/>
              </w:rPr>
              <w:t>专项评价设置情况</w:t>
            </w:r>
          </w:p>
        </w:tc>
        <w:tc>
          <w:tcPr>
            <w:tcW w:w="7570" w:type="dxa"/>
            <w:gridSpan w:val="3"/>
            <w:noWrap w:val="0"/>
            <w:vAlign w:val="center"/>
          </w:tcPr>
          <w:p w14:paraId="1D2C61D9">
            <w:pPr>
              <w:keepNext w:val="0"/>
              <w:keepLines w:val="0"/>
              <w:suppressLineNumbers w:val="0"/>
              <w:autoSpaceDE w:val="0"/>
              <w:autoSpaceDN w:val="0"/>
              <w:adjustRightInd w:val="0"/>
              <w:snapToGrid w:val="0"/>
              <w:spacing w:before="0" w:beforeAutospacing="0" w:after="0" w:afterAutospacing="0"/>
              <w:ind w:left="0" w:right="0"/>
              <w:jc w:val="center"/>
              <w:rPr>
                <w:rFonts w:hint="eastAsia" w:eastAsia="宋体"/>
                <w:kern w:val="0"/>
                <w:sz w:val="24"/>
                <w:lang w:eastAsia="zh-CN"/>
              </w:rPr>
            </w:pPr>
            <w:r>
              <w:rPr>
                <w:rFonts w:hint="eastAsia"/>
                <w:kern w:val="0"/>
                <w:sz w:val="24"/>
                <w:lang w:val="en-US" w:eastAsia="zh-CN"/>
              </w:rPr>
              <w:t>无</w:t>
            </w:r>
          </w:p>
        </w:tc>
      </w:tr>
      <w:tr w14:paraId="3EB9E8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2184" w:type="dxa"/>
            <w:noWrap w:val="0"/>
            <w:vAlign w:val="center"/>
          </w:tcPr>
          <w:p w14:paraId="172C17FA">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hAnsi="宋体"/>
                <w:sz w:val="24"/>
              </w:rPr>
              <w:t>规划情况</w:t>
            </w:r>
          </w:p>
        </w:tc>
        <w:tc>
          <w:tcPr>
            <w:tcW w:w="7570" w:type="dxa"/>
            <w:gridSpan w:val="3"/>
            <w:noWrap w:val="0"/>
            <w:vAlign w:val="center"/>
          </w:tcPr>
          <w:p w14:paraId="4C64F33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1、规划文件名称：《新乡县智能制造产业园区总体发展规划（2021-2035）》</w:t>
            </w:r>
          </w:p>
          <w:p w14:paraId="0C269A5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2、审批机关：新乡县发展和改革委员会</w:t>
            </w:r>
          </w:p>
          <w:p w14:paraId="4C5E755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both"/>
              <w:textAlignment w:val="auto"/>
              <w:rPr>
                <w:rFonts w:hint="default"/>
                <w:lang w:val="en-US" w:eastAsia="zh-CN"/>
              </w:rPr>
            </w:pPr>
            <w:r>
              <w:rPr>
                <w:rFonts w:hint="default" w:ascii="Times New Roman" w:hAnsi="Times New Roman" w:eastAsia="宋体" w:cs="Times New Roman"/>
                <w:color w:val="000000" w:themeColor="text1"/>
                <w14:textFill>
                  <w14:solidFill>
                    <w14:schemeClr w14:val="tx1"/>
                  </w14:solidFill>
                </w14:textFill>
              </w:rPr>
              <w:t>3、审批文件名称及文号：目前规划已编制完成，正在走审批程序</w:t>
            </w:r>
          </w:p>
        </w:tc>
      </w:tr>
      <w:tr w14:paraId="25246C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184" w:type="dxa"/>
            <w:noWrap w:val="0"/>
            <w:vAlign w:val="center"/>
          </w:tcPr>
          <w:p w14:paraId="22685F33">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规划环境影响</w:t>
            </w:r>
          </w:p>
          <w:p w14:paraId="2E7E201B">
            <w:pPr>
              <w:keepNext w:val="0"/>
              <w:keepLines w:val="0"/>
              <w:suppressLineNumbers w:val="0"/>
              <w:adjustRightInd w:val="0"/>
              <w:snapToGrid w:val="0"/>
              <w:spacing w:before="0" w:beforeAutospacing="0" w:after="0" w:afterAutospacing="0"/>
              <w:ind w:left="0" w:right="0"/>
              <w:jc w:val="center"/>
              <w:rPr>
                <w:rFonts w:hint="default"/>
                <w:kern w:val="0"/>
                <w:sz w:val="24"/>
              </w:rPr>
            </w:pPr>
            <w:r>
              <w:rPr>
                <w:rFonts w:hint="default" w:hAnsi="宋体"/>
                <w:sz w:val="24"/>
              </w:rPr>
              <w:t>评价情况</w:t>
            </w:r>
          </w:p>
        </w:tc>
        <w:tc>
          <w:tcPr>
            <w:tcW w:w="7570" w:type="dxa"/>
            <w:gridSpan w:val="3"/>
            <w:noWrap w:val="0"/>
            <w:vAlign w:val="center"/>
          </w:tcPr>
          <w:p w14:paraId="1E54A35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1、规划环境影响评价文件：《</w:t>
            </w:r>
            <w:r>
              <w:rPr>
                <w:rFonts w:hint="eastAsia"/>
                <w:color w:val="000000" w:themeColor="text1"/>
                <w14:textFill>
                  <w14:solidFill>
                    <w14:schemeClr w14:val="tx1"/>
                  </w14:solidFill>
                </w14:textFill>
              </w:rPr>
              <w:t>新乡县智能制造产业园区总体发展规划（202</w:t>
            </w:r>
            <w:r>
              <w:rPr>
                <w:rFonts w:hint="default"/>
                <w:color w:val="000000" w:themeColor="text1"/>
                <w14:textFill>
                  <w14:solidFill>
                    <w14:schemeClr w14:val="tx1"/>
                  </w14:solidFill>
                </w14:textFill>
              </w:rPr>
              <w:t>1</w:t>
            </w:r>
            <w:r>
              <w:rPr>
                <w:rFonts w:hint="eastAsia"/>
                <w:color w:val="000000" w:themeColor="text1"/>
                <w14:textFill>
                  <w14:solidFill>
                    <w14:schemeClr w14:val="tx1"/>
                  </w14:solidFill>
                </w14:textFill>
              </w:rPr>
              <w:t>-2035）环境影响报告书</w:t>
            </w:r>
            <w:r>
              <w:rPr>
                <w:rFonts w:hint="eastAsia"/>
                <w:color w:val="000000" w:themeColor="text1"/>
                <w:kern w:val="0"/>
                <w14:textFill>
                  <w14:solidFill>
                    <w14:schemeClr w14:val="tx1"/>
                  </w14:solidFill>
                </w14:textFill>
              </w:rPr>
              <w:t>》</w:t>
            </w:r>
          </w:p>
          <w:p w14:paraId="1B4CEE6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both"/>
              <w:textAlignment w:val="auto"/>
              <w:rPr>
                <w:rFonts w:hint="default"/>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2、召集审查机关：新乡市生态环境局新乡县分局</w:t>
            </w:r>
          </w:p>
          <w:p w14:paraId="7BD5D11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both"/>
              <w:textAlignment w:val="auto"/>
              <w:rPr>
                <w:rFonts w:hint="default" w:eastAsia="宋体"/>
                <w:kern w:val="0"/>
                <w:lang w:val="en-US" w:eastAsia="zh-CN"/>
              </w:rPr>
            </w:pPr>
            <w:r>
              <w:rPr>
                <w:rFonts w:hint="eastAsia"/>
                <w:color w:val="000000" w:themeColor="text1"/>
                <w:kern w:val="0"/>
                <w14:textFill>
                  <w14:solidFill>
                    <w14:schemeClr w14:val="tx1"/>
                  </w14:solidFill>
                </w14:textFill>
              </w:rPr>
              <w:t>3、审批文件名称及文号：《新乡市生态环境局新乡县分局</w:t>
            </w:r>
            <w:r>
              <w:rPr>
                <w:rFonts w:hint="eastAsia"/>
                <w:color w:val="000000" w:themeColor="text1"/>
                <w14:textFill>
                  <w14:solidFill>
                    <w14:schemeClr w14:val="tx1"/>
                  </w14:solidFill>
                </w14:textFill>
              </w:rPr>
              <w:t>新乡县智能制造产业园区总体发展规划（202</w:t>
            </w:r>
            <w:r>
              <w:rPr>
                <w:rFonts w:hint="default"/>
                <w:color w:val="000000" w:themeColor="text1"/>
                <w14:textFill>
                  <w14:solidFill>
                    <w14:schemeClr w14:val="tx1"/>
                  </w14:solidFill>
                </w14:textFill>
              </w:rPr>
              <w:t>1</w:t>
            </w:r>
            <w:r>
              <w:rPr>
                <w:rFonts w:hint="eastAsia"/>
                <w:color w:val="000000" w:themeColor="text1"/>
                <w14:textFill>
                  <w14:solidFill>
                    <w14:schemeClr w14:val="tx1"/>
                  </w14:solidFill>
                </w14:textFill>
              </w:rPr>
              <w:t>-2035）环境影响报告书的审查意见</w:t>
            </w:r>
            <w:r>
              <w:rPr>
                <w:rFonts w:hint="eastAsia"/>
                <w:color w:val="000000" w:themeColor="text1"/>
                <w:kern w:val="0"/>
                <w14:textFill>
                  <w14:solidFill>
                    <w14:schemeClr w14:val="tx1"/>
                  </w14:solidFill>
                </w14:textFill>
              </w:rPr>
              <w:t>》（新环书审查[</w:t>
            </w:r>
            <w:r>
              <w:rPr>
                <w:rFonts w:hint="default"/>
                <w:color w:val="000000" w:themeColor="text1"/>
                <w:kern w:val="0"/>
                <w14:textFill>
                  <w14:solidFill>
                    <w14:schemeClr w14:val="tx1"/>
                  </w14:solidFill>
                </w14:textFill>
              </w:rPr>
              <w:t>2023]1</w:t>
            </w:r>
            <w:r>
              <w:rPr>
                <w:rFonts w:hint="eastAsia"/>
                <w:color w:val="000000" w:themeColor="text1"/>
                <w:kern w:val="0"/>
                <w14:textFill>
                  <w14:solidFill>
                    <w14:schemeClr w14:val="tx1"/>
                  </w14:solidFill>
                </w14:textFill>
              </w:rPr>
              <w:t>号）</w:t>
            </w:r>
          </w:p>
        </w:tc>
      </w:tr>
    </w:tbl>
    <w:p w14:paraId="1A453901"/>
    <w:tbl>
      <w:tblPr>
        <w:tblStyle w:val="22"/>
        <w:tblW w:w="984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
        <w:gridCol w:w="691"/>
        <w:gridCol w:w="9066"/>
        <w:gridCol w:w="45"/>
      </w:tblGrid>
      <w:tr w14:paraId="03B806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1644" w:hRule="atLeast"/>
          <w:jc w:val="center"/>
        </w:trPr>
        <w:tc>
          <w:tcPr>
            <w:tcW w:w="940" w:type="dxa"/>
            <w:noWrap w:val="0"/>
            <w:vAlign w:val="center"/>
          </w:tcPr>
          <w:p w14:paraId="293653E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kern w:val="0"/>
                <w:sz w:val="24"/>
              </w:rPr>
            </w:pPr>
            <w:r>
              <w:rPr>
                <w:rFonts w:hint="default" w:hAnsi="宋体"/>
                <w:kern w:val="0"/>
                <w:sz w:val="24"/>
              </w:rPr>
              <w:t>规划及规划环境影响评价符合性分析</w:t>
            </w:r>
          </w:p>
        </w:tc>
        <w:tc>
          <w:tcPr>
            <w:tcW w:w="8814" w:type="dxa"/>
            <w:gridSpan w:val="2"/>
            <w:noWrap w:val="0"/>
            <w:vAlign w:val="center"/>
          </w:tcPr>
          <w:p w14:paraId="01AED6E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40" w:lineRule="exact"/>
              <w:ind w:left="0" w:right="0" w:firstLine="482" w:firstLineChars="200"/>
              <w:jc w:val="both"/>
              <w:textAlignment w:val="auto"/>
              <w:rPr>
                <w:rFonts w:hint="default"/>
                <w:b/>
                <w:bCs/>
                <w:color w:val="000000"/>
              </w:rPr>
            </w:pPr>
            <w:r>
              <w:rPr>
                <w:rFonts w:hint="eastAsia"/>
                <w:b/>
                <w:bCs/>
                <w:color w:val="000000"/>
              </w:rPr>
              <w:t>1、本项目与新乡县智能制造产业园区准入条件和负面清单相符性分析</w:t>
            </w:r>
          </w:p>
          <w:p w14:paraId="177920D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default"/>
                <w:color w:val="000000"/>
              </w:rPr>
            </w:pPr>
            <w:r>
              <w:rPr>
                <w:rFonts w:hint="eastAsia"/>
                <w:color w:val="000000"/>
              </w:rPr>
              <w:t>（1）</w:t>
            </w:r>
            <w:r>
              <w:rPr>
                <w:rFonts w:hint="default"/>
                <w:color w:val="000000"/>
              </w:rPr>
              <w:t>本项目位于</w:t>
            </w:r>
            <w:r>
              <w:rPr>
                <w:rFonts w:hint="eastAsia"/>
                <w:color w:val="000000"/>
                <w:lang w:val="en-US" w:eastAsia="zh-CN"/>
              </w:rPr>
              <w:t>河南省新乡市新乡县中央大道兴隆路交叉口西南角处</w:t>
            </w:r>
            <w:r>
              <w:rPr>
                <w:rFonts w:hint="eastAsia"/>
                <w:color w:val="000000"/>
              </w:rPr>
              <w:t>，</w:t>
            </w:r>
            <w:r>
              <w:rPr>
                <w:rFonts w:hint="default"/>
                <w:color w:val="000000"/>
              </w:rPr>
              <w:t>项目与</w:t>
            </w:r>
            <w:r>
              <w:rPr>
                <w:rFonts w:hint="eastAsia"/>
                <w:color w:val="000000"/>
              </w:rPr>
              <w:t>新乡县智能制造产业园区</w:t>
            </w:r>
            <w:r>
              <w:rPr>
                <w:rFonts w:hint="default"/>
                <w:color w:val="000000"/>
              </w:rPr>
              <w:t>准入条件对照分析如下</w:t>
            </w:r>
            <w:r>
              <w:rPr>
                <w:rFonts w:hint="eastAsia"/>
                <w:color w:val="000000"/>
              </w:rPr>
              <w:t>：</w:t>
            </w:r>
          </w:p>
          <w:p w14:paraId="075A2633">
            <w:pPr>
              <w:pStyle w:val="6"/>
              <w:keepNext/>
              <w:keepLines w:val="0"/>
              <w:suppressLineNumbers w:val="0"/>
              <w:spacing w:before="0" w:beforeAutospacing="0" w:after="0" w:afterAutospacing="0"/>
              <w:ind w:left="0" w:right="0"/>
              <w:rPr>
                <w:rFonts w:hint="default" w:ascii="Times New Roman" w:hAnsi="Times New Roman" w:eastAsia="宋体" w:cs="Times New Roman"/>
                <w:b w:val="0"/>
              </w:rPr>
            </w:pPr>
            <w:r>
              <w:rPr>
                <w:rFonts w:hint="default" w:ascii="Times New Roman" w:hAnsi="Times New Roman" w:eastAsia="宋体" w:cs="Times New Roman"/>
                <w:b w:val="0"/>
              </w:rPr>
              <w:t>表</w:t>
            </w:r>
            <w:r>
              <w:rPr>
                <w:rFonts w:hint="eastAsia" w:ascii="Times New Roman" w:hAnsi="Times New Roman" w:eastAsia="宋体" w:cs="Times New Roman"/>
                <w:b w:val="0"/>
                <w:lang w:val="en-US" w:eastAsia="zh-CN"/>
              </w:rPr>
              <w:t xml:space="preserve">1   </w:t>
            </w:r>
            <w:r>
              <w:rPr>
                <w:rFonts w:hint="default" w:ascii="Times New Roman" w:hAnsi="Times New Roman" w:eastAsia="宋体" w:cs="Times New Roman"/>
                <w:b w:val="0"/>
              </w:rPr>
              <w:t>与园区环境保护准入条件相符性分析一览表</w:t>
            </w:r>
          </w:p>
          <w:tbl>
            <w:tblPr>
              <w:tblStyle w:val="22"/>
              <w:tblpPr w:leftFromText="180" w:rightFromText="180"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31"/>
              <w:gridCol w:w="3919"/>
              <w:gridCol w:w="3450"/>
              <w:gridCol w:w="881"/>
            </w:tblGrid>
            <w:tr w14:paraId="41FD5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55" w:type="pct"/>
                  <w:tcBorders>
                    <w:top w:val="single" w:color="auto" w:sz="8" w:space="0"/>
                    <w:left w:val="nil"/>
                    <w:bottom w:val="single" w:color="auto" w:sz="8" w:space="0"/>
                    <w:right w:val="nil"/>
                  </w:tcBorders>
                  <w:vAlign w:val="center"/>
                </w:tcPr>
                <w:p w14:paraId="550F692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sz w:val="21"/>
                      <w:szCs w:val="21"/>
                    </w:rPr>
                  </w:pPr>
                  <w:r>
                    <w:rPr>
                      <w:rFonts w:hint="default"/>
                      <w:b/>
                      <w:bCs/>
                      <w:sz w:val="21"/>
                      <w:szCs w:val="21"/>
                    </w:rPr>
                    <w:t>类别</w:t>
                  </w:r>
                </w:p>
              </w:tc>
              <w:tc>
                <w:tcPr>
                  <w:tcW w:w="2206" w:type="pct"/>
                  <w:tcBorders>
                    <w:top w:val="single" w:color="auto" w:sz="8" w:space="0"/>
                    <w:left w:val="nil"/>
                    <w:bottom w:val="single" w:color="auto" w:sz="8" w:space="0"/>
                    <w:right w:val="nil"/>
                  </w:tcBorders>
                  <w:vAlign w:val="center"/>
                </w:tcPr>
                <w:p w14:paraId="64A1F71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sz w:val="21"/>
                      <w:szCs w:val="21"/>
                    </w:rPr>
                  </w:pPr>
                  <w:r>
                    <w:rPr>
                      <w:rFonts w:hint="default"/>
                      <w:b/>
                      <w:bCs/>
                      <w:sz w:val="21"/>
                      <w:szCs w:val="21"/>
                    </w:rPr>
                    <w:t>准入条件</w:t>
                  </w:r>
                </w:p>
              </w:tc>
              <w:tc>
                <w:tcPr>
                  <w:tcW w:w="1942" w:type="pct"/>
                  <w:tcBorders>
                    <w:top w:val="single" w:color="auto" w:sz="8" w:space="0"/>
                    <w:left w:val="nil"/>
                    <w:bottom w:val="single" w:color="auto" w:sz="8" w:space="0"/>
                    <w:right w:val="nil"/>
                  </w:tcBorders>
                  <w:vAlign w:val="center"/>
                </w:tcPr>
                <w:p w14:paraId="0D7EC5C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sz w:val="21"/>
                      <w:szCs w:val="21"/>
                    </w:rPr>
                  </w:pPr>
                  <w:r>
                    <w:rPr>
                      <w:rFonts w:hint="default"/>
                      <w:b/>
                      <w:bCs/>
                      <w:sz w:val="21"/>
                      <w:szCs w:val="21"/>
                    </w:rPr>
                    <w:t>本项目情况</w:t>
                  </w:r>
                </w:p>
              </w:tc>
              <w:tc>
                <w:tcPr>
                  <w:tcW w:w="496" w:type="pct"/>
                  <w:tcBorders>
                    <w:top w:val="single" w:color="auto" w:sz="8" w:space="0"/>
                    <w:left w:val="nil"/>
                    <w:bottom w:val="single" w:color="auto" w:sz="8" w:space="0"/>
                    <w:right w:val="nil"/>
                  </w:tcBorders>
                  <w:vAlign w:val="center"/>
                </w:tcPr>
                <w:p w14:paraId="3545140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sz w:val="21"/>
                      <w:szCs w:val="21"/>
                    </w:rPr>
                  </w:pPr>
                  <w:r>
                    <w:rPr>
                      <w:rFonts w:hint="default"/>
                      <w:b/>
                      <w:bCs/>
                      <w:sz w:val="21"/>
                      <w:szCs w:val="21"/>
                    </w:rPr>
                    <w:t>相符性</w:t>
                  </w:r>
                </w:p>
              </w:tc>
            </w:tr>
            <w:tr w14:paraId="084BF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restart"/>
                  <w:tcBorders>
                    <w:top w:val="single" w:color="auto" w:sz="8" w:space="0"/>
                    <w:left w:val="nil"/>
                    <w:right w:val="single" w:color="auto" w:sz="4" w:space="0"/>
                  </w:tcBorders>
                  <w:vAlign w:val="center"/>
                </w:tcPr>
                <w:p w14:paraId="24365328">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空间布局约束</w:t>
                  </w:r>
                </w:p>
              </w:tc>
              <w:tc>
                <w:tcPr>
                  <w:tcW w:w="2206" w:type="pct"/>
                  <w:tcBorders>
                    <w:top w:val="single" w:color="auto" w:sz="8" w:space="0"/>
                    <w:left w:val="nil"/>
                    <w:bottom w:val="single" w:color="auto" w:sz="4" w:space="0"/>
                    <w:right w:val="single" w:color="auto" w:sz="4" w:space="0"/>
                  </w:tcBorders>
                  <w:vAlign w:val="center"/>
                </w:tcPr>
                <w:p w14:paraId="40DB007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olor w:val="FF0000"/>
                      <w:sz w:val="21"/>
                      <w:szCs w:val="21"/>
                    </w:rPr>
                  </w:pPr>
                  <w:r>
                    <w:rPr>
                      <w:rFonts w:hint="default"/>
                      <w:sz w:val="21"/>
                      <w:szCs w:val="21"/>
                    </w:rPr>
                    <w:t>1、</w:t>
                  </w:r>
                  <w:r>
                    <w:rPr>
                      <w:rFonts w:hint="eastAsia"/>
                      <w:sz w:val="21"/>
                      <w:szCs w:val="21"/>
                    </w:rPr>
                    <w:t>鼓励引进与园区产业定位及产业规划相符的项目入驻，与园区产业链相关的轻污染项目优先入园</w:t>
                  </w:r>
                  <w:r>
                    <w:rPr>
                      <w:rFonts w:hint="default"/>
                      <w:sz w:val="21"/>
                      <w:szCs w:val="21"/>
                    </w:rPr>
                    <w:t>。</w:t>
                  </w:r>
                </w:p>
              </w:tc>
              <w:tc>
                <w:tcPr>
                  <w:tcW w:w="1942" w:type="pct"/>
                  <w:tcBorders>
                    <w:top w:val="single" w:color="auto" w:sz="8" w:space="0"/>
                    <w:left w:val="nil"/>
                    <w:right w:val="single" w:color="auto" w:sz="4" w:space="0"/>
                  </w:tcBorders>
                  <w:vAlign w:val="center"/>
                </w:tcPr>
                <w:p w14:paraId="5945416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highlight w:val="none"/>
                    </w:rPr>
                  </w:pPr>
                  <w:r>
                    <w:rPr>
                      <w:rFonts w:hint="default"/>
                      <w:sz w:val="21"/>
                      <w:szCs w:val="21"/>
                      <w:highlight w:val="none"/>
                    </w:rPr>
                    <w:t>本项目位于新乡县智能制造产业园区，</w:t>
                  </w:r>
                  <w:r>
                    <w:rPr>
                      <w:rFonts w:hint="eastAsia"/>
                      <w:sz w:val="21"/>
                      <w:szCs w:val="21"/>
                      <w:highlight w:val="none"/>
                      <w:lang w:val="en-US" w:eastAsia="zh-CN"/>
                    </w:rPr>
                    <w:t>属于机械零部件加工</w:t>
                  </w:r>
                  <w:r>
                    <w:rPr>
                      <w:rFonts w:hint="default"/>
                      <w:sz w:val="21"/>
                      <w:szCs w:val="21"/>
                      <w:highlight w:val="none"/>
                    </w:rPr>
                    <w:t>，与园区产业定位及产业规划不冲突，允许入驻。</w:t>
                  </w:r>
                </w:p>
              </w:tc>
              <w:tc>
                <w:tcPr>
                  <w:tcW w:w="496" w:type="pct"/>
                  <w:tcBorders>
                    <w:top w:val="single" w:color="auto" w:sz="8" w:space="0"/>
                    <w:left w:val="nil"/>
                    <w:right w:val="nil"/>
                  </w:tcBorders>
                  <w:vAlign w:val="center"/>
                </w:tcPr>
                <w:p w14:paraId="5296C78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6AE36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286133DF">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0412D86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2、</w:t>
                  </w:r>
                  <w:r>
                    <w:rPr>
                      <w:rFonts w:hint="eastAsia"/>
                      <w:sz w:val="21"/>
                      <w:szCs w:val="21"/>
                    </w:rPr>
                    <w:t>鼓励与园区产业定位及产业规划相符的项目退城入园。优先引进与园区产业定位及产业规划相符且污染小、污染防治措施技术先进的项目。</w:t>
                  </w:r>
                </w:p>
              </w:tc>
              <w:tc>
                <w:tcPr>
                  <w:tcW w:w="1942" w:type="pct"/>
                  <w:tcBorders>
                    <w:left w:val="nil"/>
                    <w:right w:val="single" w:color="auto" w:sz="4" w:space="0"/>
                  </w:tcBorders>
                  <w:vAlign w:val="center"/>
                </w:tcPr>
                <w:p w14:paraId="1645D78D">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kern w:val="0"/>
                      <w:sz w:val="21"/>
                      <w:szCs w:val="21"/>
                      <w:highlight w:val="none"/>
                    </w:rPr>
                  </w:pPr>
                  <w:r>
                    <w:rPr>
                      <w:rFonts w:hint="default"/>
                      <w:kern w:val="0"/>
                      <w:sz w:val="21"/>
                      <w:szCs w:val="21"/>
                      <w:highlight w:val="none"/>
                    </w:rPr>
                    <w:t>本项目</w:t>
                  </w:r>
                  <w:r>
                    <w:rPr>
                      <w:rFonts w:hint="eastAsia"/>
                      <w:kern w:val="0"/>
                      <w:sz w:val="21"/>
                      <w:szCs w:val="21"/>
                      <w:highlight w:val="none"/>
                      <w:lang w:val="en-US" w:eastAsia="zh-CN"/>
                    </w:rPr>
                    <w:t>属于机械零部件加工</w:t>
                  </w:r>
                  <w:r>
                    <w:rPr>
                      <w:rFonts w:hint="default"/>
                      <w:snapToGrid w:val="0"/>
                      <w:color w:val="000000" w:themeColor="text1"/>
                      <w:sz w:val="21"/>
                      <w:szCs w:val="21"/>
                      <w:highlight w:val="none"/>
                      <w14:textFill>
                        <w14:solidFill>
                          <w14:schemeClr w14:val="tx1"/>
                        </w14:solidFill>
                      </w14:textFill>
                    </w:rPr>
                    <w:t>，</w:t>
                  </w:r>
                  <w:r>
                    <w:rPr>
                      <w:rFonts w:hint="default"/>
                      <w:sz w:val="21"/>
                      <w:szCs w:val="21"/>
                      <w:highlight w:val="none"/>
                    </w:rPr>
                    <w:t>与园区产业定位及产业规划不冲突，允许入驻。</w:t>
                  </w:r>
                </w:p>
              </w:tc>
              <w:tc>
                <w:tcPr>
                  <w:tcW w:w="496" w:type="pct"/>
                  <w:tcBorders>
                    <w:left w:val="nil"/>
                    <w:right w:val="nil"/>
                  </w:tcBorders>
                  <w:vAlign w:val="center"/>
                </w:tcPr>
                <w:p w14:paraId="0404913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297A3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24C64B5F">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0D55C08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3、入驻项目须符合生态环境保护法律法规和相关法定规划，满足重点污染物排放总量控制、碳排放达峰目标、生态环境准入清单、相关规划环评和相应行业建设项目环境准入条件、环评文件审批原则要求。</w:t>
                  </w:r>
                </w:p>
              </w:tc>
              <w:tc>
                <w:tcPr>
                  <w:tcW w:w="1942" w:type="pct"/>
                  <w:tcBorders>
                    <w:left w:val="nil"/>
                    <w:right w:val="single" w:color="auto" w:sz="4" w:space="0"/>
                  </w:tcBorders>
                  <w:vAlign w:val="center"/>
                </w:tcPr>
                <w:p w14:paraId="134B2BF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kern w:val="0"/>
                      <w:sz w:val="21"/>
                      <w:szCs w:val="21"/>
                    </w:rPr>
                  </w:pPr>
                  <w:r>
                    <w:rPr>
                      <w:rFonts w:hint="eastAsia"/>
                      <w:kern w:val="0"/>
                      <w:sz w:val="21"/>
                      <w:szCs w:val="21"/>
                    </w:rPr>
                    <w:t>本项目符合生态环境保护法律法规和相关法定规划，满足重点污染物排放总量控制、碳排放达峰目标、生态环境准入清单、相关规划环评和相应行业建设项目环境准入条件、环评文件审批原则要求。</w:t>
                  </w:r>
                </w:p>
              </w:tc>
              <w:tc>
                <w:tcPr>
                  <w:tcW w:w="496" w:type="pct"/>
                  <w:tcBorders>
                    <w:left w:val="nil"/>
                    <w:right w:val="nil"/>
                  </w:tcBorders>
                  <w:vAlign w:val="center"/>
                </w:tcPr>
                <w:p w14:paraId="2C9622D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45C85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60498C29">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2E6AEC1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4、在大阳堤东岳庙文物保护范围及建设控制地带范围内的入驻企业应征得相应文物行政主管部门同意，严格按照文物保护法相关要求进行建设活动。</w:t>
                  </w:r>
                </w:p>
              </w:tc>
              <w:tc>
                <w:tcPr>
                  <w:tcW w:w="1942" w:type="pct"/>
                  <w:tcBorders>
                    <w:left w:val="nil"/>
                    <w:right w:val="single" w:color="auto" w:sz="4" w:space="0"/>
                  </w:tcBorders>
                  <w:vAlign w:val="center"/>
                </w:tcPr>
                <w:p w14:paraId="22F5BD7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kern w:val="0"/>
                      <w:sz w:val="21"/>
                      <w:szCs w:val="21"/>
                    </w:rPr>
                  </w:pPr>
                  <w:r>
                    <w:rPr>
                      <w:rFonts w:hint="default"/>
                      <w:sz w:val="21"/>
                      <w:szCs w:val="21"/>
                    </w:rPr>
                    <w:t>本项目位于</w:t>
                  </w:r>
                  <w:r>
                    <w:rPr>
                      <w:rFonts w:hint="eastAsia"/>
                      <w:sz w:val="21"/>
                      <w:szCs w:val="21"/>
                      <w:lang w:val="en-US" w:eastAsia="zh-CN"/>
                    </w:rPr>
                    <w:t>河南省新乡市新乡县中央大道兴隆路交叉口西南角处</w:t>
                  </w:r>
                  <w:r>
                    <w:rPr>
                      <w:rFonts w:hint="eastAsia"/>
                      <w:sz w:val="21"/>
                      <w:szCs w:val="21"/>
                    </w:rPr>
                    <w:t>，不属于大阳堤东岳庙文物保护范围及建设控制地带范围。</w:t>
                  </w:r>
                </w:p>
              </w:tc>
              <w:tc>
                <w:tcPr>
                  <w:tcW w:w="496" w:type="pct"/>
                  <w:tcBorders>
                    <w:left w:val="nil"/>
                    <w:right w:val="nil"/>
                  </w:tcBorders>
                  <w:vAlign w:val="center"/>
                </w:tcPr>
                <w:p w14:paraId="5705C3A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0076A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3FEE9ED5">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3491E0B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5、对引进有防护距离要求的项目，结合园区周边敏感点村庄情况进行合理布局，其防护距离内不得有村庄、学校等敏感点。</w:t>
                  </w:r>
                </w:p>
              </w:tc>
              <w:tc>
                <w:tcPr>
                  <w:tcW w:w="1942" w:type="pct"/>
                  <w:tcBorders>
                    <w:left w:val="nil"/>
                    <w:right w:val="single" w:color="auto" w:sz="4" w:space="0"/>
                  </w:tcBorders>
                  <w:vAlign w:val="center"/>
                </w:tcPr>
                <w:p w14:paraId="1119376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kern w:val="0"/>
                      <w:sz w:val="21"/>
                      <w:szCs w:val="21"/>
                    </w:rPr>
                  </w:pPr>
                  <w:r>
                    <w:rPr>
                      <w:rFonts w:hint="eastAsia"/>
                      <w:kern w:val="0"/>
                      <w:sz w:val="21"/>
                      <w:szCs w:val="21"/>
                    </w:rPr>
                    <w:t>本项目</w:t>
                  </w:r>
                  <w:r>
                    <w:rPr>
                      <w:rFonts w:hint="eastAsia"/>
                      <w:sz w:val="21"/>
                      <w:szCs w:val="21"/>
                      <w:lang w:val="en-US" w:eastAsia="zh-CN"/>
                    </w:rPr>
                    <w:t>属于机械零部件加工</w:t>
                  </w:r>
                  <w:r>
                    <w:rPr>
                      <w:rFonts w:hint="eastAsia"/>
                      <w:sz w:val="21"/>
                      <w:szCs w:val="21"/>
                    </w:rPr>
                    <w:t>，不属于有防护距离要求的项目。</w:t>
                  </w:r>
                </w:p>
              </w:tc>
              <w:tc>
                <w:tcPr>
                  <w:tcW w:w="496" w:type="pct"/>
                  <w:tcBorders>
                    <w:left w:val="nil"/>
                    <w:right w:val="nil"/>
                  </w:tcBorders>
                  <w:vAlign w:val="center"/>
                </w:tcPr>
                <w:p w14:paraId="6DF66AD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6605D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restart"/>
                  <w:tcBorders>
                    <w:top w:val="single" w:color="auto" w:sz="4" w:space="0"/>
                    <w:left w:val="nil"/>
                    <w:right w:val="single" w:color="auto" w:sz="4" w:space="0"/>
                  </w:tcBorders>
                  <w:vAlign w:val="center"/>
                </w:tcPr>
                <w:p w14:paraId="10356A79">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污染物排放管控</w:t>
                  </w:r>
                </w:p>
              </w:tc>
              <w:tc>
                <w:tcPr>
                  <w:tcW w:w="2206" w:type="pct"/>
                  <w:tcBorders>
                    <w:top w:val="single" w:color="auto" w:sz="4" w:space="0"/>
                    <w:left w:val="nil"/>
                    <w:bottom w:val="single" w:color="auto" w:sz="4" w:space="0"/>
                    <w:right w:val="single" w:color="auto" w:sz="4" w:space="0"/>
                  </w:tcBorders>
                  <w:vAlign w:val="center"/>
                </w:tcPr>
                <w:p w14:paraId="1ECAA5F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1、</w:t>
                  </w:r>
                  <w:r>
                    <w:rPr>
                      <w:rFonts w:hint="eastAsia"/>
                      <w:sz w:val="21"/>
                      <w:szCs w:val="21"/>
                    </w:rPr>
                    <w:t>入驻园区项目的生产工艺、设备、污染治理技术，以及单位产品水耗、能耗、物耗、污染物排放和资源利用率等均需达到同行业国内先进水平或国际领先水平。</w:t>
                  </w:r>
                </w:p>
              </w:tc>
              <w:tc>
                <w:tcPr>
                  <w:tcW w:w="1942" w:type="pct"/>
                  <w:tcBorders>
                    <w:top w:val="single" w:color="auto" w:sz="4" w:space="0"/>
                    <w:left w:val="nil"/>
                    <w:right w:val="single" w:color="auto" w:sz="4" w:space="0"/>
                  </w:tcBorders>
                  <w:vAlign w:val="center"/>
                </w:tcPr>
                <w:p w14:paraId="1EA24BC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w:t>
                  </w:r>
                  <w:r>
                    <w:rPr>
                      <w:rFonts w:hint="eastAsia"/>
                      <w:sz w:val="21"/>
                      <w:szCs w:val="21"/>
                    </w:rPr>
                    <w:t>生产工艺、设备、污染治理技术、</w:t>
                  </w:r>
                  <w:r>
                    <w:rPr>
                      <w:rFonts w:hint="default"/>
                      <w:sz w:val="21"/>
                      <w:szCs w:val="21"/>
                    </w:rPr>
                    <w:t>单位产品水耗、能耗、污染物排放量等清洁生产指标均能达到国内同类行业先进水平。</w:t>
                  </w:r>
                </w:p>
              </w:tc>
              <w:tc>
                <w:tcPr>
                  <w:tcW w:w="496" w:type="pct"/>
                  <w:tcBorders>
                    <w:top w:val="single" w:color="auto" w:sz="4" w:space="0"/>
                    <w:left w:val="nil"/>
                    <w:right w:val="nil"/>
                  </w:tcBorders>
                  <w:vAlign w:val="center"/>
                </w:tcPr>
                <w:p w14:paraId="07716AA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4BD1A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top w:val="single" w:color="auto" w:sz="4" w:space="0"/>
                    <w:left w:val="nil"/>
                    <w:right w:val="single" w:color="auto" w:sz="4" w:space="0"/>
                  </w:tcBorders>
                  <w:vAlign w:val="center"/>
                </w:tcPr>
                <w:p w14:paraId="1159A86E">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4D398F8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2、入驻项目二氧化硫、氮氧化物、颗粒物、VOCs全面执行大气污染物特别排放限值，单位产品污染物排放必须满足行业污染物排放标准。</w:t>
                  </w:r>
                </w:p>
              </w:tc>
              <w:tc>
                <w:tcPr>
                  <w:tcW w:w="1942" w:type="pct"/>
                  <w:tcBorders>
                    <w:top w:val="single" w:color="auto" w:sz="4" w:space="0"/>
                    <w:left w:val="nil"/>
                    <w:right w:val="single" w:color="auto" w:sz="4" w:space="0"/>
                  </w:tcBorders>
                  <w:vAlign w:val="center"/>
                </w:tcPr>
                <w:p w14:paraId="6BB77B6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w:t>
                  </w:r>
                  <w:r>
                    <w:rPr>
                      <w:rFonts w:hint="eastAsia"/>
                      <w:sz w:val="21"/>
                      <w:szCs w:val="21"/>
                    </w:rPr>
                    <w:t>废气污染物为</w:t>
                  </w:r>
                  <w:r>
                    <w:rPr>
                      <w:rFonts w:hint="default"/>
                      <w:sz w:val="21"/>
                      <w:szCs w:val="21"/>
                    </w:rPr>
                    <w:t>颗粒物</w:t>
                  </w:r>
                  <w:r>
                    <w:rPr>
                      <w:rFonts w:hint="eastAsia"/>
                      <w:sz w:val="21"/>
                      <w:szCs w:val="21"/>
                    </w:rPr>
                    <w:t>，</w:t>
                  </w:r>
                  <w:r>
                    <w:rPr>
                      <w:rFonts w:hint="default"/>
                      <w:snapToGrid w:val="0"/>
                      <w:color w:val="000000" w:themeColor="text1"/>
                      <w:sz w:val="21"/>
                      <w:szCs w:val="21"/>
                      <w14:textFill>
                        <w14:solidFill>
                          <w14:schemeClr w14:val="tx1"/>
                        </w14:solidFill>
                      </w14:textFill>
                    </w:rPr>
                    <w:t>全面执行大气污染物特别排放限值</w:t>
                  </w:r>
                  <w:r>
                    <w:rPr>
                      <w:rFonts w:hint="eastAsia"/>
                      <w:snapToGrid w:val="0"/>
                      <w:color w:val="000000" w:themeColor="text1"/>
                      <w:sz w:val="21"/>
                      <w:szCs w:val="21"/>
                      <w14:textFill>
                        <w14:solidFill>
                          <w14:schemeClr w14:val="tx1"/>
                        </w14:solidFill>
                      </w14:textFill>
                    </w:rPr>
                    <w:t>，</w:t>
                  </w:r>
                  <w:r>
                    <w:rPr>
                      <w:rFonts w:hint="eastAsia"/>
                      <w:snapToGrid w:val="0"/>
                      <w:color w:val="000000" w:themeColor="text1"/>
                      <w:sz w:val="21"/>
                      <w:szCs w:val="21"/>
                      <w:lang w:val="en-US" w:eastAsia="zh-CN"/>
                      <w14:textFill>
                        <w14:solidFill>
                          <w14:schemeClr w14:val="tx1"/>
                        </w14:solidFill>
                      </w14:textFill>
                    </w:rPr>
                    <w:t>本项目不涉及</w:t>
                  </w:r>
                  <w:r>
                    <w:rPr>
                      <w:rFonts w:hint="default"/>
                      <w:sz w:val="21"/>
                      <w:szCs w:val="21"/>
                    </w:rPr>
                    <w:t>单位产品污染物排放标准</w:t>
                  </w:r>
                  <w:r>
                    <w:rPr>
                      <w:rFonts w:hint="default"/>
                      <w:snapToGrid w:val="0"/>
                      <w:color w:val="000000" w:themeColor="text1"/>
                      <w:sz w:val="21"/>
                      <w:szCs w:val="21"/>
                      <w14:textFill>
                        <w14:solidFill>
                          <w14:schemeClr w14:val="tx1"/>
                        </w14:solidFill>
                      </w14:textFill>
                    </w:rPr>
                    <w:t>。</w:t>
                  </w:r>
                </w:p>
              </w:tc>
              <w:tc>
                <w:tcPr>
                  <w:tcW w:w="496" w:type="pct"/>
                  <w:tcBorders>
                    <w:top w:val="single" w:color="auto" w:sz="4" w:space="0"/>
                    <w:left w:val="nil"/>
                    <w:right w:val="nil"/>
                  </w:tcBorders>
                  <w:vAlign w:val="center"/>
                </w:tcPr>
                <w:p w14:paraId="7D04E5C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2A289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top w:val="single" w:color="auto" w:sz="4" w:space="0"/>
                    <w:left w:val="nil"/>
                    <w:right w:val="single" w:color="auto" w:sz="4" w:space="0"/>
                  </w:tcBorders>
                  <w:vAlign w:val="center"/>
                </w:tcPr>
                <w:p w14:paraId="216C2C3F">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747B5BB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3、符合行业环境准入要求。</w:t>
                  </w:r>
                </w:p>
              </w:tc>
              <w:tc>
                <w:tcPr>
                  <w:tcW w:w="1942" w:type="pct"/>
                  <w:tcBorders>
                    <w:top w:val="single" w:color="auto" w:sz="4" w:space="0"/>
                    <w:left w:val="nil"/>
                    <w:right w:val="single" w:color="auto" w:sz="4" w:space="0"/>
                  </w:tcBorders>
                  <w:vAlign w:val="center"/>
                </w:tcPr>
                <w:p w14:paraId="104F238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本项目符合行业环境准入要求。</w:t>
                  </w:r>
                </w:p>
              </w:tc>
              <w:tc>
                <w:tcPr>
                  <w:tcW w:w="496" w:type="pct"/>
                  <w:tcBorders>
                    <w:top w:val="single" w:color="auto" w:sz="4" w:space="0"/>
                    <w:left w:val="nil"/>
                    <w:right w:val="nil"/>
                  </w:tcBorders>
                  <w:vAlign w:val="center"/>
                </w:tcPr>
                <w:p w14:paraId="6810C89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0FE48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top w:val="single" w:color="auto" w:sz="4" w:space="0"/>
                    <w:left w:val="nil"/>
                    <w:right w:val="single" w:color="auto" w:sz="4" w:space="0"/>
                  </w:tcBorders>
                  <w:vAlign w:val="center"/>
                </w:tcPr>
                <w:p w14:paraId="4DB1F54A">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6837DC3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4、强化项目环评及</w:t>
                  </w:r>
                  <w:r>
                    <w:rPr>
                      <w:rFonts w:hint="eastAsia"/>
                      <w:sz w:val="21"/>
                      <w:szCs w:val="21"/>
                    </w:rPr>
                    <w:t>“</w:t>
                  </w:r>
                  <w:r>
                    <w:rPr>
                      <w:rFonts w:hint="default"/>
                      <w:sz w:val="21"/>
                      <w:szCs w:val="21"/>
                    </w:rPr>
                    <w:t>三同时</w:t>
                  </w:r>
                  <w:r>
                    <w:rPr>
                      <w:rFonts w:hint="eastAsia"/>
                      <w:sz w:val="21"/>
                      <w:szCs w:val="21"/>
                    </w:rPr>
                    <w:t>”</w:t>
                  </w:r>
                  <w:r>
                    <w:rPr>
                      <w:rFonts w:hint="default"/>
                      <w:sz w:val="21"/>
                      <w:szCs w:val="21"/>
                    </w:rPr>
                    <w:t>管理，国家、省绩效分级重点行业企业新建、扩建项目达到A级绩效水平，改建项目达到B级以上绩效水平。</w:t>
                  </w:r>
                </w:p>
              </w:tc>
              <w:tc>
                <w:tcPr>
                  <w:tcW w:w="1942" w:type="pct"/>
                  <w:tcBorders>
                    <w:top w:val="single" w:color="auto" w:sz="4" w:space="0"/>
                    <w:left w:val="nil"/>
                    <w:right w:val="single" w:color="auto" w:sz="4" w:space="0"/>
                  </w:tcBorders>
                  <w:vAlign w:val="center"/>
                </w:tcPr>
                <w:p w14:paraId="295397E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本项目为</w:t>
                  </w:r>
                  <w:r>
                    <w:rPr>
                      <w:rFonts w:hint="eastAsia"/>
                      <w:sz w:val="21"/>
                      <w:szCs w:val="21"/>
                      <w:lang w:val="en-US" w:eastAsia="zh-CN"/>
                    </w:rPr>
                    <w:t>新</w:t>
                  </w:r>
                  <w:r>
                    <w:rPr>
                      <w:rFonts w:hint="default"/>
                      <w:sz w:val="21"/>
                      <w:szCs w:val="21"/>
                    </w:rPr>
                    <w:t>建项目，将严格按照</w:t>
                  </w:r>
                  <w:r>
                    <w:rPr>
                      <w:rFonts w:hint="default"/>
                      <w:bCs/>
                      <w:snapToGrid w:val="0"/>
                      <w:color w:val="000000" w:themeColor="text1"/>
                      <w:sz w:val="21"/>
                      <w:szCs w:val="21"/>
                      <w:lang w:val="pt-BR"/>
                      <w14:textFill>
                        <w14:solidFill>
                          <w14:schemeClr w14:val="tx1"/>
                        </w14:solidFill>
                      </w14:textFill>
                    </w:rPr>
                    <w:t>《</w:t>
                  </w:r>
                  <w:r>
                    <w:rPr>
                      <w:rFonts w:hint="eastAsia"/>
                      <w:bCs/>
                      <w:snapToGrid w:val="0"/>
                      <w:color w:val="000000" w:themeColor="text1"/>
                      <w:sz w:val="21"/>
                      <w:szCs w:val="21"/>
                      <w:lang w:val="en-US" w:eastAsia="zh-CN"/>
                      <w14:textFill>
                        <w14:solidFill>
                          <w14:schemeClr w14:val="tx1"/>
                        </w14:solidFill>
                      </w14:textFill>
                    </w:rPr>
                    <w:t>河南省重污染天气通用行业应急减排措施制定技术指南</w:t>
                  </w:r>
                  <w:r>
                    <w:rPr>
                      <w:rFonts w:hint="default"/>
                      <w:bCs/>
                      <w:snapToGrid w:val="0"/>
                      <w:color w:val="000000" w:themeColor="text1"/>
                      <w:sz w:val="21"/>
                      <w:szCs w:val="21"/>
                      <w:lang w:val="pt-BR"/>
                      <w14:textFill>
                        <w14:solidFill>
                          <w14:schemeClr w14:val="tx1"/>
                        </w14:solidFill>
                      </w14:textFill>
                    </w:rPr>
                    <w:t>（202</w:t>
                  </w:r>
                  <w:r>
                    <w:rPr>
                      <w:rFonts w:hint="eastAsia"/>
                      <w:bCs/>
                      <w:snapToGrid w:val="0"/>
                      <w:color w:val="000000" w:themeColor="text1"/>
                      <w:sz w:val="21"/>
                      <w:szCs w:val="21"/>
                      <w:lang w:val="en-US" w:eastAsia="zh-CN"/>
                      <w14:textFill>
                        <w14:solidFill>
                          <w14:schemeClr w14:val="tx1"/>
                        </w14:solidFill>
                      </w14:textFill>
                    </w:rPr>
                    <w:t>4</w:t>
                  </w:r>
                  <w:r>
                    <w:rPr>
                      <w:rFonts w:hint="default"/>
                      <w:bCs/>
                      <w:snapToGrid w:val="0"/>
                      <w:color w:val="000000" w:themeColor="text1"/>
                      <w:sz w:val="21"/>
                      <w:szCs w:val="21"/>
                      <w:lang w:val="pt-BR"/>
                      <w14:textFill>
                        <w14:solidFill>
                          <w14:schemeClr w14:val="tx1"/>
                        </w14:solidFill>
                      </w14:textFill>
                    </w:rPr>
                    <w:t>年修订版）》</w:t>
                  </w:r>
                  <w:r>
                    <w:rPr>
                      <w:rFonts w:hint="eastAsia"/>
                      <w:snapToGrid w:val="0"/>
                      <w:color w:val="000000" w:themeColor="text1"/>
                      <w:sz w:val="21"/>
                      <w:szCs w:val="21"/>
                      <w:highlight w:val="none"/>
                      <w:lang w:val="en-US" w:eastAsia="zh-CN"/>
                      <w14:textFill>
                        <w14:solidFill>
                          <w14:schemeClr w14:val="tx1"/>
                        </w14:solidFill>
                      </w14:textFill>
                    </w:rPr>
                    <w:t>中涉PM企业基本要求</w:t>
                  </w:r>
                  <w:r>
                    <w:rPr>
                      <w:rFonts w:hint="default"/>
                      <w:snapToGrid w:val="0"/>
                      <w:color w:val="000000" w:themeColor="text1"/>
                      <w:sz w:val="21"/>
                      <w:szCs w:val="21"/>
                      <w:highlight w:val="none"/>
                      <w14:textFill>
                        <w14:solidFill>
                          <w14:schemeClr w14:val="tx1"/>
                        </w14:solidFill>
                      </w14:textFill>
                    </w:rPr>
                    <w:t>建设。</w:t>
                  </w:r>
                </w:p>
              </w:tc>
              <w:tc>
                <w:tcPr>
                  <w:tcW w:w="496" w:type="pct"/>
                  <w:tcBorders>
                    <w:top w:val="single" w:color="auto" w:sz="4" w:space="0"/>
                    <w:left w:val="nil"/>
                    <w:right w:val="nil"/>
                  </w:tcBorders>
                  <w:vAlign w:val="center"/>
                </w:tcPr>
                <w:p w14:paraId="5314FA4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6DA4A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top w:val="single" w:color="auto" w:sz="4" w:space="0"/>
                    <w:left w:val="nil"/>
                    <w:right w:val="single" w:color="auto" w:sz="4" w:space="0"/>
                  </w:tcBorders>
                  <w:vAlign w:val="center"/>
                </w:tcPr>
                <w:p w14:paraId="77B5527D">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685913B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5、已出台超低排放要求的行业，其建设项目应满足超低排放要求。</w:t>
                  </w:r>
                </w:p>
              </w:tc>
              <w:tc>
                <w:tcPr>
                  <w:tcW w:w="1942" w:type="pct"/>
                  <w:tcBorders>
                    <w:top w:val="single" w:color="auto" w:sz="4" w:space="0"/>
                    <w:left w:val="nil"/>
                    <w:right w:val="single" w:color="auto" w:sz="4" w:space="0"/>
                  </w:tcBorders>
                  <w:vAlign w:val="center"/>
                </w:tcPr>
                <w:p w14:paraId="1134F1E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本项目不涉及。</w:t>
                  </w:r>
                </w:p>
              </w:tc>
              <w:tc>
                <w:tcPr>
                  <w:tcW w:w="496" w:type="pct"/>
                  <w:tcBorders>
                    <w:top w:val="single" w:color="auto" w:sz="4" w:space="0"/>
                    <w:left w:val="nil"/>
                    <w:right w:val="nil"/>
                  </w:tcBorders>
                  <w:vAlign w:val="center"/>
                </w:tcPr>
                <w:p w14:paraId="70C6468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不涉及</w:t>
                  </w:r>
                </w:p>
              </w:tc>
            </w:tr>
            <w:tr w14:paraId="2349D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top w:val="single" w:color="auto" w:sz="4" w:space="0"/>
                    <w:left w:val="nil"/>
                    <w:right w:val="single" w:color="auto" w:sz="4" w:space="0"/>
                  </w:tcBorders>
                  <w:vAlign w:val="center"/>
                </w:tcPr>
                <w:p w14:paraId="6A4B6744">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298CEA7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6、入驻电镀项目应符合《河南省电镀建设项目环境影响评价文件审查审批原则（修订）》及相关政策要求，镀铬、镍、铅、镉的电镀工段废水（包括含铬钝化、镍封、退镀工序等）及相应清洗废水应全部回用，实施零排放；其他废水经厂内污水处理设施处理后尽可能回用，优先回用于清洗等水质要求不高的工段。</w:t>
                  </w:r>
                </w:p>
              </w:tc>
              <w:tc>
                <w:tcPr>
                  <w:tcW w:w="1942" w:type="pct"/>
                  <w:tcBorders>
                    <w:top w:val="single" w:color="auto" w:sz="4" w:space="0"/>
                    <w:left w:val="nil"/>
                    <w:right w:val="single" w:color="auto" w:sz="4" w:space="0"/>
                  </w:tcBorders>
                  <w:vAlign w:val="center"/>
                </w:tcPr>
                <w:p w14:paraId="3691194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本项目不涉及电镀工艺。</w:t>
                  </w:r>
                </w:p>
              </w:tc>
              <w:tc>
                <w:tcPr>
                  <w:tcW w:w="496" w:type="pct"/>
                  <w:tcBorders>
                    <w:top w:val="single" w:color="auto" w:sz="4" w:space="0"/>
                    <w:left w:val="nil"/>
                    <w:right w:val="nil"/>
                  </w:tcBorders>
                  <w:vAlign w:val="center"/>
                </w:tcPr>
                <w:p w14:paraId="7BB16D3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不涉及</w:t>
                  </w:r>
                </w:p>
              </w:tc>
            </w:tr>
            <w:tr w14:paraId="155F2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top w:val="single" w:color="auto" w:sz="4" w:space="0"/>
                    <w:left w:val="nil"/>
                    <w:right w:val="single" w:color="auto" w:sz="4" w:space="0"/>
                  </w:tcBorders>
                  <w:vAlign w:val="center"/>
                </w:tcPr>
                <w:p w14:paraId="01DCE29E">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772AFFD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7、涉及第一类污染物的废水应在车间或车间处理设施排放口满足《污水综合排放标准》（GB8978-1996）表1第一类污染物最高允许排放浓度要求。</w:t>
                  </w:r>
                </w:p>
              </w:tc>
              <w:tc>
                <w:tcPr>
                  <w:tcW w:w="1942" w:type="pct"/>
                  <w:tcBorders>
                    <w:top w:val="single" w:color="auto" w:sz="4" w:space="0"/>
                    <w:left w:val="nil"/>
                    <w:right w:val="single" w:color="auto" w:sz="4" w:space="0"/>
                  </w:tcBorders>
                  <w:shd w:val="clear" w:color="auto" w:fill="auto"/>
                  <w:vAlign w:val="center"/>
                </w:tcPr>
                <w:p w14:paraId="067C6CD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本项目不涉及。</w:t>
                  </w:r>
                </w:p>
              </w:tc>
              <w:tc>
                <w:tcPr>
                  <w:tcW w:w="496" w:type="pct"/>
                  <w:tcBorders>
                    <w:top w:val="single" w:color="auto" w:sz="4" w:space="0"/>
                    <w:left w:val="nil"/>
                    <w:right w:val="nil"/>
                  </w:tcBorders>
                  <w:vAlign w:val="center"/>
                </w:tcPr>
                <w:p w14:paraId="6A0F051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不涉及</w:t>
                  </w:r>
                </w:p>
              </w:tc>
            </w:tr>
            <w:tr w14:paraId="7FBB4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5C7231A4">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0E01717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8、涉及颗粒物、VOCs、废水排放的建设项目，需实行颗粒物、VOCs、COD、氨氮排放等量或倍量削减替代，满足重点污染物总量控制指标要求。</w:t>
                  </w:r>
                </w:p>
              </w:tc>
              <w:tc>
                <w:tcPr>
                  <w:tcW w:w="1942" w:type="pct"/>
                  <w:tcBorders>
                    <w:left w:val="nil"/>
                    <w:right w:val="single" w:color="auto" w:sz="4" w:space="0"/>
                  </w:tcBorders>
                  <w:vAlign w:val="center"/>
                </w:tcPr>
                <w:p w14:paraId="1748037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本项目涉及颗粒物、废水排放，实行颗粒物倍量削减替代，COD、氨氮排放等量削减替代，满足重点污染物总量控制指标要求。</w:t>
                  </w:r>
                </w:p>
              </w:tc>
              <w:tc>
                <w:tcPr>
                  <w:tcW w:w="496" w:type="pct"/>
                  <w:tcBorders>
                    <w:left w:val="nil"/>
                    <w:right w:val="nil"/>
                  </w:tcBorders>
                  <w:vAlign w:val="center"/>
                </w:tcPr>
                <w:p w14:paraId="3652ADF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6B1B3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2115FB96">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709FB9A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9、加快污水处理厂配套管网建设，以满足园区企业污水处理的需求，确保入区企业外排废水全部经管网收集后进入污水处理厂处理。</w:t>
                  </w:r>
                </w:p>
              </w:tc>
              <w:tc>
                <w:tcPr>
                  <w:tcW w:w="1942" w:type="pct"/>
                  <w:tcBorders>
                    <w:left w:val="nil"/>
                    <w:right w:val="single" w:color="auto" w:sz="4" w:space="0"/>
                  </w:tcBorders>
                  <w:vAlign w:val="center"/>
                </w:tcPr>
                <w:p w14:paraId="0EC7FB5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color w:val="000000" w:themeColor="text1"/>
                      <w:sz w:val="21"/>
                      <w:szCs w:val="21"/>
                      <w:highlight w:val="none"/>
                      <w14:textFill>
                        <w14:solidFill>
                          <w14:schemeClr w14:val="tx1"/>
                        </w14:solidFill>
                      </w14:textFill>
                    </w:rPr>
                    <w:t>本项目</w:t>
                  </w:r>
                  <w:r>
                    <w:rPr>
                      <w:rFonts w:hint="eastAsia"/>
                      <w:color w:val="000000" w:themeColor="text1"/>
                      <w:sz w:val="21"/>
                      <w:szCs w:val="21"/>
                      <w:highlight w:val="none"/>
                      <w:lang w:val="en-US" w:eastAsia="zh-CN"/>
                      <w14:textFill>
                        <w14:solidFill>
                          <w14:schemeClr w14:val="tx1"/>
                        </w14:solidFill>
                      </w14:textFill>
                    </w:rPr>
                    <w:t>生活污水</w:t>
                  </w:r>
                  <w:r>
                    <w:rPr>
                      <w:rFonts w:hint="default"/>
                      <w:color w:val="000000" w:themeColor="text1"/>
                      <w:sz w:val="21"/>
                      <w:szCs w:val="21"/>
                      <w:highlight w:val="none"/>
                      <w14:textFill>
                        <w14:solidFill>
                          <w14:schemeClr w14:val="tx1"/>
                        </w14:solidFill>
                      </w14:textFill>
                    </w:rPr>
                    <w:t>经</w:t>
                  </w:r>
                  <w:r>
                    <w:rPr>
                      <w:rFonts w:hint="eastAsia"/>
                      <w:color w:val="000000" w:themeColor="text1"/>
                      <w:sz w:val="21"/>
                      <w:szCs w:val="21"/>
                      <w:highlight w:val="none"/>
                      <w:lang w:val="en-US" w:eastAsia="zh-CN"/>
                      <w14:textFill>
                        <w14:solidFill>
                          <w14:schemeClr w14:val="tx1"/>
                        </w14:solidFill>
                      </w14:textFill>
                    </w:rPr>
                    <w:t>化粪池处理后经</w:t>
                  </w:r>
                  <w:r>
                    <w:rPr>
                      <w:rFonts w:hint="default"/>
                      <w:color w:val="000000" w:themeColor="text1"/>
                      <w:sz w:val="21"/>
                      <w:szCs w:val="21"/>
                      <w:highlight w:val="none"/>
                      <w14:textFill>
                        <w14:solidFill>
                          <w14:schemeClr w14:val="tx1"/>
                        </w14:solidFill>
                      </w14:textFill>
                    </w:rPr>
                    <w:t>管网收集至新乡县综合污水处理厂处理。</w:t>
                  </w:r>
                </w:p>
              </w:tc>
              <w:tc>
                <w:tcPr>
                  <w:tcW w:w="496" w:type="pct"/>
                  <w:tcBorders>
                    <w:left w:val="nil"/>
                    <w:right w:val="nil"/>
                  </w:tcBorders>
                  <w:vAlign w:val="center"/>
                </w:tcPr>
                <w:p w14:paraId="73C2323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14D03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restart"/>
                  <w:tcBorders>
                    <w:top w:val="single" w:color="auto" w:sz="4" w:space="0"/>
                    <w:left w:val="nil"/>
                    <w:right w:val="single" w:color="auto" w:sz="4" w:space="0"/>
                  </w:tcBorders>
                  <w:vAlign w:val="center"/>
                </w:tcPr>
                <w:p w14:paraId="192C3116">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环境风险防控</w:t>
                  </w:r>
                </w:p>
              </w:tc>
              <w:tc>
                <w:tcPr>
                  <w:tcW w:w="2206" w:type="pct"/>
                  <w:tcBorders>
                    <w:top w:val="single" w:color="auto" w:sz="4" w:space="0"/>
                    <w:left w:val="nil"/>
                    <w:bottom w:val="single" w:color="auto" w:sz="4" w:space="0"/>
                    <w:right w:val="single" w:color="auto" w:sz="4" w:space="0"/>
                  </w:tcBorders>
                  <w:vAlign w:val="center"/>
                </w:tcPr>
                <w:p w14:paraId="53B81E5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1、</w:t>
                  </w:r>
                  <w:r>
                    <w:rPr>
                      <w:rFonts w:hint="eastAsia"/>
                      <w:sz w:val="21"/>
                      <w:szCs w:val="21"/>
                    </w:rPr>
                    <w:t>引进项目必须严格落实环境影响评价等文件提出的各项环境风险防控措施</w:t>
                  </w:r>
                  <w:r>
                    <w:rPr>
                      <w:rFonts w:hint="default"/>
                      <w:sz w:val="21"/>
                      <w:szCs w:val="21"/>
                    </w:rPr>
                    <w:t>。</w:t>
                  </w:r>
                </w:p>
              </w:tc>
              <w:tc>
                <w:tcPr>
                  <w:tcW w:w="1942" w:type="pct"/>
                  <w:tcBorders>
                    <w:top w:val="single" w:color="auto" w:sz="4" w:space="0"/>
                    <w:left w:val="nil"/>
                    <w:right w:val="single" w:color="auto" w:sz="4" w:space="0"/>
                  </w:tcBorders>
                  <w:vAlign w:val="center"/>
                </w:tcPr>
                <w:p w14:paraId="7A28EAF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default"/>
                      <w:sz w:val="21"/>
                      <w:szCs w:val="21"/>
                    </w:rPr>
                    <w:t>本</w:t>
                  </w:r>
                  <w:r>
                    <w:rPr>
                      <w:rFonts w:hint="default"/>
                      <w:sz w:val="21"/>
                      <w:szCs w:val="21"/>
                      <w:highlight w:val="none"/>
                    </w:rPr>
                    <w:t>项目</w:t>
                  </w:r>
                  <w:r>
                    <w:rPr>
                      <w:rFonts w:hint="eastAsia"/>
                      <w:sz w:val="21"/>
                      <w:szCs w:val="21"/>
                      <w:highlight w:val="none"/>
                      <w:lang w:val="en-US" w:eastAsia="zh-CN"/>
                    </w:rPr>
                    <w:t>将按照要求落实环境风险防控措施。</w:t>
                  </w:r>
                </w:p>
              </w:tc>
              <w:tc>
                <w:tcPr>
                  <w:tcW w:w="496" w:type="pct"/>
                  <w:tcBorders>
                    <w:top w:val="single" w:color="auto" w:sz="4" w:space="0"/>
                    <w:left w:val="nil"/>
                    <w:right w:val="nil"/>
                  </w:tcBorders>
                  <w:vAlign w:val="center"/>
                </w:tcPr>
                <w:p w14:paraId="7C4C192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19F3A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2614ABE4">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0B09F051">
                  <w:pPr>
                    <w:keepNext w:val="0"/>
                    <w:keepLines w:val="0"/>
                    <w:widowControl/>
                    <w:suppressLineNumbers w:val="0"/>
                    <w:adjustRightInd w:val="0"/>
                    <w:snapToGrid w:val="0"/>
                    <w:spacing w:before="0" w:beforeAutospacing="0" w:after="0" w:afterAutospacing="0" w:line="240" w:lineRule="auto"/>
                    <w:ind w:left="0" w:right="0" w:firstLine="0" w:firstLineChars="0"/>
                    <w:jc w:val="center"/>
                    <w:textAlignment w:val="center"/>
                    <w:rPr>
                      <w:rFonts w:hint="default"/>
                      <w:sz w:val="21"/>
                      <w:szCs w:val="21"/>
                    </w:rPr>
                  </w:pPr>
                  <w:r>
                    <w:rPr>
                      <w:rFonts w:hint="default"/>
                      <w:sz w:val="21"/>
                      <w:szCs w:val="21"/>
                    </w:rPr>
                    <w:t>2、</w:t>
                  </w:r>
                  <w:r>
                    <w:rPr>
                      <w:rFonts w:hint="eastAsia"/>
                      <w:sz w:val="21"/>
                      <w:szCs w:val="21"/>
                    </w:rPr>
                    <w:t>建立健全园区环境风险管理体系。加快环境风险预警体系建设，健全环境风险单位信息库，严格危险化学品管理</w:t>
                  </w:r>
                  <w:r>
                    <w:rPr>
                      <w:rFonts w:hint="default"/>
                      <w:sz w:val="21"/>
                      <w:szCs w:val="21"/>
                    </w:rPr>
                    <w:t>。</w:t>
                  </w:r>
                </w:p>
              </w:tc>
              <w:tc>
                <w:tcPr>
                  <w:tcW w:w="1942" w:type="pct"/>
                  <w:tcBorders>
                    <w:left w:val="nil"/>
                    <w:right w:val="single" w:color="auto" w:sz="4" w:space="0"/>
                  </w:tcBorders>
                  <w:vAlign w:val="center"/>
                </w:tcPr>
                <w:p w14:paraId="758E739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本项目不涉及。</w:t>
                  </w:r>
                </w:p>
              </w:tc>
              <w:tc>
                <w:tcPr>
                  <w:tcW w:w="496" w:type="pct"/>
                  <w:tcBorders>
                    <w:left w:val="nil"/>
                    <w:right w:val="nil"/>
                  </w:tcBorders>
                  <w:vAlign w:val="center"/>
                </w:tcPr>
                <w:p w14:paraId="3580F96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64A0B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02EA9CA9">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5461DDE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3、</w:t>
                  </w:r>
                  <w:r>
                    <w:rPr>
                      <w:rFonts w:hint="eastAsia"/>
                      <w:sz w:val="21"/>
                      <w:szCs w:val="21"/>
                    </w:rPr>
                    <w:t>规范园区建设，对涉重行业及化工企业加强管理，建立土壤和地下水污染隐患排查治理制度、风险防控体系和长效监管机制</w:t>
                  </w:r>
                  <w:r>
                    <w:rPr>
                      <w:rFonts w:hint="default"/>
                      <w:sz w:val="21"/>
                      <w:szCs w:val="21"/>
                    </w:rPr>
                    <w:t>。</w:t>
                  </w:r>
                </w:p>
              </w:tc>
              <w:tc>
                <w:tcPr>
                  <w:tcW w:w="1942" w:type="pct"/>
                  <w:tcBorders>
                    <w:left w:val="nil"/>
                    <w:right w:val="single" w:color="auto" w:sz="4" w:space="0"/>
                  </w:tcBorders>
                  <w:vAlign w:val="center"/>
                </w:tcPr>
                <w:p w14:paraId="1C5EF81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本项目不涉及。</w:t>
                  </w:r>
                </w:p>
              </w:tc>
              <w:tc>
                <w:tcPr>
                  <w:tcW w:w="496" w:type="pct"/>
                  <w:tcBorders>
                    <w:left w:val="nil"/>
                    <w:right w:val="nil"/>
                  </w:tcBorders>
                  <w:vAlign w:val="center"/>
                </w:tcPr>
                <w:p w14:paraId="16A7A84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5B2D5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705FB2C8">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430FF04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4、</w:t>
                  </w:r>
                  <w:r>
                    <w:rPr>
                      <w:rFonts w:hint="eastAsia"/>
                      <w:sz w:val="21"/>
                      <w:szCs w:val="21"/>
                    </w:rPr>
                    <w:t>园区入驻企业加强应急方案的制定，园区应制定区域环境监管计划，保证周围居民不受大气环境的影响</w:t>
                  </w:r>
                  <w:r>
                    <w:rPr>
                      <w:rFonts w:hint="default"/>
                      <w:sz w:val="21"/>
                      <w:szCs w:val="21"/>
                    </w:rPr>
                    <w:t>。</w:t>
                  </w:r>
                </w:p>
              </w:tc>
              <w:tc>
                <w:tcPr>
                  <w:tcW w:w="1942" w:type="pct"/>
                  <w:tcBorders>
                    <w:left w:val="nil"/>
                    <w:right w:val="single" w:color="auto" w:sz="4" w:space="0"/>
                  </w:tcBorders>
                  <w:vAlign w:val="center"/>
                </w:tcPr>
                <w:p w14:paraId="32DF3B8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本项目环境风险较小，项目建成后将根据环境管理部门的要求编制环突发环境事件应急预案，将环境事故对周边环境及居民的影响降到最低</w:t>
                  </w:r>
                  <w:r>
                    <w:rPr>
                      <w:rFonts w:hint="default"/>
                      <w:sz w:val="21"/>
                      <w:szCs w:val="21"/>
                    </w:rPr>
                    <w:t>。</w:t>
                  </w:r>
                </w:p>
              </w:tc>
              <w:tc>
                <w:tcPr>
                  <w:tcW w:w="496" w:type="pct"/>
                  <w:tcBorders>
                    <w:left w:val="nil"/>
                    <w:right w:val="nil"/>
                  </w:tcBorders>
                  <w:vAlign w:val="center"/>
                </w:tcPr>
                <w:p w14:paraId="0C9487B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5486E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bottom w:val="single" w:color="auto" w:sz="4" w:space="0"/>
                    <w:right w:val="single" w:color="auto" w:sz="4" w:space="0"/>
                  </w:tcBorders>
                  <w:vAlign w:val="center"/>
                </w:tcPr>
                <w:p w14:paraId="718C74A2">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7C7630B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sz w:val="21"/>
                      <w:szCs w:val="21"/>
                    </w:rPr>
                  </w:pPr>
                  <w:r>
                    <w:rPr>
                      <w:rFonts w:hint="default"/>
                      <w:sz w:val="21"/>
                      <w:szCs w:val="21"/>
                    </w:rPr>
                    <w:t>5、</w:t>
                  </w:r>
                  <w:r>
                    <w:rPr>
                      <w:rFonts w:hint="eastAsia"/>
                      <w:sz w:val="21"/>
                      <w:szCs w:val="21"/>
                    </w:rPr>
                    <w:t>高关注地块划分污染风险等级，纳入优先管控名录</w:t>
                  </w:r>
                  <w:r>
                    <w:rPr>
                      <w:rFonts w:hint="default"/>
                      <w:sz w:val="21"/>
                      <w:szCs w:val="21"/>
                    </w:rPr>
                    <w:t>。</w:t>
                  </w:r>
                </w:p>
              </w:tc>
              <w:tc>
                <w:tcPr>
                  <w:tcW w:w="1942" w:type="pct"/>
                  <w:tcBorders>
                    <w:left w:val="nil"/>
                    <w:bottom w:val="single" w:color="auto" w:sz="4" w:space="0"/>
                    <w:right w:val="single" w:color="auto" w:sz="4" w:space="0"/>
                  </w:tcBorders>
                  <w:vAlign w:val="center"/>
                </w:tcPr>
                <w:p w14:paraId="207C604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color w:val="000000" w:themeColor="text1"/>
                      <w:sz w:val="21"/>
                      <w:szCs w:val="21"/>
                      <w14:textFill>
                        <w14:solidFill>
                          <w14:schemeClr w14:val="tx1"/>
                        </w14:solidFill>
                      </w14:textFill>
                    </w:rPr>
                    <w:t>本项目选址不属于高关注地块。</w:t>
                  </w:r>
                </w:p>
              </w:tc>
              <w:tc>
                <w:tcPr>
                  <w:tcW w:w="496" w:type="pct"/>
                  <w:tcBorders>
                    <w:left w:val="nil"/>
                    <w:bottom w:val="single" w:color="auto" w:sz="4" w:space="0"/>
                    <w:right w:val="nil"/>
                  </w:tcBorders>
                  <w:vAlign w:val="center"/>
                </w:tcPr>
                <w:p w14:paraId="1D233DF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26449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restart"/>
                  <w:tcBorders>
                    <w:top w:val="single" w:color="auto" w:sz="4" w:space="0"/>
                    <w:left w:val="nil"/>
                    <w:right w:val="single" w:color="auto" w:sz="4" w:space="0"/>
                  </w:tcBorders>
                  <w:vAlign w:val="center"/>
                </w:tcPr>
                <w:p w14:paraId="5526D51A">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资源开发利用管控</w:t>
                  </w:r>
                </w:p>
              </w:tc>
              <w:tc>
                <w:tcPr>
                  <w:tcW w:w="2206" w:type="pct"/>
                  <w:tcBorders>
                    <w:top w:val="single" w:color="auto" w:sz="4" w:space="0"/>
                    <w:left w:val="nil"/>
                    <w:bottom w:val="single" w:color="auto" w:sz="4" w:space="0"/>
                    <w:right w:val="single" w:color="auto" w:sz="4" w:space="0"/>
                  </w:tcBorders>
                  <w:vAlign w:val="center"/>
                </w:tcPr>
                <w:p w14:paraId="3930DFF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1、</w:t>
                  </w:r>
                  <w:r>
                    <w:rPr>
                      <w:rFonts w:hint="eastAsia"/>
                      <w:sz w:val="21"/>
                      <w:szCs w:val="21"/>
                    </w:rPr>
                    <w:t>鼓励企业进行中水回用、工业用水循环利用和工业固废综合利用</w:t>
                  </w:r>
                  <w:r>
                    <w:rPr>
                      <w:rFonts w:hint="default"/>
                      <w:sz w:val="21"/>
                      <w:szCs w:val="21"/>
                    </w:rPr>
                    <w:t>。</w:t>
                  </w:r>
                </w:p>
              </w:tc>
              <w:tc>
                <w:tcPr>
                  <w:tcW w:w="1942" w:type="pct"/>
                  <w:tcBorders>
                    <w:top w:val="single" w:color="auto" w:sz="4" w:space="0"/>
                    <w:left w:val="nil"/>
                    <w:right w:val="single" w:color="auto" w:sz="4" w:space="0"/>
                  </w:tcBorders>
                  <w:vAlign w:val="center"/>
                </w:tcPr>
                <w:p w14:paraId="0DD85F4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default"/>
                      <w:sz w:val="21"/>
                      <w:szCs w:val="21"/>
                    </w:rPr>
                    <w:t>本项目不涉及中水回用</w:t>
                  </w:r>
                  <w:r>
                    <w:rPr>
                      <w:rFonts w:hint="eastAsia"/>
                      <w:sz w:val="21"/>
                      <w:szCs w:val="21"/>
                    </w:rPr>
                    <w:t>和工业用水循环利用，一般固废于一般固废间暂存后定期外售</w:t>
                  </w:r>
                  <w:r>
                    <w:rPr>
                      <w:rFonts w:hint="default"/>
                      <w:sz w:val="21"/>
                      <w:szCs w:val="21"/>
                    </w:rPr>
                    <w:t>。</w:t>
                  </w:r>
                  <w:r>
                    <w:rPr>
                      <w:rFonts w:hint="eastAsia"/>
                      <w:sz w:val="21"/>
                      <w:szCs w:val="21"/>
                      <w:lang w:val="en-US" w:eastAsia="zh-CN"/>
                    </w:rPr>
                    <w:t>危险废物于危废暂存间暂存后定期交由有资质单位处置。</w:t>
                  </w:r>
                </w:p>
              </w:tc>
              <w:tc>
                <w:tcPr>
                  <w:tcW w:w="496" w:type="pct"/>
                  <w:tcBorders>
                    <w:top w:val="single" w:color="auto" w:sz="4" w:space="0"/>
                    <w:left w:val="nil"/>
                    <w:right w:val="nil"/>
                  </w:tcBorders>
                  <w:vAlign w:val="center"/>
                </w:tcPr>
                <w:p w14:paraId="0373215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7C76D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07A7F5AA">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5BC9DCA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2、</w:t>
                  </w:r>
                  <w:r>
                    <w:rPr>
                      <w:rFonts w:hint="eastAsia"/>
                      <w:sz w:val="21"/>
                      <w:szCs w:val="21"/>
                    </w:rPr>
                    <w:t>进一步优化能源结构，加快园区集中供热、供气及配套管网建设；不得新改扩建分散燃煤设施。集中供热管网铺设到位后，入驻企业应采取集中供热，现有企业自备燃气锅炉作为备用热源使用。</w:t>
                  </w:r>
                </w:p>
              </w:tc>
              <w:tc>
                <w:tcPr>
                  <w:tcW w:w="1942" w:type="pct"/>
                  <w:tcBorders>
                    <w:left w:val="nil"/>
                    <w:right w:val="single" w:color="auto" w:sz="4" w:space="0"/>
                  </w:tcBorders>
                  <w:vAlign w:val="center"/>
                </w:tcPr>
                <w:p w14:paraId="26A5FC4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本项目不涉及。</w:t>
                  </w:r>
                </w:p>
              </w:tc>
              <w:tc>
                <w:tcPr>
                  <w:tcW w:w="496" w:type="pct"/>
                  <w:tcBorders>
                    <w:left w:val="nil"/>
                    <w:right w:val="nil"/>
                  </w:tcBorders>
                  <w:vAlign w:val="center"/>
                </w:tcPr>
                <w:p w14:paraId="5C93376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62DBE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right w:val="single" w:color="auto" w:sz="4" w:space="0"/>
                  </w:tcBorders>
                  <w:vAlign w:val="center"/>
                </w:tcPr>
                <w:p w14:paraId="02081D95">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4" w:space="0"/>
                    <w:right w:val="single" w:color="auto" w:sz="4" w:space="0"/>
                  </w:tcBorders>
                  <w:vAlign w:val="center"/>
                </w:tcPr>
                <w:p w14:paraId="6862BCA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3、</w:t>
                  </w:r>
                  <w:r>
                    <w:rPr>
                      <w:rFonts w:hint="eastAsia"/>
                      <w:sz w:val="21"/>
                      <w:szCs w:val="21"/>
                    </w:rPr>
                    <w:t>加快实施园区集中供水，加快中水回用配套设施建设，逐步关停企业自备水井</w:t>
                  </w:r>
                  <w:r>
                    <w:rPr>
                      <w:rFonts w:hint="default"/>
                      <w:sz w:val="21"/>
                      <w:szCs w:val="21"/>
                    </w:rPr>
                    <w:t>。</w:t>
                  </w:r>
                </w:p>
              </w:tc>
              <w:tc>
                <w:tcPr>
                  <w:tcW w:w="1942" w:type="pct"/>
                  <w:tcBorders>
                    <w:left w:val="nil"/>
                    <w:right w:val="single" w:color="auto" w:sz="4" w:space="0"/>
                  </w:tcBorders>
                  <w:vAlign w:val="center"/>
                </w:tcPr>
                <w:p w14:paraId="2EDC958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本项目不涉及。</w:t>
                  </w:r>
                </w:p>
              </w:tc>
              <w:tc>
                <w:tcPr>
                  <w:tcW w:w="496" w:type="pct"/>
                  <w:tcBorders>
                    <w:left w:val="nil"/>
                    <w:right w:val="nil"/>
                  </w:tcBorders>
                  <w:vAlign w:val="center"/>
                </w:tcPr>
                <w:p w14:paraId="3B72EDF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r w14:paraId="29AE8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355" w:type="pct"/>
                  <w:vMerge w:val="continue"/>
                  <w:tcBorders>
                    <w:left w:val="nil"/>
                    <w:bottom w:val="single" w:color="auto" w:sz="8" w:space="0"/>
                    <w:right w:val="single" w:color="auto" w:sz="4" w:space="0"/>
                  </w:tcBorders>
                  <w:vAlign w:val="center"/>
                </w:tcPr>
                <w:p w14:paraId="17A09050">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2206" w:type="pct"/>
                  <w:tcBorders>
                    <w:top w:val="single" w:color="auto" w:sz="4" w:space="0"/>
                    <w:left w:val="nil"/>
                    <w:bottom w:val="single" w:color="auto" w:sz="8" w:space="0"/>
                    <w:right w:val="single" w:color="auto" w:sz="4" w:space="0"/>
                  </w:tcBorders>
                  <w:vAlign w:val="center"/>
                </w:tcPr>
                <w:p w14:paraId="7369E66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4、</w:t>
                  </w:r>
                  <w:r>
                    <w:rPr>
                      <w:rFonts w:hint="eastAsia"/>
                      <w:sz w:val="21"/>
                      <w:szCs w:val="21"/>
                    </w:rPr>
                    <w:t>入园项目用地必须符合园区土地利用规划要求</w:t>
                  </w:r>
                  <w:r>
                    <w:rPr>
                      <w:rFonts w:hint="default"/>
                      <w:sz w:val="21"/>
                      <w:szCs w:val="21"/>
                    </w:rPr>
                    <w:t>。</w:t>
                  </w:r>
                </w:p>
              </w:tc>
              <w:tc>
                <w:tcPr>
                  <w:tcW w:w="1942" w:type="pct"/>
                  <w:tcBorders>
                    <w:left w:val="nil"/>
                    <w:bottom w:val="single" w:color="auto" w:sz="8" w:space="0"/>
                    <w:right w:val="single" w:color="auto" w:sz="4" w:space="0"/>
                  </w:tcBorders>
                  <w:vAlign w:val="center"/>
                </w:tcPr>
                <w:p w14:paraId="686964B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本项目位于新乡市新乡县智能制造产业园区</w:t>
                  </w:r>
                  <w:r>
                    <w:rPr>
                      <w:rFonts w:hint="default"/>
                      <w:color w:val="000000"/>
                      <w:sz w:val="21"/>
                      <w:szCs w:val="21"/>
                    </w:rPr>
                    <w:t>兴隆路</w:t>
                  </w:r>
                  <w:r>
                    <w:rPr>
                      <w:rFonts w:hint="eastAsia"/>
                      <w:color w:val="000000"/>
                      <w:sz w:val="21"/>
                      <w:szCs w:val="21"/>
                      <w:lang w:val="en-US" w:eastAsia="zh-CN"/>
                    </w:rPr>
                    <w:t>与中央大道西南角处</w:t>
                  </w:r>
                  <w:r>
                    <w:rPr>
                      <w:rFonts w:hint="default"/>
                      <w:sz w:val="21"/>
                      <w:szCs w:val="21"/>
                    </w:rPr>
                    <w:t>，根据《新乡县智能制造产业园区总体发展规划（2021-2035年）-土地利用规划图》，项目所占用地为工业用地，符合新乡县智能制造产业园区总体发展规划要求。</w:t>
                  </w:r>
                </w:p>
              </w:tc>
              <w:tc>
                <w:tcPr>
                  <w:tcW w:w="496" w:type="pct"/>
                  <w:tcBorders>
                    <w:left w:val="nil"/>
                    <w:bottom w:val="single" w:color="auto" w:sz="8" w:space="0"/>
                    <w:right w:val="nil"/>
                  </w:tcBorders>
                  <w:vAlign w:val="center"/>
                </w:tcPr>
                <w:p w14:paraId="26EC276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 w:val="21"/>
                      <w:szCs w:val="21"/>
                    </w:rPr>
                  </w:pPr>
                  <w:r>
                    <w:rPr>
                      <w:rFonts w:hint="default"/>
                      <w:sz w:val="21"/>
                      <w:szCs w:val="21"/>
                    </w:rPr>
                    <w:t>符合</w:t>
                  </w:r>
                </w:p>
              </w:tc>
            </w:tr>
          </w:tbl>
          <w:p w14:paraId="1B695A59">
            <w:pPr>
              <w:keepNext w:val="0"/>
              <w:keepLines w:val="0"/>
              <w:suppressLineNumbers w:val="0"/>
              <w:adjustRightInd w:val="0"/>
              <w:snapToGrid w:val="0"/>
              <w:spacing w:before="0" w:beforeAutospacing="0" w:after="0" w:afterAutospacing="0" w:line="480" w:lineRule="exact"/>
              <w:ind w:left="0" w:right="0" w:firstLine="480"/>
              <w:rPr>
                <w:rFonts w:hint="default"/>
                <w:color w:val="000000"/>
              </w:rPr>
            </w:pPr>
            <w:r>
              <w:rPr>
                <w:rFonts w:hint="eastAsia"/>
              </w:rPr>
              <w:t>（2）</w:t>
            </w:r>
            <w:r>
              <w:rPr>
                <w:rFonts w:hint="default"/>
                <w:color w:val="000000"/>
              </w:rPr>
              <w:t>本项目</w:t>
            </w:r>
            <w:r>
              <w:rPr>
                <w:rFonts w:hint="default"/>
              </w:rPr>
              <w:t>厂址</w:t>
            </w:r>
            <w:r>
              <w:rPr>
                <w:rFonts w:hint="default"/>
                <w:color w:val="000000"/>
              </w:rPr>
              <w:t>位于</w:t>
            </w:r>
            <w:r>
              <w:rPr>
                <w:rFonts w:hint="eastAsia"/>
                <w:color w:val="000000"/>
                <w:lang w:val="en-US" w:eastAsia="zh-CN"/>
              </w:rPr>
              <w:t>河南省新乡市新乡县中央大道兴隆路交叉口西南角处</w:t>
            </w:r>
            <w:r>
              <w:rPr>
                <w:rFonts w:hint="eastAsia"/>
                <w:color w:val="000000"/>
              </w:rPr>
              <w:t>，</w:t>
            </w:r>
            <w:r>
              <w:rPr>
                <w:rFonts w:hint="default"/>
                <w:color w:val="000000"/>
              </w:rPr>
              <w:t>项目与</w:t>
            </w:r>
            <w:r>
              <w:rPr>
                <w:rFonts w:hint="eastAsia"/>
                <w:color w:val="000000"/>
              </w:rPr>
              <w:t>新乡县智能制造产业园区负面清单</w:t>
            </w:r>
            <w:r>
              <w:rPr>
                <w:rFonts w:hint="default"/>
                <w:color w:val="000000"/>
              </w:rPr>
              <w:t>对照分析如下</w:t>
            </w:r>
            <w:r>
              <w:rPr>
                <w:rFonts w:hint="eastAsia"/>
                <w:color w:val="000000"/>
              </w:rPr>
              <w:t>：</w:t>
            </w:r>
          </w:p>
          <w:p w14:paraId="3D9806B7">
            <w:pPr>
              <w:keepNext w:val="0"/>
              <w:keepLines w:val="0"/>
              <w:suppressLineNumbers w:val="0"/>
              <w:adjustRightInd w:val="0"/>
              <w:snapToGrid w:val="0"/>
              <w:spacing w:before="0" w:beforeAutospacing="0" w:after="0" w:afterAutospacing="0" w:line="480" w:lineRule="exact"/>
              <w:ind w:left="0" w:right="0" w:firstLine="480"/>
              <w:jc w:val="center"/>
              <w:rPr>
                <w:rFonts w:hint="default" w:ascii="Times New Roman" w:hAnsi="Times New Roman" w:eastAsia="宋体" w:cs="Times New Roman"/>
                <w:b/>
                <w:bCs/>
              </w:rPr>
            </w:pPr>
            <w:r>
              <w:rPr>
                <w:rFonts w:hint="default" w:ascii="Times New Roman" w:hAnsi="Times New Roman" w:eastAsia="宋体" w:cs="Times New Roman"/>
                <w:b/>
                <w:bCs/>
              </w:rPr>
              <w:t>表</w:t>
            </w:r>
            <w:r>
              <w:rPr>
                <w:rFonts w:hint="default" w:ascii="Times New Roman" w:hAnsi="Times New Roman" w:eastAsia="宋体" w:cs="Times New Roman"/>
                <w:b/>
                <w:bCs/>
                <w:lang w:val="en-US" w:eastAsia="zh-CN"/>
              </w:rPr>
              <w:t>2</w:t>
            </w:r>
            <w:r>
              <w:rPr>
                <w:rFonts w:hint="default" w:ascii="Times New Roman" w:hAnsi="Times New Roman" w:eastAsia="宋体" w:cs="Times New Roman"/>
                <w:b/>
                <w:bCs/>
              </w:rPr>
              <w:t xml:space="preserve">         与园区负面清单相符性分析一览表</w:t>
            </w:r>
          </w:p>
          <w:tbl>
            <w:tblPr>
              <w:tblStyle w:val="22"/>
              <w:tblpPr w:leftFromText="180" w:rightFromText="180" w:vertAnchor="text" w:tblpXSpec="center" w:tblpY="1"/>
              <w:tblOverlap w:val="never"/>
              <w:tblW w:w="484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14"/>
              <w:gridCol w:w="3741"/>
              <w:gridCol w:w="3463"/>
              <w:gridCol w:w="597"/>
            </w:tblGrid>
            <w:tr w14:paraId="3FE2B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tcBorders>
                    <w:top w:val="single" w:color="auto" w:sz="8" w:space="0"/>
                    <w:left w:val="nil"/>
                    <w:bottom w:val="single" w:color="auto" w:sz="8" w:space="0"/>
                    <w:right w:val="nil"/>
                  </w:tcBorders>
                  <w:vAlign w:val="center"/>
                </w:tcPr>
                <w:p w14:paraId="51178F88">
                  <w:pPr>
                    <w:keepNext w:val="0"/>
                    <w:keepLines w:val="0"/>
                    <w:suppressLineNumbers w:val="0"/>
                    <w:spacing w:before="0" w:beforeAutospacing="0" w:after="0" w:afterAutospacing="0" w:line="240" w:lineRule="auto"/>
                    <w:ind w:left="0" w:right="0" w:firstLine="0" w:firstLineChars="0"/>
                    <w:jc w:val="center"/>
                    <w:rPr>
                      <w:rFonts w:hint="default"/>
                      <w:b/>
                      <w:bCs/>
                      <w:szCs w:val="21"/>
                    </w:rPr>
                  </w:pPr>
                  <w:r>
                    <w:rPr>
                      <w:rFonts w:hint="eastAsia"/>
                      <w:b/>
                      <w:bCs/>
                      <w:szCs w:val="21"/>
                    </w:rPr>
                    <w:t>类别</w:t>
                  </w:r>
                </w:p>
              </w:tc>
              <w:tc>
                <w:tcPr>
                  <w:tcW w:w="3260" w:type="dxa"/>
                  <w:tcBorders>
                    <w:top w:val="single" w:color="auto" w:sz="8" w:space="0"/>
                    <w:left w:val="nil"/>
                    <w:bottom w:val="single" w:color="auto" w:sz="8" w:space="0"/>
                    <w:right w:val="nil"/>
                  </w:tcBorders>
                  <w:vAlign w:val="center"/>
                </w:tcPr>
                <w:p w14:paraId="131C663B">
                  <w:pPr>
                    <w:keepNext w:val="0"/>
                    <w:keepLines w:val="0"/>
                    <w:suppressLineNumbers w:val="0"/>
                    <w:spacing w:before="0" w:beforeAutospacing="0" w:after="0" w:afterAutospacing="0" w:line="240" w:lineRule="auto"/>
                    <w:ind w:left="0" w:right="0" w:firstLine="0" w:firstLineChars="0"/>
                    <w:jc w:val="center"/>
                    <w:rPr>
                      <w:rFonts w:hint="default"/>
                      <w:b/>
                      <w:bCs/>
                      <w:szCs w:val="21"/>
                    </w:rPr>
                  </w:pPr>
                  <w:r>
                    <w:rPr>
                      <w:rFonts w:hint="default"/>
                      <w:b/>
                      <w:bCs/>
                      <w:szCs w:val="21"/>
                    </w:rPr>
                    <w:t>负面清单</w:t>
                  </w:r>
                </w:p>
              </w:tc>
              <w:tc>
                <w:tcPr>
                  <w:tcW w:w="3018" w:type="dxa"/>
                  <w:tcBorders>
                    <w:top w:val="single" w:color="auto" w:sz="8" w:space="0"/>
                    <w:left w:val="nil"/>
                    <w:bottom w:val="single" w:color="auto" w:sz="8" w:space="0"/>
                    <w:right w:val="nil"/>
                  </w:tcBorders>
                  <w:vAlign w:val="center"/>
                </w:tcPr>
                <w:p w14:paraId="58E2729F">
                  <w:pPr>
                    <w:keepNext w:val="0"/>
                    <w:keepLines w:val="0"/>
                    <w:suppressLineNumbers w:val="0"/>
                    <w:spacing w:before="0" w:beforeAutospacing="0" w:after="0" w:afterAutospacing="0" w:line="240" w:lineRule="auto"/>
                    <w:ind w:left="0" w:right="0" w:firstLine="0" w:firstLineChars="0"/>
                    <w:jc w:val="center"/>
                    <w:rPr>
                      <w:rFonts w:hint="default"/>
                      <w:b/>
                      <w:bCs/>
                      <w:szCs w:val="21"/>
                    </w:rPr>
                  </w:pPr>
                  <w:r>
                    <w:rPr>
                      <w:rFonts w:hint="default"/>
                      <w:b/>
                      <w:bCs/>
                      <w:szCs w:val="21"/>
                    </w:rPr>
                    <w:t>本项目情况</w:t>
                  </w:r>
                </w:p>
              </w:tc>
              <w:tc>
                <w:tcPr>
                  <w:tcW w:w="520" w:type="dxa"/>
                  <w:tcBorders>
                    <w:top w:val="single" w:color="auto" w:sz="8" w:space="0"/>
                    <w:left w:val="nil"/>
                    <w:bottom w:val="single" w:color="auto" w:sz="8" w:space="0"/>
                    <w:right w:val="nil"/>
                  </w:tcBorders>
                  <w:vAlign w:val="center"/>
                </w:tcPr>
                <w:p w14:paraId="45023B97">
                  <w:pPr>
                    <w:keepNext w:val="0"/>
                    <w:keepLines w:val="0"/>
                    <w:suppressLineNumbers w:val="0"/>
                    <w:spacing w:before="0" w:beforeAutospacing="0" w:after="0" w:afterAutospacing="0" w:line="240" w:lineRule="auto"/>
                    <w:ind w:left="0" w:right="0" w:firstLine="0" w:firstLineChars="0"/>
                    <w:jc w:val="center"/>
                    <w:rPr>
                      <w:rFonts w:hint="default"/>
                      <w:b/>
                      <w:bCs/>
                      <w:szCs w:val="21"/>
                    </w:rPr>
                  </w:pPr>
                  <w:r>
                    <w:rPr>
                      <w:rFonts w:hint="eastAsia"/>
                      <w:b/>
                      <w:bCs/>
                      <w:szCs w:val="21"/>
                    </w:rPr>
                    <w:t>相符性</w:t>
                  </w:r>
                </w:p>
              </w:tc>
            </w:tr>
            <w:tr w14:paraId="61696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restart"/>
                  <w:tcBorders>
                    <w:top w:val="single" w:color="auto" w:sz="8" w:space="0"/>
                    <w:left w:val="nil"/>
                    <w:right w:val="single" w:color="auto" w:sz="4" w:space="0"/>
                  </w:tcBorders>
                  <w:vAlign w:val="center"/>
                </w:tcPr>
                <w:p w14:paraId="412444CC">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空间布局约束</w:t>
                  </w:r>
                </w:p>
              </w:tc>
              <w:tc>
                <w:tcPr>
                  <w:tcW w:w="3260" w:type="dxa"/>
                  <w:tcBorders>
                    <w:top w:val="single" w:color="auto" w:sz="8" w:space="0"/>
                    <w:left w:val="nil"/>
                    <w:bottom w:val="single" w:color="auto" w:sz="4" w:space="0"/>
                    <w:right w:val="single" w:color="auto" w:sz="4" w:space="0"/>
                  </w:tcBorders>
                  <w:vAlign w:val="center"/>
                </w:tcPr>
                <w:p w14:paraId="03E7357A">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1、禁止入驻《产业结构调整指导目录（2019年本）》中限制类、淘汰类项目；严禁国家明令禁止或淘汰工艺和设备企业入园；</w:t>
                  </w:r>
                </w:p>
              </w:tc>
              <w:tc>
                <w:tcPr>
                  <w:tcW w:w="3018" w:type="dxa"/>
                  <w:tcBorders>
                    <w:top w:val="single" w:color="auto" w:sz="8" w:space="0"/>
                    <w:left w:val="nil"/>
                    <w:bottom w:val="single" w:color="auto" w:sz="4" w:space="0"/>
                    <w:right w:val="single" w:color="auto" w:sz="4" w:space="0"/>
                  </w:tcBorders>
                  <w:vAlign w:val="center"/>
                </w:tcPr>
                <w:p w14:paraId="5689211F">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本项目不属于《产业结构调整指导目录（20</w:t>
                  </w:r>
                  <w:r>
                    <w:rPr>
                      <w:rFonts w:hint="eastAsia" w:ascii="Times New Roman" w:hAnsi="Times New Roman" w:cs="Times New Roman"/>
                      <w:b w:val="0"/>
                      <w:bCs w:val="0"/>
                      <w:sz w:val="21"/>
                      <w:szCs w:val="21"/>
                      <w:lang w:val="en-US" w:eastAsia="zh-CN"/>
                    </w:rPr>
                    <w:t>24</w:t>
                  </w:r>
                  <w:r>
                    <w:rPr>
                      <w:rFonts w:hint="eastAsia" w:ascii="Times New Roman" w:hAnsi="Times New Roman" w:cs="Times New Roman"/>
                      <w:b w:val="0"/>
                      <w:bCs w:val="0"/>
                      <w:sz w:val="21"/>
                      <w:szCs w:val="21"/>
                    </w:rPr>
                    <w:t>年本）》中限制类、淘汰类项目，属于鼓励类。</w:t>
                  </w:r>
                </w:p>
              </w:tc>
              <w:tc>
                <w:tcPr>
                  <w:tcW w:w="520" w:type="dxa"/>
                  <w:tcBorders>
                    <w:top w:val="single" w:color="auto" w:sz="8" w:space="0"/>
                    <w:left w:val="nil"/>
                    <w:right w:val="nil"/>
                  </w:tcBorders>
                  <w:vAlign w:val="center"/>
                </w:tcPr>
                <w:p w14:paraId="0336FC48">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12BEC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top w:val="single" w:color="auto" w:sz="4" w:space="0"/>
                    <w:left w:val="nil"/>
                    <w:right w:val="single" w:color="auto" w:sz="4" w:space="0"/>
                  </w:tcBorders>
                  <w:vAlign w:val="center"/>
                </w:tcPr>
                <w:p w14:paraId="48BED2CB">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0EF78B52">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w:t>
                  </w:r>
                  <w:r>
                    <w:rPr>
                      <w:rFonts w:hint="eastAsia" w:ascii="Times New Roman" w:hAnsi="Times New Roman" w:cs="Times New Roman"/>
                      <w:b w:val="0"/>
                      <w:bCs w:val="0"/>
                      <w:sz w:val="21"/>
                      <w:szCs w:val="21"/>
                    </w:rPr>
                    <w:t>、禁止入驻钢铁、金属冶炼、制浆造纸、屠宰、水泥、平板玻璃、建筑陶瓷、化学原料及化学制品、化学药品原料药和生物发酵制药、皮革或毛皮鞣制加工、轮胎制造、再生橡胶制造、印染等不符合园区产业定位且污染重的项目。</w:t>
                  </w:r>
                </w:p>
              </w:tc>
              <w:tc>
                <w:tcPr>
                  <w:tcW w:w="3018" w:type="dxa"/>
                  <w:tcBorders>
                    <w:top w:val="single" w:color="auto" w:sz="4" w:space="0"/>
                    <w:left w:val="nil"/>
                    <w:bottom w:val="single" w:color="auto" w:sz="4" w:space="0"/>
                    <w:right w:val="single" w:color="auto" w:sz="4" w:space="0"/>
                  </w:tcBorders>
                  <w:vAlign w:val="center"/>
                </w:tcPr>
                <w:p w14:paraId="0275AC3A">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w:t>
                  </w:r>
                  <w:r>
                    <w:rPr>
                      <w:rFonts w:hint="eastAsia" w:ascii="Times New Roman" w:hAnsi="Times New Roman" w:cs="Times New Roman"/>
                      <w:b w:val="0"/>
                      <w:bCs w:val="0"/>
                      <w:sz w:val="21"/>
                      <w:szCs w:val="21"/>
                      <w:lang w:val="en-US" w:eastAsia="zh-CN"/>
                    </w:rPr>
                    <w:t>属于机械零部件加工，</w:t>
                  </w:r>
                  <w:r>
                    <w:rPr>
                      <w:rFonts w:hint="eastAsia" w:ascii="Times New Roman" w:hAnsi="Times New Roman" w:cs="Times New Roman"/>
                      <w:b w:val="0"/>
                      <w:bCs w:val="0"/>
                      <w:sz w:val="21"/>
                      <w:szCs w:val="21"/>
                    </w:rPr>
                    <w:t>与园区产业定位及产业规划不冲突。</w:t>
                  </w:r>
                </w:p>
              </w:tc>
              <w:tc>
                <w:tcPr>
                  <w:tcW w:w="520" w:type="dxa"/>
                  <w:tcBorders>
                    <w:top w:val="single" w:color="auto" w:sz="4" w:space="0"/>
                    <w:left w:val="nil"/>
                    <w:right w:val="nil"/>
                  </w:tcBorders>
                  <w:vAlign w:val="center"/>
                </w:tcPr>
                <w:p w14:paraId="2BF84BA9">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50F66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top w:val="single" w:color="auto" w:sz="4" w:space="0"/>
                    <w:left w:val="nil"/>
                    <w:right w:val="single" w:color="auto" w:sz="4" w:space="0"/>
                  </w:tcBorders>
                  <w:vAlign w:val="center"/>
                </w:tcPr>
                <w:p w14:paraId="77A4DC3E">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1AE1CB2C">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3、现有化学原料及化学制品、化学药品原料药企业限制发展（不涉及挥发性有机溶剂的单纯复配、分装及升级改造项目除外）。</w:t>
                  </w:r>
                </w:p>
              </w:tc>
              <w:tc>
                <w:tcPr>
                  <w:tcW w:w="3018" w:type="dxa"/>
                  <w:tcBorders>
                    <w:top w:val="single" w:color="auto" w:sz="4" w:space="0"/>
                    <w:left w:val="nil"/>
                    <w:bottom w:val="single" w:color="auto" w:sz="4" w:space="0"/>
                    <w:right w:val="single" w:color="auto" w:sz="4" w:space="0"/>
                  </w:tcBorders>
                  <w:vAlign w:val="center"/>
                </w:tcPr>
                <w:p w14:paraId="4BB6E69B">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本项目为</w:t>
                  </w:r>
                  <w:r>
                    <w:rPr>
                      <w:rFonts w:hint="eastAsia" w:ascii="Times New Roman" w:hAnsi="Times New Roman" w:cs="Times New Roman"/>
                      <w:b w:val="0"/>
                      <w:bCs w:val="0"/>
                      <w:sz w:val="21"/>
                      <w:szCs w:val="21"/>
                      <w:lang w:val="en-US" w:eastAsia="zh-CN"/>
                    </w:rPr>
                    <w:t>新</w:t>
                  </w:r>
                  <w:r>
                    <w:rPr>
                      <w:rFonts w:hint="eastAsia" w:ascii="Times New Roman" w:hAnsi="Times New Roman" w:cs="Times New Roman"/>
                      <w:b w:val="0"/>
                      <w:bCs w:val="0"/>
                      <w:sz w:val="21"/>
                      <w:szCs w:val="21"/>
                    </w:rPr>
                    <w:t>建项目，不属于化学原料及化学制品、化学药品原料药行业。</w:t>
                  </w:r>
                </w:p>
              </w:tc>
              <w:tc>
                <w:tcPr>
                  <w:tcW w:w="520" w:type="dxa"/>
                  <w:tcBorders>
                    <w:top w:val="single" w:color="auto" w:sz="4" w:space="0"/>
                    <w:left w:val="nil"/>
                    <w:right w:val="nil"/>
                  </w:tcBorders>
                  <w:vAlign w:val="center"/>
                </w:tcPr>
                <w:p w14:paraId="33E48E05">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6D625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top w:val="single" w:color="auto" w:sz="4" w:space="0"/>
                    <w:left w:val="nil"/>
                    <w:right w:val="single" w:color="auto" w:sz="4" w:space="0"/>
                  </w:tcBorders>
                  <w:vAlign w:val="center"/>
                </w:tcPr>
                <w:p w14:paraId="50E285A8">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74255481">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w:t>
                  </w:r>
                  <w:r>
                    <w:rPr>
                      <w:rFonts w:hint="eastAsia" w:ascii="Times New Roman" w:hAnsi="Times New Roman" w:cs="Times New Roman"/>
                      <w:b w:val="0"/>
                      <w:bCs w:val="0"/>
                      <w:sz w:val="21"/>
                      <w:szCs w:val="21"/>
                    </w:rPr>
                    <w:t>、禁止入驻食品制造项目，限制现有食品制造企业发展。</w:t>
                  </w:r>
                </w:p>
              </w:tc>
              <w:tc>
                <w:tcPr>
                  <w:tcW w:w="3018" w:type="dxa"/>
                  <w:tcBorders>
                    <w:top w:val="single" w:color="auto" w:sz="4" w:space="0"/>
                    <w:left w:val="nil"/>
                    <w:bottom w:val="single" w:color="auto" w:sz="4" w:space="0"/>
                    <w:right w:val="single" w:color="auto" w:sz="4" w:space="0"/>
                  </w:tcBorders>
                  <w:vAlign w:val="center"/>
                </w:tcPr>
                <w:p w14:paraId="475FE54A">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本项目为</w:t>
                  </w:r>
                  <w:r>
                    <w:rPr>
                      <w:rFonts w:hint="eastAsia" w:ascii="Times New Roman" w:hAnsi="Times New Roman" w:cs="Times New Roman"/>
                      <w:b w:val="0"/>
                      <w:bCs w:val="0"/>
                      <w:sz w:val="21"/>
                      <w:szCs w:val="21"/>
                      <w:lang w:val="en-US" w:eastAsia="zh-CN"/>
                    </w:rPr>
                    <w:t>新</w:t>
                  </w:r>
                  <w:r>
                    <w:rPr>
                      <w:rFonts w:hint="eastAsia" w:ascii="Times New Roman" w:hAnsi="Times New Roman" w:cs="Times New Roman"/>
                      <w:b w:val="0"/>
                      <w:bCs w:val="0"/>
                      <w:sz w:val="21"/>
                      <w:szCs w:val="21"/>
                    </w:rPr>
                    <w:t>建项目，不属于食品制造项目。</w:t>
                  </w:r>
                </w:p>
              </w:tc>
              <w:tc>
                <w:tcPr>
                  <w:tcW w:w="520" w:type="dxa"/>
                  <w:tcBorders>
                    <w:top w:val="single" w:color="auto" w:sz="4" w:space="0"/>
                    <w:left w:val="nil"/>
                    <w:right w:val="nil"/>
                  </w:tcBorders>
                  <w:vAlign w:val="center"/>
                </w:tcPr>
                <w:p w14:paraId="3E9D7F4A">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7A22B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top w:val="single" w:color="auto" w:sz="4" w:space="0"/>
                    <w:left w:val="nil"/>
                    <w:right w:val="single" w:color="auto" w:sz="4" w:space="0"/>
                  </w:tcBorders>
                  <w:vAlign w:val="center"/>
                </w:tcPr>
                <w:p w14:paraId="070943E6">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4FEACE95">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5</w:t>
                  </w:r>
                  <w:r>
                    <w:rPr>
                      <w:rFonts w:hint="eastAsia" w:ascii="Times New Roman" w:hAnsi="Times New Roman" w:cs="Times New Roman"/>
                      <w:b w:val="0"/>
                      <w:bCs w:val="0"/>
                      <w:sz w:val="21"/>
                      <w:szCs w:val="21"/>
                    </w:rPr>
                    <w:t>、禁止建设生产和使用高VOCs含量的溶剂型涂料、油墨、胶粘剂等项目。</w:t>
                  </w:r>
                </w:p>
              </w:tc>
              <w:tc>
                <w:tcPr>
                  <w:tcW w:w="3018" w:type="dxa"/>
                  <w:tcBorders>
                    <w:top w:val="single" w:color="auto" w:sz="4" w:space="0"/>
                    <w:left w:val="nil"/>
                    <w:bottom w:val="single" w:color="auto" w:sz="4" w:space="0"/>
                    <w:right w:val="single" w:color="auto" w:sz="4" w:space="0"/>
                  </w:tcBorders>
                  <w:vAlign w:val="center"/>
                </w:tcPr>
                <w:p w14:paraId="39B684AF">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本项目不涉及生产和使用高VOCs含量的溶剂型涂料、油墨、胶粘剂等。</w:t>
                  </w:r>
                </w:p>
              </w:tc>
              <w:tc>
                <w:tcPr>
                  <w:tcW w:w="520" w:type="dxa"/>
                  <w:tcBorders>
                    <w:top w:val="single" w:color="auto" w:sz="4" w:space="0"/>
                    <w:left w:val="nil"/>
                    <w:right w:val="nil"/>
                  </w:tcBorders>
                  <w:vAlign w:val="center"/>
                </w:tcPr>
                <w:p w14:paraId="3D77A621">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10F44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top w:val="single" w:color="auto" w:sz="4" w:space="0"/>
                    <w:left w:val="nil"/>
                    <w:right w:val="single" w:color="auto" w:sz="4" w:space="0"/>
                  </w:tcBorders>
                  <w:vAlign w:val="center"/>
                </w:tcPr>
                <w:p w14:paraId="7A1C936B">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1B06673F">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w:t>
                  </w:r>
                  <w:r>
                    <w:rPr>
                      <w:rFonts w:hint="eastAsia" w:ascii="Times New Roman" w:hAnsi="Times New Roman" w:cs="Times New Roman"/>
                      <w:b w:val="0"/>
                      <w:bCs w:val="0"/>
                      <w:sz w:val="21"/>
                      <w:szCs w:val="21"/>
                    </w:rPr>
                    <w:t>、禁止涉及含苯（苯系物）漆料项目入园，限制现有企业使用含苯（苯系物）漆料。</w:t>
                  </w:r>
                </w:p>
              </w:tc>
              <w:tc>
                <w:tcPr>
                  <w:tcW w:w="3018" w:type="dxa"/>
                  <w:tcBorders>
                    <w:top w:val="single" w:color="auto" w:sz="4" w:space="0"/>
                    <w:left w:val="nil"/>
                    <w:bottom w:val="single" w:color="auto" w:sz="4" w:space="0"/>
                    <w:right w:val="single" w:color="auto" w:sz="4" w:space="0"/>
                  </w:tcBorders>
                  <w:vAlign w:val="center"/>
                </w:tcPr>
                <w:p w14:paraId="0FE2CDF3">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本项目不涉及含苯（苯系物）漆料。</w:t>
                  </w:r>
                </w:p>
              </w:tc>
              <w:tc>
                <w:tcPr>
                  <w:tcW w:w="520" w:type="dxa"/>
                  <w:tcBorders>
                    <w:top w:val="single" w:color="auto" w:sz="4" w:space="0"/>
                    <w:left w:val="nil"/>
                    <w:right w:val="nil"/>
                  </w:tcBorders>
                  <w:vAlign w:val="center"/>
                </w:tcPr>
                <w:p w14:paraId="49C74BE7">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16442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top w:val="single" w:color="auto" w:sz="4" w:space="0"/>
                    <w:left w:val="nil"/>
                    <w:right w:val="single" w:color="auto" w:sz="4" w:space="0"/>
                  </w:tcBorders>
                  <w:vAlign w:val="center"/>
                </w:tcPr>
                <w:p w14:paraId="359F0D0A">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504663B8">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w:t>
                  </w:r>
                  <w:r>
                    <w:rPr>
                      <w:rFonts w:hint="eastAsia" w:ascii="Times New Roman" w:hAnsi="Times New Roman" w:cs="Times New Roman"/>
                      <w:b w:val="0"/>
                      <w:bCs w:val="0"/>
                      <w:sz w:val="21"/>
                      <w:szCs w:val="21"/>
                    </w:rPr>
                    <w:t>、禁止新增铸造行业产能。</w:t>
                  </w:r>
                </w:p>
              </w:tc>
              <w:tc>
                <w:tcPr>
                  <w:tcW w:w="3018" w:type="dxa"/>
                  <w:tcBorders>
                    <w:top w:val="single" w:color="auto" w:sz="4" w:space="0"/>
                    <w:left w:val="nil"/>
                    <w:bottom w:val="single" w:color="auto" w:sz="4" w:space="0"/>
                    <w:right w:val="single" w:color="auto" w:sz="4" w:space="0"/>
                  </w:tcBorders>
                  <w:vAlign w:val="center"/>
                </w:tcPr>
                <w:p w14:paraId="2E3701A0">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本项目不属于铸造行业。</w:t>
                  </w:r>
                </w:p>
              </w:tc>
              <w:tc>
                <w:tcPr>
                  <w:tcW w:w="520" w:type="dxa"/>
                  <w:tcBorders>
                    <w:top w:val="single" w:color="auto" w:sz="4" w:space="0"/>
                    <w:left w:val="nil"/>
                    <w:right w:val="nil"/>
                  </w:tcBorders>
                  <w:vAlign w:val="center"/>
                </w:tcPr>
                <w:p w14:paraId="00E5C994">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4A0D2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top w:val="single" w:color="auto" w:sz="4" w:space="0"/>
                    <w:left w:val="nil"/>
                    <w:right w:val="single" w:color="auto" w:sz="4" w:space="0"/>
                  </w:tcBorders>
                  <w:vAlign w:val="center"/>
                </w:tcPr>
                <w:p w14:paraId="7232F002">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75264FFB">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8</w:t>
                  </w:r>
                  <w:r>
                    <w:rPr>
                      <w:rFonts w:hint="eastAsia" w:ascii="Times New Roman" w:hAnsi="Times New Roman" w:cs="Times New Roman"/>
                      <w:b w:val="0"/>
                      <w:bCs w:val="0"/>
                      <w:sz w:val="21"/>
                      <w:szCs w:val="21"/>
                    </w:rPr>
                    <w:t>、禁止入驻非集中供热性质的燃煤、燃重油、渣油等锅炉或炉窑；</w:t>
                  </w:r>
                </w:p>
              </w:tc>
              <w:tc>
                <w:tcPr>
                  <w:tcW w:w="3018" w:type="dxa"/>
                  <w:tcBorders>
                    <w:top w:val="single" w:color="auto" w:sz="4" w:space="0"/>
                    <w:left w:val="nil"/>
                    <w:bottom w:val="single" w:color="auto" w:sz="4" w:space="0"/>
                    <w:right w:val="single" w:color="auto" w:sz="4" w:space="0"/>
                  </w:tcBorders>
                  <w:vAlign w:val="center"/>
                </w:tcPr>
                <w:p w14:paraId="692F3DFD">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本项目不涉及锅炉。</w:t>
                  </w:r>
                </w:p>
              </w:tc>
              <w:tc>
                <w:tcPr>
                  <w:tcW w:w="520" w:type="dxa"/>
                  <w:tcBorders>
                    <w:top w:val="single" w:color="auto" w:sz="4" w:space="0"/>
                    <w:left w:val="nil"/>
                    <w:right w:val="nil"/>
                  </w:tcBorders>
                  <w:vAlign w:val="center"/>
                </w:tcPr>
                <w:p w14:paraId="77CEDE6B">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0713D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top w:val="single" w:color="auto" w:sz="4" w:space="0"/>
                    <w:left w:val="nil"/>
                    <w:right w:val="single" w:color="auto" w:sz="4" w:space="0"/>
                  </w:tcBorders>
                  <w:vAlign w:val="center"/>
                </w:tcPr>
                <w:p w14:paraId="3204AA7C">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34C3F3D8">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9</w:t>
                  </w:r>
                  <w:r>
                    <w:rPr>
                      <w:rFonts w:hint="eastAsia" w:ascii="Times New Roman" w:hAnsi="Times New Roman" w:cs="Times New Roman"/>
                      <w:b w:val="0"/>
                      <w:bCs w:val="0"/>
                      <w:sz w:val="21"/>
                      <w:szCs w:val="21"/>
                    </w:rPr>
                    <w:t>、禁止新、改、扩建“两高”项目，与主导产业相符的“两高”项目除外。</w:t>
                  </w:r>
                </w:p>
              </w:tc>
              <w:tc>
                <w:tcPr>
                  <w:tcW w:w="3018" w:type="dxa"/>
                  <w:tcBorders>
                    <w:top w:val="single" w:color="auto" w:sz="4" w:space="0"/>
                    <w:left w:val="nil"/>
                    <w:bottom w:val="single" w:color="auto" w:sz="4" w:space="0"/>
                    <w:right w:val="single" w:color="auto" w:sz="4" w:space="0"/>
                  </w:tcBorders>
                  <w:vAlign w:val="center"/>
                </w:tcPr>
                <w:p w14:paraId="6D209D04">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本项目不属于“两高”项目。</w:t>
                  </w:r>
                </w:p>
              </w:tc>
              <w:tc>
                <w:tcPr>
                  <w:tcW w:w="520" w:type="dxa"/>
                  <w:tcBorders>
                    <w:top w:val="single" w:color="auto" w:sz="4" w:space="0"/>
                    <w:left w:val="nil"/>
                    <w:right w:val="nil"/>
                  </w:tcBorders>
                  <w:vAlign w:val="center"/>
                </w:tcPr>
                <w:p w14:paraId="3680E52C">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69674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709" w:type="dxa"/>
                  <w:vMerge w:val="continue"/>
                  <w:tcBorders>
                    <w:top w:val="single" w:color="auto" w:sz="4" w:space="0"/>
                    <w:left w:val="nil"/>
                    <w:right w:val="single" w:color="auto" w:sz="4" w:space="0"/>
                  </w:tcBorders>
                  <w:vAlign w:val="center"/>
                </w:tcPr>
                <w:p w14:paraId="1159D2A4">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35638200">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w:t>
                  </w:r>
                  <w:r>
                    <w:rPr>
                      <w:rFonts w:hint="eastAsia" w:ascii="Times New Roman" w:hAnsi="Times New Roman" w:cs="Times New Roman"/>
                      <w:b w:val="0"/>
                      <w:bCs w:val="0"/>
                      <w:sz w:val="21"/>
                      <w:szCs w:val="21"/>
                    </w:rPr>
                    <w:t>、禁止新增铅、铬、镉、汞、砷等重点控制重金属污染物排放的项目入驻。</w:t>
                  </w:r>
                </w:p>
              </w:tc>
              <w:tc>
                <w:tcPr>
                  <w:tcW w:w="3018" w:type="dxa"/>
                  <w:tcBorders>
                    <w:top w:val="single" w:color="auto" w:sz="4" w:space="0"/>
                    <w:left w:val="nil"/>
                    <w:bottom w:val="single" w:color="auto" w:sz="4" w:space="0"/>
                    <w:right w:val="single" w:color="auto" w:sz="4" w:space="0"/>
                  </w:tcBorders>
                  <w:vAlign w:val="center"/>
                </w:tcPr>
                <w:p w14:paraId="606E91A5">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本项目不涉及重金属污染物排放。</w:t>
                  </w:r>
                </w:p>
              </w:tc>
              <w:tc>
                <w:tcPr>
                  <w:tcW w:w="520" w:type="dxa"/>
                  <w:tcBorders>
                    <w:top w:val="single" w:color="auto" w:sz="4" w:space="0"/>
                    <w:left w:val="nil"/>
                    <w:right w:val="nil"/>
                  </w:tcBorders>
                  <w:vAlign w:val="center"/>
                </w:tcPr>
                <w:p w14:paraId="558D7700">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468C8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top w:val="single" w:color="auto" w:sz="4" w:space="0"/>
                    <w:left w:val="nil"/>
                    <w:right w:val="single" w:color="auto" w:sz="4" w:space="0"/>
                  </w:tcBorders>
                  <w:vAlign w:val="center"/>
                </w:tcPr>
                <w:p w14:paraId="0256A7DF">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2FC92E4E">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1</w:t>
                  </w:r>
                  <w:r>
                    <w:rPr>
                      <w:rFonts w:hint="default" w:ascii="Times New Roman" w:hAnsi="Times New Roman" w:cs="Times New Roman"/>
                      <w:b w:val="0"/>
                      <w:bCs w:val="0"/>
                      <w:sz w:val="21"/>
                      <w:szCs w:val="21"/>
                    </w:rPr>
                    <w:t>1</w:t>
                  </w:r>
                  <w:r>
                    <w:rPr>
                      <w:rFonts w:hint="eastAsia" w:ascii="Times New Roman" w:hAnsi="Times New Roman" w:cs="Times New Roman"/>
                      <w:b w:val="0"/>
                      <w:bCs w:val="0"/>
                      <w:sz w:val="21"/>
                      <w:szCs w:val="21"/>
                    </w:rPr>
                    <w:t>、禁止不符合土地利用性质的三类工业项目入驻。</w:t>
                  </w:r>
                </w:p>
              </w:tc>
              <w:tc>
                <w:tcPr>
                  <w:tcW w:w="3018" w:type="dxa"/>
                  <w:vMerge w:val="restart"/>
                  <w:tcBorders>
                    <w:top w:val="single" w:color="auto" w:sz="4" w:space="0"/>
                    <w:left w:val="nil"/>
                    <w:right w:val="single" w:color="auto" w:sz="4" w:space="0"/>
                  </w:tcBorders>
                  <w:vAlign w:val="center"/>
                </w:tcPr>
                <w:p w14:paraId="5CA8F2DA">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本项目位于</w:t>
                  </w:r>
                  <w:r>
                    <w:rPr>
                      <w:rFonts w:hint="eastAsia" w:ascii="Times New Roman" w:hAnsi="Times New Roman" w:cs="Times New Roman"/>
                      <w:b w:val="0"/>
                      <w:bCs w:val="0"/>
                      <w:sz w:val="21"/>
                      <w:szCs w:val="21"/>
                      <w:lang w:val="en-US" w:eastAsia="zh-CN"/>
                    </w:rPr>
                    <w:t>河南省新乡市新乡县中央大道兴隆路交叉口西南角处</w:t>
                  </w:r>
                  <w:r>
                    <w:rPr>
                      <w:rFonts w:hint="eastAsia" w:ascii="Times New Roman" w:hAnsi="Times New Roman" w:cs="Times New Roman"/>
                      <w:b w:val="0"/>
                      <w:bCs w:val="0"/>
                      <w:sz w:val="21"/>
                      <w:szCs w:val="21"/>
                    </w:rPr>
                    <w:t>，根据《新乡县智能制造产业园区总体发展规划（2021-2035年）-土地利用规划图》，项目所占用地为二类工业用地，符合新乡县智能制造产业园区总体发展规划要求。</w:t>
                  </w:r>
                </w:p>
              </w:tc>
              <w:tc>
                <w:tcPr>
                  <w:tcW w:w="520" w:type="dxa"/>
                  <w:vMerge w:val="restart"/>
                  <w:tcBorders>
                    <w:top w:val="single" w:color="auto" w:sz="4" w:space="0"/>
                    <w:left w:val="nil"/>
                    <w:right w:val="nil"/>
                  </w:tcBorders>
                  <w:vAlign w:val="center"/>
                </w:tcPr>
                <w:p w14:paraId="41CD8B29">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5BDF7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left w:val="nil"/>
                    <w:bottom w:val="single" w:color="auto" w:sz="4" w:space="0"/>
                    <w:right w:val="single" w:color="auto" w:sz="4" w:space="0"/>
                  </w:tcBorders>
                  <w:vAlign w:val="center"/>
                </w:tcPr>
                <w:p w14:paraId="2C632DD4">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55CA2E70">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12</w:t>
                  </w:r>
                  <w:r>
                    <w:rPr>
                      <w:rFonts w:hint="eastAsia" w:ascii="Times New Roman" w:hAnsi="Times New Roman" w:cs="Times New Roman"/>
                      <w:b w:val="0"/>
                      <w:bCs w:val="0"/>
                      <w:sz w:val="21"/>
                      <w:szCs w:val="21"/>
                    </w:rPr>
                    <w:t>、土地利用规划调整到位前不得入驻与土地性质不符的项目。</w:t>
                  </w:r>
                </w:p>
              </w:tc>
              <w:tc>
                <w:tcPr>
                  <w:tcW w:w="3018" w:type="dxa"/>
                  <w:vMerge w:val="continue"/>
                  <w:tcBorders>
                    <w:left w:val="nil"/>
                    <w:bottom w:val="single" w:color="auto" w:sz="4" w:space="0"/>
                    <w:right w:val="single" w:color="auto" w:sz="4" w:space="0"/>
                  </w:tcBorders>
                  <w:vAlign w:val="center"/>
                </w:tcPr>
                <w:p w14:paraId="4BFD5E51">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520" w:type="dxa"/>
                  <w:vMerge w:val="continue"/>
                  <w:tcBorders>
                    <w:left w:val="nil"/>
                    <w:bottom w:val="single" w:color="auto" w:sz="4" w:space="0"/>
                    <w:right w:val="nil"/>
                  </w:tcBorders>
                  <w:vAlign w:val="center"/>
                </w:tcPr>
                <w:p w14:paraId="7A7E4BA4">
                  <w:pPr>
                    <w:keepNext w:val="0"/>
                    <w:keepLines w:val="0"/>
                    <w:suppressLineNumbers w:val="0"/>
                    <w:spacing w:before="0" w:beforeAutospacing="0" w:after="0" w:afterAutospacing="0" w:line="240" w:lineRule="auto"/>
                    <w:ind w:left="0" w:right="0" w:firstLine="0" w:firstLineChars="0"/>
                    <w:jc w:val="center"/>
                    <w:rPr>
                      <w:rFonts w:hint="default"/>
                      <w:sz w:val="21"/>
                      <w:szCs w:val="21"/>
                      <w:highlight w:val="yellow"/>
                    </w:rPr>
                  </w:pPr>
                </w:p>
              </w:tc>
            </w:tr>
            <w:tr w14:paraId="7C5DA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restart"/>
                  <w:tcBorders>
                    <w:top w:val="single" w:color="auto" w:sz="4" w:space="0"/>
                    <w:left w:val="nil"/>
                    <w:right w:val="single" w:color="auto" w:sz="4" w:space="0"/>
                  </w:tcBorders>
                  <w:vAlign w:val="center"/>
                </w:tcPr>
                <w:p w14:paraId="7EAE950A">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污染物排放管控</w:t>
                  </w:r>
                </w:p>
              </w:tc>
              <w:tc>
                <w:tcPr>
                  <w:tcW w:w="3260" w:type="dxa"/>
                  <w:tcBorders>
                    <w:top w:val="single" w:color="auto" w:sz="4" w:space="0"/>
                    <w:left w:val="nil"/>
                    <w:bottom w:val="single" w:color="auto" w:sz="4" w:space="0"/>
                    <w:right w:val="single" w:color="auto" w:sz="4" w:space="0"/>
                  </w:tcBorders>
                  <w:vAlign w:val="center"/>
                </w:tcPr>
                <w:p w14:paraId="7369EEAE">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1、禁止发展环境污染严重、无污染治理技术或治理技术在技术经济上不可行的项目。</w:t>
                  </w:r>
                </w:p>
              </w:tc>
              <w:tc>
                <w:tcPr>
                  <w:tcW w:w="3018" w:type="dxa"/>
                  <w:tcBorders>
                    <w:top w:val="single" w:color="auto" w:sz="4" w:space="0"/>
                    <w:left w:val="nil"/>
                    <w:bottom w:val="single" w:color="auto" w:sz="4" w:space="0"/>
                    <w:right w:val="single" w:color="auto" w:sz="4" w:space="0"/>
                  </w:tcBorders>
                  <w:vAlign w:val="center"/>
                </w:tcPr>
                <w:p w14:paraId="2DD583D4">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w:t>
                  </w:r>
                  <w:r>
                    <w:rPr>
                      <w:rFonts w:hint="eastAsia" w:ascii="Times New Roman" w:hAnsi="Times New Roman" w:cs="Times New Roman"/>
                      <w:b w:val="0"/>
                      <w:bCs w:val="0"/>
                      <w:sz w:val="21"/>
                      <w:szCs w:val="21"/>
                      <w:lang w:val="en-US" w:eastAsia="zh-CN"/>
                    </w:rPr>
                    <w:t>废气经设备自带滤筒除尘器</w:t>
                  </w:r>
                  <w:r>
                    <w:rPr>
                      <w:rFonts w:hint="eastAsia"/>
                      <w:b w:val="0"/>
                      <w:sz w:val="21"/>
                      <w:szCs w:val="21"/>
                    </w:rPr>
                    <w:t>治理，</w:t>
                  </w:r>
                  <w:r>
                    <w:rPr>
                      <w:rFonts w:hint="eastAsia" w:ascii="Times New Roman" w:hAnsi="Times New Roman" w:cs="Times New Roman"/>
                      <w:b w:val="0"/>
                      <w:bCs w:val="0"/>
                      <w:sz w:val="21"/>
                      <w:szCs w:val="21"/>
                    </w:rPr>
                    <w:t>上述治理技术在技术经济上可行。</w:t>
                  </w:r>
                </w:p>
              </w:tc>
              <w:tc>
                <w:tcPr>
                  <w:tcW w:w="520" w:type="dxa"/>
                  <w:tcBorders>
                    <w:top w:val="single" w:color="auto" w:sz="4" w:space="0"/>
                    <w:left w:val="nil"/>
                    <w:bottom w:val="single" w:color="auto" w:sz="4" w:space="0"/>
                    <w:right w:val="nil"/>
                  </w:tcBorders>
                  <w:vAlign w:val="center"/>
                </w:tcPr>
                <w:p w14:paraId="0DB93813">
                  <w:pPr>
                    <w:keepNext w:val="0"/>
                    <w:keepLines w:val="0"/>
                    <w:suppressLineNumbers w:val="0"/>
                    <w:spacing w:before="0" w:beforeAutospacing="0" w:after="0" w:afterAutospacing="0" w:line="240" w:lineRule="auto"/>
                    <w:ind w:left="0" w:right="0" w:firstLine="0" w:firstLineChars="0"/>
                    <w:jc w:val="center"/>
                    <w:rPr>
                      <w:rFonts w:hint="default"/>
                      <w:sz w:val="21"/>
                      <w:szCs w:val="21"/>
                      <w:highlight w:val="yellow"/>
                    </w:rPr>
                  </w:pPr>
                  <w:r>
                    <w:rPr>
                      <w:rFonts w:hint="eastAsia"/>
                      <w:sz w:val="21"/>
                      <w:szCs w:val="21"/>
                    </w:rPr>
                    <w:t>符合</w:t>
                  </w:r>
                </w:p>
              </w:tc>
            </w:tr>
            <w:tr w14:paraId="6D339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vMerge w:val="continue"/>
                  <w:tcBorders>
                    <w:left w:val="nil"/>
                    <w:bottom w:val="single" w:color="auto" w:sz="4" w:space="0"/>
                    <w:right w:val="single" w:color="auto" w:sz="4" w:space="0"/>
                  </w:tcBorders>
                  <w:vAlign w:val="center"/>
                </w:tcPr>
                <w:p w14:paraId="690B7B95">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p>
              </w:tc>
              <w:tc>
                <w:tcPr>
                  <w:tcW w:w="3260" w:type="dxa"/>
                  <w:tcBorders>
                    <w:top w:val="single" w:color="auto" w:sz="4" w:space="0"/>
                    <w:left w:val="nil"/>
                    <w:bottom w:val="single" w:color="auto" w:sz="4" w:space="0"/>
                    <w:right w:val="single" w:color="auto" w:sz="4" w:space="0"/>
                  </w:tcBorders>
                  <w:vAlign w:val="center"/>
                </w:tcPr>
                <w:p w14:paraId="0B3A7AC6">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2、禁止入驻废水处理难度大且处理工艺不成熟，排水可能影响集中污水处理厂稳定运行达标排放的项目。</w:t>
                  </w:r>
                </w:p>
              </w:tc>
              <w:tc>
                <w:tcPr>
                  <w:tcW w:w="3018" w:type="dxa"/>
                  <w:tcBorders>
                    <w:top w:val="single" w:color="auto" w:sz="4" w:space="0"/>
                    <w:left w:val="nil"/>
                    <w:bottom w:val="single" w:color="auto" w:sz="4" w:space="0"/>
                    <w:right w:val="single" w:color="auto" w:sz="4" w:space="0"/>
                  </w:tcBorders>
                  <w:vAlign w:val="center"/>
                </w:tcPr>
                <w:p w14:paraId="3D13C9E4">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本项目外排废水为生活污水，废水处理难度小且治理工艺成熟，排水不影响集中污水处理厂稳定运行达标排放。</w:t>
                  </w:r>
                </w:p>
              </w:tc>
              <w:tc>
                <w:tcPr>
                  <w:tcW w:w="520" w:type="dxa"/>
                  <w:tcBorders>
                    <w:top w:val="single" w:color="auto" w:sz="4" w:space="0"/>
                    <w:left w:val="nil"/>
                    <w:bottom w:val="single" w:color="auto" w:sz="4" w:space="0"/>
                    <w:right w:val="nil"/>
                  </w:tcBorders>
                  <w:vAlign w:val="center"/>
                </w:tcPr>
                <w:p w14:paraId="6EBB7129">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4CA5F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tcBorders>
                    <w:top w:val="single" w:color="auto" w:sz="4" w:space="0"/>
                    <w:left w:val="nil"/>
                    <w:right w:val="single" w:color="auto" w:sz="4" w:space="0"/>
                  </w:tcBorders>
                  <w:vAlign w:val="center"/>
                </w:tcPr>
                <w:p w14:paraId="3A22467D">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环境风险防控</w:t>
                  </w:r>
                </w:p>
              </w:tc>
              <w:tc>
                <w:tcPr>
                  <w:tcW w:w="3260" w:type="dxa"/>
                  <w:tcBorders>
                    <w:top w:val="single" w:color="auto" w:sz="4" w:space="0"/>
                    <w:left w:val="nil"/>
                    <w:bottom w:val="single" w:color="auto" w:sz="4" w:space="0"/>
                    <w:right w:val="single" w:color="auto" w:sz="4" w:space="0"/>
                  </w:tcBorders>
                  <w:vAlign w:val="center"/>
                </w:tcPr>
                <w:p w14:paraId="013E22E7">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禁止入驻与环境敏感目标间距不能满足建设项目环评文件或行业规定的防护距离要求的项目。</w:t>
                  </w:r>
                </w:p>
              </w:tc>
              <w:tc>
                <w:tcPr>
                  <w:tcW w:w="3018" w:type="dxa"/>
                  <w:tcBorders>
                    <w:top w:val="single" w:color="auto" w:sz="4" w:space="0"/>
                    <w:left w:val="nil"/>
                    <w:bottom w:val="single" w:color="auto" w:sz="4" w:space="0"/>
                    <w:right w:val="single" w:color="auto" w:sz="4" w:space="0"/>
                  </w:tcBorders>
                  <w:vAlign w:val="center"/>
                </w:tcPr>
                <w:p w14:paraId="583F9BA4">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本项目不涉及。</w:t>
                  </w:r>
                </w:p>
              </w:tc>
              <w:tc>
                <w:tcPr>
                  <w:tcW w:w="520" w:type="dxa"/>
                  <w:tcBorders>
                    <w:top w:val="single" w:color="auto" w:sz="4" w:space="0"/>
                    <w:left w:val="nil"/>
                    <w:bottom w:val="single" w:color="auto" w:sz="4" w:space="0"/>
                    <w:right w:val="nil"/>
                  </w:tcBorders>
                  <w:vAlign w:val="center"/>
                </w:tcPr>
                <w:p w14:paraId="343832A3">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r w14:paraId="50EE4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09" w:type="dxa"/>
                  <w:tcBorders>
                    <w:top w:val="single" w:color="auto" w:sz="4" w:space="0"/>
                    <w:left w:val="nil"/>
                    <w:bottom w:val="single" w:color="auto" w:sz="8" w:space="0"/>
                    <w:right w:val="single" w:color="auto" w:sz="4" w:space="0"/>
                  </w:tcBorders>
                  <w:vAlign w:val="center"/>
                </w:tcPr>
                <w:p w14:paraId="468AF542">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资源开发利用要求</w:t>
                  </w:r>
                </w:p>
              </w:tc>
              <w:tc>
                <w:tcPr>
                  <w:tcW w:w="3260" w:type="dxa"/>
                  <w:tcBorders>
                    <w:top w:val="single" w:color="auto" w:sz="4" w:space="0"/>
                    <w:left w:val="nil"/>
                    <w:bottom w:val="single" w:color="auto" w:sz="8" w:space="0"/>
                    <w:right w:val="single" w:color="auto" w:sz="4" w:space="0"/>
                  </w:tcBorders>
                  <w:vAlign w:val="center"/>
                </w:tcPr>
                <w:p w14:paraId="53C65F26">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禁止清洁生产水平达不到国内先进水平的项目。</w:t>
                  </w:r>
                </w:p>
              </w:tc>
              <w:tc>
                <w:tcPr>
                  <w:tcW w:w="3018" w:type="dxa"/>
                  <w:tcBorders>
                    <w:top w:val="single" w:color="auto" w:sz="4" w:space="0"/>
                    <w:left w:val="nil"/>
                    <w:bottom w:val="single" w:color="auto" w:sz="8" w:space="0"/>
                    <w:right w:val="single" w:color="auto" w:sz="4" w:space="0"/>
                  </w:tcBorders>
                  <w:vAlign w:val="center"/>
                </w:tcPr>
                <w:p w14:paraId="2CDDA1A8">
                  <w:pPr>
                    <w:pStyle w:val="80"/>
                    <w:keepNext w:val="0"/>
                    <w:keepLines w:val="0"/>
                    <w:suppressLineNumbers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本项目清洁生产水平达到国内先进水平。</w:t>
                  </w:r>
                </w:p>
              </w:tc>
              <w:tc>
                <w:tcPr>
                  <w:tcW w:w="520" w:type="dxa"/>
                  <w:tcBorders>
                    <w:top w:val="single" w:color="auto" w:sz="4" w:space="0"/>
                    <w:left w:val="nil"/>
                    <w:bottom w:val="single" w:color="auto" w:sz="8" w:space="0"/>
                    <w:right w:val="nil"/>
                  </w:tcBorders>
                  <w:vAlign w:val="center"/>
                </w:tcPr>
                <w:p w14:paraId="0E0E07A9">
                  <w:pPr>
                    <w:keepNext w:val="0"/>
                    <w:keepLines w:val="0"/>
                    <w:suppressLineNumbers w:val="0"/>
                    <w:spacing w:before="0" w:beforeAutospacing="0" w:after="0" w:afterAutospacing="0" w:line="240" w:lineRule="auto"/>
                    <w:ind w:left="0" w:right="0" w:firstLine="0" w:firstLineChars="0"/>
                    <w:jc w:val="center"/>
                    <w:rPr>
                      <w:rFonts w:hint="default"/>
                      <w:sz w:val="21"/>
                      <w:szCs w:val="21"/>
                    </w:rPr>
                  </w:pPr>
                  <w:r>
                    <w:rPr>
                      <w:rFonts w:hint="eastAsia"/>
                      <w:sz w:val="21"/>
                      <w:szCs w:val="21"/>
                    </w:rPr>
                    <w:t>符合</w:t>
                  </w:r>
                </w:p>
              </w:tc>
            </w:tr>
          </w:tbl>
          <w:p w14:paraId="53E97A64">
            <w:pPr>
              <w:keepNext w:val="0"/>
              <w:keepLines w:val="0"/>
              <w:suppressLineNumbers w:val="0"/>
              <w:adjustRightInd w:val="0"/>
              <w:snapToGrid w:val="0"/>
              <w:spacing w:before="0" w:beforeAutospacing="0" w:after="0" w:afterAutospacing="0" w:line="480" w:lineRule="exact"/>
              <w:ind w:left="0" w:right="0" w:firstLine="480"/>
              <w:rPr>
                <w:rFonts w:hint="default"/>
              </w:rPr>
            </w:pPr>
            <w:r>
              <w:rPr>
                <w:rFonts w:hint="eastAsia"/>
              </w:rPr>
              <w:t>根据《新乡县智能制造产业园区总体发展规划（2021-2035年）-土地利用规划图》，项目所占用地为二类工业用地，符合新乡县智能制造产业园区总体发展规划要求</w:t>
            </w:r>
            <w:r>
              <w:rPr>
                <w:rFonts w:hint="default"/>
              </w:rPr>
              <w:t>。</w:t>
            </w:r>
          </w:p>
          <w:p w14:paraId="7D75759B">
            <w:pPr>
              <w:keepNext w:val="0"/>
              <w:keepLines w:val="0"/>
              <w:suppressLineNumbers w:val="0"/>
              <w:adjustRightInd w:val="0"/>
              <w:snapToGrid w:val="0"/>
              <w:spacing w:before="0" w:beforeAutospacing="0" w:after="0" w:afterAutospacing="0" w:line="460" w:lineRule="exact"/>
              <w:ind w:left="0" w:right="0" w:firstLine="482"/>
              <w:rPr>
                <w:rFonts w:hint="default"/>
                <w:b/>
                <w:bCs/>
                <w:color w:val="000000"/>
              </w:rPr>
            </w:pPr>
            <w:r>
              <w:rPr>
                <w:rFonts w:hint="eastAsia"/>
                <w:b/>
                <w:bCs/>
                <w:color w:val="000000"/>
              </w:rPr>
              <w:t>2、本项目与新乡县智能制造产业园区总体发展规划环评结论的相符性分析</w:t>
            </w:r>
          </w:p>
          <w:p w14:paraId="11C030A8">
            <w:pPr>
              <w:keepNext w:val="0"/>
              <w:keepLines w:val="0"/>
              <w:suppressLineNumbers w:val="0"/>
              <w:adjustRightInd w:val="0"/>
              <w:snapToGrid w:val="0"/>
              <w:spacing w:before="0" w:beforeAutospacing="0" w:after="0" w:afterAutospacing="0" w:line="460" w:lineRule="exact"/>
              <w:ind w:left="0" w:right="0" w:firstLine="480"/>
              <w:jc w:val="center"/>
              <w:rPr>
                <w:rFonts w:hint="default" w:ascii="Times New Roman" w:hAnsi="Times New Roman" w:eastAsia="宋体" w:cs="Times New Roman"/>
                <w:b/>
                <w:bCs/>
              </w:rPr>
            </w:pPr>
            <w:r>
              <w:rPr>
                <w:rFonts w:hint="default" w:ascii="Times New Roman" w:hAnsi="Times New Roman" w:eastAsia="宋体" w:cs="Times New Roman"/>
                <w:b/>
                <w:bCs/>
              </w:rPr>
              <w:t>表</w:t>
            </w:r>
            <w:r>
              <w:rPr>
                <w:rFonts w:hint="default" w:ascii="Times New Roman" w:hAnsi="Times New Roman" w:eastAsia="宋体" w:cs="Times New Roman"/>
                <w:b/>
                <w:bCs/>
                <w:lang w:val="en-US" w:eastAsia="zh-CN"/>
              </w:rPr>
              <w:t>3</w:t>
            </w:r>
            <w:r>
              <w:rPr>
                <w:rFonts w:hint="default" w:ascii="Times New Roman" w:hAnsi="Times New Roman" w:eastAsia="宋体" w:cs="Times New Roman"/>
                <w:b/>
                <w:bCs/>
              </w:rPr>
              <w:t xml:space="preserve">      与集聚区规划环评结论相符性分析一览表</w:t>
            </w:r>
          </w:p>
          <w:tbl>
            <w:tblPr>
              <w:tblStyle w:val="22"/>
              <w:tblpPr w:leftFromText="180" w:rightFromText="180" w:vertAnchor="text" w:tblpXSpec="center" w:tblpY="1"/>
              <w:tblOverlap w:val="never"/>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4" w:space="0"/>
              </w:tblBorders>
              <w:tblLayout w:type="autofit"/>
              <w:tblCellMar>
                <w:top w:w="0" w:type="dxa"/>
                <w:left w:w="28" w:type="dxa"/>
                <w:bottom w:w="0" w:type="dxa"/>
                <w:right w:w="28" w:type="dxa"/>
              </w:tblCellMar>
            </w:tblPr>
            <w:tblGrid>
              <w:gridCol w:w="633"/>
              <w:gridCol w:w="5078"/>
              <w:gridCol w:w="2301"/>
              <w:gridCol w:w="883"/>
            </w:tblGrid>
            <w:tr w14:paraId="638C8CF9">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28" w:type="dxa"/>
                  <w:bottom w:w="0" w:type="dxa"/>
                  <w:right w:w="28" w:type="dxa"/>
                </w:tblCellMar>
              </w:tblPrEx>
              <w:trPr>
                <w:trHeight w:val="397" w:hRule="atLeast"/>
              </w:trPr>
              <w:tc>
                <w:tcPr>
                  <w:tcW w:w="551" w:type="dxa"/>
                  <w:tcBorders>
                    <w:tl2br w:val="nil"/>
                    <w:tr2bl w:val="nil"/>
                  </w:tcBorders>
                  <w:vAlign w:val="center"/>
                </w:tcPr>
                <w:p w14:paraId="53EB4B7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szCs w:val="21"/>
                    </w:rPr>
                  </w:pPr>
                  <w:r>
                    <w:rPr>
                      <w:rFonts w:hint="default"/>
                      <w:b/>
                      <w:bCs/>
                      <w:szCs w:val="21"/>
                    </w:rPr>
                    <w:t>序号</w:t>
                  </w:r>
                </w:p>
              </w:tc>
              <w:tc>
                <w:tcPr>
                  <w:tcW w:w="4420" w:type="dxa"/>
                  <w:tcBorders>
                    <w:tl2br w:val="nil"/>
                    <w:tr2bl w:val="nil"/>
                  </w:tcBorders>
                  <w:vAlign w:val="center"/>
                </w:tcPr>
                <w:p w14:paraId="7AA0998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szCs w:val="21"/>
                    </w:rPr>
                  </w:pPr>
                  <w:r>
                    <w:rPr>
                      <w:rFonts w:hint="default"/>
                      <w:b/>
                      <w:bCs/>
                      <w:szCs w:val="21"/>
                    </w:rPr>
                    <w:t>规划环评结论及审查意见</w:t>
                  </w:r>
                </w:p>
              </w:tc>
              <w:tc>
                <w:tcPr>
                  <w:tcW w:w="2003" w:type="dxa"/>
                  <w:tcBorders>
                    <w:tl2br w:val="nil"/>
                    <w:tr2bl w:val="nil"/>
                  </w:tcBorders>
                  <w:vAlign w:val="center"/>
                </w:tcPr>
                <w:p w14:paraId="39A2071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szCs w:val="21"/>
                    </w:rPr>
                  </w:pPr>
                  <w:r>
                    <w:rPr>
                      <w:rFonts w:hint="default"/>
                      <w:b/>
                      <w:bCs/>
                      <w:szCs w:val="21"/>
                    </w:rPr>
                    <w:t>本项目情况</w:t>
                  </w:r>
                </w:p>
              </w:tc>
              <w:tc>
                <w:tcPr>
                  <w:tcW w:w="768" w:type="dxa"/>
                  <w:tcBorders>
                    <w:tl2br w:val="nil"/>
                    <w:tr2bl w:val="nil"/>
                  </w:tcBorders>
                  <w:vAlign w:val="center"/>
                </w:tcPr>
                <w:p w14:paraId="3632DF4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b/>
                      <w:bCs/>
                      <w:szCs w:val="21"/>
                    </w:rPr>
                  </w:pPr>
                  <w:r>
                    <w:rPr>
                      <w:rFonts w:hint="default"/>
                      <w:b/>
                      <w:bCs/>
                      <w:szCs w:val="21"/>
                    </w:rPr>
                    <w:t>相符性</w:t>
                  </w:r>
                </w:p>
              </w:tc>
            </w:tr>
            <w:tr w14:paraId="3CB6AC1C">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tblCellMar>
                  <w:top w:w="0" w:type="dxa"/>
                  <w:left w:w="28" w:type="dxa"/>
                  <w:bottom w:w="0" w:type="dxa"/>
                  <w:right w:w="28" w:type="dxa"/>
                </w:tblCellMar>
              </w:tblPrEx>
              <w:trPr>
                <w:trHeight w:val="397" w:hRule="atLeast"/>
              </w:trPr>
              <w:tc>
                <w:tcPr>
                  <w:tcW w:w="551" w:type="dxa"/>
                  <w:tcBorders>
                    <w:tl2br w:val="nil"/>
                    <w:tr2bl w:val="nil"/>
                  </w:tcBorders>
                  <w:vAlign w:val="center"/>
                </w:tcPr>
                <w:p w14:paraId="4421E386">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w:t>
                  </w:r>
                </w:p>
              </w:tc>
              <w:tc>
                <w:tcPr>
                  <w:tcW w:w="4420" w:type="dxa"/>
                  <w:tcBorders>
                    <w:tl2br w:val="nil"/>
                    <w:tr2bl w:val="nil"/>
                  </w:tcBorders>
                  <w:vAlign w:val="center"/>
                </w:tcPr>
                <w:p w14:paraId="2BFBDF32">
                  <w:pPr>
                    <w:pStyle w:val="80"/>
                    <w:keepNext w:val="0"/>
                    <w:keepLines w:val="0"/>
                    <w:suppressLineNumbers w:val="0"/>
                    <w:adjustRightInd w:val="0"/>
                    <w:snapToGrid w:val="0"/>
                    <w:spacing w:before="0" w:beforeAutospacing="0" w:after="0" w:afterAutospacing="0"/>
                    <w:ind w:left="0" w:right="0"/>
                    <w:jc w:val="both"/>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（四）严格控制污染物排放</w:t>
                  </w:r>
                </w:p>
                <w:p w14:paraId="13F6D0A1">
                  <w:pPr>
                    <w:pStyle w:val="80"/>
                    <w:keepNext w:val="0"/>
                    <w:keepLines w:val="0"/>
                    <w:suppressLineNumbers w:val="0"/>
                    <w:adjustRightInd w:val="0"/>
                    <w:snapToGrid w:val="0"/>
                    <w:spacing w:before="0" w:beforeAutospacing="0" w:after="0" w:afterAutospacing="0"/>
                    <w:ind w:left="0" w:right="0"/>
                    <w:jc w:val="both"/>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严格执行污染物排放总量控制制度，采取调整能源结构、加强污染治理等措施，严格控制烟粉尘、二氧化硫、氮氧化物、VOC等大气污染物的排放，大气污染物排放严格执行新的排放标准要求。园区所有废水应全部进入新乡县综合污水处理厂处理。定期对地下水质进行监测，发现问题及时采取有效防治措施，避免对地下水造成污染。</w:t>
                  </w:r>
                </w:p>
                <w:p w14:paraId="0E7E9C81">
                  <w:pPr>
                    <w:pStyle w:val="80"/>
                    <w:keepNext w:val="0"/>
                    <w:keepLines w:val="0"/>
                    <w:suppressLineNumbers w:val="0"/>
                    <w:adjustRightInd w:val="0"/>
                    <w:snapToGrid w:val="0"/>
                    <w:spacing w:before="0" w:beforeAutospacing="0" w:after="0" w:afterAutospacing="0"/>
                    <w:ind w:left="0" w:right="0"/>
                    <w:jc w:val="both"/>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按照循环经济的要求，提高固体废物的综合利用率，一般工业固废回收或综合利用，外排固废应统一运至专用处置场安全处置，严禁企业随意弃置；危险废物要做到安全处置，危险固废的收集、贮存应满足《危险废物贮存污染控制标准》 GB18597-2001)及修改单的要求，并送有资质的危险废物处置单位处置，危险废物的转运应执行《危险废物转移管理办法》的有关规定。</w:t>
                  </w:r>
                </w:p>
              </w:tc>
              <w:tc>
                <w:tcPr>
                  <w:tcW w:w="2003" w:type="dxa"/>
                  <w:tcBorders>
                    <w:tl2br w:val="nil"/>
                    <w:tr2bl w:val="nil"/>
                  </w:tcBorders>
                  <w:vAlign w:val="center"/>
                </w:tcPr>
                <w:p w14:paraId="1DA19A93">
                  <w:pPr>
                    <w:pStyle w:val="80"/>
                    <w:keepNext w:val="0"/>
                    <w:keepLines w:val="0"/>
                    <w:suppressLineNumbers w:val="0"/>
                    <w:adjustRightInd w:val="0"/>
                    <w:snapToGrid w:val="0"/>
                    <w:spacing w:before="0" w:beforeAutospacing="0" w:after="0" w:afterAutospacing="0"/>
                    <w:ind w:left="0" w:right="0"/>
                    <w:jc w:val="center"/>
                    <w:outlineLvl w:val="9"/>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rPr>
                    <w:t>本项目严格落实污染物排放总量控制要求，废气采用</w:t>
                  </w:r>
                  <w:r>
                    <w:rPr>
                      <w:rFonts w:hint="eastAsia" w:ascii="Times New Roman" w:hAnsi="Times New Roman" w:cs="Times New Roman"/>
                      <w:b w:val="0"/>
                      <w:bCs w:val="0"/>
                      <w:sz w:val="21"/>
                      <w:szCs w:val="21"/>
                      <w:lang w:val="en-US" w:eastAsia="zh-CN"/>
                    </w:rPr>
                    <w:t>设备自带滤筒除尘器</w:t>
                  </w:r>
                  <w:r>
                    <w:rPr>
                      <w:rFonts w:hint="eastAsia" w:ascii="Times New Roman" w:hAnsi="Times New Roman" w:cs="Times New Roman"/>
                      <w:b w:val="0"/>
                      <w:bCs w:val="0"/>
                      <w:sz w:val="21"/>
                      <w:szCs w:val="21"/>
                    </w:rPr>
                    <w:t>治理，有效减少大气污染物排放量；本项目</w:t>
                  </w:r>
                  <w:r>
                    <w:rPr>
                      <w:rFonts w:hint="eastAsia" w:ascii="Times New Roman" w:hAnsi="Times New Roman" w:cs="Times New Roman"/>
                      <w:b w:val="0"/>
                      <w:bCs w:val="0"/>
                      <w:sz w:val="21"/>
                      <w:szCs w:val="21"/>
                      <w:lang w:val="en-US" w:eastAsia="zh-CN"/>
                    </w:rPr>
                    <w:t>生活污水经化粪池处理后经污水管网</w:t>
                  </w:r>
                  <w:r>
                    <w:rPr>
                      <w:rFonts w:hint="eastAsia" w:ascii="Times New Roman" w:hAnsi="Times New Roman" w:cs="Times New Roman"/>
                      <w:b w:val="0"/>
                      <w:bCs w:val="0"/>
                      <w:sz w:val="21"/>
                      <w:szCs w:val="21"/>
                    </w:rPr>
                    <w:t>排入新乡县综合污水处理厂处理；本项目一般固废于一般固废间暂存后定期外售；危险废物采用</w:t>
                  </w:r>
                  <w:r>
                    <w:rPr>
                      <w:rFonts w:hint="default"/>
                      <w:b w:val="0"/>
                      <w:bCs w:val="0"/>
                      <w:color w:val="000000" w:themeColor="text1"/>
                      <w:sz w:val="21"/>
                      <w:szCs w:val="21"/>
                      <w14:textFill>
                        <w14:solidFill>
                          <w14:schemeClr w14:val="tx1"/>
                        </w14:solidFill>
                      </w14:textFill>
                    </w:rPr>
                    <w:t>专用容器收集，在危废暂存间分类暂存，定期委托有相应危废处置资质的单位处置</w:t>
                  </w:r>
                  <w:r>
                    <w:rPr>
                      <w:rFonts w:hint="eastAsia"/>
                      <w:b w:val="0"/>
                      <w:bCs w:val="0"/>
                      <w:color w:val="000000" w:themeColor="text1"/>
                      <w:sz w:val="21"/>
                      <w:szCs w:val="21"/>
                      <w14:textFill>
                        <w14:solidFill>
                          <w14:schemeClr w14:val="tx1"/>
                        </w14:solidFill>
                      </w14:textFill>
                    </w:rPr>
                    <w:t>，满足固废管理要求。</w:t>
                  </w:r>
                </w:p>
              </w:tc>
              <w:tc>
                <w:tcPr>
                  <w:tcW w:w="768" w:type="dxa"/>
                  <w:tcBorders>
                    <w:tl2br w:val="nil"/>
                    <w:tr2bl w:val="nil"/>
                  </w:tcBorders>
                  <w:vAlign w:val="center"/>
                </w:tcPr>
                <w:p w14:paraId="5446AF6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szCs w:val="21"/>
                    </w:rPr>
                  </w:pPr>
                  <w:r>
                    <w:rPr>
                      <w:rFonts w:hint="default"/>
                      <w:szCs w:val="21"/>
                    </w:rPr>
                    <w:t>符合</w:t>
                  </w:r>
                </w:p>
              </w:tc>
            </w:tr>
          </w:tbl>
          <w:p w14:paraId="2EE011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0BB72E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5B6B7F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3B4A85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147F76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7A2FA9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0C58BB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3B4DA0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68FBB4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50429B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000000"/>
                <w:lang w:val="en-US" w:eastAsia="zh-CN"/>
              </w:rPr>
            </w:pPr>
          </w:p>
          <w:p w14:paraId="62CA69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default"/>
                <w:color w:val="000000"/>
                <w:lang w:val="en-US" w:eastAsia="zh-CN"/>
              </w:rPr>
            </w:pPr>
          </w:p>
          <w:p w14:paraId="372788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default"/>
                <w:color w:val="000000"/>
                <w:lang w:val="en-US" w:eastAsia="zh-CN"/>
              </w:rPr>
            </w:pPr>
          </w:p>
          <w:p w14:paraId="0E7BA2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default"/>
                <w:color w:val="000000"/>
                <w:lang w:val="en-US" w:eastAsia="zh-CN"/>
              </w:rPr>
            </w:pPr>
          </w:p>
        </w:tc>
      </w:tr>
      <w:tr w14:paraId="37809C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92" w:type="dxa"/>
          <w:trHeight w:val="13715" w:hRule="atLeast"/>
          <w:jc w:val="center"/>
        </w:trPr>
        <w:tc>
          <w:tcPr>
            <w:tcW w:w="1032" w:type="dxa"/>
            <w:gridSpan w:val="2"/>
            <w:noWrap w:val="0"/>
            <w:vAlign w:val="center"/>
          </w:tcPr>
          <w:p w14:paraId="0E627DC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40" w:lineRule="exact"/>
              <w:ind w:left="0" w:right="0"/>
              <w:jc w:val="center"/>
              <w:textAlignment w:val="auto"/>
              <w:rPr>
                <w:rFonts w:hint="default"/>
                <w:kern w:val="0"/>
                <w:sz w:val="24"/>
              </w:rPr>
            </w:pPr>
            <w:r>
              <w:rPr>
                <w:rFonts w:hint="default" w:hAnsi="宋体"/>
                <w:kern w:val="0"/>
                <w:sz w:val="24"/>
              </w:rPr>
              <w:t>其他符合性分析</w:t>
            </w:r>
          </w:p>
        </w:tc>
        <w:tc>
          <w:tcPr>
            <w:tcW w:w="8722" w:type="dxa"/>
            <w:noWrap w:val="0"/>
            <w:vAlign w:val="center"/>
          </w:tcPr>
          <w:p w14:paraId="1B3F792A">
            <w:pPr>
              <w:keepNext w:val="0"/>
              <w:keepLines w:val="0"/>
              <w:suppressLineNumbers w:val="0"/>
              <w:spacing w:before="0" w:beforeAutospacing="0" w:after="0" w:afterAutospacing="0" w:line="440" w:lineRule="exact"/>
              <w:ind w:left="0" w:right="0" w:firstLine="482" w:firstLineChars="200"/>
              <w:textAlignment w:val="baseline"/>
              <w:rPr>
                <w:rFonts w:hint="eastAsia" w:ascii="宋体" w:hAnsi="宋体"/>
                <w:b/>
                <w:bCs/>
                <w:color w:val="000000"/>
                <w:sz w:val="24"/>
              </w:rPr>
            </w:pPr>
            <w:r>
              <w:rPr>
                <w:rFonts w:hint="default" w:ascii="Times New Roman" w:hAnsi="Times New Roman" w:cs="Times New Roman"/>
                <w:b/>
                <w:bCs/>
                <w:color w:val="000000"/>
                <w:sz w:val="24"/>
              </w:rPr>
              <w:t>1</w:t>
            </w:r>
            <w:r>
              <w:rPr>
                <w:rFonts w:hint="eastAsia" w:ascii="宋体" w:hAnsi="宋体"/>
                <w:b/>
                <w:bCs/>
                <w:color w:val="000000"/>
                <w:sz w:val="24"/>
              </w:rPr>
              <w:t>、“三线一单”符合性分析</w:t>
            </w:r>
          </w:p>
          <w:p w14:paraId="758A0D85">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b/>
                <w:bCs/>
                <w:color w:val="000000"/>
                <w:sz w:val="24"/>
              </w:rPr>
            </w:pPr>
            <w:r>
              <w:rPr>
                <w:rFonts w:hint="eastAsia" w:ascii="宋体" w:hAnsi="宋体"/>
                <w:color w:val="000000"/>
                <w:sz w:val="24"/>
              </w:rPr>
              <w:t>根据《关于以改善环境质量为核心加强环境影响评价管理的通知》(环环评</w:t>
            </w:r>
            <w:r>
              <w:rPr>
                <w:rFonts w:hint="default" w:ascii="Times New Roman" w:hAnsi="Times New Roman" w:cs="Times New Roman"/>
                <w:color w:val="000000"/>
                <w:sz w:val="24"/>
              </w:rPr>
              <w:t>[2016]150</w:t>
            </w:r>
            <w:r>
              <w:rPr>
                <w:rFonts w:hint="eastAsia" w:ascii="宋体" w:hAnsi="宋体"/>
                <w:color w:val="000000"/>
                <w:sz w:val="24"/>
              </w:rPr>
              <w:t>号)要求，落实“生态保护红线、环境质量底线、资源利用上线和环境准入负面清单”（以下简称“三线一单”）约束，现分析如下</w:t>
            </w:r>
            <w:r>
              <w:rPr>
                <w:rFonts w:hint="eastAsia" w:ascii="宋体" w:hAnsi="宋体"/>
                <w:color w:val="000000"/>
                <w:sz w:val="24"/>
                <w:lang w:eastAsia="zh-CN"/>
              </w:rPr>
              <w:t>：</w:t>
            </w:r>
          </w:p>
          <w:p w14:paraId="3A13536D">
            <w:pPr>
              <w:keepNext w:val="0"/>
              <w:keepLines w:val="0"/>
              <w:suppressLineNumbers w:val="0"/>
              <w:spacing w:before="0" w:beforeAutospacing="0" w:after="0" w:afterAutospacing="0" w:line="440" w:lineRule="exact"/>
              <w:ind w:left="0" w:right="0" w:firstLine="482" w:firstLineChars="200"/>
              <w:textAlignment w:val="baseline"/>
              <w:rPr>
                <w:rFonts w:hint="eastAsia" w:ascii="宋体" w:hAnsi="宋体" w:eastAsia="宋体"/>
                <w:b/>
                <w:bCs/>
                <w:color w:val="000000"/>
                <w:sz w:val="24"/>
                <w:lang w:eastAsia="zh-CN"/>
              </w:rPr>
            </w:pPr>
            <w:r>
              <w:rPr>
                <w:rFonts w:hint="eastAsia" w:ascii="宋体" w:hAnsi="宋体"/>
                <w:b/>
                <w:bCs/>
                <w:color w:val="000000"/>
                <w:sz w:val="24"/>
              </w:rPr>
              <w:t>（</w:t>
            </w:r>
            <w:r>
              <w:rPr>
                <w:rFonts w:hint="default" w:ascii="Times New Roman" w:hAnsi="Times New Roman" w:cs="Times New Roman"/>
                <w:b/>
                <w:bCs/>
                <w:color w:val="000000"/>
                <w:sz w:val="24"/>
              </w:rPr>
              <w:t>1</w:t>
            </w:r>
            <w:r>
              <w:rPr>
                <w:rFonts w:hint="eastAsia" w:ascii="宋体" w:hAnsi="宋体"/>
                <w:b/>
                <w:bCs/>
                <w:color w:val="000000"/>
                <w:sz w:val="24"/>
              </w:rPr>
              <w:t>）</w:t>
            </w:r>
            <w:r>
              <w:rPr>
                <w:rFonts w:hint="eastAsia" w:ascii="宋体" w:hAnsi="宋体"/>
                <w:b/>
                <w:bCs/>
                <w:color w:val="000000"/>
                <w:sz w:val="24"/>
                <w:lang w:eastAsia="zh-CN"/>
              </w:rPr>
              <w:t>生态保护红线相符性分析</w:t>
            </w:r>
          </w:p>
          <w:p w14:paraId="79A882EB">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eastAsia="宋体"/>
                <w:color w:val="000000" w:themeColor="text1"/>
                <w:sz w:val="24"/>
                <w:lang w:eastAsia="zh-CN"/>
                <w14:textFill>
                  <w14:solidFill>
                    <w14:schemeClr w14:val="tx1"/>
                  </w14:solidFill>
                </w14:textFill>
              </w:rPr>
            </w:pPr>
            <w:r>
              <w:rPr>
                <w:rFonts w:hint="default" w:ascii="宋体" w:hAnsi="宋体"/>
                <w:color w:val="000000" w:themeColor="text1"/>
                <w:sz w:val="24"/>
                <w14:textFill>
                  <w14:solidFill>
                    <w14:schemeClr w14:val="tx1"/>
                  </w14:solidFill>
                </w14:textFill>
              </w:rPr>
              <w:t>本项目所在地位</w:t>
            </w:r>
            <w:r>
              <w:rPr>
                <w:rFonts w:hint="default" w:ascii="宋体" w:hAnsi="宋体"/>
                <w:color w:val="auto"/>
                <w:sz w:val="24"/>
              </w:rPr>
              <w:t>于</w:t>
            </w:r>
            <w:r>
              <w:rPr>
                <w:rFonts w:hint="eastAsia" w:ascii="宋体" w:hAnsi="宋体" w:cs="宋体"/>
                <w:color w:val="auto"/>
                <w:sz w:val="24"/>
                <w:szCs w:val="24"/>
                <w:lang w:val="en-US" w:eastAsia="zh-CN"/>
              </w:rPr>
              <w:t>河南省新乡县翟坡镇中央大道与富兴路交叉口西南角处，</w:t>
            </w:r>
            <w:r>
              <w:rPr>
                <w:rFonts w:hint="eastAsia"/>
                <w:color w:val="000000"/>
                <w:sz w:val="24"/>
              </w:rPr>
              <w:t>不在当地饮用水源、风景区、自然保护区等生态保护区内，</w:t>
            </w:r>
            <w:r>
              <w:rPr>
                <w:rFonts w:hint="eastAsia" w:ascii="宋体" w:hAnsi="宋体"/>
                <w:color w:val="auto"/>
                <w:sz w:val="24"/>
                <w:highlight w:val="none"/>
              </w:rPr>
              <w:t>经查阅《新乡市生态</w:t>
            </w:r>
            <w:r>
              <w:rPr>
                <w:rFonts w:hint="eastAsia" w:ascii="宋体" w:hAnsi="宋体"/>
                <w:color w:val="auto"/>
                <w:sz w:val="24"/>
                <w:highlight w:val="none"/>
                <w:lang w:eastAsia="zh-CN"/>
              </w:rPr>
              <w:t>分区管控</w:t>
            </w:r>
            <w:r>
              <w:rPr>
                <w:rFonts w:hint="eastAsia" w:ascii="宋体" w:hAnsi="宋体"/>
                <w:color w:val="auto"/>
                <w:sz w:val="24"/>
                <w:highlight w:val="none"/>
              </w:rPr>
              <w:t>图》，本项</w:t>
            </w:r>
            <w:r>
              <w:rPr>
                <w:rFonts w:hint="eastAsia" w:ascii="宋体" w:hAnsi="宋体"/>
                <w:color w:val="auto"/>
                <w:sz w:val="24"/>
              </w:rPr>
              <w:t>目所</w:t>
            </w:r>
            <w:r>
              <w:rPr>
                <w:rFonts w:hint="eastAsia" w:ascii="宋体" w:hAnsi="宋体"/>
                <w:color w:val="000000" w:themeColor="text1"/>
                <w:sz w:val="24"/>
                <w14:textFill>
                  <w14:solidFill>
                    <w14:schemeClr w14:val="tx1"/>
                  </w14:solidFill>
                </w14:textFill>
              </w:rPr>
              <w:t>在地</w:t>
            </w:r>
            <w:r>
              <w:rPr>
                <w:rFonts w:hint="eastAsia" w:ascii="宋体" w:hAnsi="宋体"/>
                <w:color w:val="000000" w:themeColor="text1"/>
                <w:sz w:val="24"/>
                <w:lang w:eastAsia="zh-CN"/>
                <w14:textFill>
                  <w14:solidFill>
                    <w14:schemeClr w14:val="tx1"/>
                  </w14:solidFill>
                </w14:textFill>
              </w:rPr>
              <w:t>属于重点管控单元，不涉及生态保护红线。</w:t>
            </w:r>
          </w:p>
          <w:p w14:paraId="04F4CD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baseline"/>
              <w:rPr>
                <w:rFonts w:hint="eastAsia" w:eastAsia="宋体"/>
                <w:b/>
                <w:bCs/>
                <w:color w:val="FF0000"/>
                <w:sz w:val="24"/>
                <w:lang w:eastAsia="zh-CN"/>
              </w:rPr>
            </w:pPr>
            <w:r>
              <w:rPr>
                <w:rFonts w:hint="default"/>
                <w:sz w:val="24"/>
              </w:rPr>
              <mc:AlternateContent>
                <mc:Choice Requires="wps">
                  <w:drawing>
                    <wp:anchor distT="0" distB="0" distL="114300" distR="114300" simplePos="0" relativeHeight="251659264" behindDoc="0" locked="0" layoutInCell="1" allowOverlap="1">
                      <wp:simplePos x="0" y="0"/>
                      <wp:positionH relativeFrom="column">
                        <wp:posOffset>1997710</wp:posOffset>
                      </wp:positionH>
                      <wp:positionV relativeFrom="paragraph">
                        <wp:posOffset>1443355</wp:posOffset>
                      </wp:positionV>
                      <wp:extent cx="960755" cy="546735"/>
                      <wp:effectExtent l="621665" t="12700" r="17780" b="564515"/>
                      <wp:wrapNone/>
                      <wp:docPr id="207" name="圆角矩形标注 207"/>
                      <wp:cNvGraphicFramePr/>
                      <a:graphic xmlns:a="http://schemas.openxmlformats.org/drawingml/2006/main">
                        <a:graphicData uri="http://schemas.microsoft.com/office/word/2010/wordprocessingShape">
                          <wps:wsp>
                            <wps:cNvSpPr/>
                            <wps:spPr>
                              <a:xfrm>
                                <a:off x="2696845" y="4956175"/>
                                <a:ext cx="960755" cy="546735"/>
                              </a:xfrm>
                              <a:prstGeom prst="wedgeRoundRectCallout">
                                <a:avLst>
                                  <a:gd name="adj1" fmla="val -113384"/>
                                  <a:gd name="adj2" fmla="val 147793"/>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7E65A7A">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57.3pt;margin-top:113.65pt;height:43.05pt;width:75.65pt;z-index:251659264;v-text-anchor:middle;mso-width-relative:page;mso-height-relative:page;" filled="f" stroked="t" coordsize="21600,21600" o:gfxdata="UEsDBAoAAAAAAIdO4kAAAAAAAAAAAAAAAAAEAAAAZHJzL1BLAwQUAAAACACHTuJAq2hNw9kAAAAL&#10;AQAADwAAAGRycy9kb3ducmV2LnhtbE2Pu07EMBBFeyT+wRokGsTaeRCWEGcLJCSaLQhItLPJkETY&#10;4xB7H+Tr8VZQju7RvWeqzckacaDZj441JCsFgrh13ci9hve359s1CB+QOzSOScMPedjUlxcVlp07&#10;8isdmtCLWMK+RA1DCFMppW8HsuhXbiKO2aebLYZ4zr3sZjzGcmtkqlQhLY4cFwac6Gmg9qvZWw2N&#10;2aY3YWnzxaztx/eisHnZFlpfXyXqEUSgU/iD4awf1aGOTju3584LoyFL8iKiGtL0PgMRiby4ewCx&#10;O0dZDrKu5P8f6l9QSwMEFAAAAAgAh07iQKwyJmbEAgAAYwUAAA4AAABkcnMvZTJvRG9jLnhtbK1U&#10;zW7TQBC+I/EOq723thPHaaI6VZSoCKmiUQvivFmvY6P9Y3cTpzwA3DkjgbgAZ848TguPwezabdOW&#10;Qw/k4Mx4Ps/M983OHh5tBUcbZmytZI6T/RgjJqkqarnK8auXx3sHGFlHZEG4kizHF8zio8nTJ4eN&#10;HrOeqhQvmEGQRNpxo3NcOafHUWRpxQSx+0ozCcFSGUEcuGYVFYY0kF3wqBfHWdQoU2ijKLMW3s7b&#10;IO4ymsckVGVZUzZXdC2YdG1WwzhxQMlWtbZ4ErotS0bdaVla5hDPMTB14QlFwF76ZzQ5JOOVIbqq&#10;adcCeUwL9zgJUksoepNqThxBa1M/SCVqapRVpdunSkQtkaAIsEjie9qcV0SzwAWktvpGdPv/0tIX&#10;m4VBdZHjXjzESBIBI7/89P7Pt4+/P/+4/PX16suHq5/fkY+CVo22Y/jkXC9M51kwPfFtaYT/B0po&#10;C9myUXaQDjC6yHE6GmTJcNBqzbYOUQCMsng4gDgFwCDNhv0Qj24TaWPdM6YE8kaOG1as2Jlay+IM&#10;hjojnKu1C5KTzYl1Qfui658UbxKMSsFhlBvC0V6S9PsHaTfsHVRvF5Wkw+Go/xDUvwPKsiwoAZ12&#10;hcG67tV3IdVxzXk4V1yiBqQYpDEcN0pgWUo4pGAKDYJbucKI8BVsIXUmULGK14X/3CeyZrWccYOA&#10;AZzU8PPNQbk7MF97TmzV4kKog3EJaD+xdkbectvlthvcUhUXMHqj2p2wmh7XkOqEWLcgBpSDnuGa&#10;cKfwKLkCIqqzMKqUefev9x4PZxOiGDWwVEDy7ZoYhhF/LuHUjpI09VsYnHQw7IFjdiPL3Yhci5kC&#10;7jBL6C6YHu/4tVkaJV7DbTL1VSFEJIXarZydM3PtssN9RNl0GmCweZq4E3muqU/eDm26dqqsnRfY&#10;C9Wq0zmwe0H37p7wy73rB9Tt3Tj5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KtoTcPZAAAACwEA&#10;AA8AAAAAAAAAAQAgAAAAIgAAAGRycy9kb3ducmV2LnhtbFBLAQIUABQAAAAIAIdO4kCsMiZmxAIA&#10;AGMFAAAOAAAAAAAAAAEAIAAAACgBAABkcnMvZTJvRG9jLnhtbFBLBQYAAAAABgAGAFkBAABeBgAA&#10;AAA=&#10;" adj="-13691,42723,14400">
                      <v:fill on="f" focussize="0,0"/>
                      <v:stroke weight="2pt" color="#000000 [3213]" joinstyle="round"/>
                      <v:imagedata o:title=""/>
                      <o:lock v:ext="edit" aspectratio="f"/>
                      <v:textbox>
                        <w:txbxContent>
                          <w:p w14:paraId="47E65A7A">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本项目所在地</w:t>
                            </w:r>
                          </w:p>
                        </w:txbxContent>
                      </v:textbox>
                    </v:shape>
                  </w:pict>
                </mc:Fallback>
              </mc:AlternateContent>
            </w:r>
            <w:r>
              <w:rPr>
                <w:rFonts w:hint="eastAsia" w:eastAsia="宋体"/>
                <w:b/>
                <w:bCs/>
                <w:color w:val="FF0000"/>
                <w:sz w:val="24"/>
                <w:lang w:eastAsia="zh-CN"/>
              </w:rPr>
              <w:drawing>
                <wp:inline distT="0" distB="0" distL="114300" distR="114300">
                  <wp:extent cx="5601970" cy="3956050"/>
                  <wp:effectExtent l="0" t="0" r="17780" b="6350"/>
                  <wp:docPr id="206" name="图片 206" descr="新乡市分区管控图202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新乡市分区管控图2024_00"/>
                          <pic:cNvPicPr>
                            <a:picLocks noChangeAspect="1"/>
                          </pic:cNvPicPr>
                        </pic:nvPicPr>
                        <pic:blipFill>
                          <a:blip r:embed="rId14"/>
                          <a:stretch>
                            <a:fillRect/>
                          </a:stretch>
                        </pic:blipFill>
                        <pic:spPr>
                          <a:xfrm>
                            <a:off x="0" y="0"/>
                            <a:ext cx="5601970" cy="3956050"/>
                          </a:xfrm>
                          <a:prstGeom prst="rect">
                            <a:avLst/>
                          </a:prstGeom>
                        </pic:spPr>
                      </pic:pic>
                    </a:graphicData>
                  </a:graphic>
                </wp:inline>
              </w:drawing>
            </w:r>
          </w:p>
          <w:p w14:paraId="22A39473">
            <w:pPr>
              <w:keepNext w:val="0"/>
              <w:keepLines w:val="0"/>
              <w:suppressLineNumbers w:val="0"/>
              <w:spacing w:before="0" w:beforeAutospacing="0" w:after="0" w:afterAutospacing="0" w:line="440" w:lineRule="exact"/>
              <w:ind w:left="0" w:right="0"/>
              <w:jc w:val="center"/>
              <w:textAlignment w:val="baseline"/>
              <w:rPr>
                <w:rFonts w:hint="default" w:ascii="宋体" w:hAnsi="宋体"/>
                <w:b/>
                <w:bCs/>
                <w:color w:val="auto"/>
                <w:szCs w:val="21"/>
              </w:rPr>
            </w:pPr>
            <w:r>
              <w:rPr>
                <w:rFonts w:hint="default" w:ascii="宋体" w:hAnsi="宋体"/>
                <w:b/>
                <w:bCs/>
                <w:color w:val="auto"/>
                <w:szCs w:val="21"/>
              </w:rPr>
              <w:t>图</w:t>
            </w:r>
            <w:r>
              <w:rPr>
                <w:rFonts w:hint="default" w:ascii="Times New Roman" w:hAnsi="Times New Roman" w:cs="Times New Roman"/>
                <w:b/>
                <w:bCs/>
                <w:color w:val="auto"/>
                <w:szCs w:val="21"/>
              </w:rPr>
              <w:t>1</w:t>
            </w:r>
            <w:r>
              <w:rPr>
                <w:rFonts w:hint="eastAsia" w:ascii="Times New Roman" w:hAnsi="Times New Roman" w:cs="Times New Roman"/>
                <w:b/>
                <w:bCs/>
                <w:color w:val="auto"/>
                <w:szCs w:val="21"/>
                <w:lang w:val="en-US" w:eastAsia="zh-CN"/>
              </w:rPr>
              <w:t xml:space="preserve"> </w:t>
            </w:r>
            <w:r>
              <w:rPr>
                <w:rFonts w:hint="default" w:ascii="Times New Roman" w:hAnsi="Times New Roman" w:cs="Times New Roman"/>
                <w:b/>
                <w:bCs/>
                <w:color w:val="auto"/>
                <w:szCs w:val="21"/>
              </w:rPr>
              <w:t xml:space="preserve"> </w:t>
            </w:r>
            <w:r>
              <w:rPr>
                <w:rFonts w:hint="default" w:ascii="宋体" w:hAnsi="宋体"/>
                <w:b/>
                <w:bCs/>
                <w:color w:val="auto"/>
                <w:szCs w:val="21"/>
              </w:rPr>
              <w:t xml:space="preserve"> 新乡市生态</w:t>
            </w:r>
            <w:r>
              <w:rPr>
                <w:rFonts w:hint="eastAsia" w:ascii="宋体" w:hAnsi="宋体"/>
                <w:b/>
                <w:bCs/>
                <w:color w:val="auto"/>
                <w:szCs w:val="21"/>
                <w:lang w:eastAsia="zh-CN"/>
              </w:rPr>
              <w:t>分区管控</w:t>
            </w:r>
            <w:r>
              <w:rPr>
                <w:rFonts w:hint="default" w:ascii="宋体" w:hAnsi="宋体"/>
                <w:b/>
                <w:bCs/>
                <w:color w:val="auto"/>
                <w:szCs w:val="21"/>
              </w:rPr>
              <w:t>图</w:t>
            </w:r>
          </w:p>
          <w:p w14:paraId="2A16CB01">
            <w:pPr>
              <w:keepNext w:val="0"/>
              <w:keepLines w:val="0"/>
              <w:suppressLineNumbers w:val="0"/>
              <w:spacing w:before="0" w:beforeAutospacing="0" w:after="0" w:afterAutospacing="0" w:line="440" w:lineRule="exact"/>
              <w:ind w:left="0" w:right="0" w:firstLine="482" w:firstLineChars="200"/>
              <w:textAlignment w:val="baseline"/>
              <w:rPr>
                <w:rFonts w:hint="eastAsia" w:ascii="宋体" w:hAnsi="宋体"/>
                <w:b/>
                <w:color w:val="000000"/>
                <w:sz w:val="24"/>
              </w:rPr>
            </w:pPr>
            <w:r>
              <w:rPr>
                <w:rFonts w:hint="eastAsia" w:ascii="宋体" w:hAnsi="宋体"/>
                <w:b/>
                <w:color w:val="000000"/>
                <w:sz w:val="24"/>
              </w:rPr>
              <w:t>（</w:t>
            </w:r>
            <w:r>
              <w:rPr>
                <w:rFonts w:hint="default" w:ascii="Times New Roman" w:hAnsi="Times New Roman" w:cs="Times New Roman"/>
                <w:b/>
                <w:color w:val="000000"/>
                <w:sz w:val="24"/>
              </w:rPr>
              <w:t>2</w:t>
            </w:r>
            <w:r>
              <w:rPr>
                <w:rFonts w:hint="eastAsia" w:ascii="宋体" w:hAnsi="宋体"/>
                <w:b/>
                <w:color w:val="000000"/>
                <w:sz w:val="24"/>
              </w:rPr>
              <w:t>）环境质量底线相符性分析</w:t>
            </w:r>
          </w:p>
          <w:p w14:paraId="2BFD083E">
            <w:pPr>
              <w:keepNext w:val="0"/>
              <w:keepLines w:val="0"/>
              <w:suppressLineNumbers w:val="0"/>
              <w:spacing w:before="0" w:beforeAutospacing="0" w:after="0" w:afterAutospacing="0" w:line="440" w:lineRule="exact"/>
              <w:ind w:left="0" w:right="0" w:firstLine="480" w:firstLineChars="200"/>
              <w:jc w:val="both"/>
              <w:textAlignment w:val="baseline"/>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项目厂址位于</w:t>
            </w:r>
            <w:r>
              <w:rPr>
                <w:rFonts w:hint="eastAsia" w:ascii="宋体" w:hAnsi="宋体" w:cs="宋体"/>
                <w:color w:val="auto"/>
                <w:sz w:val="24"/>
                <w:szCs w:val="24"/>
                <w:lang w:val="en-US" w:eastAsia="zh-CN"/>
              </w:rPr>
              <w:t>河南省新乡县翟坡镇中央大道与富兴路交叉口西南角处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，区域环境空气为二类功能区；附近地表水水体为</w:t>
            </w:r>
            <w:r>
              <w:rPr>
                <w:rFonts w:hint="eastAsia" w:cs="Times New Roman"/>
                <w:color w:val="000000" w:themeColor="text1"/>
                <w:sz w:val="24"/>
                <w:szCs w:val="24"/>
                <w:highlight w:val="none"/>
                <w:lang w:val="en-US" w:eastAsia="zh-CN"/>
                <w14:textFill>
                  <w14:solidFill>
                    <w14:schemeClr w14:val="tx1"/>
                  </w14:solidFill>
                </w14:textFill>
              </w:rPr>
              <w:t>东孟姜女河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，水体功能类别为IV类；噪声区划为</w:t>
            </w:r>
            <w:r>
              <w:rPr>
                <w:rFonts w:hint="eastAsia"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类声功能区。本项目建成后，废气、废水、噪声都能够实现达标排放，固废均进行了无害化处置或资源化利用。本项目新增废气污染物颗粒物</w:t>
            </w:r>
            <w:r>
              <w:rPr>
                <w:rFonts w:hint="eastAsia" w:cs="Times New Roman"/>
                <w:color w:val="000000" w:themeColor="text1"/>
                <w:sz w:val="24"/>
                <w:szCs w:val="24"/>
                <w:highlight w:val="none"/>
                <w:lang w:val="en-US" w:eastAsia="zh-CN"/>
                <w14:textFill>
                  <w14:solidFill>
                    <w14:schemeClr w14:val="tx1"/>
                  </w14:solidFill>
                </w14:textFill>
              </w:rPr>
              <w:t>0.0303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进行了区域</w:t>
            </w:r>
            <w:r>
              <w:rPr>
                <w:rFonts w:hint="eastAsia" w:cs="Times New Roman"/>
                <w:color w:val="000000" w:themeColor="text1"/>
                <w:sz w:val="24"/>
                <w:szCs w:val="24"/>
                <w:highlight w:val="none"/>
                <w:lang w:val="en-US" w:eastAsia="zh-CN"/>
                <w14:textFill>
                  <w14:solidFill>
                    <w14:schemeClr w14:val="tx1"/>
                  </w14:solidFill>
                </w14:textFill>
              </w:rPr>
              <w:t>倍</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量削减替代</w:t>
            </w:r>
            <w:r>
              <w:rPr>
                <w:rFonts w:hint="eastAsia" w:cs="Times New Roman"/>
                <w:color w:val="000000" w:themeColor="text1"/>
                <w:sz w:val="24"/>
                <w:szCs w:val="24"/>
                <w:highlight w:val="none"/>
                <w:lang w:val="en-US" w:eastAsia="zh-CN"/>
                <w14:textFill>
                  <w14:solidFill>
                    <w14:schemeClr w14:val="tx1"/>
                  </w14:solidFill>
                </w14:textFill>
              </w:rPr>
              <w:t>；新增废水污染物COD0.0029t/a、</w:t>
            </w:r>
            <w:r>
              <w:rPr>
                <w:rFonts w:hint="default"/>
                <w:color w:val="000000" w:themeColor="text1"/>
                <w:sz w:val="24"/>
                <w:szCs w:val="24"/>
                <w:highlight w:val="none"/>
                <w14:textFill>
                  <w14:solidFill>
                    <w14:schemeClr w14:val="tx1"/>
                  </w14:solidFill>
                </w14:textFill>
              </w:rPr>
              <w:t>NH</w:t>
            </w:r>
            <w:r>
              <w:rPr>
                <w:rFonts w:hint="default"/>
                <w:color w:val="000000" w:themeColor="text1"/>
                <w:sz w:val="24"/>
                <w:szCs w:val="24"/>
                <w:highlight w:val="none"/>
                <w:vertAlign w:val="subscript"/>
                <w14:textFill>
                  <w14:solidFill>
                    <w14:schemeClr w14:val="tx1"/>
                  </w14:solidFill>
                </w14:textFill>
              </w:rPr>
              <w:t>3</w:t>
            </w:r>
            <w:r>
              <w:rPr>
                <w:rFonts w:hint="default"/>
                <w:color w:val="000000" w:themeColor="text1"/>
                <w:sz w:val="24"/>
                <w:szCs w:val="24"/>
                <w:highlight w:val="none"/>
                <w14:textFill>
                  <w14:solidFill>
                    <w14:schemeClr w14:val="tx1"/>
                  </w14:solidFill>
                </w14:textFill>
              </w:rPr>
              <w:t>-N</w:t>
            </w:r>
            <w:r>
              <w:rPr>
                <w:rFonts w:hint="eastAsia"/>
                <w:color w:val="000000" w:themeColor="text1"/>
                <w:sz w:val="24"/>
                <w:szCs w:val="24"/>
                <w:highlight w:val="none"/>
                <w:lang w:val="en-US" w:eastAsia="zh-CN"/>
                <w14:textFill>
                  <w14:solidFill>
                    <w14:schemeClr w14:val="tx1"/>
                  </w14:solidFill>
                </w14:textFill>
              </w:rPr>
              <w:t>0.0001</w:t>
            </w:r>
            <w:r>
              <w:rPr>
                <w:rFonts w:hint="eastAsia" w:cs="Times New Roman"/>
                <w:color w:val="000000" w:themeColor="text1"/>
                <w:sz w:val="24"/>
                <w:szCs w:val="24"/>
                <w:highlight w:val="none"/>
                <w:lang w:val="en-US" w:eastAsia="zh-CN"/>
                <w14:textFill>
                  <w14:solidFill>
                    <w14:schemeClr w14:val="tx1"/>
                  </w14:solidFill>
                </w14:textFill>
              </w:rPr>
              <w:t>t/a，进行了区域单倍削减替代</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。不会对区域环境质量底线造成冲击，满足环境质量底线的要求。</w:t>
            </w:r>
          </w:p>
          <w:p w14:paraId="72FA0F7F">
            <w:pPr>
              <w:keepNext w:val="0"/>
              <w:keepLines w:val="0"/>
              <w:suppressLineNumbers w:val="0"/>
              <w:spacing w:before="0" w:beforeAutospacing="0" w:after="0" w:afterAutospacing="0" w:line="440" w:lineRule="exact"/>
              <w:ind w:left="0" w:right="0" w:firstLine="482" w:firstLineChars="200"/>
              <w:textAlignment w:val="baseline"/>
              <w:rPr>
                <w:rFonts w:hint="eastAsia" w:ascii="宋体" w:hAnsi="宋体"/>
                <w:b/>
                <w:color w:val="000000"/>
                <w:sz w:val="24"/>
              </w:rPr>
            </w:pPr>
            <w:r>
              <w:rPr>
                <w:rFonts w:hint="eastAsia" w:ascii="宋体" w:hAnsi="宋体"/>
                <w:b/>
                <w:color w:val="000000"/>
                <w:sz w:val="24"/>
              </w:rPr>
              <w:t>（</w:t>
            </w:r>
            <w:r>
              <w:rPr>
                <w:rFonts w:hint="default" w:ascii="Times New Roman" w:hAnsi="Times New Roman" w:cs="Times New Roman"/>
                <w:b/>
                <w:color w:val="000000"/>
                <w:sz w:val="24"/>
              </w:rPr>
              <w:t>3</w:t>
            </w:r>
            <w:r>
              <w:rPr>
                <w:rFonts w:hint="eastAsia" w:ascii="宋体" w:hAnsi="宋体"/>
                <w:b/>
                <w:color w:val="000000"/>
                <w:sz w:val="24"/>
              </w:rPr>
              <w:t>）资源利用上线相符性分析</w:t>
            </w:r>
          </w:p>
          <w:p w14:paraId="637B92C1">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b/>
                <w:bCs/>
                <w:sz w:val="24"/>
                <w:highlight w:val="none"/>
              </w:rPr>
            </w:pPr>
            <w:r>
              <w:rPr>
                <w:rFonts w:hint="eastAsia" w:ascii="宋体" w:hAnsi="宋体"/>
                <w:color w:val="auto"/>
                <w:sz w:val="24"/>
                <w:highlight w:val="none"/>
              </w:rPr>
              <w:t>本项目</w:t>
            </w:r>
            <w:r>
              <w:rPr>
                <w:rFonts w:hint="eastAsia" w:ascii="宋体" w:hAnsi="宋体"/>
                <w:color w:val="auto"/>
                <w:sz w:val="24"/>
                <w:highlight w:val="none"/>
                <w:lang w:val="en-US" w:eastAsia="zh-CN"/>
              </w:rPr>
              <w:t>租赁闲置厂房进行建设</w:t>
            </w:r>
            <w:r>
              <w:rPr>
                <w:rFonts w:hint="eastAsia" w:ascii="宋体" w:hAnsi="宋体"/>
                <w:color w:val="auto"/>
                <w:sz w:val="24"/>
                <w:highlight w:val="none"/>
              </w:rPr>
              <w:t>，</w:t>
            </w:r>
            <w:r>
              <w:rPr>
                <w:rFonts w:hint="eastAsia" w:ascii="宋体" w:hAnsi="宋体"/>
                <w:color w:val="auto"/>
                <w:sz w:val="24"/>
                <w:highlight w:val="none"/>
                <w:lang w:eastAsia="zh-CN"/>
              </w:rPr>
              <w:t>不占用新的土地资源</w:t>
            </w:r>
            <w:r>
              <w:rPr>
                <w:rFonts w:hint="eastAsia" w:ascii="宋体" w:hAnsi="宋体"/>
                <w:color w:val="auto"/>
                <w:sz w:val="24"/>
                <w:highlight w:val="none"/>
              </w:rPr>
              <w:t>。</w:t>
            </w:r>
            <w:r>
              <w:rPr>
                <w:rFonts w:hint="default" w:ascii="宋体" w:hAnsi="宋体"/>
                <w:color w:val="000000"/>
                <w:sz w:val="24"/>
                <w:highlight w:val="none"/>
              </w:rPr>
              <w:t>本项目</w:t>
            </w:r>
            <w:r>
              <w:rPr>
                <w:rFonts w:hint="eastAsia" w:ascii="宋体" w:hAnsi="宋体"/>
                <w:color w:val="000000"/>
                <w:sz w:val="24"/>
                <w:highlight w:val="none"/>
              </w:rPr>
              <w:t>属于</w:t>
            </w:r>
            <w:r>
              <w:rPr>
                <w:rFonts w:hint="eastAsia" w:cs="Times New Roman"/>
                <w:sz w:val="24"/>
                <w:highlight w:val="none"/>
                <w:lang w:val="en-US" w:eastAsia="zh-CN"/>
              </w:rPr>
              <w:t>机械零部件加工业</w:t>
            </w:r>
            <w:r>
              <w:rPr>
                <w:rFonts w:hint="eastAsia" w:ascii="宋体" w:hAnsi="宋体"/>
                <w:color w:val="000000"/>
                <w:sz w:val="24"/>
                <w:highlight w:val="none"/>
                <w:lang w:eastAsia="zh-CN"/>
              </w:rPr>
              <w:t>，</w:t>
            </w:r>
            <w:r>
              <w:rPr>
                <w:rFonts w:hint="eastAsia" w:ascii="宋体" w:hAnsi="宋体"/>
                <w:color w:val="auto"/>
                <w:sz w:val="24"/>
                <w:highlight w:val="none"/>
              </w:rPr>
              <w:t>不属于高耗水工业行业</w:t>
            </w:r>
            <w:r>
              <w:rPr>
                <w:rFonts w:hint="eastAsia" w:ascii="宋体" w:hAnsi="宋体"/>
                <w:color w:val="auto"/>
                <w:sz w:val="24"/>
                <w:highlight w:val="none"/>
                <w:lang w:eastAsia="zh-CN"/>
              </w:rPr>
              <w:t>，</w:t>
            </w:r>
            <w:r>
              <w:rPr>
                <w:rFonts w:hint="eastAsia" w:ascii="宋体" w:hAnsi="宋体"/>
                <w:color w:val="auto"/>
                <w:sz w:val="24"/>
                <w:highlight w:val="none"/>
                <w:lang w:val="en-US" w:eastAsia="zh-CN"/>
              </w:rPr>
              <w:t>项目主要用水为市政统一供水，不使用地下水资源。项目用电依托供电系统。项目废物均得到资源化利用，不产生有害物质。</w:t>
            </w:r>
            <w:r>
              <w:rPr>
                <w:rFonts w:hint="eastAsia" w:ascii="宋体" w:hAnsi="宋体"/>
                <w:color w:val="auto"/>
                <w:sz w:val="24"/>
                <w:highlight w:val="none"/>
              </w:rPr>
              <w:t>营运期通过内部管理</w:t>
            </w:r>
            <w:r>
              <w:rPr>
                <w:rFonts w:hint="eastAsia" w:ascii="宋体" w:hAnsi="宋体"/>
                <w:color w:val="000000"/>
                <w:sz w:val="24"/>
                <w:highlight w:val="none"/>
              </w:rPr>
              <w:t>、设备选择、原辅材料的选用和管理、废物回收利用、污染治理等多方面采取合理可行的防治措施，以“节能、降耗、减污”为目标，有效地控制污染，实现废物资源化。故本项目不会对区域资源利用造成负面影响。</w:t>
            </w:r>
            <w:r>
              <w:rPr>
                <w:rFonts w:hint="default" w:ascii="宋体" w:hAnsi="宋体"/>
                <w:color w:val="000000"/>
                <w:sz w:val="24"/>
                <w:highlight w:val="none"/>
              </w:rPr>
              <w:t>项目资源利用不会突破区域的资源利用上线。</w:t>
            </w:r>
          </w:p>
          <w:p w14:paraId="1799D1A2">
            <w:pPr>
              <w:keepNext w:val="0"/>
              <w:keepLines w:val="0"/>
              <w:suppressLineNumbers w:val="0"/>
              <w:spacing w:before="0" w:beforeAutospacing="0" w:after="0" w:afterAutospacing="0" w:line="440" w:lineRule="exact"/>
              <w:ind w:left="0" w:right="0" w:firstLine="482" w:firstLineChars="200"/>
              <w:textAlignment w:val="baseline"/>
              <w:rPr>
                <w:rFonts w:hint="eastAsia" w:ascii="宋体" w:hAnsi="宋体" w:eastAsia="宋体"/>
                <w:b/>
                <w:bCs/>
                <w:sz w:val="24"/>
                <w:highlight w:val="none"/>
                <w:lang w:eastAsia="zh-CN"/>
              </w:rPr>
            </w:pPr>
            <w:r>
              <w:rPr>
                <w:rFonts w:hint="eastAsia" w:ascii="宋体" w:hAnsi="宋体"/>
                <w:b/>
                <w:bCs/>
                <w:sz w:val="24"/>
                <w:highlight w:val="none"/>
              </w:rPr>
              <w:t>（</w:t>
            </w:r>
            <w:r>
              <w:rPr>
                <w:rFonts w:hint="default" w:ascii="Times New Roman" w:hAnsi="Times New Roman" w:cs="Times New Roman"/>
                <w:b/>
                <w:bCs/>
                <w:sz w:val="24"/>
                <w:highlight w:val="none"/>
              </w:rPr>
              <w:t>4</w:t>
            </w:r>
            <w:r>
              <w:rPr>
                <w:rFonts w:hint="eastAsia" w:ascii="宋体" w:hAnsi="宋体"/>
                <w:b/>
                <w:bCs/>
                <w:sz w:val="24"/>
                <w:highlight w:val="none"/>
              </w:rPr>
              <w:t>）</w:t>
            </w:r>
            <w:r>
              <w:rPr>
                <w:rFonts w:hint="eastAsia" w:ascii="宋体" w:hAnsi="宋体"/>
                <w:b/>
                <w:bCs/>
                <w:sz w:val="24"/>
                <w:highlight w:val="none"/>
                <w:lang w:eastAsia="zh-CN"/>
              </w:rPr>
              <w:t>环境准入负面清单</w:t>
            </w:r>
          </w:p>
          <w:p w14:paraId="3CF682C9">
            <w:pPr>
              <w:keepNext w:val="0"/>
              <w:keepLines w:val="0"/>
              <w:suppressLineNumbers w:val="0"/>
              <w:spacing w:before="0" w:beforeAutospacing="0" w:after="0" w:afterAutospacing="0" w:line="440" w:lineRule="exact"/>
              <w:ind w:left="0" w:right="0" w:firstLine="480" w:firstLineChars="200"/>
              <w:textAlignment w:val="baseline"/>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bCs/>
                <w:color w:val="000000"/>
                <w:sz w:val="24"/>
                <w:highlight w:val="none"/>
                <w:lang w:val="en-US" w:eastAsia="zh-CN"/>
              </w:rPr>
              <w:t>本项目选址位于</w:t>
            </w:r>
            <w:r>
              <w:rPr>
                <w:rFonts w:hint="eastAsia" w:cs="Times New Roman"/>
                <w:color w:val="000000" w:themeColor="text1"/>
                <w:sz w:val="24"/>
                <w:szCs w:val="24"/>
                <w:highlight w:val="none"/>
                <w:lang w:val="en-US" w:eastAsia="zh-CN"/>
                <w14:textFill>
                  <w14:solidFill>
                    <w14:schemeClr w14:val="tx1"/>
                  </w14:solidFill>
                </w14:textFill>
              </w:rPr>
              <w:t>河南省新乡县翟坡镇中央大道与富兴路交叉口西南角处</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，根据《河南省三线一单综合信息应用平台》，本项目位于新乡县</w:t>
            </w:r>
            <w:r>
              <w:rPr>
                <w:rFonts w:hint="eastAsia" w:cs="Times New Roman"/>
                <w:color w:val="000000" w:themeColor="text1"/>
                <w:sz w:val="24"/>
                <w:szCs w:val="24"/>
                <w:highlight w:val="none"/>
                <w:lang w:val="en-US" w:eastAsia="zh-CN"/>
                <w14:textFill>
                  <w14:solidFill>
                    <w14:schemeClr w14:val="tx1"/>
                  </w14:solidFill>
                </w14:textFill>
              </w:rPr>
              <w:t>重点管控</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区，详见下图。</w:t>
            </w:r>
          </w:p>
          <w:p w14:paraId="7104C0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baseline"/>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sz w:val="24"/>
              </w:rPr>
              <mc:AlternateContent>
                <mc:Choice Requires="wps">
                  <w:drawing>
                    <wp:anchor distT="0" distB="0" distL="114300" distR="114300" simplePos="0" relativeHeight="251660288" behindDoc="0" locked="0" layoutInCell="1" allowOverlap="1">
                      <wp:simplePos x="0" y="0"/>
                      <wp:positionH relativeFrom="column">
                        <wp:posOffset>2753360</wp:posOffset>
                      </wp:positionH>
                      <wp:positionV relativeFrom="paragraph">
                        <wp:posOffset>662940</wp:posOffset>
                      </wp:positionV>
                      <wp:extent cx="827405" cy="307975"/>
                      <wp:effectExtent l="71755" t="12700" r="15240" b="422275"/>
                      <wp:wrapNone/>
                      <wp:docPr id="2" name="圆角矩形标注 2"/>
                      <wp:cNvGraphicFramePr/>
                      <a:graphic xmlns:a="http://schemas.openxmlformats.org/drawingml/2006/main">
                        <a:graphicData uri="http://schemas.microsoft.com/office/word/2010/wordprocessingShape">
                          <wps:wsp>
                            <wps:cNvSpPr/>
                            <wps:spPr>
                              <a:xfrm>
                                <a:off x="4714875" y="4835525"/>
                                <a:ext cx="827405" cy="307975"/>
                              </a:xfrm>
                              <a:prstGeom prst="wedgeRoundRectCallout">
                                <a:avLst>
                                  <a:gd name="adj1" fmla="val -57137"/>
                                  <a:gd name="adj2" fmla="val 179072"/>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DA8D361">
                                  <w:pPr>
                                    <w:jc w:val="center"/>
                                    <w:rPr>
                                      <w:rFonts w:hint="eastAsia" w:eastAsia="宋体"/>
                                      <w:color w:val="000000" w:themeColor="text1"/>
                                      <w:lang w:eastAsia="zh-CN"/>
                                      <w14:textOutline w14:w="9525">
                                        <w14:solidFill>
                                          <w14:schemeClr w14:val="tx1"/>
                                        </w14:solidFill>
                                        <w14:round/>
                                      </w14:textOutline>
                                      <w14:textFill>
                                        <w14:solidFill>
                                          <w14:schemeClr w14:val="tx1"/>
                                        </w14:solidFill>
                                      </w14:textFill>
                                    </w:rPr>
                                  </w:pPr>
                                  <w:r>
                                    <w:rPr>
                                      <w:rFonts w:hint="eastAsia"/>
                                      <w:color w:val="000000" w:themeColor="text1"/>
                                      <w:lang w:eastAsia="zh-CN"/>
                                      <w14:textOutline w14:w="9525">
                                        <w14:solidFill>
                                          <w14:schemeClr w14:val="tx1"/>
                                        </w14:solidFill>
                                        <w14:round/>
                                      </w14:textOutline>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6.8pt;margin-top:52.2pt;height:24.25pt;width:65.15pt;z-index:251660288;v-text-anchor:middle;mso-width-relative:page;mso-height-relative:page;" fillcolor="#FFFFFF [3212]" filled="t" stroked="t" coordsize="21600,21600" o:gfxdata="UEsDBAoAAAAAAIdO4kAAAAAAAAAAAAAAAAAEAAAAZHJzL1BLAwQUAAAACACHTuJABaAtGtoAAAAL&#10;AQAADwAAAGRycy9kb3ducmV2LnhtbE2Py07DMBBF90j8gzVI7KidJo1oGqcSSEgsItEG1LUdT5OI&#10;2I5i9/X3DCtYztyjO2fK7dWO7IxzGLyTkCwEMHStN4PrJHx9vj09AwtROaNG71DCDQNsq/u7UhXG&#10;X9wez03sGJW4UCgJfYxTwXloe7QqLPyEjrKjn62KNM4dN7O6ULkd+VKInFs1OLrQqwlfe2y/m5OV&#10;oJukvtXiiFrv5/r9ZbdTH4dOyseHRGyARbzGPxh+9UkdKnLS/uRMYKOELE1zQikQWQaMiFWeroFp&#10;2qyWa+BVyf//UP0AUEsDBBQAAAAIAIdO4kAaWWQfyQIAAIcFAAAOAAAAZHJzL2Uyb0RvYy54bWyt&#10;VMtu00AU3SPxD6PZt3ach9OoThUlCkKqaNWCWE/G4weaFzOTOOUDYM8aCcQGWLPmc1r4DO6M3TYt&#10;XXSBF869vif3ce7j8GgrONowY2slM9zbjzFikqq8lmWGX71c7o0xso7InHAlWYYvmMVH06dPDhs9&#10;YYmqFM+ZQeBE2kmjM1w5pydRZGnFBLH7SjMJxkIZQRyopoxyQxrwLniUxPEoapTJtVGUWQtfF60R&#10;dx7NYxyqoqgpWyi6Fky61qthnDgoyVa1tngasi0KRt1JUVjmEM8wVOrCG4KAvPLvaHpIJqUhuqpp&#10;lwJ5TAr3ahKklhD0xtWCOILWpv7HlaipUVYVbp8qEbWFBEagil58j5vzimgWagGqrb4h3f4/t/TF&#10;5tSgOs9wgpEkAhp++en9n28ff3/+cfnr69WXD1c/v6PE89RoOwH4uT41nWZB9EVvCyP8L5SDthke&#10;pL3BOB1idAHyuD8cJsOWZ7Z1iAJgnKSDGOwUAP04PQAseIxuHWlj3TOmBPJChhuWl+xMrWV+Bg2d&#10;E87V2gW6yebYusB73mVP8jc9jArBoY0bwtHeMO310zZ+uQOCcm9BvfQgTkOR0MEdUP8OaDQaBUeQ&#10;aBcXpOtUfRJW8Tpf1pwHxZSrOTcIksjwMjxdlXdgXKIGyB8OYhhJSmChChhkEIWGplhZYkR4CZtK&#10;nQkl3/m33Q0Sh+ehID7JBbFVm0zw0MG4BOJ9Z9teesltV9uuwSuVX8B4GNXujdV0WYOrY2LdKTHA&#10;MOQMp8SdwKvgCgpRnYRRpcy7h757PMwvWDFqYPGgyLdrYhhG/LmEyT7oDQZ+U4MyGKYJKGbXstq1&#10;yLWYKyAYeg7ZBdHjHb8WC6PEa7g4Mx8VTERSiN3S2Slz1x4EuFmUzWYBBtupiTuW55p6576hUs3W&#10;ThW187PqiWrZ6RTYzzDC3S3xB2BXD6jb+zn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AWgLRra&#10;AAAACwEAAA8AAAAAAAAAAQAgAAAAIgAAAGRycy9kb3ducmV2LnhtbFBLAQIUABQAAAAIAIdO4kAa&#10;WWQfyQIAAIcFAAAOAAAAAAAAAAEAIAAAACkBAABkcnMvZTJvRG9jLnhtbFBLBQYAAAAABgAGAFkB&#10;AABkBgAAAAA=&#10;" adj="-1542,49480,14400">
                      <v:fill on="t" focussize="0,0"/>
                      <v:stroke weight="2pt" color="#000000 [3213]" joinstyle="round"/>
                      <v:imagedata o:title=""/>
                      <o:lock v:ext="edit" aspectratio="f"/>
                      <v:textbox>
                        <w:txbxContent>
                          <w:p w14:paraId="1DA8D361">
                            <w:pPr>
                              <w:jc w:val="center"/>
                              <w:rPr>
                                <w:rFonts w:hint="eastAsia" w:eastAsia="宋体"/>
                                <w:color w:val="000000" w:themeColor="text1"/>
                                <w:lang w:eastAsia="zh-CN"/>
                                <w14:textOutline w14:w="9525">
                                  <w14:solidFill>
                                    <w14:schemeClr w14:val="tx1"/>
                                  </w14:solidFill>
                                  <w14:round/>
                                </w14:textOutline>
                                <w14:textFill>
                                  <w14:solidFill>
                                    <w14:schemeClr w14:val="tx1"/>
                                  </w14:solidFill>
                                </w14:textFill>
                              </w:rPr>
                            </w:pPr>
                            <w:r>
                              <w:rPr>
                                <w:rFonts w:hint="eastAsia"/>
                                <w:color w:val="000000" w:themeColor="text1"/>
                                <w:lang w:eastAsia="zh-CN"/>
                                <w14:textOutline w14:w="9525">
                                  <w14:solidFill>
                                    <w14:schemeClr w14:val="tx1"/>
                                  </w14:solidFill>
                                  <w14:round/>
                                </w14:textOutline>
                                <w14:textFill>
                                  <w14:solidFill>
                                    <w14:schemeClr w14:val="tx1"/>
                                  </w14:solidFill>
                                </w14:textFill>
                              </w:rPr>
                              <w:t>本项目</w:t>
                            </w:r>
                          </w:p>
                        </w:txbxContent>
                      </v:textbox>
                    </v:shape>
                  </w:pict>
                </mc:Fallback>
              </mc:AlternateContent>
            </w:r>
            <w:r>
              <w:rPr>
                <w:rFonts w:hint="default"/>
              </w:rPr>
              <w:drawing>
                <wp:inline distT="0" distB="0" distL="114300" distR="114300">
                  <wp:extent cx="5608955" cy="2821940"/>
                  <wp:effectExtent l="0" t="0" r="10795" b="165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5608955" cy="2821940"/>
                          </a:xfrm>
                          <a:prstGeom prst="rect">
                            <a:avLst/>
                          </a:prstGeom>
                          <a:noFill/>
                          <a:ln>
                            <a:noFill/>
                          </a:ln>
                        </pic:spPr>
                      </pic:pic>
                    </a:graphicData>
                  </a:graphic>
                </wp:inline>
              </w:drawing>
            </w:r>
          </w:p>
          <w:p w14:paraId="2D38523E">
            <w:pPr>
              <w:keepNext w:val="0"/>
              <w:keepLines w:val="0"/>
              <w:suppressLineNumbers w:val="0"/>
              <w:spacing w:before="0" w:beforeAutospacing="0" w:after="0" w:afterAutospacing="0" w:line="440" w:lineRule="exact"/>
              <w:ind w:left="0" w:right="0" w:firstLine="482" w:firstLineChars="200"/>
              <w:jc w:val="center"/>
              <w:textAlignment w:val="baseline"/>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图2</w:t>
            </w:r>
            <w:r>
              <w:rPr>
                <w:rFonts w:hint="eastAsia"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河南省三线一单综合信息应用平台研判分析图</w:t>
            </w:r>
          </w:p>
          <w:p w14:paraId="28ECDA1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textAlignment w:val="baseline"/>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bCs/>
                <w:color w:val="000000"/>
                <w:sz w:val="24"/>
                <w:highlight w:val="none"/>
                <w:lang w:val="en-US" w:eastAsia="zh-CN"/>
              </w:rPr>
              <w:t>根据图2，本项目位于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重点管控单元（环境管控单元名称：新乡县</w:t>
            </w:r>
            <w:r>
              <w:rPr>
                <w:rFonts w:hint="eastAsia" w:cs="Times New Roman"/>
                <w:color w:val="000000" w:themeColor="text1"/>
                <w:sz w:val="24"/>
                <w:szCs w:val="24"/>
                <w:highlight w:val="none"/>
                <w:lang w:val="en-US" w:eastAsia="zh-CN"/>
                <w14:textFill>
                  <w14:solidFill>
                    <w14:schemeClr w14:val="tx1"/>
                  </w14:solidFill>
                </w14:textFill>
              </w:rPr>
              <w:t>城镇重点单元</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，环境管控单元编码：ZH4107212000</w:t>
            </w:r>
            <w:r>
              <w:rPr>
                <w:rFonts w:hint="eastAsia"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w:t>
            </w:r>
          </w:p>
          <w:p w14:paraId="361086B8">
            <w:pPr>
              <w:keepNext w:val="0"/>
              <w:keepLines w:val="0"/>
              <w:suppressLineNumbers w:val="0"/>
              <w:spacing w:before="0" w:beforeAutospacing="0" w:after="0" w:afterAutospacing="0" w:line="440" w:lineRule="exact"/>
              <w:ind w:left="0" w:right="0" w:firstLine="480" w:firstLineChars="200"/>
              <w:textAlignment w:val="baseline"/>
              <w:rPr>
                <w:rFonts w:hint="default" w:ascii="宋体" w:hAnsi="宋体"/>
                <w:b/>
                <w:bCs/>
                <w:color w:val="000000"/>
                <w:sz w:val="24"/>
                <w:highlight w:val="none"/>
              </w:rPr>
            </w:pPr>
            <w:r>
              <w:rPr>
                <w:rFonts w:hint="eastAsia" w:cs="Times New Roman"/>
                <w:bCs/>
                <w:color w:val="000000"/>
                <w:sz w:val="24"/>
                <w:highlight w:val="none"/>
                <w:lang w:val="en-US" w:eastAsia="zh-CN"/>
              </w:rPr>
              <w:t>本项目与</w:t>
            </w:r>
            <w:r>
              <w:rPr>
                <w:rFonts w:hint="eastAsia"/>
                <w:bCs/>
                <w:color w:val="000000"/>
                <w:sz w:val="24"/>
                <w:lang w:eastAsia="zh-CN"/>
              </w:rPr>
              <w:t>《</w:t>
            </w:r>
            <w:r>
              <w:rPr>
                <w:rFonts w:hint="default"/>
                <w:bCs/>
                <w:color w:val="000000"/>
                <w:sz w:val="24"/>
              </w:rPr>
              <w:t>河南省生态环境分区管控总体要求</w:t>
            </w:r>
            <w:r>
              <w:rPr>
                <w:rFonts w:hint="eastAsia"/>
                <w:bCs/>
                <w:color w:val="000000"/>
                <w:sz w:val="24"/>
                <w:lang w:eastAsia="zh-CN"/>
              </w:rPr>
              <w:t>》（</w:t>
            </w:r>
            <w:r>
              <w:rPr>
                <w:rFonts w:hint="eastAsia"/>
                <w:bCs/>
                <w:color w:val="000000"/>
                <w:sz w:val="24"/>
                <w:lang w:val="en-US" w:eastAsia="zh-CN"/>
              </w:rPr>
              <w:t>2023年版</w:t>
            </w:r>
            <w:r>
              <w:rPr>
                <w:rFonts w:hint="eastAsia"/>
                <w:bCs/>
                <w:color w:val="000000"/>
                <w:sz w:val="24"/>
                <w:lang w:eastAsia="zh-CN"/>
              </w:rPr>
              <w:t>）</w:t>
            </w:r>
            <w:r>
              <w:rPr>
                <w:rFonts w:hint="default"/>
                <w:bCs/>
                <w:color w:val="000000"/>
                <w:sz w:val="24"/>
              </w:rPr>
              <w:t>相符性分析见下表。</w:t>
            </w:r>
          </w:p>
          <w:p w14:paraId="5C3AC7AE">
            <w:pPr>
              <w:keepNext w:val="0"/>
              <w:keepLines w:val="0"/>
              <w:suppressLineNumbers w:val="0"/>
              <w:spacing w:before="0" w:beforeAutospacing="0" w:after="0" w:afterAutospacing="0" w:line="440" w:lineRule="exact"/>
              <w:ind w:left="0" w:right="0"/>
              <w:jc w:val="center"/>
              <w:textAlignment w:val="baseline"/>
              <w:rPr>
                <w:rFonts w:hint="default" w:ascii="宋体" w:hAnsi="宋体"/>
                <w:b/>
                <w:bCs/>
                <w:color w:val="000000"/>
                <w:sz w:val="24"/>
                <w:highlight w:val="none"/>
              </w:rPr>
            </w:pPr>
          </w:p>
          <w:p w14:paraId="3ABAECD3">
            <w:pPr>
              <w:keepNext w:val="0"/>
              <w:keepLines w:val="0"/>
              <w:suppressLineNumbers w:val="0"/>
              <w:spacing w:before="0" w:beforeAutospacing="0" w:after="0" w:afterAutospacing="0" w:line="440" w:lineRule="exact"/>
              <w:ind w:left="0" w:right="0"/>
              <w:jc w:val="center"/>
              <w:textAlignment w:val="baseline"/>
              <w:rPr>
                <w:rFonts w:hint="default" w:ascii="宋体" w:hAnsi="宋体"/>
                <w:b/>
                <w:bCs/>
                <w:color w:val="000000"/>
                <w:sz w:val="24"/>
                <w:highlight w:val="none"/>
              </w:rPr>
            </w:pPr>
          </w:p>
          <w:p w14:paraId="69E2E441">
            <w:pPr>
              <w:keepNext w:val="0"/>
              <w:keepLines w:val="0"/>
              <w:suppressLineNumbers w:val="0"/>
              <w:spacing w:before="0" w:beforeAutospacing="0" w:after="0" w:afterAutospacing="0" w:line="440" w:lineRule="exact"/>
              <w:ind w:left="0" w:right="0"/>
              <w:jc w:val="center"/>
              <w:textAlignment w:val="baseline"/>
              <w:rPr>
                <w:rFonts w:hint="default" w:ascii="宋体" w:hAnsi="宋体"/>
                <w:b/>
                <w:bCs/>
                <w:color w:val="000000"/>
                <w:sz w:val="24"/>
                <w:highlight w:val="none"/>
              </w:rPr>
            </w:pPr>
          </w:p>
          <w:p w14:paraId="24D16395">
            <w:pPr>
              <w:keepNext w:val="0"/>
              <w:keepLines w:val="0"/>
              <w:suppressLineNumbers w:val="0"/>
              <w:spacing w:before="0" w:beforeAutospacing="0" w:after="0" w:afterAutospacing="0" w:line="440" w:lineRule="exact"/>
              <w:ind w:left="0" w:right="0"/>
              <w:jc w:val="center"/>
              <w:textAlignment w:val="baseline"/>
              <w:rPr>
                <w:rFonts w:hint="default" w:ascii="宋体" w:hAnsi="宋体"/>
                <w:b/>
                <w:bCs/>
                <w:color w:val="000000"/>
                <w:sz w:val="24"/>
                <w:highlight w:val="none"/>
              </w:rPr>
            </w:pPr>
          </w:p>
          <w:p w14:paraId="3857934D">
            <w:pPr>
              <w:keepNext w:val="0"/>
              <w:keepLines w:val="0"/>
              <w:suppressLineNumbers w:val="0"/>
              <w:spacing w:before="0" w:beforeAutospacing="0" w:after="0" w:afterAutospacing="0" w:line="440" w:lineRule="exact"/>
              <w:ind w:left="0" w:right="0"/>
              <w:jc w:val="center"/>
              <w:textAlignment w:val="baseline"/>
              <w:rPr>
                <w:rFonts w:hint="default" w:ascii="宋体" w:hAnsi="宋体"/>
                <w:b/>
                <w:bCs/>
                <w:color w:val="000000"/>
                <w:sz w:val="24"/>
                <w:highlight w:val="none"/>
              </w:rPr>
            </w:pPr>
          </w:p>
          <w:p w14:paraId="1E3A828E">
            <w:pPr>
              <w:keepNext w:val="0"/>
              <w:keepLines w:val="0"/>
              <w:suppressLineNumbers w:val="0"/>
              <w:spacing w:before="0" w:beforeAutospacing="0" w:after="0" w:afterAutospacing="0" w:line="440" w:lineRule="exact"/>
              <w:ind w:left="0" w:right="0"/>
              <w:jc w:val="center"/>
              <w:textAlignment w:val="baseline"/>
              <w:rPr>
                <w:rFonts w:hint="default" w:ascii="宋体" w:hAnsi="宋体"/>
                <w:b/>
                <w:bCs/>
                <w:color w:val="000000"/>
                <w:sz w:val="24"/>
                <w:highlight w:val="none"/>
              </w:rPr>
            </w:pPr>
          </w:p>
          <w:p w14:paraId="503DD3A6">
            <w:pPr>
              <w:keepNext w:val="0"/>
              <w:keepLines w:val="0"/>
              <w:suppressLineNumbers w:val="0"/>
              <w:spacing w:before="0" w:beforeAutospacing="0" w:after="0" w:afterAutospacing="0" w:line="440" w:lineRule="exact"/>
              <w:ind w:left="0" w:right="0"/>
              <w:jc w:val="center"/>
              <w:textAlignment w:val="baseline"/>
              <w:rPr>
                <w:rFonts w:hint="default" w:ascii="宋体" w:hAnsi="宋体"/>
                <w:b/>
                <w:bCs/>
                <w:color w:val="000000"/>
                <w:sz w:val="24"/>
                <w:highlight w:val="none"/>
              </w:rPr>
            </w:pPr>
          </w:p>
          <w:p w14:paraId="34FEC720">
            <w:pPr>
              <w:keepNext w:val="0"/>
              <w:keepLines w:val="0"/>
              <w:suppressLineNumbers w:val="0"/>
              <w:spacing w:before="0" w:beforeAutospacing="0" w:after="0" w:afterAutospacing="0" w:line="440" w:lineRule="exact"/>
              <w:ind w:left="0" w:right="0"/>
              <w:jc w:val="center"/>
              <w:textAlignment w:val="baseline"/>
              <w:rPr>
                <w:rFonts w:hint="default" w:ascii="宋体" w:hAnsi="宋体" w:eastAsia="宋体"/>
                <w:b/>
                <w:bCs/>
                <w:color w:val="000000"/>
                <w:sz w:val="24"/>
                <w:highlight w:val="none"/>
                <w:lang w:val="en-US" w:eastAsia="zh-CN"/>
              </w:rPr>
            </w:pPr>
            <w:r>
              <w:rPr>
                <w:rFonts w:hint="default" w:ascii="宋体" w:hAnsi="宋体"/>
                <w:b/>
                <w:bCs/>
                <w:color w:val="000000"/>
                <w:sz w:val="24"/>
                <w:highlight w:val="none"/>
              </w:rPr>
              <w:t>表</w:t>
            </w:r>
            <w:r>
              <w:rPr>
                <w:rFonts w:hint="eastAsia" w:cs="Times New Roman"/>
                <w:b/>
                <w:bCs/>
                <w:color w:val="000000"/>
                <w:sz w:val="24"/>
                <w:highlight w:val="none"/>
                <w:lang w:val="en-US" w:eastAsia="zh-CN"/>
              </w:rPr>
              <w:t>4</w:t>
            </w:r>
            <w:r>
              <w:rPr>
                <w:rFonts w:hint="default" w:ascii="Times New Roman" w:hAnsi="Times New Roman" w:cs="Times New Roman"/>
                <w:b/>
                <w:bCs/>
                <w:color w:val="000000"/>
                <w:sz w:val="24"/>
                <w:highlight w:val="none"/>
                <w:lang w:val="en-US" w:eastAsia="zh-CN"/>
              </w:rPr>
              <w:t xml:space="preserve"> </w:t>
            </w:r>
            <w:r>
              <w:rPr>
                <w:rFonts w:hint="eastAsia" w:ascii="宋体" w:hAnsi="宋体"/>
                <w:b/>
                <w:bCs/>
                <w:color w:val="000000"/>
                <w:sz w:val="24"/>
                <w:highlight w:val="none"/>
                <w:lang w:val="en-US" w:eastAsia="zh-CN"/>
              </w:rPr>
              <w:t xml:space="preserve"> </w:t>
            </w:r>
            <w:r>
              <w:rPr>
                <w:rFonts w:hint="eastAsia" w:cs="Times New Roman"/>
                <w:b/>
                <w:bCs w:val="0"/>
                <w:color w:val="000000"/>
                <w:sz w:val="24"/>
                <w:highlight w:val="none"/>
                <w:shd w:val="clear" w:color="auto" w:fill="auto"/>
                <w:lang w:val="en-US" w:eastAsia="zh-CN"/>
              </w:rPr>
              <w:t>本项目与</w:t>
            </w:r>
            <w:r>
              <w:rPr>
                <w:rFonts w:hint="default" w:ascii="Times New Roman" w:hAnsi="Times New Roman" w:eastAsia="宋体" w:cs="Times New Roman"/>
                <w:b/>
                <w:bCs w:val="0"/>
                <w:color w:val="000000"/>
                <w:sz w:val="24"/>
                <w:lang w:eastAsia="zh-CN"/>
              </w:rPr>
              <w:t>河南省生态环境分区管控总体</w:t>
            </w:r>
            <w:r>
              <w:rPr>
                <w:rFonts w:hint="default" w:ascii="Times New Roman" w:hAnsi="Times New Roman" w:eastAsia="宋体" w:cs="Times New Roman"/>
                <w:b/>
                <w:bCs w:val="0"/>
                <w:color w:val="000000"/>
                <w:sz w:val="24"/>
              </w:rPr>
              <w:t>要求符合性分析</w:t>
            </w:r>
          </w:p>
          <w:tbl>
            <w:tblPr>
              <w:tblStyle w:val="22"/>
              <w:tblW w:w="498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1"/>
              <w:gridCol w:w="971"/>
              <w:gridCol w:w="4303"/>
              <w:gridCol w:w="2059"/>
              <w:gridCol w:w="671"/>
            </w:tblGrid>
            <w:tr w14:paraId="7447EBE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tcBorders>
                    <w:top w:val="single" w:color="auto" w:sz="8" w:space="0"/>
                    <w:bottom w:val="single" w:color="auto" w:sz="8" w:space="0"/>
                  </w:tcBorders>
                  <w:noWrap w:val="0"/>
                  <w:vAlign w:val="center"/>
                </w:tcPr>
                <w:p w14:paraId="2DCC5951">
                  <w:pPr>
                    <w:keepNext w:val="0"/>
                    <w:keepLines w:val="0"/>
                    <w:suppressLineNumbers w:val="0"/>
                    <w:adjustRightInd w:val="0"/>
                    <w:snapToGrid w:val="0"/>
                    <w:spacing w:before="0" w:beforeAutospacing="0" w:after="0" w:afterAutospacing="0"/>
                    <w:ind w:left="0" w:right="0"/>
                    <w:jc w:val="center"/>
                    <w:textAlignment w:val="baseline"/>
                    <w:rPr>
                      <w:rFonts w:hint="eastAsia" w:eastAsia="宋体"/>
                      <w:b/>
                      <w:color w:val="000000"/>
                      <w:sz w:val="21"/>
                      <w:szCs w:val="21"/>
                      <w:lang w:eastAsia="zh-CN"/>
                    </w:rPr>
                  </w:pPr>
                  <w:r>
                    <w:rPr>
                      <w:rFonts w:hint="eastAsia" w:hAnsi="宋体"/>
                      <w:b/>
                      <w:color w:val="000000"/>
                      <w:sz w:val="21"/>
                      <w:szCs w:val="21"/>
                      <w:lang w:eastAsia="zh-CN"/>
                    </w:rPr>
                    <w:t>环境管控单元分区</w:t>
                  </w:r>
                </w:p>
              </w:tc>
              <w:tc>
                <w:tcPr>
                  <w:tcW w:w="551" w:type="pct"/>
                  <w:tcBorders>
                    <w:top w:val="single" w:color="auto" w:sz="8" w:space="0"/>
                    <w:bottom w:val="single" w:color="auto" w:sz="8" w:space="0"/>
                  </w:tcBorders>
                  <w:noWrap w:val="0"/>
                  <w:vAlign w:val="center"/>
                </w:tcPr>
                <w:p w14:paraId="47040C3A">
                  <w:pPr>
                    <w:keepNext w:val="0"/>
                    <w:keepLines w:val="0"/>
                    <w:suppressLineNumbers w:val="0"/>
                    <w:adjustRightInd w:val="0"/>
                    <w:snapToGrid w:val="0"/>
                    <w:spacing w:before="0" w:beforeAutospacing="0" w:after="0" w:afterAutospacing="0"/>
                    <w:ind w:left="0" w:right="0"/>
                    <w:jc w:val="center"/>
                    <w:textAlignment w:val="baseline"/>
                    <w:rPr>
                      <w:rFonts w:hint="eastAsia" w:eastAsia="宋体"/>
                      <w:b/>
                      <w:color w:val="000000"/>
                      <w:sz w:val="21"/>
                      <w:szCs w:val="21"/>
                      <w:lang w:eastAsia="zh-CN"/>
                    </w:rPr>
                  </w:pPr>
                  <w:r>
                    <w:rPr>
                      <w:rFonts w:hint="eastAsia"/>
                      <w:b/>
                      <w:color w:val="000000"/>
                      <w:sz w:val="21"/>
                      <w:szCs w:val="21"/>
                      <w:lang w:eastAsia="zh-CN"/>
                    </w:rPr>
                    <w:t>管控类别</w:t>
                  </w:r>
                </w:p>
              </w:tc>
              <w:tc>
                <w:tcPr>
                  <w:tcW w:w="2441" w:type="pct"/>
                  <w:tcBorders>
                    <w:top w:val="single" w:color="auto" w:sz="8" w:space="0"/>
                    <w:bottom w:val="single" w:color="auto" w:sz="8" w:space="0"/>
                  </w:tcBorders>
                  <w:noWrap w:val="0"/>
                  <w:vAlign w:val="center"/>
                </w:tcPr>
                <w:p w14:paraId="53CAEE2D">
                  <w:pPr>
                    <w:keepNext w:val="0"/>
                    <w:keepLines w:val="0"/>
                    <w:suppressLineNumbers w:val="0"/>
                    <w:adjustRightInd w:val="0"/>
                    <w:snapToGrid w:val="0"/>
                    <w:spacing w:before="0" w:beforeAutospacing="0" w:after="0" w:afterAutospacing="0"/>
                    <w:ind w:left="0" w:right="0"/>
                    <w:jc w:val="center"/>
                    <w:textAlignment w:val="baseline"/>
                    <w:rPr>
                      <w:rFonts w:hint="eastAsia" w:hAnsi="宋体"/>
                      <w:b/>
                      <w:color w:val="000000"/>
                      <w:sz w:val="21"/>
                      <w:szCs w:val="21"/>
                      <w:lang w:eastAsia="zh-CN"/>
                    </w:rPr>
                  </w:pPr>
                  <w:r>
                    <w:rPr>
                      <w:rFonts w:hint="eastAsia" w:hAnsi="宋体"/>
                      <w:b/>
                      <w:color w:val="000000"/>
                      <w:sz w:val="21"/>
                      <w:szCs w:val="21"/>
                      <w:lang w:eastAsia="zh-CN"/>
                    </w:rPr>
                    <w:t>准入要求</w:t>
                  </w:r>
                </w:p>
              </w:tc>
              <w:tc>
                <w:tcPr>
                  <w:tcW w:w="1168" w:type="pct"/>
                  <w:tcBorders>
                    <w:top w:val="single" w:color="auto" w:sz="8" w:space="0"/>
                    <w:bottom w:val="single" w:color="auto" w:sz="8" w:space="0"/>
                  </w:tcBorders>
                  <w:noWrap w:val="0"/>
                  <w:vAlign w:val="center"/>
                </w:tcPr>
                <w:p w14:paraId="7C65B33C">
                  <w:pPr>
                    <w:keepNext w:val="0"/>
                    <w:keepLines w:val="0"/>
                    <w:suppressLineNumbers w:val="0"/>
                    <w:adjustRightInd w:val="0"/>
                    <w:snapToGrid w:val="0"/>
                    <w:spacing w:before="0" w:beforeAutospacing="0" w:after="0" w:afterAutospacing="0"/>
                    <w:ind w:left="0" w:right="0"/>
                    <w:jc w:val="center"/>
                    <w:textAlignment w:val="baseline"/>
                    <w:rPr>
                      <w:rFonts w:hint="default"/>
                      <w:b/>
                      <w:color w:val="000000"/>
                      <w:sz w:val="21"/>
                      <w:szCs w:val="21"/>
                    </w:rPr>
                  </w:pPr>
                  <w:r>
                    <w:rPr>
                      <w:rFonts w:hint="default" w:hAnsi="宋体"/>
                      <w:b/>
                      <w:color w:val="000000"/>
                      <w:sz w:val="21"/>
                      <w:szCs w:val="21"/>
                    </w:rPr>
                    <w:t>本项目情况</w:t>
                  </w:r>
                </w:p>
              </w:tc>
              <w:tc>
                <w:tcPr>
                  <w:tcW w:w="377" w:type="pct"/>
                  <w:tcBorders>
                    <w:top w:val="single" w:color="auto" w:sz="8" w:space="0"/>
                    <w:bottom w:val="single" w:color="auto" w:sz="8" w:space="0"/>
                  </w:tcBorders>
                  <w:noWrap w:val="0"/>
                  <w:vAlign w:val="center"/>
                </w:tcPr>
                <w:p w14:paraId="70AEE0A2">
                  <w:pPr>
                    <w:keepNext w:val="0"/>
                    <w:keepLines w:val="0"/>
                    <w:suppressLineNumbers w:val="0"/>
                    <w:adjustRightInd w:val="0"/>
                    <w:snapToGrid w:val="0"/>
                    <w:spacing w:before="0" w:beforeAutospacing="0" w:after="0" w:afterAutospacing="0"/>
                    <w:ind w:left="0" w:right="0"/>
                    <w:jc w:val="center"/>
                    <w:textAlignment w:val="baseline"/>
                    <w:rPr>
                      <w:rFonts w:hint="default"/>
                      <w:b/>
                      <w:color w:val="000000"/>
                      <w:sz w:val="21"/>
                      <w:szCs w:val="21"/>
                    </w:rPr>
                  </w:pPr>
                  <w:r>
                    <w:rPr>
                      <w:rFonts w:hint="default" w:hAnsi="宋体"/>
                      <w:b/>
                      <w:color w:val="000000"/>
                      <w:sz w:val="21"/>
                      <w:szCs w:val="21"/>
                    </w:rPr>
                    <w:t>相符性</w:t>
                  </w:r>
                </w:p>
              </w:tc>
            </w:tr>
            <w:tr w14:paraId="1D50AF7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8" w:space="0"/>
                    <w:bottom w:val="single" w:color="auto" w:sz="4" w:space="0"/>
                  </w:tcBorders>
                  <w:noWrap w:val="0"/>
                  <w:vAlign w:val="center"/>
                </w:tcPr>
                <w:p w14:paraId="68A07CA2">
                  <w:pPr>
                    <w:keepNext w:val="0"/>
                    <w:keepLines w:val="0"/>
                    <w:suppressLineNumbers w:val="0"/>
                    <w:adjustRightInd w:val="0"/>
                    <w:snapToGrid w:val="0"/>
                    <w:spacing w:before="0" w:beforeAutospacing="0" w:after="0" w:afterAutospacing="0"/>
                    <w:ind w:left="0" w:right="0"/>
                    <w:jc w:val="center"/>
                    <w:textAlignment w:val="baseline"/>
                    <w:rPr>
                      <w:rFonts w:hint="eastAsia" w:hAnsi="宋体" w:eastAsia="宋体"/>
                      <w:b/>
                      <w:color w:val="000000"/>
                      <w:sz w:val="21"/>
                      <w:szCs w:val="21"/>
                      <w:lang w:eastAsia="zh-CN"/>
                    </w:rPr>
                  </w:pPr>
                  <w:r>
                    <w:rPr>
                      <w:rFonts w:hint="eastAsia" w:ascii="宋体" w:hAnsi="宋体"/>
                      <w:b/>
                      <w:bCs/>
                      <w:color w:val="000000"/>
                      <w:sz w:val="21"/>
                      <w:szCs w:val="21"/>
                      <w:lang w:eastAsia="zh-CN"/>
                    </w:rPr>
                    <w:t>一、全省</w:t>
                  </w:r>
                  <w:r>
                    <w:rPr>
                      <w:rFonts w:hint="default" w:ascii="宋体" w:hAnsi="宋体"/>
                      <w:b/>
                      <w:bCs/>
                      <w:color w:val="000000"/>
                      <w:sz w:val="21"/>
                      <w:szCs w:val="21"/>
                    </w:rPr>
                    <w:t>生态环境</w:t>
                  </w:r>
                  <w:r>
                    <w:rPr>
                      <w:rFonts w:hint="eastAsia" w:ascii="宋体" w:hAnsi="宋体"/>
                      <w:b/>
                      <w:bCs/>
                      <w:color w:val="000000"/>
                      <w:sz w:val="21"/>
                      <w:szCs w:val="21"/>
                      <w:lang w:eastAsia="zh-CN"/>
                    </w:rPr>
                    <w:t>总体</w:t>
                  </w:r>
                  <w:r>
                    <w:rPr>
                      <w:rFonts w:hint="default" w:ascii="宋体" w:hAnsi="宋体"/>
                      <w:b/>
                      <w:bCs/>
                      <w:color w:val="000000"/>
                      <w:sz w:val="21"/>
                      <w:szCs w:val="21"/>
                    </w:rPr>
                    <w:t>准入清单</w:t>
                  </w:r>
                  <w:r>
                    <w:rPr>
                      <w:rFonts w:hint="eastAsia" w:ascii="宋体" w:hAnsi="宋体"/>
                      <w:b/>
                      <w:bCs/>
                      <w:color w:val="000000"/>
                      <w:sz w:val="21"/>
                      <w:szCs w:val="21"/>
                      <w:lang w:eastAsia="zh-CN"/>
                    </w:rPr>
                    <w:t>要求</w:t>
                  </w:r>
                </w:p>
              </w:tc>
            </w:tr>
            <w:tr w14:paraId="0B8E989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5" w:hRule="atLeast"/>
                <w:jc w:val="center"/>
              </w:trPr>
              <w:tc>
                <w:tcPr>
                  <w:tcW w:w="460" w:type="pct"/>
                  <w:vMerge w:val="restart"/>
                  <w:tcBorders>
                    <w:top w:val="single" w:color="auto" w:sz="4" w:space="0"/>
                  </w:tcBorders>
                  <w:noWrap w:val="0"/>
                  <w:vAlign w:val="center"/>
                </w:tcPr>
                <w:p w14:paraId="0B0D414B">
                  <w:pPr>
                    <w:keepNext w:val="0"/>
                    <w:keepLines w:val="0"/>
                    <w:suppressLineNumbers w:val="0"/>
                    <w:adjustRightInd w:val="0"/>
                    <w:snapToGrid w:val="0"/>
                    <w:spacing w:before="0" w:beforeAutospacing="0" w:after="0" w:afterAutospacing="0"/>
                    <w:ind w:left="0" w:right="0"/>
                    <w:jc w:val="center"/>
                    <w:textAlignment w:val="baseline"/>
                    <w:rPr>
                      <w:rFonts w:hint="eastAsia" w:eastAsia="宋体"/>
                      <w:color w:val="000000"/>
                      <w:sz w:val="21"/>
                      <w:szCs w:val="21"/>
                      <w:lang w:eastAsia="zh-CN"/>
                    </w:rPr>
                  </w:pPr>
                  <w:r>
                    <w:rPr>
                      <w:rFonts w:hint="eastAsia"/>
                      <w:color w:val="000000"/>
                      <w:sz w:val="21"/>
                      <w:szCs w:val="21"/>
                      <w:lang w:eastAsia="zh-CN"/>
                    </w:rPr>
                    <w:t>重点管控单元</w:t>
                  </w:r>
                </w:p>
              </w:tc>
              <w:tc>
                <w:tcPr>
                  <w:tcW w:w="551" w:type="pct"/>
                  <w:tcBorders>
                    <w:top w:val="single" w:color="auto" w:sz="4" w:space="0"/>
                    <w:bottom w:val="single" w:color="auto" w:sz="4" w:space="0"/>
                  </w:tcBorders>
                  <w:noWrap w:val="0"/>
                  <w:vAlign w:val="center"/>
                </w:tcPr>
                <w:p w14:paraId="7CE70704">
                  <w:pPr>
                    <w:keepNext w:val="0"/>
                    <w:keepLines w:val="0"/>
                    <w:suppressLineNumbers w:val="0"/>
                    <w:adjustRightInd w:val="0"/>
                    <w:snapToGrid w:val="0"/>
                    <w:spacing w:before="0" w:beforeAutospacing="0" w:after="0" w:afterAutospacing="0"/>
                    <w:ind w:left="0" w:right="0"/>
                    <w:jc w:val="center"/>
                    <w:textAlignment w:val="baseline"/>
                    <w:rPr>
                      <w:rFonts w:hint="default"/>
                      <w:color w:val="000000"/>
                      <w:sz w:val="21"/>
                      <w:szCs w:val="21"/>
                    </w:rPr>
                  </w:pPr>
                  <w:r>
                    <w:rPr>
                      <w:rFonts w:hint="eastAsia"/>
                      <w:color w:val="000000"/>
                      <w:sz w:val="21"/>
                      <w:szCs w:val="21"/>
                      <w:lang w:eastAsia="zh-CN"/>
                    </w:rPr>
                    <w:t>空间布局约束</w:t>
                  </w:r>
                </w:p>
              </w:tc>
              <w:tc>
                <w:tcPr>
                  <w:tcW w:w="2441" w:type="pct"/>
                  <w:tcBorders>
                    <w:top w:val="single" w:color="auto" w:sz="4" w:space="0"/>
                    <w:bottom w:val="single" w:color="auto" w:sz="4" w:space="0"/>
                  </w:tcBorders>
                  <w:noWrap w:val="0"/>
                  <w:vAlign w:val="center"/>
                </w:tcPr>
                <w:p w14:paraId="11D0E748">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 xml:space="preserve">1. 根据国家产业政策、区域定位及环境特征等，建立差别化的产业准入要求，鼓励建设符合规划环评的项目。 </w:t>
                  </w:r>
                </w:p>
                <w:p w14:paraId="3DFE4DD4">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 xml:space="preserve">4. 强化环境准入约束，坚决遏制“两高一低”项目盲目发展，对不符合规定的项目坚决停批停建。 </w:t>
                  </w:r>
                </w:p>
                <w:p w14:paraId="73FFE72E">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 xml:space="preserve">5. 涉及产能置换的项目，被置换产能及其配套设施关停后，新建项目方可投产。 </w:t>
                  </w:r>
                </w:p>
                <w:p w14:paraId="16EB3144">
                  <w:pPr>
                    <w:keepNext w:val="0"/>
                    <w:keepLines w:val="0"/>
                    <w:widowControl/>
                    <w:suppressLineNumbers w:val="0"/>
                    <w:spacing w:before="0" w:beforeAutospacing="0" w:after="0" w:afterAutospacing="0"/>
                    <w:ind w:left="0" w:right="0"/>
                    <w:jc w:val="left"/>
                    <w:rPr>
                      <w:rFonts w:hint="default" w:hAnsi="宋体"/>
                      <w:color w:val="000000"/>
                      <w:sz w:val="21"/>
                      <w:szCs w:val="21"/>
                    </w:rPr>
                  </w:pPr>
                  <w:r>
                    <w:rPr>
                      <w:rFonts w:hint="default" w:ascii="Times New Roman" w:hAnsi="Times New Roman" w:eastAsia="宋体" w:cs="Times New Roman"/>
                      <w:color w:val="000000"/>
                      <w:kern w:val="0"/>
                      <w:sz w:val="21"/>
                      <w:szCs w:val="21"/>
                      <w:lang w:val="en-US" w:eastAsia="zh-CN" w:bidi="ar"/>
                    </w:rPr>
                    <w:t xml:space="preserve">7.将土壤环境要求纳入国土空间规划，根据土壤污染状况和风险合理规划土地用途。对列入建设用地土壤污染风险管控和修复名录的地块，不得作为住宅、公共管理与公共服务用地；不得办理土地征收、回购、收购、土地供应以及改变土地用途等手续。 </w:t>
                  </w:r>
                </w:p>
              </w:tc>
              <w:tc>
                <w:tcPr>
                  <w:tcW w:w="1168" w:type="pct"/>
                  <w:tcBorders>
                    <w:top w:val="single" w:color="auto" w:sz="4" w:space="0"/>
                    <w:bottom w:val="single" w:color="auto" w:sz="4" w:space="0"/>
                  </w:tcBorders>
                  <w:noWrap w:val="0"/>
                  <w:vAlign w:val="center"/>
                </w:tcPr>
                <w:p w14:paraId="4080F294">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jc w:val="both"/>
                    <w:textAlignment w:val="center"/>
                    <w:outlineLvl w:val="9"/>
                    <w:rPr>
                      <w:rFonts w:hint="eastAsia"/>
                      <w:color w:val="000000"/>
                      <w:sz w:val="21"/>
                      <w:szCs w:val="21"/>
                      <w:lang w:eastAsia="zh-CN"/>
                    </w:rPr>
                  </w:pPr>
                  <w:r>
                    <w:rPr>
                      <w:rFonts w:hint="eastAsia"/>
                      <w:color w:val="000000"/>
                      <w:sz w:val="21"/>
                      <w:szCs w:val="21"/>
                      <w:lang w:val="en-US" w:eastAsia="zh-CN"/>
                    </w:rPr>
                    <w:t>1、</w:t>
                  </w:r>
                  <w:r>
                    <w:rPr>
                      <w:rFonts w:hint="eastAsia"/>
                      <w:color w:val="000000"/>
                      <w:sz w:val="21"/>
                      <w:szCs w:val="21"/>
                      <w:lang w:eastAsia="zh-CN"/>
                    </w:rPr>
                    <w:t>本项目为</w:t>
                  </w:r>
                  <w:r>
                    <w:rPr>
                      <w:rFonts w:hint="eastAsia"/>
                      <w:color w:val="000000"/>
                      <w:sz w:val="21"/>
                      <w:szCs w:val="21"/>
                      <w:lang w:val="en-US" w:eastAsia="zh-CN"/>
                    </w:rPr>
                    <w:t>机械零部件加工业</w:t>
                  </w:r>
                  <w:r>
                    <w:rPr>
                      <w:rFonts w:hint="default"/>
                      <w:color w:val="000000"/>
                      <w:sz w:val="21"/>
                      <w:szCs w:val="21"/>
                      <w:lang w:eastAsia="zh-CN"/>
                    </w:rPr>
                    <w:t>，</w:t>
                  </w:r>
                  <w:r>
                    <w:rPr>
                      <w:rFonts w:hint="eastAsia"/>
                      <w:color w:val="000000"/>
                      <w:sz w:val="21"/>
                      <w:szCs w:val="21"/>
                      <w:lang w:eastAsia="zh-CN"/>
                    </w:rPr>
                    <w:t>项目所在地为</w:t>
                  </w:r>
                  <w:r>
                    <w:rPr>
                      <w:rFonts w:hint="eastAsia"/>
                      <w:color w:val="000000"/>
                      <w:sz w:val="21"/>
                      <w:szCs w:val="21"/>
                      <w:lang w:val="en-US" w:eastAsia="zh-CN"/>
                    </w:rPr>
                    <w:t>二类工业</w:t>
                  </w:r>
                  <w:r>
                    <w:rPr>
                      <w:rFonts w:hint="eastAsia"/>
                      <w:color w:val="000000"/>
                      <w:sz w:val="21"/>
                      <w:szCs w:val="21"/>
                      <w:lang w:eastAsia="zh-CN"/>
                    </w:rPr>
                    <w:t>用地，符合要求；</w:t>
                  </w:r>
                </w:p>
                <w:p w14:paraId="0B833189">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eastAsia"/>
                      <w:sz w:val="21"/>
                      <w:szCs w:val="21"/>
                      <w:lang w:eastAsia="zh-CN"/>
                    </w:rPr>
                  </w:pPr>
                  <w:r>
                    <w:rPr>
                      <w:rFonts w:hint="eastAsia" w:eastAsia="宋体" w:cs="Times New Roman"/>
                      <w:b w:val="0"/>
                      <w:bCs w:val="0"/>
                      <w:color w:val="auto"/>
                      <w:kern w:val="2"/>
                      <w:sz w:val="21"/>
                      <w:szCs w:val="21"/>
                      <w:lang w:val="en-US" w:eastAsia="zh-CN" w:bidi="ar-SA"/>
                    </w:rPr>
                    <w:t>2、</w:t>
                  </w:r>
                  <w:r>
                    <w:rPr>
                      <w:rFonts w:hint="eastAsia" w:ascii="Times New Roman" w:hAnsi="Times New Roman" w:eastAsia="宋体" w:cs="Times New Roman"/>
                      <w:b w:val="0"/>
                      <w:bCs w:val="0"/>
                      <w:color w:val="auto"/>
                      <w:kern w:val="2"/>
                      <w:sz w:val="21"/>
                      <w:szCs w:val="21"/>
                      <w:lang w:val="en-US" w:eastAsia="zh-CN" w:bidi="ar-SA"/>
                    </w:rPr>
                    <w:t>本项目不属于“两高一低”项目，不属于产能置换项目；</w:t>
                  </w:r>
                </w:p>
                <w:p w14:paraId="768D97BB">
                  <w:pPr>
                    <w:keepNext w:val="0"/>
                    <w:keepLines w:val="0"/>
                    <w:pageBreakBefore w:val="0"/>
                    <w:widowControl w:val="0"/>
                    <w:suppressLineNumbers w:val="0"/>
                    <w:kinsoku/>
                    <w:wordWrap/>
                    <w:topLinePunct w:val="0"/>
                    <w:autoSpaceDE/>
                    <w:autoSpaceDN/>
                    <w:bidi w:val="0"/>
                    <w:spacing w:before="0" w:beforeAutospacing="0" w:after="0" w:afterAutospacing="0"/>
                    <w:ind w:left="0" w:right="0"/>
                    <w:jc w:val="both"/>
                    <w:outlineLvl w:val="9"/>
                    <w:rPr>
                      <w:rFonts w:hint="eastAsia"/>
                      <w:sz w:val="21"/>
                      <w:szCs w:val="21"/>
                      <w:lang w:eastAsia="zh-CN"/>
                    </w:rPr>
                  </w:pPr>
                  <w:r>
                    <w:rPr>
                      <w:rFonts w:hint="eastAsia"/>
                      <w:sz w:val="21"/>
                      <w:szCs w:val="21"/>
                      <w:lang w:val="en-US" w:eastAsia="zh-CN"/>
                    </w:rPr>
                    <w:t>3、</w:t>
                  </w:r>
                  <w:r>
                    <w:rPr>
                      <w:rFonts w:hint="eastAsia"/>
                      <w:sz w:val="21"/>
                      <w:szCs w:val="21"/>
                      <w:lang w:eastAsia="zh-CN"/>
                    </w:rPr>
                    <w:t>本项目位于</w:t>
                  </w:r>
                  <w:r>
                    <w:rPr>
                      <w:rFonts w:hint="eastAsia"/>
                      <w:sz w:val="21"/>
                      <w:szCs w:val="21"/>
                      <w:lang w:val="en-US" w:eastAsia="zh-CN"/>
                    </w:rPr>
                    <w:t>河南省新乡市新乡县中央大道兴隆路交叉路口西南角处</w:t>
                  </w:r>
                  <w:r>
                    <w:rPr>
                      <w:rFonts w:hint="eastAsia"/>
                      <w:sz w:val="21"/>
                      <w:szCs w:val="21"/>
                      <w:lang w:eastAsia="zh-CN"/>
                    </w:rPr>
                    <w:t>，</w:t>
                  </w:r>
                  <w:r>
                    <w:rPr>
                      <w:rFonts w:hint="eastAsia"/>
                      <w:sz w:val="21"/>
                      <w:szCs w:val="21"/>
                      <w:lang w:val="en-US" w:eastAsia="zh-CN"/>
                    </w:rPr>
                    <w:t>属于二类工业用地，但</w:t>
                  </w:r>
                  <w:r>
                    <w:rPr>
                      <w:rFonts w:hint="eastAsia"/>
                      <w:sz w:val="21"/>
                      <w:szCs w:val="21"/>
                      <w:lang w:eastAsia="zh-CN"/>
                    </w:rPr>
                    <w:t>不属于建设用地土壤污染风险管控和修复名录的地块。</w:t>
                  </w:r>
                </w:p>
                <w:p w14:paraId="4A139403">
                  <w:pPr>
                    <w:pStyle w:val="2"/>
                    <w:keepLines w:val="0"/>
                    <w:suppressLineNumbers w:val="0"/>
                    <w:spacing w:beforeAutospacing="0" w:afterAutospacing="0"/>
                    <w:ind w:right="0"/>
                    <w:rPr>
                      <w:rFonts w:hint="eastAsia"/>
                      <w:sz w:val="21"/>
                      <w:szCs w:val="21"/>
                      <w:lang w:eastAsia="zh-CN"/>
                    </w:rPr>
                  </w:pPr>
                </w:p>
              </w:tc>
              <w:tc>
                <w:tcPr>
                  <w:tcW w:w="377" w:type="pct"/>
                  <w:tcBorders>
                    <w:top w:val="single" w:color="auto" w:sz="4" w:space="0"/>
                    <w:bottom w:val="single" w:color="auto" w:sz="4" w:space="0"/>
                  </w:tcBorders>
                  <w:noWrap w:val="0"/>
                  <w:vAlign w:val="center"/>
                </w:tcPr>
                <w:p w14:paraId="1F7B2240">
                  <w:pPr>
                    <w:keepNext w:val="0"/>
                    <w:keepLines w:val="0"/>
                    <w:suppressLineNumbers w:val="0"/>
                    <w:adjustRightInd w:val="0"/>
                    <w:snapToGrid w:val="0"/>
                    <w:spacing w:before="0" w:beforeAutospacing="0" w:after="0" w:afterAutospacing="0"/>
                    <w:ind w:left="0" w:right="0"/>
                    <w:jc w:val="center"/>
                    <w:textAlignment w:val="baseline"/>
                    <w:rPr>
                      <w:rFonts w:hint="default"/>
                      <w:color w:val="000000"/>
                      <w:sz w:val="21"/>
                      <w:szCs w:val="21"/>
                    </w:rPr>
                  </w:pPr>
                  <w:r>
                    <w:rPr>
                      <w:rFonts w:hint="default" w:hAnsi="宋体"/>
                      <w:color w:val="000000"/>
                      <w:sz w:val="21"/>
                      <w:szCs w:val="21"/>
                    </w:rPr>
                    <w:t>符合</w:t>
                  </w:r>
                </w:p>
              </w:tc>
            </w:tr>
            <w:tr w14:paraId="4805685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vMerge w:val="continue"/>
                  <w:noWrap w:val="0"/>
                  <w:vAlign w:val="center"/>
                </w:tcPr>
                <w:p w14:paraId="70D4DBA5">
                  <w:pPr>
                    <w:keepNext w:val="0"/>
                    <w:keepLines w:val="0"/>
                    <w:suppressLineNumbers w:val="0"/>
                    <w:adjustRightInd w:val="0"/>
                    <w:snapToGrid w:val="0"/>
                    <w:spacing w:before="0" w:beforeAutospacing="0" w:after="0" w:afterAutospacing="0"/>
                    <w:ind w:left="0" w:right="0"/>
                    <w:jc w:val="center"/>
                    <w:textAlignment w:val="baseline"/>
                    <w:rPr>
                      <w:rFonts w:hint="default"/>
                      <w:color w:val="000000"/>
                      <w:sz w:val="21"/>
                      <w:szCs w:val="21"/>
                    </w:rPr>
                  </w:pPr>
                </w:p>
              </w:tc>
              <w:tc>
                <w:tcPr>
                  <w:tcW w:w="551" w:type="pct"/>
                  <w:tcBorders>
                    <w:top w:val="single" w:color="auto" w:sz="4" w:space="0"/>
                    <w:bottom w:val="single" w:color="auto" w:sz="4" w:space="0"/>
                  </w:tcBorders>
                  <w:noWrap w:val="0"/>
                  <w:vAlign w:val="center"/>
                </w:tcPr>
                <w:p w14:paraId="5BAF7E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both"/>
                    <w:textAlignment w:val="baseline"/>
                    <w:rPr>
                      <w:rFonts w:hint="eastAsia" w:eastAsia="宋体"/>
                      <w:color w:val="000000"/>
                      <w:sz w:val="21"/>
                      <w:szCs w:val="21"/>
                      <w:lang w:eastAsia="zh-CN"/>
                    </w:rPr>
                  </w:pPr>
                  <w:r>
                    <w:rPr>
                      <w:rFonts w:hint="eastAsia"/>
                      <w:color w:val="000000"/>
                      <w:sz w:val="21"/>
                      <w:szCs w:val="21"/>
                      <w:lang w:eastAsia="zh-CN"/>
                    </w:rPr>
                    <w:t>污染物排放管控</w:t>
                  </w:r>
                </w:p>
              </w:tc>
              <w:tc>
                <w:tcPr>
                  <w:tcW w:w="2441" w:type="pct"/>
                  <w:tcBorders>
                    <w:top w:val="single" w:color="auto" w:sz="4" w:space="0"/>
                    <w:bottom w:val="single" w:color="auto" w:sz="4" w:space="0"/>
                  </w:tcBorders>
                  <w:noWrap w:val="0"/>
                  <w:vAlign w:val="center"/>
                </w:tcPr>
                <w:p w14:paraId="7B155C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 xml:space="preserve">1.重点行业建设项目应满足区域、流域控制单元环境质量改善目标管理要求。 </w:t>
                  </w:r>
                </w:p>
                <w:p w14:paraId="522E8A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 xml:space="preserve">2.强化项目环评及“三同时”管理。新建、扩建“两高”项目应采用先进的工艺技术和装备，单位产品污染物排放强度应达到清洁生产先进水平，其中，国家、省绩效分级重点行业新建、扩建项目达到 A 级水平，改建项目达到 B 级以上水平。 </w:t>
                  </w:r>
                </w:p>
                <w:p w14:paraId="2A7160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4. 深入推进低挥发性有机物含量原辅材料源头替代，全面推广使用低挥发性有机物含量的涂料、油墨、胶粘剂、清洗剂等新兴原辅材料。</w:t>
                  </w:r>
                </w:p>
                <w:p w14:paraId="25041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hAnsi="宋体"/>
                      <w:color w:val="000000"/>
                      <w:sz w:val="21"/>
                      <w:szCs w:val="21"/>
                    </w:rPr>
                  </w:pPr>
                  <w:r>
                    <w:rPr>
                      <w:rFonts w:hint="default" w:ascii="Times New Roman" w:hAnsi="Times New Roman" w:eastAsia="宋体" w:cs="Times New Roman"/>
                      <w:color w:val="000000"/>
                      <w:kern w:val="0"/>
                      <w:sz w:val="21"/>
                      <w:szCs w:val="21"/>
                      <w:lang w:val="en-US" w:eastAsia="zh-CN" w:bidi="ar"/>
                    </w:rPr>
                    <w:t>7. 鼓励企业采用先进治理技术，打造行业噪声污染治理示范典型。排放噪声的工业企业应切实采取减振降噪措施，加强厂区内固定设备、运输工具、货物装卸等噪声源管理，同时避免突发噪声扰民。</w:t>
                  </w:r>
                </w:p>
              </w:tc>
              <w:tc>
                <w:tcPr>
                  <w:tcW w:w="1168" w:type="pct"/>
                  <w:tcBorders>
                    <w:top w:val="single" w:color="auto" w:sz="4" w:space="0"/>
                    <w:bottom w:val="single" w:color="auto" w:sz="4" w:space="0"/>
                  </w:tcBorders>
                  <w:noWrap w:val="0"/>
                  <w:vAlign w:val="center"/>
                </w:tcPr>
                <w:p w14:paraId="4AB4E839">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line="240" w:lineRule="auto"/>
                    <w:ind w:left="0" w:right="0" w:firstLine="0"/>
                    <w:jc w:val="both"/>
                    <w:textAlignment w:val="baseline"/>
                    <w:rPr>
                      <w:rFonts w:hint="eastAsia" w:ascii="Times New Roman" w:hAnsi="Times New Roman" w:eastAsia="宋体" w:cs="Times New Roman"/>
                      <w:color w:val="000000"/>
                      <w:kern w:val="0"/>
                      <w:sz w:val="21"/>
                      <w:szCs w:val="21"/>
                      <w:lang w:val="en-US" w:eastAsia="zh-CN" w:bidi="ar"/>
                    </w:rPr>
                  </w:pPr>
                  <w:r>
                    <w:rPr>
                      <w:rFonts w:hint="eastAsia" w:hAnsi="宋体"/>
                      <w:color w:val="000000"/>
                      <w:sz w:val="21"/>
                      <w:szCs w:val="21"/>
                      <w:lang w:val="en-US" w:eastAsia="zh-CN"/>
                    </w:rPr>
                    <w:t>1、本项目为机械零部件加工业，本项目新增废气污染物进行了区域倍量削减替代，满足区域</w:t>
                  </w:r>
                  <w:r>
                    <w:rPr>
                      <w:rFonts w:hint="default" w:ascii="Times New Roman" w:hAnsi="Times New Roman" w:eastAsia="宋体" w:cs="Times New Roman"/>
                      <w:color w:val="000000"/>
                      <w:kern w:val="0"/>
                      <w:sz w:val="21"/>
                      <w:szCs w:val="21"/>
                      <w:lang w:val="en-US" w:eastAsia="zh-CN" w:bidi="ar"/>
                    </w:rPr>
                    <w:t>、流域控制单元环境质量改善目标管理要求</w:t>
                  </w:r>
                  <w:r>
                    <w:rPr>
                      <w:rFonts w:hint="eastAsia" w:ascii="Times New Roman" w:hAnsi="Times New Roman" w:eastAsia="宋体" w:cs="Times New Roman"/>
                      <w:color w:val="000000"/>
                      <w:kern w:val="0"/>
                      <w:sz w:val="21"/>
                      <w:szCs w:val="21"/>
                      <w:lang w:val="en-US" w:eastAsia="zh-CN" w:bidi="ar"/>
                    </w:rPr>
                    <w:t>。</w:t>
                  </w:r>
                </w:p>
                <w:p w14:paraId="094449D1">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line="240" w:lineRule="auto"/>
                    <w:ind w:left="0" w:right="0" w:firstLine="0"/>
                    <w:jc w:val="both"/>
                    <w:textAlignment w:val="baseline"/>
                    <w:rPr>
                      <w:rFonts w:hint="eastAsia" w:ascii="Times New Roman" w:hAnsi="Times New Roman" w:eastAsia="宋体" w:cs="Times New Roman"/>
                      <w:color w:val="000000"/>
                      <w:kern w:val="0"/>
                      <w:sz w:val="21"/>
                      <w:szCs w:val="21"/>
                      <w:highlight w:val="yellow"/>
                      <w:lang w:val="en-US" w:eastAsia="zh-CN" w:bidi="ar"/>
                    </w:rPr>
                  </w:pPr>
                  <w:r>
                    <w:rPr>
                      <w:rFonts w:hint="eastAsia" w:ascii="Times New Roman" w:hAnsi="Times New Roman" w:eastAsia="宋体" w:cs="Times New Roman"/>
                      <w:color w:val="000000"/>
                      <w:kern w:val="0"/>
                      <w:sz w:val="21"/>
                      <w:szCs w:val="21"/>
                      <w:lang w:val="en-US" w:eastAsia="zh-CN" w:bidi="ar"/>
                    </w:rPr>
                    <w:t>2、</w:t>
                  </w:r>
                  <w:r>
                    <w:rPr>
                      <w:rFonts w:hint="eastAsia" w:hAnsi="宋体"/>
                      <w:color w:val="000000"/>
                      <w:sz w:val="21"/>
                      <w:szCs w:val="21"/>
                    </w:rPr>
                    <w:t>本项目</w:t>
                  </w:r>
                  <w:r>
                    <w:rPr>
                      <w:rFonts w:hint="eastAsia" w:hAnsi="宋体"/>
                      <w:color w:val="000000"/>
                      <w:sz w:val="21"/>
                      <w:szCs w:val="21"/>
                      <w:lang w:eastAsia="zh-CN"/>
                    </w:rPr>
                    <w:t>不属于“两高”项目，</w:t>
                  </w:r>
                  <w:r>
                    <w:rPr>
                      <w:rFonts w:hint="eastAsia" w:hAnsi="宋体"/>
                      <w:color w:val="000000"/>
                      <w:sz w:val="21"/>
                      <w:szCs w:val="21"/>
                      <w:highlight w:val="none"/>
                      <w:shd w:val="clear"/>
                      <w:lang w:eastAsia="zh-CN"/>
                    </w:rPr>
                    <w:t>本项目为新建项目，</w:t>
                  </w:r>
                  <w:r>
                    <w:rPr>
                      <w:rFonts w:hint="eastAsia" w:cs="Times New Roman"/>
                      <w:color w:val="000000" w:themeColor="text1"/>
                      <w:sz w:val="21"/>
                      <w:szCs w:val="21"/>
                      <w:vertAlign w:val="baseline"/>
                      <w:lang w:val="en-US" w:eastAsia="zh-CN"/>
                      <w14:textFill>
                        <w14:solidFill>
                          <w14:schemeClr w14:val="tx1"/>
                        </w14:solidFill>
                      </w14:textFill>
                    </w:rPr>
                    <w:t>建设满足河南省通用行业涉PM企业</w:t>
                  </w:r>
                  <w:r>
                    <w:rPr>
                      <w:rFonts w:hint="eastAsia" w:eastAsia="宋体" w:cs="Times New Roman"/>
                      <w:color w:val="000000" w:themeColor="text1"/>
                      <w:sz w:val="21"/>
                      <w:szCs w:val="21"/>
                      <w:vertAlign w:val="baseline"/>
                      <w:lang w:val="en-US" w:eastAsia="zh-CN"/>
                      <w14:textFill>
                        <w14:solidFill>
                          <w14:schemeClr w14:val="tx1"/>
                        </w14:solidFill>
                      </w14:textFill>
                    </w:rPr>
                    <w:t>绩效分级</w:t>
                  </w:r>
                  <w:r>
                    <w:rPr>
                      <w:rFonts w:hint="eastAsia" w:cs="Times New Roman"/>
                      <w:color w:val="000000" w:themeColor="text1"/>
                      <w:sz w:val="21"/>
                      <w:szCs w:val="21"/>
                      <w:vertAlign w:val="baseline"/>
                      <w:lang w:val="en-US" w:eastAsia="zh-CN"/>
                      <w14:textFill>
                        <w14:solidFill>
                          <w14:schemeClr w14:val="tx1"/>
                        </w14:solidFill>
                      </w14:textFill>
                    </w:rPr>
                    <w:t>引领性指标</w:t>
                  </w:r>
                  <w:r>
                    <w:rPr>
                      <w:rFonts w:hint="eastAsia" w:eastAsia="宋体" w:cs="Times New Roman"/>
                      <w:color w:val="000000" w:themeColor="text1"/>
                      <w:sz w:val="21"/>
                      <w:szCs w:val="21"/>
                      <w:vertAlign w:val="baseline"/>
                      <w:lang w:val="en-US" w:eastAsia="zh-CN"/>
                      <w14:textFill>
                        <w14:solidFill>
                          <w14:schemeClr w14:val="tx1"/>
                        </w14:solidFill>
                      </w14:textFill>
                    </w:rPr>
                    <w:t>；</w:t>
                  </w:r>
                </w:p>
                <w:p w14:paraId="213869E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color w:val="000000"/>
                      <w:kern w:val="0"/>
                      <w:sz w:val="21"/>
                      <w:szCs w:val="21"/>
                      <w:highlight w:val="none"/>
                      <w:lang w:val="en-US" w:eastAsia="zh-CN" w:bidi="ar"/>
                    </w:rPr>
                    <w:t>4、</w:t>
                  </w:r>
                  <w:r>
                    <w:rPr>
                      <w:rFonts w:hint="default" w:ascii="Times New Roman" w:hAnsi="Times New Roman" w:eastAsia="宋体" w:cs="Times New Roman"/>
                      <w:b w:val="0"/>
                      <w:bCs/>
                      <w:color w:val="auto"/>
                      <w:sz w:val="21"/>
                      <w:szCs w:val="21"/>
                      <w:highlight w:val="none"/>
                      <w:lang w:val="en-US" w:eastAsia="zh-CN"/>
                    </w:rPr>
                    <w:t>本</w:t>
                  </w:r>
                  <w:r>
                    <w:rPr>
                      <w:rFonts w:hint="eastAsia" w:cs="Times New Roman"/>
                      <w:b w:val="0"/>
                      <w:bCs/>
                      <w:color w:val="auto"/>
                      <w:sz w:val="21"/>
                      <w:szCs w:val="21"/>
                      <w:highlight w:val="none"/>
                      <w:lang w:val="en-US" w:eastAsia="zh-CN"/>
                    </w:rPr>
                    <w:t>项目不涉及涂料、油墨、胶粘剂、清洗剂等含挥发性有机物原辅料使用；</w:t>
                  </w:r>
                </w:p>
                <w:p w14:paraId="1F8E6B41">
                  <w:pPr>
                    <w:pStyle w:val="2"/>
                    <w:keepLines w:val="0"/>
                    <w:pageBreakBefore w:val="0"/>
                    <w:widowControl w:val="0"/>
                    <w:numPr>
                      <w:ilvl w:val="0"/>
                      <w:numId w:val="0"/>
                    </w:numPr>
                    <w:suppressLineNumbers w:val="0"/>
                    <w:kinsoku/>
                    <w:wordWrap/>
                    <w:topLinePunct w:val="0"/>
                    <w:autoSpaceDE/>
                    <w:autoSpaceDN/>
                    <w:bidi w:val="0"/>
                    <w:spacing w:before="0" w:beforeAutospacing="0" w:after="0" w:afterAutospacing="0" w:line="240" w:lineRule="auto"/>
                    <w:ind w:left="0" w:leftChars="0" w:right="0" w:firstLine="0"/>
                    <w:jc w:val="both"/>
                    <w:rPr>
                      <w:rFonts w:hint="eastAsia" w:eastAsia="黑体"/>
                      <w:sz w:val="21"/>
                      <w:szCs w:val="21"/>
                      <w:lang w:val="en-US" w:eastAsia="zh-CN"/>
                    </w:rPr>
                  </w:pPr>
                  <w:r>
                    <w:rPr>
                      <w:rFonts w:hint="default" w:ascii="Times New Roman" w:hAnsi="Times New Roman" w:eastAsia="宋体" w:cs="Times New Roman"/>
                      <w:b w:val="0"/>
                      <w:bCs w:val="0"/>
                      <w:sz w:val="21"/>
                      <w:szCs w:val="21"/>
                      <w:lang w:val="en-US" w:eastAsia="zh-CN"/>
                    </w:rPr>
                    <w:t>7、企业加强噪声源管理，采取减振降噪措施，可有效治理噪声污染，避免突发扰民。</w:t>
                  </w:r>
                </w:p>
              </w:tc>
              <w:tc>
                <w:tcPr>
                  <w:tcW w:w="377" w:type="pct"/>
                  <w:tcBorders>
                    <w:top w:val="single" w:color="auto" w:sz="4" w:space="0"/>
                    <w:bottom w:val="single" w:color="auto" w:sz="4" w:space="0"/>
                  </w:tcBorders>
                  <w:noWrap w:val="0"/>
                  <w:vAlign w:val="center"/>
                </w:tcPr>
                <w:p w14:paraId="50A75A54">
                  <w:pPr>
                    <w:keepNext w:val="0"/>
                    <w:keepLines w:val="0"/>
                    <w:suppressLineNumbers w:val="0"/>
                    <w:adjustRightInd w:val="0"/>
                    <w:snapToGrid w:val="0"/>
                    <w:spacing w:before="0" w:beforeAutospacing="0" w:after="0" w:afterAutospacing="0"/>
                    <w:ind w:left="0" w:right="0"/>
                    <w:jc w:val="center"/>
                    <w:textAlignment w:val="baseline"/>
                    <w:rPr>
                      <w:rFonts w:hint="default"/>
                      <w:color w:val="000000"/>
                      <w:sz w:val="21"/>
                      <w:szCs w:val="21"/>
                    </w:rPr>
                  </w:pPr>
                  <w:r>
                    <w:rPr>
                      <w:rFonts w:hint="default" w:hAnsi="宋体"/>
                      <w:color w:val="000000"/>
                      <w:sz w:val="21"/>
                      <w:szCs w:val="21"/>
                    </w:rPr>
                    <w:t>符合</w:t>
                  </w:r>
                </w:p>
              </w:tc>
            </w:tr>
            <w:tr w14:paraId="032DC19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vMerge w:val="continue"/>
                  <w:tcBorders>
                    <w:bottom w:val="single" w:color="auto" w:sz="4" w:space="0"/>
                  </w:tcBorders>
                  <w:noWrap w:val="0"/>
                  <w:vAlign w:val="center"/>
                </w:tcPr>
                <w:p w14:paraId="1C17159A">
                  <w:pPr>
                    <w:keepNext w:val="0"/>
                    <w:keepLines w:val="0"/>
                    <w:suppressLineNumbers w:val="0"/>
                    <w:adjustRightInd w:val="0"/>
                    <w:snapToGrid w:val="0"/>
                    <w:spacing w:before="0" w:beforeAutospacing="0" w:after="0" w:afterAutospacing="0"/>
                    <w:ind w:left="0" w:right="0"/>
                    <w:jc w:val="center"/>
                    <w:textAlignment w:val="baseline"/>
                    <w:rPr>
                      <w:rFonts w:hint="default"/>
                      <w:color w:val="000000"/>
                      <w:sz w:val="21"/>
                      <w:szCs w:val="21"/>
                    </w:rPr>
                  </w:pPr>
                </w:p>
              </w:tc>
              <w:tc>
                <w:tcPr>
                  <w:tcW w:w="551" w:type="pct"/>
                  <w:tcBorders>
                    <w:top w:val="single" w:color="auto" w:sz="4" w:space="0"/>
                    <w:bottom w:val="single" w:color="auto" w:sz="4" w:space="0"/>
                  </w:tcBorders>
                  <w:noWrap w:val="0"/>
                  <w:vAlign w:val="center"/>
                </w:tcPr>
                <w:p w14:paraId="593360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baseline"/>
                    <w:rPr>
                      <w:rFonts w:hint="eastAsia"/>
                      <w:color w:val="000000"/>
                      <w:sz w:val="21"/>
                      <w:szCs w:val="21"/>
                      <w:lang w:eastAsia="zh-CN"/>
                    </w:rPr>
                  </w:pPr>
                  <w:r>
                    <w:rPr>
                      <w:rFonts w:hint="eastAsia"/>
                      <w:color w:val="000000"/>
                      <w:sz w:val="21"/>
                      <w:szCs w:val="21"/>
                      <w:lang w:eastAsia="zh-CN"/>
                    </w:rPr>
                    <w:t>资源利用效率</w:t>
                  </w:r>
                </w:p>
              </w:tc>
              <w:tc>
                <w:tcPr>
                  <w:tcW w:w="2441" w:type="pct"/>
                  <w:tcBorders>
                    <w:top w:val="single" w:color="auto" w:sz="4" w:space="0"/>
                    <w:bottom w:val="single" w:color="auto" w:sz="4" w:space="0"/>
                  </w:tcBorders>
                  <w:noWrap w:val="0"/>
                  <w:vAlign w:val="center"/>
                </w:tcPr>
                <w:p w14:paraId="2135E595">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2.新建、扩建“两高”项目单位产品物耗、能耗、水耗等达到清洁生产先进水平。 </w:t>
                  </w:r>
                </w:p>
              </w:tc>
              <w:tc>
                <w:tcPr>
                  <w:tcW w:w="1168" w:type="pct"/>
                  <w:tcBorders>
                    <w:top w:val="single" w:color="auto" w:sz="4" w:space="0"/>
                    <w:bottom w:val="single" w:color="auto" w:sz="4" w:space="0"/>
                  </w:tcBorders>
                  <w:noWrap w:val="0"/>
                  <w:vAlign w:val="center"/>
                </w:tcPr>
                <w:p w14:paraId="4F93EEE7">
                  <w:pPr>
                    <w:keepNext w:val="0"/>
                    <w:keepLines w:val="0"/>
                    <w:suppressLineNumbers w:val="0"/>
                    <w:adjustRightInd w:val="0"/>
                    <w:snapToGrid w:val="0"/>
                    <w:spacing w:before="0" w:beforeAutospacing="0" w:after="0" w:afterAutospacing="0"/>
                    <w:ind w:left="0" w:right="0"/>
                    <w:jc w:val="both"/>
                    <w:textAlignment w:val="baseline"/>
                    <w:rPr>
                      <w:rFonts w:hint="eastAsia" w:hAnsi="宋体" w:eastAsia="宋体"/>
                      <w:color w:val="000000"/>
                      <w:sz w:val="21"/>
                      <w:szCs w:val="21"/>
                      <w:lang w:eastAsia="zh-CN"/>
                    </w:rPr>
                  </w:pPr>
                  <w:r>
                    <w:rPr>
                      <w:rFonts w:hint="eastAsia" w:hAnsi="宋体"/>
                      <w:color w:val="000000"/>
                      <w:sz w:val="21"/>
                      <w:szCs w:val="21"/>
                      <w:lang w:eastAsia="zh-CN"/>
                    </w:rPr>
                    <w:t>本项目不属于“两高”项目。</w:t>
                  </w:r>
                </w:p>
              </w:tc>
              <w:tc>
                <w:tcPr>
                  <w:tcW w:w="377" w:type="pct"/>
                  <w:tcBorders>
                    <w:top w:val="single" w:color="auto" w:sz="4" w:space="0"/>
                    <w:bottom w:val="single" w:color="auto" w:sz="4" w:space="0"/>
                  </w:tcBorders>
                  <w:noWrap w:val="0"/>
                  <w:vAlign w:val="center"/>
                </w:tcPr>
                <w:p w14:paraId="0185D412">
                  <w:pPr>
                    <w:keepNext w:val="0"/>
                    <w:keepLines w:val="0"/>
                    <w:suppressLineNumbers w:val="0"/>
                    <w:adjustRightInd w:val="0"/>
                    <w:snapToGrid w:val="0"/>
                    <w:spacing w:before="0" w:beforeAutospacing="0" w:after="0" w:afterAutospacing="0"/>
                    <w:ind w:left="0" w:right="0"/>
                    <w:jc w:val="center"/>
                    <w:textAlignment w:val="baseline"/>
                    <w:rPr>
                      <w:rFonts w:hint="eastAsia" w:hAnsi="宋体" w:eastAsia="宋体"/>
                      <w:color w:val="000000"/>
                      <w:sz w:val="21"/>
                      <w:szCs w:val="21"/>
                      <w:lang w:eastAsia="zh-CN"/>
                    </w:rPr>
                  </w:pPr>
                  <w:r>
                    <w:rPr>
                      <w:rFonts w:hint="eastAsia" w:hAnsi="宋体"/>
                      <w:color w:val="000000"/>
                      <w:sz w:val="21"/>
                      <w:szCs w:val="21"/>
                      <w:lang w:eastAsia="zh-CN"/>
                    </w:rPr>
                    <w:t>符合</w:t>
                  </w:r>
                </w:p>
              </w:tc>
            </w:tr>
            <w:tr w14:paraId="41A3E4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bottom w:val="single" w:color="auto" w:sz="4" w:space="0"/>
                  </w:tcBorders>
                  <w:noWrap w:val="0"/>
                  <w:vAlign w:val="center"/>
                </w:tcPr>
                <w:p w14:paraId="6FC58319">
                  <w:pPr>
                    <w:keepNext w:val="0"/>
                    <w:keepLines w:val="0"/>
                    <w:suppressLineNumbers w:val="0"/>
                    <w:adjustRightInd w:val="0"/>
                    <w:snapToGrid w:val="0"/>
                    <w:spacing w:before="0" w:beforeAutospacing="0" w:after="0" w:afterAutospacing="0"/>
                    <w:ind w:left="0" w:right="0"/>
                    <w:jc w:val="center"/>
                    <w:textAlignment w:val="baseline"/>
                    <w:rPr>
                      <w:rFonts w:hint="eastAsia" w:hAnsi="宋体" w:eastAsia="宋体"/>
                      <w:color w:val="000000"/>
                      <w:sz w:val="21"/>
                      <w:szCs w:val="21"/>
                      <w:lang w:eastAsia="zh-CN"/>
                    </w:rPr>
                  </w:pPr>
                  <w:r>
                    <w:rPr>
                      <w:rFonts w:hint="eastAsia"/>
                      <w:b/>
                      <w:bCs/>
                      <w:sz w:val="21"/>
                      <w:szCs w:val="21"/>
                      <w:lang w:eastAsia="zh-CN"/>
                    </w:rPr>
                    <w:t>二、重点区域生态环境管控要求</w:t>
                  </w:r>
                </w:p>
              </w:tc>
            </w:tr>
            <w:tr w14:paraId="64325B9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460" w:type="pct"/>
                  <w:vMerge w:val="restart"/>
                  <w:tcBorders>
                    <w:top w:val="single" w:color="auto" w:sz="4" w:space="0"/>
                    <w:bottom w:val="single" w:color="auto" w:sz="4" w:space="0"/>
                  </w:tcBorders>
                  <w:noWrap w:val="0"/>
                  <w:vAlign w:val="center"/>
                </w:tcPr>
                <w:p w14:paraId="5F617449">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京津冀及周边地区（郑州、开封、洛阳、平顶 山、安阳、鹤壁、新乡、焦作、濮阳、许昌、漯河、三门峡、商丘、周口市以及济源示</w:t>
                  </w:r>
                </w:p>
                <w:p w14:paraId="4E948E9B">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ind w:left="0" w:right="0"/>
                    <w:jc w:val="left"/>
                    <w:textAlignment w:val="auto"/>
                    <w:rPr>
                      <w:rFonts w:hint="default"/>
                      <w:color w:val="000000"/>
                      <w:sz w:val="21"/>
                      <w:szCs w:val="21"/>
                    </w:rPr>
                  </w:pPr>
                  <w:r>
                    <w:rPr>
                      <w:rFonts w:hint="default" w:ascii="Times New Roman" w:hAnsi="Times New Roman" w:eastAsia="宋体" w:cs="Times New Roman"/>
                      <w:color w:val="000000"/>
                      <w:kern w:val="0"/>
                      <w:sz w:val="21"/>
                      <w:szCs w:val="21"/>
                      <w:lang w:val="en-US" w:eastAsia="zh-CN" w:bidi="ar"/>
                    </w:rPr>
                    <w:t>范区）</w:t>
                  </w:r>
                </w:p>
              </w:tc>
              <w:tc>
                <w:tcPr>
                  <w:tcW w:w="551" w:type="pct"/>
                  <w:tcBorders>
                    <w:top w:val="single" w:color="auto" w:sz="4" w:space="0"/>
                    <w:bottom w:val="single" w:color="auto" w:sz="4" w:space="0"/>
                  </w:tcBorders>
                  <w:noWrap w:val="0"/>
                  <w:vAlign w:val="center"/>
                </w:tcPr>
                <w:p w14:paraId="46E32FF3">
                  <w:pPr>
                    <w:keepNext w:val="0"/>
                    <w:keepLines w:val="0"/>
                    <w:suppressLineNumbers w:val="0"/>
                    <w:adjustRightInd w:val="0"/>
                    <w:snapToGrid w:val="0"/>
                    <w:spacing w:before="0" w:beforeAutospacing="0" w:after="0" w:afterAutospacing="0"/>
                    <w:ind w:left="0" w:right="0"/>
                    <w:jc w:val="center"/>
                    <w:textAlignment w:val="baseline"/>
                    <w:rPr>
                      <w:rFonts w:hint="default"/>
                      <w:color w:val="000000"/>
                      <w:sz w:val="21"/>
                      <w:szCs w:val="21"/>
                    </w:rPr>
                  </w:pPr>
                  <w:r>
                    <w:rPr>
                      <w:rFonts w:hint="eastAsia"/>
                      <w:color w:val="000000"/>
                      <w:sz w:val="21"/>
                      <w:szCs w:val="21"/>
                    </w:rPr>
                    <w:t>空间布局约束</w:t>
                  </w:r>
                </w:p>
              </w:tc>
              <w:tc>
                <w:tcPr>
                  <w:tcW w:w="2441" w:type="pct"/>
                  <w:tcBorders>
                    <w:top w:val="single" w:color="auto" w:sz="4" w:space="0"/>
                    <w:bottom w:val="single" w:color="auto" w:sz="4" w:space="0"/>
                  </w:tcBorders>
                  <w:noWrap w:val="0"/>
                  <w:vAlign w:val="center"/>
                </w:tcPr>
                <w:p w14:paraId="75A1757D">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val="en-US" w:eastAsia="zh-CN" w:bidi="ar"/>
                    </w:rPr>
                    <w:t>1.坚决遏制“两高”项目盲目发展，落实《中共河南省委 河南省人民政府 关于深入打好污染防治攻坚战的实施意见》中关于空间布局约束的相关要求。</w:t>
                  </w:r>
                </w:p>
              </w:tc>
              <w:tc>
                <w:tcPr>
                  <w:tcW w:w="1168" w:type="pct"/>
                  <w:tcBorders>
                    <w:top w:val="single" w:color="auto" w:sz="4" w:space="0"/>
                    <w:bottom w:val="single" w:color="auto" w:sz="4" w:space="0"/>
                  </w:tcBorders>
                  <w:noWrap w:val="0"/>
                  <w:vAlign w:val="center"/>
                </w:tcPr>
                <w:p w14:paraId="51413BCD">
                  <w:pPr>
                    <w:keepNext w:val="0"/>
                    <w:keepLines w:val="0"/>
                    <w:suppressLineNumbers w:val="0"/>
                    <w:adjustRightInd w:val="0"/>
                    <w:snapToGrid w:val="0"/>
                    <w:spacing w:before="0" w:beforeAutospacing="0" w:after="0" w:afterAutospacing="0"/>
                    <w:ind w:left="0" w:right="0"/>
                    <w:jc w:val="both"/>
                    <w:textAlignment w:val="baseline"/>
                    <w:rPr>
                      <w:rFonts w:hint="default"/>
                      <w:color w:val="000000"/>
                      <w:sz w:val="21"/>
                      <w:szCs w:val="21"/>
                    </w:rPr>
                  </w:pPr>
                  <w:r>
                    <w:rPr>
                      <w:rFonts w:hint="eastAsia"/>
                      <w:color w:val="000000"/>
                      <w:sz w:val="21"/>
                      <w:szCs w:val="21"/>
                    </w:rPr>
                    <w:t>本项目为</w:t>
                  </w:r>
                  <w:r>
                    <w:rPr>
                      <w:rFonts w:hint="eastAsia"/>
                      <w:color w:val="000000"/>
                      <w:sz w:val="21"/>
                      <w:szCs w:val="21"/>
                      <w:lang w:eastAsia="zh-CN"/>
                    </w:rPr>
                    <w:t>机械零部件加工业</w:t>
                  </w:r>
                  <w:r>
                    <w:rPr>
                      <w:rFonts w:hint="eastAsia"/>
                      <w:color w:val="000000"/>
                      <w:sz w:val="21"/>
                      <w:szCs w:val="21"/>
                    </w:rPr>
                    <w:t>，不属于两高项目。</w:t>
                  </w:r>
                </w:p>
              </w:tc>
              <w:tc>
                <w:tcPr>
                  <w:tcW w:w="377" w:type="pct"/>
                  <w:tcBorders>
                    <w:top w:val="single" w:color="auto" w:sz="4" w:space="0"/>
                    <w:bottom w:val="single" w:color="auto" w:sz="4" w:space="0"/>
                  </w:tcBorders>
                  <w:noWrap w:val="0"/>
                  <w:vAlign w:val="center"/>
                </w:tcPr>
                <w:p w14:paraId="6E729DFB">
                  <w:pPr>
                    <w:keepNext w:val="0"/>
                    <w:keepLines w:val="0"/>
                    <w:suppressLineNumbers w:val="0"/>
                    <w:adjustRightInd w:val="0"/>
                    <w:snapToGrid w:val="0"/>
                    <w:spacing w:before="0" w:beforeAutospacing="0" w:after="0" w:afterAutospacing="0"/>
                    <w:ind w:left="0" w:right="0"/>
                    <w:jc w:val="center"/>
                    <w:textAlignment w:val="baseline"/>
                    <w:rPr>
                      <w:rFonts w:hint="default"/>
                      <w:color w:val="000000"/>
                      <w:sz w:val="21"/>
                      <w:szCs w:val="21"/>
                    </w:rPr>
                  </w:pPr>
                  <w:r>
                    <w:rPr>
                      <w:rFonts w:hint="default" w:hAnsi="宋体"/>
                      <w:color w:val="000000"/>
                      <w:sz w:val="21"/>
                      <w:szCs w:val="21"/>
                    </w:rPr>
                    <w:t>符合</w:t>
                  </w:r>
                </w:p>
              </w:tc>
            </w:tr>
            <w:tr w14:paraId="6634695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460" w:type="pct"/>
                  <w:vMerge w:val="continue"/>
                  <w:tcBorders>
                    <w:top w:val="single" w:color="auto" w:sz="4" w:space="0"/>
                  </w:tcBorders>
                  <w:noWrap w:val="0"/>
                  <w:vAlign w:val="center"/>
                </w:tcPr>
                <w:p w14:paraId="6FFA18AD">
                  <w:pPr>
                    <w:keepNext w:val="0"/>
                    <w:keepLines w:val="0"/>
                    <w:suppressLineNumbers w:val="0"/>
                    <w:adjustRightInd w:val="0"/>
                    <w:snapToGrid w:val="0"/>
                    <w:spacing w:before="0" w:beforeAutospacing="0" w:after="0" w:afterAutospacing="0"/>
                    <w:ind w:left="0" w:right="0"/>
                    <w:jc w:val="left"/>
                    <w:textAlignment w:val="baseline"/>
                    <w:rPr>
                      <w:rFonts w:hint="default"/>
                      <w:sz w:val="21"/>
                      <w:szCs w:val="21"/>
                    </w:rPr>
                  </w:pPr>
                </w:p>
              </w:tc>
              <w:tc>
                <w:tcPr>
                  <w:tcW w:w="551" w:type="pct"/>
                  <w:tcBorders>
                    <w:top w:val="single" w:color="auto" w:sz="4" w:space="0"/>
                  </w:tcBorders>
                  <w:noWrap w:val="0"/>
                  <w:vAlign w:val="center"/>
                </w:tcPr>
                <w:p w14:paraId="4A183468">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rPr>
                  </w:pPr>
                  <w:r>
                    <w:rPr>
                      <w:rFonts w:hint="eastAsia"/>
                      <w:sz w:val="21"/>
                      <w:szCs w:val="21"/>
                    </w:rPr>
                    <w:t>污染物排放管控</w:t>
                  </w:r>
                </w:p>
              </w:tc>
              <w:tc>
                <w:tcPr>
                  <w:tcW w:w="2441" w:type="pct"/>
                  <w:tcBorders>
                    <w:top w:val="single" w:color="auto" w:sz="4" w:space="0"/>
                  </w:tcBorders>
                  <w:noWrap w:val="0"/>
                  <w:vAlign w:val="center"/>
                </w:tcPr>
                <w:p w14:paraId="468BDAA4">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1.落实超低排放要求、无组织排放特别控制要求。</w:t>
                  </w:r>
                </w:p>
                <w:p w14:paraId="70625C1E">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val="en-US" w:eastAsia="zh-CN" w:bidi="ar"/>
                    </w:rPr>
                    <w:t>4.全面推广绿色化工制造技术，实现化工原料和反应介质、生产工艺和制造过程绿色化，从源头上控制和减少污染。</w:t>
                  </w:r>
                </w:p>
              </w:tc>
              <w:tc>
                <w:tcPr>
                  <w:tcW w:w="1168" w:type="pct"/>
                  <w:tcBorders>
                    <w:top w:val="single" w:color="auto" w:sz="4" w:space="0"/>
                  </w:tcBorders>
                  <w:noWrap w:val="0"/>
                  <w:vAlign w:val="center"/>
                </w:tcPr>
                <w:p w14:paraId="300E0676">
                  <w:pPr>
                    <w:pStyle w:val="67"/>
                    <w:keepNext w:val="0"/>
                    <w:keepLines w:val="0"/>
                    <w:numPr>
                      <w:ilvl w:val="0"/>
                      <w:numId w:val="1"/>
                    </w:numPr>
                    <w:suppressLineNumbers w:val="0"/>
                    <w:spacing w:before="0" w:beforeLines="0" w:beforeAutospacing="0" w:after="0" w:afterLines="0" w:afterAutospacing="0"/>
                    <w:ind w:left="0" w:right="0"/>
                    <w:jc w:val="both"/>
                    <w:rPr>
                      <w:rFonts w:hint="eastAsia"/>
                      <w:b w:val="0"/>
                      <w:bCs/>
                      <w:color w:val="000000"/>
                      <w:sz w:val="21"/>
                      <w:szCs w:val="21"/>
                    </w:rPr>
                  </w:pPr>
                  <w:r>
                    <w:rPr>
                      <w:rFonts w:hint="eastAsia"/>
                      <w:b w:val="0"/>
                      <w:bCs/>
                      <w:color w:val="000000"/>
                      <w:sz w:val="21"/>
                      <w:szCs w:val="21"/>
                    </w:rPr>
                    <w:t>本项目</w:t>
                  </w:r>
                  <w:r>
                    <w:rPr>
                      <w:rFonts w:hint="eastAsia"/>
                      <w:b w:val="0"/>
                      <w:bCs/>
                      <w:color w:val="000000"/>
                      <w:sz w:val="21"/>
                      <w:szCs w:val="21"/>
                      <w:lang w:val="en-US" w:eastAsia="zh-CN"/>
                    </w:rPr>
                    <w:t>无</w:t>
                  </w:r>
                  <w:r>
                    <w:rPr>
                      <w:rFonts w:hint="eastAsia" w:ascii="宋体" w:hAnsi="宋体" w:eastAsia="宋体" w:cs="宋体"/>
                      <w:b w:val="0"/>
                      <w:bCs/>
                      <w:color w:val="000000"/>
                      <w:kern w:val="0"/>
                      <w:sz w:val="21"/>
                      <w:szCs w:val="21"/>
                      <w:lang w:val="en-US" w:eastAsia="zh-CN" w:bidi="ar"/>
                    </w:rPr>
                    <w:t>超低排放要求、无组织排放特别控制要求</w:t>
                  </w:r>
                  <w:r>
                    <w:rPr>
                      <w:rFonts w:hint="eastAsia"/>
                      <w:b w:val="0"/>
                      <w:bCs/>
                      <w:color w:val="000000"/>
                      <w:sz w:val="21"/>
                      <w:szCs w:val="21"/>
                    </w:rPr>
                    <w:t>；</w:t>
                  </w:r>
                </w:p>
                <w:p w14:paraId="548AD214">
                  <w:pPr>
                    <w:pStyle w:val="67"/>
                    <w:keepNext w:val="0"/>
                    <w:keepLines w:val="0"/>
                    <w:numPr>
                      <w:ilvl w:val="0"/>
                      <w:numId w:val="0"/>
                    </w:numPr>
                    <w:suppressLineNumbers w:val="0"/>
                    <w:spacing w:before="0" w:beforeLines="0" w:beforeAutospacing="0" w:after="0" w:afterLines="0" w:afterAutospacing="0"/>
                    <w:ind w:left="0" w:right="0"/>
                    <w:jc w:val="both"/>
                    <w:rPr>
                      <w:rFonts w:hint="eastAsia" w:eastAsia="宋体"/>
                      <w:color w:val="000000"/>
                      <w:sz w:val="21"/>
                      <w:szCs w:val="21"/>
                      <w:lang w:eastAsia="zh-CN"/>
                    </w:rPr>
                  </w:pPr>
                  <w:r>
                    <w:rPr>
                      <w:rFonts w:hint="eastAsia"/>
                      <w:b w:val="0"/>
                      <w:bCs/>
                      <w:color w:val="000000"/>
                      <w:sz w:val="21"/>
                      <w:szCs w:val="21"/>
                      <w:lang w:val="en-US" w:eastAsia="zh-CN"/>
                    </w:rPr>
                    <w:t>4、</w:t>
                  </w:r>
                  <w:r>
                    <w:rPr>
                      <w:rFonts w:hint="default"/>
                      <w:b w:val="0"/>
                      <w:bCs/>
                      <w:color w:val="000000"/>
                      <w:sz w:val="21"/>
                      <w:szCs w:val="21"/>
                    </w:rPr>
                    <w:t>本项目</w:t>
                  </w:r>
                  <w:r>
                    <w:rPr>
                      <w:rFonts w:hint="eastAsia"/>
                      <w:b w:val="0"/>
                      <w:bCs/>
                      <w:color w:val="000000"/>
                      <w:sz w:val="21"/>
                      <w:szCs w:val="21"/>
                      <w:lang w:eastAsia="zh-CN"/>
                    </w:rPr>
                    <w:t>使用</w:t>
                  </w:r>
                  <w:r>
                    <w:rPr>
                      <w:rFonts w:hint="eastAsia"/>
                      <w:b w:val="0"/>
                      <w:bCs/>
                      <w:color w:val="000000"/>
                      <w:sz w:val="21"/>
                      <w:szCs w:val="21"/>
                      <w:lang w:val="en-US" w:eastAsia="zh-CN"/>
                    </w:rPr>
                    <w:t>水性切削液和水性淬火液</w:t>
                  </w:r>
                  <w:r>
                    <w:rPr>
                      <w:rFonts w:hint="eastAsia"/>
                      <w:b w:val="0"/>
                      <w:bCs/>
                      <w:color w:val="000000"/>
                      <w:sz w:val="21"/>
                      <w:szCs w:val="21"/>
                      <w:lang w:eastAsia="zh-CN"/>
                    </w:rPr>
                    <w:t>，可从源头上减少污染。</w:t>
                  </w:r>
                </w:p>
              </w:tc>
              <w:tc>
                <w:tcPr>
                  <w:tcW w:w="377" w:type="pct"/>
                  <w:tcBorders>
                    <w:top w:val="single" w:color="auto" w:sz="4" w:space="0"/>
                  </w:tcBorders>
                  <w:noWrap w:val="0"/>
                  <w:vAlign w:val="center"/>
                </w:tcPr>
                <w:p w14:paraId="7F807060">
                  <w:pPr>
                    <w:pStyle w:val="30"/>
                    <w:keepNext w:val="0"/>
                    <w:keepLines w:val="0"/>
                    <w:suppressLineNumbers w:val="0"/>
                    <w:spacing w:before="0" w:beforeAutospacing="0" w:after="0" w:afterAutospacing="0"/>
                    <w:ind w:left="0" w:right="0"/>
                    <w:rPr>
                      <w:rFonts w:hint="eastAsia" w:eastAsia="宋体"/>
                      <w:b w:val="0"/>
                      <w:sz w:val="21"/>
                      <w:szCs w:val="21"/>
                    </w:rPr>
                  </w:pPr>
                  <w:r>
                    <w:rPr>
                      <w:rFonts w:hint="eastAsia"/>
                      <w:b w:val="0"/>
                      <w:sz w:val="21"/>
                      <w:szCs w:val="21"/>
                    </w:rPr>
                    <w:t>符合</w:t>
                  </w:r>
                </w:p>
                <w:p w14:paraId="1C3854B4">
                  <w:pPr>
                    <w:pStyle w:val="32"/>
                    <w:keepNext w:val="0"/>
                    <w:keepLines w:val="0"/>
                    <w:suppressLineNumbers w:val="0"/>
                    <w:spacing w:before="0" w:beforeAutospacing="0" w:after="0" w:afterAutospacing="0" w:line="240" w:lineRule="auto"/>
                    <w:ind w:left="0" w:right="0"/>
                    <w:rPr>
                      <w:rFonts w:hint="default"/>
                      <w:sz w:val="21"/>
                      <w:szCs w:val="21"/>
                    </w:rPr>
                  </w:pPr>
                </w:p>
                <w:p w14:paraId="4FAD8AB7">
                  <w:pPr>
                    <w:pStyle w:val="32"/>
                    <w:keepNext w:val="0"/>
                    <w:keepLines w:val="0"/>
                    <w:suppressLineNumbers w:val="0"/>
                    <w:spacing w:before="0" w:beforeAutospacing="0" w:after="0" w:afterAutospacing="0" w:line="240" w:lineRule="auto"/>
                    <w:ind w:left="0" w:right="0"/>
                    <w:rPr>
                      <w:rFonts w:hint="default"/>
                      <w:sz w:val="21"/>
                      <w:szCs w:val="21"/>
                    </w:rPr>
                  </w:pPr>
                </w:p>
              </w:tc>
            </w:tr>
            <w:tr w14:paraId="02557C9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460" w:type="pct"/>
                  <w:vMerge w:val="continue"/>
                  <w:noWrap w:val="0"/>
                  <w:vAlign w:val="center"/>
                </w:tcPr>
                <w:p w14:paraId="360FAFFA">
                  <w:pPr>
                    <w:keepNext w:val="0"/>
                    <w:keepLines w:val="0"/>
                    <w:suppressLineNumbers w:val="0"/>
                    <w:adjustRightInd w:val="0"/>
                    <w:snapToGrid w:val="0"/>
                    <w:spacing w:before="0" w:beforeAutospacing="0" w:after="0" w:afterAutospacing="0"/>
                    <w:ind w:left="0" w:right="0"/>
                    <w:jc w:val="left"/>
                    <w:textAlignment w:val="baseline"/>
                    <w:rPr>
                      <w:rFonts w:hint="default"/>
                      <w:color w:val="000000"/>
                      <w:sz w:val="21"/>
                      <w:szCs w:val="21"/>
                    </w:rPr>
                  </w:pPr>
                </w:p>
              </w:tc>
              <w:tc>
                <w:tcPr>
                  <w:tcW w:w="551" w:type="pct"/>
                  <w:noWrap w:val="0"/>
                  <w:vAlign w:val="center"/>
                </w:tcPr>
                <w:p w14:paraId="68193CB1">
                  <w:pPr>
                    <w:keepNext w:val="0"/>
                    <w:keepLines w:val="0"/>
                    <w:suppressLineNumbers w:val="0"/>
                    <w:adjustRightInd w:val="0"/>
                    <w:snapToGrid w:val="0"/>
                    <w:spacing w:before="0" w:beforeAutospacing="0" w:after="0" w:afterAutospacing="0"/>
                    <w:ind w:left="0" w:right="0"/>
                    <w:jc w:val="center"/>
                    <w:textAlignment w:val="baseline"/>
                    <w:rPr>
                      <w:rFonts w:hint="eastAsia"/>
                      <w:color w:val="000000"/>
                      <w:sz w:val="21"/>
                      <w:szCs w:val="21"/>
                    </w:rPr>
                  </w:pPr>
                  <w:r>
                    <w:rPr>
                      <w:rFonts w:hint="eastAsia"/>
                      <w:color w:val="000000"/>
                      <w:sz w:val="21"/>
                      <w:szCs w:val="21"/>
                    </w:rPr>
                    <w:t>环境风</w:t>
                  </w:r>
                </w:p>
                <w:p w14:paraId="5F6B76B6">
                  <w:pPr>
                    <w:keepNext w:val="0"/>
                    <w:keepLines w:val="0"/>
                    <w:suppressLineNumbers w:val="0"/>
                    <w:adjustRightInd w:val="0"/>
                    <w:snapToGrid w:val="0"/>
                    <w:spacing w:before="0" w:beforeAutospacing="0" w:after="0" w:afterAutospacing="0"/>
                    <w:ind w:left="0" w:right="0"/>
                    <w:jc w:val="center"/>
                    <w:textAlignment w:val="baseline"/>
                    <w:rPr>
                      <w:rFonts w:hint="default"/>
                      <w:color w:val="000000"/>
                      <w:sz w:val="21"/>
                      <w:szCs w:val="21"/>
                    </w:rPr>
                  </w:pPr>
                  <w:r>
                    <w:rPr>
                      <w:rFonts w:hint="eastAsia"/>
                      <w:color w:val="000000"/>
                      <w:sz w:val="21"/>
                      <w:szCs w:val="21"/>
                    </w:rPr>
                    <w:t>险防控</w:t>
                  </w:r>
                </w:p>
              </w:tc>
              <w:tc>
                <w:tcPr>
                  <w:tcW w:w="2441" w:type="pct"/>
                  <w:noWrap w:val="0"/>
                  <w:vAlign w:val="center"/>
                </w:tcPr>
                <w:p w14:paraId="691020FA">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val="en-US" w:eastAsia="zh-CN" w:bidi="ar"/>
                    </w:rPr>
                    <w:t xml:space="preserve">1.对无法实现低 VOCs 原辅材料替代的工序，在保证安全情况下，应在密闭设备、密闭空间作业或安装二次密闭设施。 </w:t>
                  </w:r>
                </w:p>
              </w:tc>
              <w:tc>
                <w:tcPr>
                  <w:tcW w:w="1168" w:type="pct"/>
                  <w:noWrap w:val="0"/>
                  <w:vAlign w:val="center"/>
                </w:tcPr>
                <w:p w14:paraId="0D8281C2">
                  <w:pPr>
                    <w:keepNext w:val="0"/>
                    <w:keepLines w:val="0"/>
                    <w:suppressLineNumbers w:val="0"/>
                    <w:adjustRightInd w:val="0"/>
                    <w:snapToGrid w:val="0"/>
                    <w:spacing w:before="0" w:beforeAutospacing="0" w:after="0" w:afterAutospacing="0"/>
                    <w:ind w:left="0" w:right="0"/>
                    <w:jc w:val="both"/>
                    <w:textAlignment w:val="baseline"/>
                    <w:rPr>
                      <w:rFonts w:hint="default" w:eastAsia="宋体"/>
                      <w:color w:val="000000"/>
                      <w:sz w:val="21"/>
                      <w:szCs w:val="21"/>
                      <w:lang w:val="en-US" w:eastAsia="zh-CN"/>
                    </w:rPr>
                  </w:pPr>
                  <w:r>
                    <w:rPr>
                      <w:rFonts w:hint="eastAsia"/>
                      <w:color w:val="000000"/>
                      <w:kern w:val="0"/>
                      <w:sz w:val="21"/>
                      <w:szCs w:val="21"/>
                      <w:highlight w:val="none"/>
                      <w:lang w:bidi="ar"/>
                    </w:rPr>
                    <w:t>本项目</w:t>
                  </w:r>
                  <w:r>
                    <w:rPr>
                      <w:rFonts w:hint="eastAsia"/>
                      <w:color w:val="000000"/>
                      <w:kern w:val="0"/>
                      <w:sz w:val="21"/>
                      <w:szCs w:val="21"/>
                      <w:highlight w:val="none"/>
                      <w:lang w:val="en-US" w:eastAsia="zh-CN" w:bidi="ar"/>
                    </w:rPr>
                    <w:t>不涉及含</w:t>
                  </w:r>
                  <w:r>
                    <w:rPr>
                      <w:rFonts w:hint="default" w:ascii="Times New Roman" w:hAnsi="Times New Roman" w:eastAsia="宋体" w:cs="Times New Roman"/>
                      <w:color w:val="000000"/>
                      <w:kern w:val="0"/>
                      <w:sz w:val="21"/>
                      <w:szCs w:val="21"/>
                      <w:lang w:val="en-US" w:eastAsia="zh-CN" w:bidi="ar"/>
                    </w:rPr>
                    <w:t>VO</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Cs原</w:t>
                  </w:r>
                  <w:r>
                    <w:rPr>
                      <w:rFonts w:hint="default" w:ascii="Times New Roman" w:hAnsi="Times New Roman" w:eastAsia="宋体" w:cs="Times New Roman"/>
                      <w:color w:val="000000"/>
                      <w:kern w:val="0"/>
                      <w:sz w:val="21"/>
                      <w:szCs w:val="21"/>
                      <w:lang w:val="en-US" w:eastAsia="zh-CN" w:bidi="ar"/>
                    </w:rPr>
                    <w:t>辅</w:t>
                  </w:r>
                  <w:r>
                    <w:rPr>
                      <w:rFonts w:hint="eastAsia" w:ascii="Times New Roman" w:hAnsi="Times New Roman" w:eastAsia="宋体" w:cs="Times New Roman"/>
                      <w:color w:val="000000"/>
                      <w:kern w:val="0"/>
                      <w:sz w:val="21"/>
                      <w:szCs w:val="21"/>
                      <w:lang w:val="en-US" w:eastAsia="zh-CN" w:bidi="ar"/>
                    </w:rPr>
                    <w:t>料使用</w:t>
                  </w:r>
                </w:p>
              </w:tc>
              <w:tc>
                <w:tcPr>
                  <w:tcW w:w="377" w:type="pct"/>
                  <w:noWrap w:val="0"/>
                  <w:vAlign w:val="center"/>
                </w:tcPr>
                <w:p w14:paraId="111A24A2">
                  <w:pPr>
                    <w:keepNext w:val="0"/>
                    <w:keepLines w:val="0"/>
                    <w:suppressLineNumbers w:val="0"/>
                    <w:adjustRightInd w:val="0"/>
                    <w:snapToGrid w:val="0"/>
                    <w:spacing w:before="0" w:beforeAutospacing="0" w:after="0" w:afterAutospacing="0"/>
                    <w:ind w:left="0" w:right="0"/>
                    <w:jc w:val="left"/>
                    <w:textAlignment w:val="baseline"/>
                    <w:rPr>
                      <w:rFonts w:hint="eastAsia"/>
                      <w:color w:val="000000"/>
                      <w:sz w:val="21"/>
                      <w:szCs w:val="21"/>
                    </w:rPr>
                  </w:pPr>
                  <w:r>
                    <w:rPr>
                      <w:rFonts w:hint="eastAsia"/>
                      <w:color w:val="000000"/>
                      <w:sz w:val="21"/>
                      <w:szCs w:val="21"/>
                    </w:rPr>
                    <w:t>符合</w:t>
                  </w:r>
                </w:p>
              </w:tc>
            </w:tr>
            <w:tr w14:paraId="6E3325B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5000" w:type="pct"/>
                  <w:gridSpan w:val="5"/>
                  <w:noWrap w:val="0"/>
                  <w:vAlign w:val="center"/>
                </w:tcPr>
                <w:p w14:paraId="5E1E13AF">
                  <w:pPr>
                    <w:keepNext w:val="0"/>
                    <w:keepLines w:val="0"/>
                    <w:suppressLineNumbers w:val="0"/>
                    <w:adjustRightInd w:val="0"/>
                    <w:snapToGrid w:val="0"/>
                    <w:spacing w:before="0" w:beforeAutospacing="0" w:after="0" w:afterAutospacing="0"/>
                    <w:ind w:left="0" w:right="0"/>
                    <w:jc w:val="center"/>
                    <w:textAlignment w:val="baseline"/>
                    <w:rPr>
                      <w:rFonts w:hint="eastAsia"/>
                      <w:color w:val="000000"/>
                      <w:sz w:val="21"/>
                      <w:szCs w:val="21"/>
                      <w:lang w:eastAsia="zh-CN"/>
                    </w:rPr>
                  </w:pPr>
                  <w:r>
                    <w:rPr>
                      <w:rFonts w:hint="eastAsia"/>
                      <w:b/>
                      <w:bCs/>
                      <w:sz w:val="21"/>
                      <w:szCs w:val="21"/>
                      <w:lang w:eastAsia="zh-CN"/>
                    </w:rPr>
                    <w:t>三、重点流域生态环境管控要求</w:t>
                  </w:r>
                </w:p>
              </w:tc>
            </w:tr>
            <w:tr w14:paraId="796F27D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460" w:type="pct"/>
                  <w:noWrap w:val="0"/>
                  <w:vAlign w:val="center"/>
                </w:tcPr>
                <w:p w14:paraId="5D11AF09">
                  <w:pPr>
                    <w:keepNext w:val="0"/>
                    <w:keepLines w:val="0"/>
                    <w:suppressLineNumbers w:val="0"/>
                    <w:adjustRightInd w:val="0"/>
                    <w:snapToGrid w:val="0"/>
                    <w:spacing w:before="0" w:beforeAutospacing="0" w:after="0" w:afterAutospacing="0"/>
                    <w:ind w:left="0" w:right="0"/>
                    <w:jc w:val="center"/>
                    <w:textAlignment w:val="baseline"/>
                    <w:rPr>
                      <w:rFonts w:hint="eastAsia" w:eastAsia="宋体"/>
                      <w:color w:val="000000"/>
                      <w:sz w:val="21"/>
                      <w:szCs w:val="21"/>
                      <w:lang w:eastAsia="zh-CN"/>
                    </w:rPr>
                  </w:pPr>
                  <w:r>
                    <w:rPr>
                      <w:rFonts w:hint="eastAsia"/>
                      <w:color w:val="000000"/>
                      <w:sz w:val="21"/>
                      <w:szCs w:val="21"/>
                      <w:highlight w:val="none"/>
                      <w:lang w:eastAsia="zh-CN"/>
                    </w:rPr>
                    <w:t>省辖海河流域</w:t>
                  </w:r>
                </w:p>
              </w:tc>
              <w:tc>
                <w:tcPr>
                  <w:tcW w:w="551" w:type="pct"/>
                  <w:noWrap w:val="0"/>
                  <w:vAlign w:val="center"/>
                </w:tcPr>
                <w:p w14:paraId="4166B7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olor w:val="000000"/>
                      <w:sz w:val="21"/>
                      <w:szCs w:val="21"/>
                      <w:lang w:eastAsia="zh-CN"/>
                    </w:rPr>
                  </w:pPr>
                  <w:r>
                    <w:rPr>
                      <w:rFonts w:hint="eastAsia"/>
                      <w:color w:val="000000"/>
                      <w:sz w:val="21"/>
                      <w:szCs w:val="21"/>
                      <w:lang w:eastAsia="zh-CN"/>
                    </w:rPr>
                    <w:t>空间布</w:t>
                  </w:r>
                </w:p>
                <w:p w14:paraId="764818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eastAsia="宋体"/>
                      <w:color w:val="000000"/>
                      <w:sz w:val="21"/>
                      <w:szCs w:val="21"/>
                      <w:lang w:eastAsia="zh-CN"/>
                    </w:rPr>
                  </w:pPr>
                  <w:r>
                    <w:rPr>
                      <w:rFonts w:hint="eastAsia"/>
                      <w:color w:val="000000"/>
                      <w:sz w:val="21"/>
                      <w:szCs w:val="21"/>
                      <w:lang w:eastAsia="zh-CN"/>
                    </w:rPr>
                    <w:t>局约束</w:t>
                  </w:r>
                </w:p>
              </w:tc>
              <w:tc>
                <w:tcPr>
                  <w:tcW w:w="2441" w:type="pct"/>
                  <w:noWrap w:val="0"/>
                  <w:vAlign w:val="center"/>
                </w:tcPr>
                <w:p w14:paraId="5144AD5D">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1.严格限制造纸、印染等高耗水、重污染产业发展。</w:t>
                  </w:r>
                </w:p>
                <w:p w14:paraId="619B58A7">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2.严格落实南水北调干渠水源地保护的有关规定，避免水体受到污染。</w:t>
                  </w:r>
                </w:p>
              </w:tc>
              <w:tc>
                <w:tcPr>
                  <w:tcW w:w="1168" w:type="pct"/>
                  <w:noWrap w:val="0"/>
                  <w:vAlign w:val="center"/>
                </w:tcPr>
                <w:p w14:paraId="3F9A2C73">
                  <w:pPr>
                    <w:keepNext w:val="0"/>
                    <w:keepLines w:val="0"/>
                    <w:suppressLineNumbers w:val="0"/>
                    <w:adjustRightInd w:val="0"/>
                    <w:snapToGrid w:val="0"/>
                    <w:spacing w:before="0" w:beforeAutospacing="0" w:after="0" w:afterAutospacing="0"/>
                    <w:ind w:left="0" w:right="0"/>
                    <w:jc w:val="both"/>
                    <w:textAlignment w:val="baseline"/>
                    <w:rPr>
                      <w:rFonts w:hint="default" w:eastAsia="宋体"/>
                      <w:bCs/>
                      <w:color w:val="000000"/>
                      <w:sz w:val="21"/>
                      <w:szCs w:val="21"/>
                      <w:lang w:val="en-US" w:eastAsia="zh-CN"/>
                    </w:rPr>
                  </w:pPr>
                  <w:r>
                    <w:rPr>
                      <w:rFonts w:hint="eastAsia"/>
                      <w:bCs/>
                      <w:color w:val="000000"/>
                      <w:sz w:val="21"/>
                      <w:szCs w:val="21"/>
                      <w:lang w:val="en-US" w:eastAsia="zh-CN"/>
                    </w:rPr>
                    <w:t>本项目生产过程用水量较小，不属于高耗水产业。</w:t>
                  </w:r>
                </w:p>
              </w:tc>
              <w:tc>
                <w:tcPr>
                  <w:tcW w:w="377" w:type="pct"/>
                  <w:noWrap w:val="0"/>
                  <w:vAlign w:val="center"/>
                </w:tcPr>
                <w:p w14:paraId="18F28B64">
                  <w:pPr>
                    <w:keepNext w:val="0"/>
                    <w:keepLines w:val="0"/>
                    <w:suppressLineNumbers w:val="0"/>
                    <w:adjustRightInd w:val="0"/>
                    <w:snapToGrid w:val="0"/>
                    <w:spacing w:before="0" w:beforeAutospacing="0" w:after="0" w:afterAutospacing="0"/>
                    <w:ind w:left="0" w:right="0"/>
                    <w:jc w:val="center"/>
                    <w:textAlignment w:val="baseline"/>
                    <w:rPr>
                      <w:rFonts w:hint="eastAsia"/>
                      <w:color w:val="000000"/>
                      <w:sz w:val="21"/>
                      <w:szCs w:val="21"/>
                      <w:lang w:eastAsia="zh-CN"/>
                    </w:rPr>
                  </w:pPr>
                  <w:r>
                    <w:rPr>
                      <w:rFonts w:hint="eastAsia"/>
                      <w:color w:val="000000"/>
                      <w:sz w:val="21"/>
                      <w:szCs w:val="21"/>
                      <w:lang w:eastAsia="zh-CN"/>
                    </w:rPr>
                    <w:t>符合</w:t>
                  </w:r>
                </w:p>
              </w:tc>
            </w:tr>
          </w:tbl>
          <w:p w14:paraId="17511575">
            <w:pPr>
              <w:keepNext w:val="0"/>
              <w:keepLines w:val="0"/>
              <w:suppressLineNumbers w:val="0"/>
              <w:spacing w:before="0" w:beforeAutospacing="0" w:after="0" w:afterAutospacing="0" w:line="440" w:lineRule="exact"/>
              <w:ind w:left="0" w:right="0" w:firstLine="480" w:firstLineChars="200"/>
              <w:textAlignment w:val="baseline"/>
              <w:rPr>
                <w:rFonts w:hint="eastAsia" w:ascii="宋体" w:hAnsi="宋体"/>
                <w:bCs/>
                <w:color w:val="000000"/>
                <w:sz w:val="24"/>
              </w:rPr>
            </w:pPr>
            <w:r>
              <w:rPr>
                <w:rFonts w:hint="eastAsia" w:ascii="宋体" w:hAnsi="宋体"/>
                <w:bCs/>
                <w:color w:val="000000"/>
                <w:sz w:val="24"/>
              </w:rPr>
              <w:t>由上表可知，本项目符合</w:t>
            </w:r>
            <w:r>
              <w:rPr>
                <w:rFonts w:hint="eastAsia"/>
                <w:bCs/>
                <w:color w:val="000000"/>
                <w:sz w:val="24"/>
                <w:lang w:eastAsia="zh-CN"/>
              </w:rPr>
              <w:t>《</w:t>
            </w:r>
            <w:r>
              <w:rPr>
                <w:rFonts w:hint="default"/>
                <w:bCs/>
                <w:color w:val="000000"/>
                <w:sz w:val="24"/>
              </w:rPr>
              <w:t>河南省生态环境分区管控总体要求</w:t>
            </w:r>
            <w:r>
              <w:rPr>
                <w:rFonts w:hint="eastAsia"/>
                <w:bCs/>
                <w:color w:val="000000"/>
                <w:sz w:val="24"/>
                <w:lang w:eastAsia="zh-CN"/>
              </w:rPr>
              <w:t>》（</w:t>
            </w:r>
            <w:r>
              <w:rPr>
                <w:rFonts w:hint="eastAsia"/>
                <w:bCs/>
                <w:color w:val="000000"/>
                <w:sz w:val="24"/>
                <w:lang w:val="en-US" w:eastAsia="zh-CN"/>
              </w:rPr>
              <w:t>2023年版</w:t>
            </w:r>
            <w:r>
              <w:rPr>
                <w:rFonts w:hint="eastAsia"/>
                <w:bCs/>
                <w:color w:val="000000"/>
                <w:sz w:val="24"/>
                <w:lang w:eastAsia="zh-CN"/>
              </w:rPr>
              <w:t>）</w:t>
            </w:r>
            <w:r>
              <w:rPr>
                <w:rFonts w:hint="eastAsia" w:ascii="宋体" w:hAnsi="宋体"/>
                <w:bCs/>
                <w:color w:val="000000"/>
                <w:sz w:val="24"/>
              </w:rPr>
              <w:t>中相关内容的要求。</w:t>
            </w:r>
          </w:p>
          <w:p w14:paraId="75BAE481">
            <w:pPr>
              <w:keepNext w:val="0"/>
              <w:keepLines w:val="0"/>
              <w:suppressLineNumbers w:val="0"/>
              <w:spacing w:before="0" w:beforeAutospacing="0" w:after="0" w:afterAutospacing="0" w:line="440" w:lineRule="exact"/>
              <w:ind w:left="0" w:right="0" w:firstLine="480" w:firstLineChars="200"/>
              <w:textAlignment w:val="baseline"/>
              <w:rPr>
                <w:rFonts w:hint="eastAsia" w:ascii="宋体" w:hAnsi="宋体"/>
                <w:b/>
                <w:bCs w:val="0"/>
                <w:color w:val="000000"/>
                <w:sz w:val="24"/>
              </w:rPr>
            </w:pPr>
            <w:r>
              <w:rPr>
                <w:rFonts w:hint="eastAsia" w:ascii="宋体" w:hAnsi="宋体"/>
                <w:bCs/>
                <w:color w:val="000000"/>
                <w:sz w:val="24"/>
              </w:rPr>
              <w:t>本项目与《新乡市“三线一单”生态环境准入清单》（</w:t>
            </w:r>
            <w:r>
              <w:rPr>
                <w:rFonts w:hint="default" w:ascii="Times New Roman" w:hAnsi="Times New Roman" w:cs="Times New Roman"/>
                <w:bCs/>
                <w:color w:val="000000"/>
                <w:sz w:val="24"/>
                <w:lang w:val="en-US" w:eastAsia="zh-CN"/>
              </w:rPr>
              <w:t>2023</w:t>
            </w:r>
            <w:r>
              <w:rPr>
                <w:rFonts w:hint="eastAsia" w:ascii="宋体" w:hAnsi="宋体"/>
                <w:bCs/>
                <w:color w:val="000000"/>
                <w:sz w:val="24"/>
                <w:lang w:val="en-US" w:eastAsia="zh-CN"/>
              </w:rPr>
              <w:t>年版</w:t>
            </w:r>
            <w:r>
              <w:rPr>
                <w:rFonts w:hint="eastAsia" w:ascii="宋体" w:hAnsi="宋体"/>
                <w:bCs/>
                <w:color w:val="000000"/>
                <w:sz w:val="24"/>
              </w:rPr>
              <w:t>）中</w:t>
            </w:r>
            <w:r>
              <w:rPr>
                <w:rFonts w:hint="eastAsia" w:ascii="宋体" w:hAnsi="宋体"/>
                <w:bCs/>
                <w:color w:val="000000"/>
                <w:sz w:val="24"/>
                <w:lang w:val="en-US" w:eastAsia="zh-CN"/>
              </w:rPr>
              <w:t>相关内容</w:t>
            </w:r>
            <w:r>
              <w:rPr>
                <w:rFonts w:hint="eastAsia" w:ascii="宋体" w:hAnsi="宋体"/>
                <w:bCs/>
                <w:color w:val="000000"/>
                <w:sz w:val="24"/>
              </w:rPr>
              <w:t>相符性分析见下表。</w:t>
            </w:r>
          </w:p>
          <w:p w14:paraId="78B535E1">
            <w:pPr>
              <w:keepNext w:val="0"/>
              <w:keepLines w:val="0"/>
              <w:suppressLineNumbers w:val="0"/>
              <w:spacing w:before="0" w:beforeAutospacing="0" w:after="0" w:afterAutospacing="0" w:line="440" w:lineRule="exact"/>
              <w:ind w:left="0" w:right="0"/>
              <w:jc w:val="center"/>
              <w:textAlignment w:val="baseline"/>
              <w:rPr>
                <w:rFonts w:hint="eastAsia" w:ascii="宋体" w:hAnsi="宋体"/>
                <w:bCs/>
                <w:color w:val="000000"/>
                <w:sz w:val="24"/>
              </w:rPr>
            </w:pPr>
            <w:r>
              <w:rPr>
                <w:rFonts w:hint="eastAsia" w:ascii="宋体" w:hAnsi="宋体"/>
                <w:b/>
                <w:bCs w:val="0"/>
                <w:color w:val="000000"/>
                <w:sz w:val="24"/>
              </w:rPr>
              <w:t>表</w:t>
            </w:r>
            <w:r>
              <w:rPr>
                <w:rFonts w:hint="eastAsia" w:cs="Times New Roman"/>
                <w:b/>
                <w:bCs w:val="0"/>
                <w:color w:val="000000"/>
                <w:sz w:val="24"/>
                <w:lang w:val="en-US" w:eastAsia="zh-CN"/>
              </w:rPr>
              <w:t>5</w:t>
            </w:r>
            <w:r>
              <w:rPr>
                <w:rFonts w:hint="eastAsia" w:ascii="宋体" w:hAnsi="宋体"/>
                <w:b/>
                <w:bCs w:val="0"/>
                <w:color w:val="000000"/>
                <w:sz w:val="24"/>
              </w:rPr>
              <w:t xml:space="preserve">  本项目与</w:t>
            </w:r>
            <w:r>
              <w:rPr>
                <w:rFonts w:hint="eastAsia" w:ascii="宋体" w:hAnsi="宋体"/>
                <w:b/>
                <w:bCs w:val="0"/>
                <w:color w:val="000000"/>
                <w:sz w:val="24"/>
                <w:lang w:eastAsia="zh-CN"/>
              </w:rPr>
              <w:t>新乡市三线一单生态环境</w:t>
            </w:r>
            <w:r>
              <w:rPr>
                <w:rFonts w:hint="eastAsia" w:ascii="宋体" w:hAnsi="宋体"/>
                <w:b/>
                <w:bCs w:val="0"/>
                <w:color w:val="000000"/>
                <w:sz w:val="24"/>
              </w:rPr>
              <w:t>准入要求符合性分析</w:t>
            </w:r>
          </w:p>
          <w:tbl>
            <w:tblPr>
              <w:tblStyle w:val="23"/>
              <w:tblW w:w="8828"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787"/>
              <w:gridCol w:w="653"/>
              <w:gridCol w:w="3610"/>
              <w:gridCol w:w="1917"/>
              <w:gridCol w:w="1017"/>
              <w:gridCol w:w="8"/>
            </w:tblGrid>
            <w:tr w14:paraId="1A705A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397" w:hRule="atLeast"/>
              </w:trPr>
              <w:tc>
                <w:tcPr>
                  <w:tcW w:w="1623" w:type="dxa"/>
                  <w:gridSpan w:val="2"/>
                  <w:tcBorders>
                    <w:top w:val="single" w:color="auto" w:sz="8" w:space="0"/>
                    <w:bottom w:val="single" w:color="auto" w:sz="8" w:space="0"/>
                  </w:tcBorders>
                  <w:noWrap w:val="0"/>
                  <w:vAlign w:val="center"/>
                </w:tcPr>
                <w:p w14:paraId="09B2912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vertAlign w:val="baseline"/>
                      <w:lang w:eastAsia="zh-CN"/>
                    </w:rPr>
                    <w:t>纬度</w:t>
                  </w:r>
                </w:p>
              </w:tc>
              <w:tc>
                <w:tcPr>
                  <w:tcW w:w="4263" w:type="dxa"/>
                  <w:gridSpan w:val="2"/>
                  <w:tcBorders>
                    <w:top w:val="single" w:color="auto" w:sz="8" w:space="0"/>
                    <w:bottom w:val="single" w:color="auto" w:sz="8" w:space="0"/>
                  </w:tcBorders>
                  <w:noWrap w:val="0"/>
                  <w:vAlign w:val="center"/>
                </w:tcPr>
                <w:p w14:paraId="69500BEB">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管控要求</w:t>
                  </w:r>
                </w:p>
              </w:tc>
              <w:tc>
                <w:tcPr>
                  <w:tcW w:w="1917" w:type="dxa"/>
                  <w:tcBorders>
                    <w:top w:val="single" w:color="auto" w:sz="8" w:space="0"/>
                    <w:bottom w:val="single" w:color="auto" w:sz="8" w:space="0"/>
                  </w:tcBorders>
                  <w:noWrap w:val="0"/>
                  <w:vAlign w:val="center"/>
                </w:tcPr>
                <w:p w14:paraId="3720314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本项目情况</w:t>
                  </w:r>
                </w:p>
              </w:tc>
              <w:tc>
                <w:tcPr>
                  <w:tcW w:w="1017" w:type="dxa"/>
                  <w:tcBorders>
                    <w:top w:val="single" w:color="auto" w:sz="8" w:space="0"/>
                    <w:bottom w:val="single" w:color="auto" w:sz="8" w:space="0"/>
                  </w:tcBorders>
                  <w:noWrap w:val="0"/>
                  <w:vAlign w:val="center"/>
                </w:tcPr>
                <w:p w14:paraId="724C6E4B">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相符性</w:t>
                  </w:r>
                </w:p>
              </w:tc>
            </w:tr>
            <w:tr w14:paraId="0A2E3E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397" w:hRule="atLeast"/>
              </w:trPr>
              <w:tc>
                <w:tcPr>
                  <w:tcW w:w="8820" w:type="dxa"/>
                  <w:gridSpan w:val="6"/>
                  <w:tcBorders>
                    <w:top w:val="single" w:color="auto" w:sz="8" w:space="0"/>
                  </w:tcBorders>
                  <w:noWrap w:val="0"/>
                  <w:vAlign w:val="center"/>
                </w:tcPr>
                <w:p w14:paraId="3D2BCDF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（一）全市生态环境总体准入要求</w:t>
                  </w:r>
                </w:p>
              </w:tc>
            </w:tr>
            <w:tr w14:paraId="120A54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397" w:hRule="atLeast"/>
              </w:trPr>
              <w:tc>
                <w:tcPr>
                  <w:tcW w:w="1623" w:type="dxa"/>
                  <w:gridSpan w:val="2"/>
                  <w:noWrap w:val="0"/>
                  <w:vAlign w:val="center"/>
                </w:tcPr>
                <w:p w14:paraId="0ED445C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空间布局约束</w:t>
                  </w:r>
                </w:p>
              </w:tc>
              <w:tc>
                <w:tcPr>
                  <w:tcW w:w="4263" w:type="dxa"/>
                  <w:gridSpan w:val="2"/>
                  <w:noWrap w:val="0"/>
                  <w:vAlign w:val="center"/>
                </w:tcPr>
                <w:p w14:paraId="5B49F4BB">
                  <w:pPr>
                    <w:keepNext w:val="0"/>
                    <w:keepLines w:val="0"/>
                    <w:pageBreakBefore w:val="0"/>
                    <w:widowControl/>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8.禁止建设生产和使用高挥发性有机物含量的溶剂型涂料、油墨、胶粘剂等项目。按照“可替尽替、应代尽代”的原则，开展汽车制造、工业涂装、家具制造、包装印刷、钢结构制造、工程机械等行业溶剂型涂料、油墨、胶粘剂、清洗剂使用低 VOCs 含量原辅材料替代。</w:t>
                  </w:r>
                </w:p>
              </w:tc>
              <w:tc>
                <w:tcPr>
                  <w:tcW w:w="1917" w:type="dxa"/>
                  <w:noWrap w:val="0"/>
                  <w:vAlign w:val="center"/>
                </w:tcPr>
                <w:p w14:paraId="3D201AA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本项目</w:t>
                  </w:r>
                  <w:r>
                    <w:rPr>
                      <w:rFonts w:hint="eastAsia" w:cs="Times New Roman"/>
                      <w:b w:val="0"/>
                      <w:bCs/>
                      <w:color w:val="auto"/>
                      <w:sz w:val="21"/>
                      <w:szCs w:val="21"/>
                      <w:highlight w:val="none"/>
                      <w:lang w:val="en-US" w:eastAsia="zh-CN"/>
                    </w:rPr>
                    <w:t>不涉及生产和使用高挥发性有机物含量的溶剂型涂料、油墨、胶粘剂等</w:t>
                  </w:r>
                  <w:r>
                    <w:rPr>
                      <w:rFonts w:hint="eastAsia"/>
                      <w:b w:val="0"/>
                      <w:bCs/>
                      <w:color w:val="auto"/>
                      <w:sz w:val="21"/>
                      <w:szCs w:val="21"/>
                      <w:highlight w:val="none"/>
                      <w:lang w:val="en-US" w:eastAsia="zh-CN"/>
                    </w:rPr>
                    <w:t>。</w:t>
                  </w:r>
                </w:p>
              </w:tc>
              <w:tc>
                <w:tcPr>
                  <w:tcW w:w="1017" w:type="dxa"/>
                  <w:noWrap w:val="0"/>
                  <w:vAlign w:val="center"/>
                </w:tcPr>
                <w:p w14:paraId="0DDB16A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sz w:val="21"/>
                      <w:szCs w:val="21"/>
                      <w:vertAlign w:val="baseline"/>
                      <w:lang w:eastAsia="zh-CN"/>
                    </w:rPr>
                  </w:pPr>
                  <w:r>
                    <w:rPr>
                      <w:rFonts w:hint="eastAsia" w:cs="Times New Roman"/>
                      <w:b w:val="0"/>
                      <w:bCs w:val="0"/>
                      <w:sz w:val="21"/>
                      <w:szCs w:val="21"/>
                      <w:vertAlign w:val="baseline"/>
                      <w:lang w:val="en-US" w:eastAsia="zh-CN"/>
                    </w:rPr>
                    <w:t>不涉及</w:t>
                  </w:r>
                </w:p>
              </w:tc>
            </w:tr>
            <w:tr w14:paraId="6DE959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397" w:hRule="atLeast"/>
              </w:trPr>
              <w:tc>
                <w:tcPr>
                  <w:tcW w:w="1623" w:type="dxa"/>
                  <w:gridSpan w:val="2"/>
                  <w:vMerge w:val="restart"/>
                  <w:noWrap w:val="0"/>
                  <w:vAlign w:val="center"/>
                </w:tcPr>
                <w:p w14:paraId="24FC3F8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eastAsia" w:eastAsia="宋体" w:cs="Times New Roman"/>
                      <w:b w:val="0"/>
                      <w:bCs w:val="0"/>
                      <w:sz w:val="21"/>
                      <w:szCs w:val="21"/>
                      <w:vertAlign w:val="baseline"/>
                      <w:lang w:eastAsia="zh-CN"/>
                    </w:rPr>
                    <w:t>污染物排放管控</w:t>
                  </w:r>
                </w:p>
              </w:tc>
              <w:tc>
                <w:tcPr>
                  <w:tcW w:w="4263" w:type="dxa"/>
                  <w:gridSpan w:val="2"/>
                  <w:noWrap w:val="0"/>
                  <w:vAlign w:val="center"/>
                </w:tcPr>
                <w:p w14:paraId="03926E5C">
                  <w:pPr>
                    <w:keepNext w:val="0"/>
                    <w:keepLines w:val="0"/>
                    <w:pageBreakBefore w:val="0"/>
                    <w:widowControl/>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 xml:space="preserve">1.新、改、扩建项目主要污染物排放要求满足当地总量减排要求。 </w:t>
                  </w:r>
                </w:p>
              </w:tc>
              <w:tc>
                <w:tcPr>
                  <w:tcW w:w="1917" w:type="dxa"/>
                  <w:noWrap w:val="0"/>
                  <w:vAlign w:val="center"/>
                </w:tcPr>
                <w:p w14:paraId="462226BF">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eastAsia" w:ascii="Times New Roman" w:hAnsi="Times New Roman" w:eastAsia="宋体" w:cs="Times New Roman"/>
                      <w:sz w:val="21"/>
                      <w:szCs w:val="21"/>
                      <w:vertAlign w:val="baseline"/>
                      <w:lang w:eastAsia="zh-CN"/>
                    </w:rPr>
                  </w:pPr>
                  <w:r>
                    <w:rPr>
                      <w:rFonts w:hint="eastAsia" w:eastAsia="宋体" w:cs="Times New Roman"/>
                      <w:b w:val="0"/>
                      <w:bCs w:val="0"/>
                      <w:sz w:val="21"/>
                      <w:szCs w:val="21"/>
                      <w:vertAlign w:val="baseline"/>
                      <w:lang w:eastAsia="zh-CN"/>
                    </w:rPr>
                    <w:t>本项目为</w:t>
                  </w:r>
                  <w:r>
                    <w:rPr>
                      <w:rFonts w:hint="eastAsia" w:cs="Times New Roman"/>
                      <w:b w:val="0"/>
                      <w:bCs w:val="0"/>
                      <w:sz w:val="21"/>
                      <w:szCs w:val="21"/>
                      <w:vertAlign w:val="baseline"/>
                      <w:lang w:eastAsia="zh-CN"/>
                    </w:rPr>
                    <w:t>新</w:t>
                  </w:r>
                  <w:r>
                    <w:rPr>
                      <w:rFonts w:hint="eastAsia" w:eastAsia="宋体" w:cs="Times New Roman"/>
                      <w:b w:val="0"/>
                      <w:bCs w:val="0"/>
                      <w:sz w:val="21"/>
                      <w:szCs w:val="21"/>
                      <w:vertAlign w:val="baseline"/>
                      <w:lang w:eastAsia="zh-CN"/>
                    </w:rPr>
                    <w:t>建项目，污染物排放满足</w:t>
                  </w:r>
                  <w:r>
                    <w:rPr>
                      <w:rFonts w:hint="eastAsia" w:cs="Times New Roman"/>
                      <w:b w:val="0"/>
                      <w:bCs w:val="0"/>
                      <w:sz w:val="21"/>
                      <w:szCs w:val="21"/>
                      <w:vertAlign w:val="baseline"/>
                      <w:lang w:eastAsia="zh-CN"/>
                    </w:rPr>
                    <w:t>新乡县</w:t>
                  </w:r>
                  <w:r>
                    <w:rPr>
                      <w:rFonts w:hint="eastAsia" w:eastAsia="宋体" w:cs="Times New Roman"/>
                      <w:b w:val="0"/>
                      <w:bCs w:val="0"/>
                      <w:sz w:val="21"/>
                      <w:szCs w:val="21"/>
                      <w:vertAlign w:val="baseline"/>
                      <w:lang w:eastAsia="zh-CN"/>
                    </w:rPr>
                    <w:t>总量减排要求</w:t>
                  </w:r>
                  <w:r>
                    <w:rPr>
                      <w:rFonts w:hint="eastAsia" w:cs="Times New Roman"/>
                      <w:b w:val="0"/>
                      <w:bCs w:val="0"/>
                      <w:sz w:val="21"/>
                      <w:szCs w:val="21"/>
                      <w:vertAlign w:val="baseline"/>
                      <w:lang w:eastAsia="zh-CN"/>
                    </w:rPr>
                    <w:t>。</w:t>
                  </w:r>
                </w:p>
              </w:tc>
              <w:tc>
                <w:tcPr>
                  <w:tcW w:w="1017" w:type="dxa"/>
                  <w:noWrap w:val="0"/>
                  <w:vAlign w:val="center"/>
                </w:tcPr>
                <w:p w14:paraId="7847513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rPr>
                  </w:pPr>
                  <w:r>
                    <w:rPr>
                      <w:rFonts w:hint="default" w:ascii="Times New Roman" w:hAnsi="Times New Roman" w:eastAsia="宋体" w:cs="Times New Roman"/>
                      <w:b w:val="0"/>
                      <w:bCs w:val="0"/>
                      <w:sz w:val="21"/>
                      <w:szCs w:val="21"/>
                      <w:vertAlign w:val="baseline"/>
                    </w:rPr>
                    <w:t>符合</w:t>
                  </w:r>
                </w:p>
              </w:tc>
            </w:tr>
            <w:tr w14:paraId="61D4B0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237" w:hRule="atLeast"/>
              </w:trPr>
              <w:tc>
                <w:tcPr>
                  <w:tcW w:w="1623" w:type="dxa"/>
                  <w:gridSpan w:val="2"/>
                  <w:vMerge w:val="continue"/>
                  <w:noWrap w:val="0"/>
                  <w:vAlign w:val="center"/>
                </w:tcPr>
                <w:p w14:paraId="391A26D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p>
              </w:tc>
              <w:tc>
                <w:tcPr>
                  <w:tcW w:w="4263" w:type="dxa"/>
                  <w:gridSpan w:val="2"/>
                  <w:noWrap w:val="0"/>
                  <w:vAlign w:val="center"/>
                </w:tcPr>
                <w:p w14:paraId="6EE0D2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jc w:val="both"/>
                    <w:textAlignment w:val="auto"/>
                    <w:outlineLvl w:val="9"/>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8.国家、省绩效分级重点行业以及涉及锅炉炉窑的其他行业，新建、扩建项目污染物排放限值、污染治理措施、无组织排放控制水平、运输方式等达到 A 级绩效水平，改建项目污染物排放限值、污染治理措施、无组织排放控制水平、运输方式等达到 B 级以上绩效水平。 </w:t>
                  </w:r>
                </w:p>
              </w:tc>
              <w:tc>
                <w:tcPr>
                  <w:tcW w:w="1917" w:type="dxa"/>
                  <w:noWrap w:val="0"/>
                  <w:vAlign w:val="center"/>
                </w:tcPr>
                <w:p w14:paraId="549F7974">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eastAsia="zh-CN"/>
                    </w:rPr>
                    <w:t>本项目为</w:t>
                  </w:r>
                  <w:r>
                    <w:rPr>
                      <w:rFonts w:hint="eastAsia"/>
                      <w:color w:val="000000"/>
                      <w:sz w:val="21"/>
                      <w:szCs w:val="21"/>
                      <w:lang w:eastAsia="zh-CN"/>
                    </w:rPr>
                    <w:t>机械零部件加工业，属于</w:t>
                  </w:r>
                  <w:r>
                    <w:rPr>
                      <w:rFonts w:hint="eastAsia" w:cs="Times New Roman"/>
                      <w:sz w:val="21"/>
                      <w:szCs w:val="21"/>
                      <w:vertAlign w:val="baseline"/>
                      <w:lang w:eastAsia="zh-CN"/>
                    </w:rPr>
                    <w:t>新</w:t>
                  </w:r>
                  <w:r>
                    <w:rPr>
                      <w:rFonts w:hint="eastAsia" w:eastAsia="宋体" w:cs="Times New Roman"/>
                      <w:sz w:val="21"/>
                      <w:szCs w:val="21"/>
                      <w:vertAlign w:val="baseline"/>
                      <w:lang w:eastAsia="zh-CN"/>
                    </w:rPr>
                    <w:t>建项目，</w:t>
                  </w:r>
                  <w:r>
                    <w:rPr>
                      <w:rFonts w:hint="eastAsia" w:cs="Times New Roman"/>
                      <w:sz w:val="21"/>
                      <w:szCs w:val="21"/>
                      <w:vertAlign w:val="baseline"/>
                      <w:lang w:val="en-US" w:eastAsia="zh-CN"/>
                    </w:rPr>
                    <w:t>按照河南省通用行业涉PM企业</w:t>
                  </w:r>
                  <w:r>
                    <w:rPr>
                      <w:rFonts w:hint="eastAsia" w:eastAsia="宋体" w:cs="Times New Roman"/>
                      <w:sz w:val="21"/>
                      <w:szCs w:val="21"/>
                      <w:vertAlign w:val="baseline"/>
                      <w:lang w:val="en-US" w:eastAsia="zh-CN"/>
                    </w:rPr>
                    <w:t>绩效</w:t>
                  </w:r>
                  <w:r>
                    <w:rPr>
                      <w:rFonts w:hint="eastAsia" w:cs="Times New Roman"/>
                      <w:sz w:val="21"/>
                      <w:szCs w:val="21"/>
                      <w:vertAlign w:val="baseline"/>
                      <w:lang w:val="en-US" w:eastAsia="zh-CN"/>
                    </w:rPr>
                    <w:t>引领性指标建设</w:t>
                  </w:r>
                  <w:r>
                    <w:rPr>
                      <w:rFonts w:hint="eastAsia" w:eastAsia="宋体" w:cs="Times New Roman"/>
                      <w:sz w:val="21"/>
                      <w:szCs w:val="21"/>
                      <w:vertAlign w:val="baseline"/>
                      <w:lang w:val="en-US" w:eastAsia="zh-CN"/>
                    </w:rPr>
                    <w:t>；</w:t>
                  </w:r>
                </w:p>
              </w:tc>
              <w:tc>
                <w:tcPr>
                  <w:tcW w:w="1017" w:type="dxa"/>
                  <w:noWrap w:val="0"/>
                  <w:vAlign w:val="center"/>
                </w:tcPr>
                <w:p w14:paraId="656FC89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b w:val="0"/>
                      <w:bCs w:val="0"/>
                      <w:sz w:val="21"/>
                      <w:szCs w:val="21"/>
                      <w:vertAlign w:val="baseline"/>
                      <w:lang w:eastAsia="zh-CN"/>
                    </w:rPr>
                  </w:pPr>
                  <w:r>
                    <w:rPr>
                      <w:rFonts w:hint="eastAsia" w:eastAsia="宋体" w:cs="Times New Roman"/>
                      <w:b w:val="0"/>
                      <w:bCs w:val="0"/>
                      <w:sz w:val="21"/>
                      <w:szCs w:val="21"/>
                      <w:vertAlign w:val="baseline"/>
                      <w:lang w:eastAsia="zh-CN"/>
                    </w:rPr>
                    <w:t>符合</w:t>
                  </w:r>
                </w:p>
              </w:tc>
            </w:tr>
            <w:tr w14:paraId="6855DB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1059" w:hRule="atLeast"/>
              </w:trPr>
              <w:tc>
                <w:tcPr>
                  <w:tcW w:w="1623" w:type="dxa"/>
                  <w:gridSpan w:val="2"/>
                  <w:noWrap w:val="0"/>
                  <w:vAlign w:val="center"/>
                </w:tcPr>
                <w:p w14:paraId="2A79F82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资源开发效率要求</w:t>
                  </w:r>
                </w:p>
              </w:tc>
              <w:tc>
                <w:tcPr>
                  <w:tcW w:w="4263" w:type="dxa"/>
                  <w:gridSpan w:val="2"/>
                  <w:noWrap w:val="0"/>
                  <w:vAlign w:val="center"/>
                </w:tcPr>
                <w:p w14:paraId="6929A7AE">
                  <w:pPr>
                    <w:keepNext w:val="0"/>
                    <w:keepLines w:val="0"/>
                    <w:pageBreakBefore w:val="0"/>
                    <w:widowControl/>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3.开展高耗水工业行业节水技术改造，大力推广工业水循环利用，推进节水型企业、节水型工业园区建设。</w:t>
                  </w:r>
                </w:p>
              </w:tc>
              <w:tc>
                <w:tcPr>
                  <w:tcW w:w="1917" w:type="dxa"/>
                  <w:noWrap w:val="0"/>
                  <w:vAlign w:val="center"/>
                </w:tcPr>
                <w:p w14:paraId="28FEC08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eastAsia" w:ascii="Times New Roman" w:hAnsi="Times New Roman" w:eastAsia="宋体" w:cs="Times New Roman"/>
                      <w:sz w:val="21"/>
                      <w:szCs w:val="21"/>
                      <w:vertAlign w:val="baseline"/>
                      <w:lang w:eastAsia="zh-CN"/>
                    </w:rPr>
                  </w:pPr>
                  <w:r>
                    <w:rPr>
                      <w:rFonts w:hint="eastAsia" w:eastAsia="宋体" w:cs="Times New Roman"/>
                      <w:b w:val="0"/>
                      <w:bCs w:val="0"/>
                      <w:sz w:val="21"/>
                      <w:szCs w:val="21"/>
                      <w:vertAlign w:val="baseline"/>
                      <w:lang w:eastAsia="zh-CN"/>
                    </w:rPr>
                    <w:t>本项目生产过程中</w:t>
                  </w:r>
                  <w:r>
                    <w:rPr>
                      <w:rFonts w:hint="eastAsia" w:eastAsia="宋体" w:cs="Times New Roman"/>
                      <w:b w:val="0"/>
                      <w:bCs w:val="0"/>
                      <w:sz w:val="21"/>
                      <w:szCs w:val="21"/>
                      <w:highlight w:val="none"/>
                      <w:vertAlign w:val="baseline"/>
                      <w:lang w:eastAsia="zh-CN"/>
                    </w:rPr>
                    <w:t>用水</w:t>
                  </w:r>
                  <w:r>
                    <w:rPr>
                      <w:rFonts w:hint="eastAsia" w:cs="Times New Roman"/>
                      <w:b w:val="0"/>
                      <w:bCs w:val="0"/>
                      <w:sz w:val="21"/>
                      <w:szCs w:val="21"/>
                      <w:highlight w:val="none"/>
                      <w:vertAlign w:val="baseline"/>
                      <w:lang w:val="en-US" w:eastAsia="zh-CN"/>
                    </w:rPr>
                    <w:t>量较小</w:t>
                  </w:r>
                  <w:r>
                    <w:rPr>
                      <w:rFonts w:hint="eastAsia" w:eastAsia="宋体" w:cs="Times New Roman"/>
                      <w:b w:val="0"/>
                      <w:bCs w:val="0"/>
                      <w:sz w:val="21"/>
                      <w:szCs w:val="21"/>
                      <w:vertAlign w:val="baseline"/>
                      <w:lang w:eastAsia="zh-CN"/>
                    </w:rPr>
                    <w:t>，不属于高耗水行业</w:t>
                  </w:r>
                  <w:r>
                    <w:rPr>
                      <w:rFonts w:hint="eastAsia" w:cs="Times New Roman"/>
                      <w:b w:val="0"/>
                      <w:bCs w:val="0"/>
                      <w:sz w:val="21"/>
                      <w:szCs w:val="21"/>
                      <w:vertAlign w:val="baseline"/>
                      <w:lang w:eastAsia="zh-CN"/>
                    </w:rPr>
                    <w:t>。</w:t>
                  </w:r>
                </w:p>
              </w:tc>
              <w:tc>
                <w:tcPr>
                  <w:tcW w:w="1017" w:type="dxa"/>
                  <w:noWrap w:val="0"/>
                  <w:vAlign w:val="center"/>
                </w:tcPr>
                <w:p w14:paraId="1B45E28C">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b w:val="0"/>
                      <w:bCs w:val="0"/>
                      <w:sz w:val="21"/>
                      <w:szCs w:val="21"/>
                      <w:vertAlign w:val="baseline"/>
                      <w:lang w:eastAsia="zh-CN"/>
                    </w:rPr>
                  </w:pPr>
                  <w:r>
                    <w:rPr>
                      <w:rFonts w:hint="eastAsia" w:eastAsia="宋体" w:cs="Times New Roman"/>
                      <w:b w:val="0"/>
                      <w:bCs w:val="0"/>
                      <w:sz w:val="21"/>
                      <w:szCs w:val="21"/>
                      <w:vertAlign w:val="baseline"/>
                      <w:lang w:eastAsia="zh-CN"/>
                    </w:rPr>
                    <w:t>符合</w:t>
                  </w:r>
                </w:p>
              </w:tc>
            </w:tr>
            <w:tr w14:paraId="1B674B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397" w:hRule="atLeast"/>
              </w:trPr>
              <w:tc>
                <w:tcPr>
                  <w:tcW w:w="8820" w:type="dxa"/>
                  <w:gridSpan w:val="6"/>
                  <w:noWrap w:val="0"/>
                  <w:vAlign w:val="center"/>
                </w:tcPr>
                <w:p w14:paraId="591B92A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（二）各县区分区管控单元生态环境准入清单</w:t>
                  </w:r>
                </w:p>
              </w:tc>
            </w:tr>
            <w:tr w14:paraId="5D120F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6" w:type="dxa"/>
                  <w:noWrap w:val="0"/>
                  <w:vAlign w:val="center"/>
                </w:tcPr>
                <w:p w14:paraId="197B617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环境管控单元名称</w:t>
                  </w:r>
                </w:p>
              </w:tc>
              <w:tc>
                <w:tcPr>
                  <w:tcW w:w="787" w:type="dxa"/>
                  <w:noWrap w:val="0"/>
                  <w:vAlign w:val="center"/>
                </w:tcPr>
                <w:p w14:paraId="5395236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管控单元分类</w:t>
                  </w:r>
                </w:p>
              </w:tc>
              <w:tc>
                <w:tcPr>
                  <w:tcW w:w="4263" w:type="dxa"/>
                  <w:gridSpan w:val="2"/>
                  <w:noWrap w:val="0"/>
                  <w:vAlign w:val="center"/>
                </w:tcPr>
                <w:p w14:paraId="48136982">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管控要求</w:t>
                  </w:r>
                </w:p>
              </w:tc>
              <w:tc>
                <w:tcPr>
                  <w:tcW w:w="1917" w:type="dxa"/>
                  <w:noWrap w:val="0"/>
                  <w:vAlign w:val="center"/>
                </w:tcPr>
                <w:p w14:paraId="68FCE68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本项目情况</w:t>
                  </w:r>
                </w:p>
              </w:tc>
              <w:tc>
                <w:tcPr>
                  <w:tcW w:w="1025" w:type="dxa"/>
                  <w:gridSpan w:val="2"/>
                  <w:noWrap w:val="0"/>
                  <w:vAlign w:val="center"/>
                </w:tcPr>
                <w:p w14:paraId="6C6DF43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相符性</w:t>
                  </w:r>
                </w:p>
              </w:tc>
            </w:tr>
            <w:tr w14:paraId="15A831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6" w:type="dxa"/>
                  <w:vMerge w:val="restart"/>
                  <w:noWrap w:val="0"/>
                  <w:vAlign w:val="center"/>
                </w:tcPr>
                <w:p w14:paraId="19CD1825">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r>
                    <w:rPr>
                      <w:rFonts w:hint="eastAsia" w:cs="Times New Roman"/>
                      <w:b w:val="0"/>
                      <w:bCs w:val="0"/>
                      <w:sz w:val="21"/>
                      <w:szCs w:val="21"/>
                      <w:vertAlign w:val="baseline"/>
                      <w:lang w:eastAsia="zh-CN"/>
                    </w:rPr>
                    <w:t>新乡</w:t>
                  </w:r>
                </w:p>
                <w:p w14:paraId="318AFC7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r>
                    <w:rPr>
                      <w:rFonts w:hint="eastAsia" w:cs="Times New Roman"/>
                      <w:b w:val="0"/>
                      <w:bCs w:val="0"/>
                      <w:sz w:val="21"/>
                      <w:szCs w:val="21"/>
                      <w:vertAlign w:val="baseline"/>
                      <w:lang w:eastAsia="zh-CN"/>
                    </w:rPr>
                    <w:t>县大</w:t>
                  </w:r>
                </w:p>
                <w:p w14:paraId="2933AD4F">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r>
                    <w:rPr>
                      <w:rFonts w:hint="eastAsia" w:cs="Times New Roman"/>
                      <w:b w:val="0"/>
                      <w:bCs w:val="0"/>
                      <w:sz w:val="21"/>
                      <w:szCs w:val="21"/>
                      <w:vertAlign w:val="baseline"/>
                      <w:lang w:eastAsia="zh-CN"/>
                    </w:rPr>
                    <w:t>气布</w:t>
                  </w:r>
                </w:p>
                <w:p w14:paraId="23B3087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r>
                    <w:rPr>
                      <w:rFonts w:hint="eastAsia" w:cs="Times New Roman"/>
                      <w:b w:val="0"/>
                      <w:bCs w:val="0"/>
                      <w:sz w:val="21"/>
                      <w:szCs w:val="21"/>
                      <w:vertAlign w:val="baseline"/>
                      <w:lang w:eastAsia="zh-CN"/>
                    </w:rPr>
                    <w:t>局敏</w:t>
                  </w:r>
                </w:p>
                <w:p w14:paraId="1439200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eastAsia" w:cs="Times New Roman"/>
                      <w:b w:val="0"/>
                      <w:bCs w:val="0"/>
                      <w:sz w:val="21"/>
                      <w:szCs w:val="21"/>
                      <w:vertAlign w:val="baseline"/>
                      <w:lang w:eastAsia="zh-CN"/>
                    </w:rPr>
                    <w:t>感区</w:t>
                  </w:r>
                </w:p>
              </w:tc>
              <w:tc>
                <w:tcPr>
                  <w:tcW w:w="787" w:type="dxa"/>
                  <w:vMerge w:val="restart"/>
                  <w:noWrap w:val="0"/>
                  <w:vAlign w:val="center"/>
                </w:tcPr>
                <w:p w14:paraId="4C264C2C">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r>
                    <w:rPr>
                      <w:rFonts w:hint="eastAsia" w:cs="Times New Roman"/>
                      <w:b w:val="0"/>
                      <w:bCs w:val="0"/>
                      <w:sz w:val="21"/>
                      <w:szCs w:val="21"/>
                      <w:vertAlign w:val="baseline"/>
                      <w:lang w:eastAsia="zh-CN"/>
                    </w:rPr>
                    <w:t>重点管控单元</w:t>
                  </w:r>
                </w:p>
                <w:p w14:paraId="49ED9CE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5</w:t>
                  </w:r>
                </w:p>
              </w:tc>
              <w:tc>
                <w:tcPr>
                  <w:tcW w:w="653" w:type="dxa"/>
                  <w:noWrap w:val="0"/>
                  <w:vAlign w:val="center"/>
                </w:tcPr>
                <w:p w14:paraId="2531889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eastAsia" w:cs="Times New Roman"/>
                      <w:b w:val="0"/>
                      <w:bCs w:val="0"/>
                      <w:sz w:val="21"/>
                      <w:szCs w:val="21"/>
                      <w:vertAlign w:val="baseline"/>
                      <w:lang w:eastAsia="zh-CN"/>
                    </w:rPr>
                    <w:t>空间布局约束</w:t>
                  </w:r>
                </w:p>
              </w:tc>
              <w:tc>
                <w:tcPr>
                  <w:tcW w:w="3610" w:type="dxa"/>
                  <w:noWrap w:val="0"/>
                  <w:vAlign w:val="center"/>
                </w:tcPr>
                <w:p w14:paraId="40D782CD">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1、严格控制新建、扩建高排放、高污染项目，包括钢铁、水泥、有色、平板玻璃、 建筑陶瓷等行业及其他排放重金属、持久性有机污染物的工业项目等。 </w:t>
                  </w:r>
                </w:p>
                <w:p w14:paraId="1617505D">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2、严格控制新、改、扩建“两高”项目。  </w:t>
                  </w:r>
                </w:p>
              </w:tc>
              <w:tc>
                <w:tcPr>
                  <w:tcW w:w="1917" w:type="dxa"/>
                  <w:noWrap w:val="0"/>
                  <w:vAlign w:val="center"/>
                </w:tcPr>
                <w:p w14:paraId="495FD774">
                  <w:pPr>
                    <w:keepNext w:val="0"/>
                    <w:keepLines w:val="0"/>
                    <w:pageBreakBefore w:val="0"/>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eastAsia" w:cs="Times New Roman"/>
                      <w:sz w:val="21"/>
                      <w:szCs w:val="21"/>
                      <w:lang w:val="en-US" w:eastAsia="zh-CN"/>
                    </w:rPr>
                  </w:pPr>
                  <w:r>
                    <w:rPr>
                      <w:rFonts w:hint="eastAsia" w:cs="Times New Roman"/>
                      <w:sz w:val="21"/>
                      <w:szCs w:val="21"/>
                      <w:lang w:val="en-US" w:eastAsia="zh-CN"/>
                    </w:rPr>
                    <w:t>1、本项目属于机械零部件加工业，不属于高排放、高污染项目，不属于排放重金属、持久性有机污染物的工业项目；</w:t>
                  </w:r>
                </w:p>
                <w:p w14:paraId="2FE32BFF">
                  <w:pPr>
                    <w:keepNext w:val="0"/>
                    <w:keepLines w:val="0"/>
                    <w:pageBreakBefore w:val="0"/>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cs="Times New Roman"/>
                      <w:sz w:val="21"/>
                      <w:szCs w:val="21"/>
                      <w:lang w:val="en-US" w:eastAsia="zh-CN"/>
                    </w:rPr>
                  </w:pPr>
                  <w:r>
                    <w:rPr>
                      <w:rFonts w:hint="eastAsia" w:cs="Times New Roman"/>
                      <w:sz w:val="21"/>
                      <w:szCs w:val="21"/>
                      <w:lang w:val="en-US" w:eastAsia="zh-CN"/>
                    </w:rPr>
                    <w:t>2、本项目不属于“两高”项目。</w:t>
                  </w:r>
                </w:p>
              </w:tc>
              <w:tc>
                <w:tcPr>
                  <w:tcW w:w="1025" w:type="dxa"/>
                  <w:gridSpan w:val="2"/>
                  <w:noWrap w:val="0"/>
                  <w:vAlign w:val="center"/>
                </w:tcPr>
                <w:p w14:paraId="01ACA4B7">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olor w:val="000000"/>
                      <w:sz w:val="21"/>
                      <w:szCs w:val="21"/>
                    </w:rPr>
                    <w:t>符合</w:t>
                  </w:r>
                </w:p>
              </w:tc>
            </w:tr>
            <w:tr w14:paraId="51D52E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6" w:type="dxa"/>
                  <w:vMerge w:val="continue"/>
                  <w:noWrap w:val="0"/>
                  <w:vAlign w:val="center"/>
                </w:tcPr>
                <w:p w14:paraId="0B707DD1">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p>
              </w:tc>
              <w:tc>
                <w:tcPr>
                  <w:tcW w:w="787" w:type="dxa"/>
                  <w:vMerge w:val="continue"/>
                  <w:noWrap w:val="0"/>
                  <w:vAlign w:val="center"/>
                </w:tcPr>
                <w:p w14:paraId="3005090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p>
              </w:tc>
              <w:tc>
                <w:tcPr>
                  <w:tcW w:w="653" w:type="dxa"/>
                  <w:noWrap w:val="0"/>
                  <w:vAlign w:val="center"/>
                </w:tcPr>
                <w:p w14:paraId="2CDC76A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eastAsia" w:cs="Times New Roman"/>
                      <w:b w:val="0"/>
                      <w:bCs w:val="0"/>
                      <w:sz w:val="21"/>
                      <w:szCs w:val="21"/>
                      <w:vertAlign w:val="baseline"/>
                      <w:lang w:eastAsia="zh-CN"/>
                    </w:rPr>
                    <w:t>污染物排放管控</w:t>
                  </w:r>
                </w:p>
              </w:tc>
              <w:tc>
                <w:tcPr>
                  <w:tcW w:w="3610" w:type="dxa"/>
                  <w:noWrap w:val="0"/>
                  <w:vAlign w:val="center"/>
                </w:tcPr>
                <w:p w14:paraId="5C4CBD0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1、二氧化硫、氮氧化物、颗粒物、VOCs 全面执行大气污染物特别排放限值。</w:t>
                  </w:r>
                </w:p>
                <w:p w14:paraId="13385FAC">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0"/>
                      <w:sz w:val="21"/>
                      <w:szCs w:val="21"/>
                      <w:lang w:val="en-US" w:eastAsia="zh-CN" w:bidi="ar"/>
                    </w:rPr>
                  </w:pPr>
                </w:p>
              </w:tc>
              <w:tc>
                <w:tcPr>
                  <w:tcW w:w="1917" w:type="dxa"/>
                  <w:noWrap w:val="0"/>
                  <w:vAlign w:val="center"/>
                </w:tcPr>
                <w:p w14:paraId="73771D0B">
                  <w:pPr>
                    <w:keepNext w:val="0"/>
                    <w:keepLines w:val="0"/>
                    <w:pageBreakBefore w:val="0"/>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cs="Times New Roman"/>
                      <w:sz w:val="21"/>
                      <w:szCs w:val="21"/>
                      <w:lang w:val="en-US" w:eastAsia="zh-CN"/>
                    </w:rPr>
                  </w:pPr>
                  <w:r>
                    <w:rPr>
                      <w:rFonts w:hint="eastAsia" w:cs="Times New Roman"/>
                      <w:sz w:val="21"/>
                      <w:szCs w:val="21"/>
                      <w:lang w:val="en-US" w:eastAsia="zh-CN"/>
                    </w:rPr>
                    <w:t>1、本项目</w:t>
                  </w:r>
                  <w:r>
                    <w:rPr>
                      <w:rFonts w:hint="eastAsia" w:cs="Times New Roman"/>
                      <w:color w:val="000000" w:themeColor="text1"/>
                      <w:sz w:val="21"/>
                      <w:szCs w:val="21"/>
                      <w:lang w:val="en-US" w:eastAsia="zh-CN"/>
                      <w14:textFill>
                        <w14:solidFill>
                          <w14:schemeClr w14:val="tx1"/>
                        </w14:solidFill>
                      </w14:textFill>
                    </w:rPr>
                    <w:t>排放颗粒物执行大气污染物特别排放限值</w:t>
                  </w:r>
                  <w:r>
                    <w:rPr>
                      <w:rFonts w:hint="eastAsia" w:cs="Times New Roman"/>
                      <w:sz w:val="21"/>
                      <w:szCs w:val="21"/>
                      <w:lang w:val="en-US" w:eastAsia="zh-CN"/>
                    </w:rPr>
                    <w:t>；</w:t>
                  </w:r>
                </w:p>
              </w:tc>
              <w:tc>
                <w:tcPr>
                  <w:tcW w:w="1025" w:type="dxa"/>
                  <w:gridSpan w:val="2"/>
                  <w:noWrap w:val="0"/>
                  <w:vAlign w:val="center"/>
                </w:tcPr>
                <w:p w14:paraId="570F685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olor w:val="000000"/>
                      <w:sz w:val="21"/>
                      <w:szCs w:val="21"/>
                    </w:rPr>
                    <w:t>符合</w:t>
                  </w:r>
                </w:p>
              </w:tc>
            </w:tr>
            <w:tr w14:paraId="490A62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6" w:type="dxa"/>
                  <w:vMerge w:val="continue"/>
                  <w:noWrap w:val="0"/>
                  <w:vAlign w:val="center"/>
                </w:tcPr>
                <w:p w14:paraId="7794AC3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p>
              </w:tc>
              <w:tc>
                <w:tcPr>
                  <w:tcW w:w="787" w:type="dxa"/>
                  <w:vMerge w:val="continue"/>
                  <w:noWrap w:val="0"/>
                  <w:vAlign w:val="center"/>
                </w:tcPr>
                <w:p w14:paraId="1F25874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p>
              </w:tc>
              <w:tc>
                <w:tcPr>
                  <w:tcW w:w="653" w:type="dxa"/>
                  <w:noWrap w:val="0"/>
                  <w:vAlign w:val="center"/>
                </w:tcPr>
                <w:p w14:paraId="2F8B9CE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环境风险防控</w:t>
                  </w:r>
                </w:p>
              </w:tc>
              <w:tc>
                <w:tcPr>
                  <w:tcW w:w="3610" w:type="dxa"/>
                  <w:noWrap w:val="0"/>
                  <w:vAlign w:val="center"/>
                </w:tcPr>
                <w:p w14:paraId="64CD43DE">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高关注地块划分污染风险等级，纳入优先管控名录。</w:t>
                  </w:r>
                </w:p>
              </w:tc>
              <w:tc>
                <w:tcPr>
                  <w:tcW w:w="1917" w:type="dxa"/>
                  <w:noWrap w:val="0"/>
                  <w:vAlign w:val="center"/>
                </w:tcPr>
                <w:p w14:paraId="23956B14">
                  <w:pPr>
                    <w:keepNext w:val="0"/>
                    <w:keepLines w:val="0"/>
                    <w:pageBreakBefore w:val="0"/>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cs="Times New Roman"/>
                      <w:sz w:val="21"/>
                      <w:szCs w:val="21"/>
                      <w:lang w:val="en-US" w:eastAsia="zh-CN"/>
                    </w:rPr>
                  </w:pPr>
                  <w:r>
                    <w:rPr>
                      <w:rFonts w:hint="eastAsia" w:cs="Times New Roman"/>
                      <w:sz w:val="21"/>
                      <w:szCs w:val="21"/>
                      <w:lang w:val="en-US" w:eastAsia="zh-CN"/>
                    </w:rPr>
                    <w:t>本项目所在地不属于高关注地块。</w:t>
                  </w:r>
                </w:p>
              </w:tc>
              <w:tc>
                <w:tcPr>
                  <w:tcW w:w="1025" w:type="dxa"/>
                  <w:gridSpan w:val="2"/>
                  <w:noWrap w:val="0"/>
                  <w:vAlign w:val="center"/>
                </w:tcPr>
                <w:p w14:paraId="5C73AE6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olor w:val="000000"/>
                      <w:sz w:val="21"/>
                      <w:szCs w:val="21"/>
                    </w:rPr>
                    <w:t>符合</w:t>
                  </w:r>
                </w:p>
              </w:tc>
            </w:tr>
            <w:tr w14:paraId="40C63E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6" w:type="dxa"/>
                  <w:vMerge w:val="continue"/>
                  <w:tcBorders>
                    <w:bottom w:val="single" w:color="auto" w:sz="8" w:space="0"/>
                  </w:tcBorders>
                  <w:noWrap w:val="0"/>
                  <w:vAlign w:val="center"/>
                </w:tcPr>
                <w:p w14:paraId="7D7C261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p>
              </w:tc>
              <w:tc>
                <w:tcPr>
                  <w:tcW w:w="787" w:type="dxa"/>
                  <w:vMerge w:val="continue"/>
                  <w:tcBorders>
                    <w:bottom w:val="single" w:color="auto" w:sz="8" w:space="0"/>
                  </w:tcBorders>
                  <w:noWrap w:val="0"/>
                  <w:vAlign w:val="center"/>
                </w:tcPr>
                <w:p w14:paraId="718F4965">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p>
              </w:tc>
              <w:tc>
                <w:tcPr>
                  <w:tcW w:w="653" w:type="dxa"/>
                  <w:tcBorders>
                    <w:bottom w:val="single" w:color="auto" w:sz="8" w:space="0"/>
                  </w:tcBorders>
                  <w:noWrap w:val="0"/>
                  <w:vAlign w:val="center"/>
                </w:tcPr>
                <w:p w14:paraId="4FA88814">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资源利用效率要求</w:t>
                  </w:r>
                </w:p>
              </w:tc>
              <w:tc>
                <w:tcPr>
                  <w:tcW w:w="3610" w:type="dxa"/>
                  <w:tcBorders>
                    <w:bottom w:val="single" w:color="auto" w:sz="8" w:space="0"/>
                  </w:tcBorders>
                  <w:noWrap w:val="0"/>
                  <w:vAlign w:val="center"/>
                </w:tcPr>
                <w:p w14:paraId="639F2801">
                  <w:pPr>
                    <w:keepNext w:val="0"/>
                    <w:keepLines w:val="0"/>
                    <w:widowControl/>
                    <w:suppressLineNumbers w:val="0"/>
                    <w:spacing w:before="0" w:beforeAutospacing="0" w:after="0" w:afterAutospacing="0"/>
                    <w:ind w:left="0" w:right="0"/>
                    <w:jc w:val="left"/>
                    <w:rPr>
                      <w:rFonts w:hint="eastAsia" w:ascii="宋体" w:hAnsi="宋体" w:eastAsia="宋体" w:cs="宋体"/>
                      <w:color w:val="000000"/>
                      <w:kern w:val="0"/>
                      <w:sz w:val="21"/>
                      <w:szCs w:val="21"/>
                      <w:lang w:val="en-US" w:eastAsia="zh-CN" w:bidi="ar"/>
                    </w:rPr>
                  </w:pPr>
                  <w:r>
                    <w:rPr>
                      <w:rFonts w:hint="eastAsia" w:ascii="宋体" w:hAnsi="宋体" w:cs="宋体"/>
                      <w:color w:val="000000"/>
                      <w:kern w:val="0"/>
                      <w:sz w:val="21"/>
                      <w:szCs w:val="21"/>
                      <w:lang w:val="en-US" w:eastAsia="zh-CN" w:bidi="ar"/>
                    </w:rPr>
                    <w:t>进一步优化能源结构，加快集中供热、供气及配套管网建设。不得新改扩建分散燃煤设施。</w:t>
                  </w:r>
                </w:p>
              </w:tc>
              <w:tc>
                <w:tcPr>
                  <w:tcW w:w="1917" w:type="dxa"/>
                  <w:tcBorders>
                    <w:bottom w:val="single" w:color="auto" w:sz="8" w:space="0"/>
                  </w:tcBorders>
                  <w:noWrap w:val="0"/>
                  <w:vAlign w:val="center"/>
                </w:tcPr>
                <w:p w14:paraId="30FB11A1">
                  <w:pPr>
                    <w:keepNext w:val="0"/>
                    <w:keepLines w:val="0"/>
                    <w:pageBreakBefore w:val="0"/>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eastAsia" w:cs="Times New Roman"/>
                      <w:sz w:val="21"/>
                      <w:szCs w:val="21"/>
                      <w:lang w:val="en-US" w:eastAsia="zh-CN"/>
                    </w:rPr>
                  </w:pPr>
                  <w:r>
                    <w:rPr>
                      <w:rFonts w:hint="eastAsia" w:cs="Times New Roman"/>
                      <w:sz w:val="21"/>
                      <w:szCs w:val="21"/>
                      <w:lang w:val="en-US" w:eastAsia="zh-CN"/>
                    </w:rPr>
                    <w:t>本项目不涉及供热、供气。</w:t>
                  </w:r>
                </w:p>
              </w:tc>
              <w:tc>
                <w:tcPr>
                  <w:tcW w:w="1025" w:type="dxa"/>
                  <w:gridSpan w:val="2"/>
                  <w:tcBorders>
                    <w:bottom w:val="single" w:color="auto" w:sz="8" w:space="0"/>
                  </w:tcBorders>
                  <w:noWrap w:val="0"/>
                  <w:vAlign w:val="center"/>
                </w:tcPr>
                <w:p w14:paraId="7FB824DC">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eastAsia="宋体"/>
                      <w:color w:val="000000"/>
                      <w:sz w:val="21"/>
                      <w:szCs w:val="21"/>
                      <w:lang w:eastAsia="zh-CN"/>
                    </w:rPr>
                  </w:pPr>
                  <w:r>
                    <w:rPr>
                      <w:rFonts w:hint="eastAsia"/>
                      <w:color w:val="000000"/>
                      <w:sz w:val="21"/>
                      <w:szCs w:val="21"/>
                      <w:lang w:eastAsia="zh-CN"/>
                    </w:rPr>
                    <w:t>不涉及</w:t>
                  </w:r>
                </w:p>
              </w:tc>
            </w:tr>
          </w:tbl>
          <w:p w14:paraId="00C713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baseline"/>
              <w:rPr>
                <w:rFonts w:hint="default" w:ascii="Times New Roman" w:hAnsi="Times New Roman" w:cs="Times New Roman"/>
                <w:b/>
                <w:sz w:val="24"/>
              </w:rPr>
            </w:pPr>
            <w:r>
              <w:rPr>
                <w:rFonts w:hint="eastAsia" w:ascii="宋体" w:hAnsi="宋体"/>
                <w:bCs/>
                <w:color w:val="000000"/>
                <w:sz w:val="24"/>
                <w:lang w:val="en-US" w:eastAsia="zh-CN"/>
              </w:rPr>
              <w:t>由上表可知，本项目符合</w:t>
            </w:r>
            <w:r>
              <w:rPr>
                <w:rFonts w:hint="eastAsia" w:ascii="Times New Roman" w:hAnsi="Times New Roman" w:cs="Times New Roman"/>
                <w:b w:val="0"/>
                <w:bCs/>
                <w:sz w:val="24"/>
                <w:lang w:val="en-US" w:eastAsia="zh-CN"/>
              </w:rPr>
              <w:t>《新乡市“三线一单”生态环境准入清单》（</w:t>
            </w:r>
            <w:r>
              <w:rPr>
                <w:rFonts w:hint="eastAsia" w:cs="Times New Roman"/>
                <w:b w:val="0"/>
                <w:bCs/>
                <w:sz w:val="24"/>
                <w:lang w:val="en-US" w:eastAsia="zh-CN"/>
              </w:rPr>
              <w:t>2023年版</w:t>
            </w:r>
            <w:r>
              <w:rPr>
                <w:rFonts w:hint="eastAsia" w:ascii="Times New Roman" w:hAnsi="Times New Roman" w:cs="Times New Roman"/>
                <w:b w:val="0"/>
                <w:bCs/>
                <w:sz w:val="24"/>
                <w:lang w:val="en-US" w:eastAsia="zh-CN"/>
              </w:rPr>
              <w:t>）</w:t>
            </w:r>
            <w:r>
              <w:rPr>
                <w:rFonts w:hint="eastAsia" w:ascii="宋体" w:hAnsi="宋体"/>
                <w:bCs/>
                <w:color w:val="000000"/>
                <w:sz w:val="24"/>
                <w:lang w:val="en-US" w:eastAsia="zh-CN"/>
              </w:rPr>
              <w:t>中的相关内容的要求。</w:t>
            </w:r>
          </w:p>
          <w:p w14:paraId="7CEDFB68">
            <w:pPr>
              <w:keepNext w:val="0"/>
              <w:keepLines w:val="0"/>
              <w:suppressLineNumbers w:val="0"/>
              <w:spacing w:before="0" w:beforeAutospacing="0" w:after="0" w:afterAutospacing="0" w:line="440" w:lineRule="exact"/>
              <w:ind w:left="0" w:right="0" w:firstLine="482" w:firstLineChars="200"/>
              <w:textAlignment w:val="baseline"/>
              <w:rPr>
                <w:rFonts w:hint="eastAsia" w:ascii="宋体" w:hAnsi="宋体"/>
                <w:b/>
                <w:sz w:val="24"/>
              </w:rPr>
            </w:pPr>
            <w:r>
              <w:rPr>
                <w:rFonts w:hint="default" w:ascii="Times New Roman" w:hAnsi="Times New Roman" w:cs="Times New Roman"/>
                <w:b/>
                <w:sz w:val="24"/>
              </w:rPr>
              <w:t>2</w:t>
            </w:r>
            <w:r>
              <w:rPr>
                <w:rFonts w:hint="eastAsia" w:ascii="宋体" w:hAnsi="宋体"/>
                <w:b/>
                <w:sz w:val="24"/>
              </w:rPr>
              <w:t>、本项目与分类管理名录对照分析</w:t>
            </w:r>
          </w:p>
          <w:p w14:paraId="42B29BD1">
            <w:pPr>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cs="Times New Roman"/>
                <w:color w:val="000000"/>
                <w:sz w:val="24"/>
              </w:rPr>
            </w:pPr>
            <w:r>
              <w:rPr>
                <w:rFonts w:hint="default" w:ascii="Times New Roman" w:hAnsi="Times New Roman" w:cs="Times New Roman"/>
                <w:color w:val="000000"/>
                <w:sz w:val="24"/>
              </w:rPr>
              <w:t>经查阅《建设项目环境影响评价分类管理名录》（2021年版），本项目属于</w:t>
            </w:r>
            <w:r>
              <w:rPr>
                <w:rFonts w:hint="eastAsia" w:cs="Times New Roman"/>
                <w:color w:val="000000"/>
                <w:sz w:val="24"/>
                <w:lang w:val="en-US" w:eastAsia="zh-CN"/>
              </w:rPr>
              <w:t>三十一</w:t>
            </w:r>
            <w:r>
              <w:rPr>
                <w:rFonts w:hint="default" w:ascii="Times New Roman" w:hAnsi="Times New Roman" w:cs="Times New Roman"/>
                <w:color w:val="000000"/>
                <w:sz w:val="24"/>
              </w:rPr>
              <w:t>、</w:t>
            </w:r>
            <w:r>
              <w:rPr>
                <w:rFonts w:hint="eastAsia" w:ascii="宋体" w:hAnsi="宋体"/>
                <w:sz w:val="24"/>
                <w:lang w:val="en-US" w:eastAsia="zh-CN"/>
              </w:rPr>
              <w:t>通用设备制造业</w:t>
            </w:r>
            <w:r>
              <w:rPr>
                <w:rFonts w:hint="default" w:ascii="Times New Roman" w:hAnsi="Times New Roman" w:cs="Times New Roman"/>
                <w:color w:val="000000"/>
                <w:sz w:val="24"/>
              </w:rPr>
              <w:t>的第</w:t>
            </w:r>
            <w:r>
              <w:rPr>
                <w:rFonts w:hint="eastAsia" w:cs="Times New Roman"/>
                <w:color w:val="000000"/>
                <w:sz w:val="24"/>
                <w:lang w:val="en-US" w:eastAsia="zh-CN"/>
              </w:rPr>
              <w:t>69</w:t>
            </w:r>
            <w:r>
              <w:rPr>
                <w:rFonts w:hint="default" w:ascii="Times New Roman" w:hAnsi="Times New Roman" w:cs="Times New Roman"/>
                <w:color w:val="000000"/>
                <w:sz w:val="24"/>
              </w:rPr>
              <w:t>类：</w:t>
            </w:r>
            <w:r>
              <w:rPr>
                <w:rFonts w:hint="eastAsia" w:cs="Times New Roman"/>
                <w:color w:val="000000"/>
                <w:sz w:val="24"/>
                <w:lang w:val="en-US" w:eastAsia="zh-CN"/>
              </w:rPr>
              <w:t>通用零部件制造348</w:t>
            </w:r>
            <w:r>
              <w:rPr>
                <w:rFonts w:hint="default" w:ascii="Times New Roman" w:hAnsi="Times New Roman" w:cs="Times New Roman"/>
                <w:color w:val="000000"/>
                <w:sz w:val="24"/>
              </w:rPr>
              <w:t>。名录规定：</w:t>
            </w:r>
            <w:r>
              <w:rPr>
                <w:rFonts w:hint="eastAsia" w:cs="Times New Roman"/>
                <w:color w:val="000000"/>
                <w:sz w:val="24"/>
                <w:lang w:val="en-US" w:eastAsia="zh-CN"/>
              </w:rPr>
              <w:t>有电镀工艺的；年用溶剂型涂料（含稀释剂）10吨及以上的</w:t>
            </w:r>
            <w:r>
              <w:rPr>
                <w:rFonts w:hint="default" w:ascii="Times New Roman" w:hAnsi="Times New Roman" w:cs="Times New Roman"/>
                <w:color w:val="000000"/>
                <w:sz w:val="24"/>
              </w:rPr>
              <w:t>应编制环境影响</w:t>
            </w:r>
            <w:r>
              <w:rPr>
                <w:rFonts w:hint="eastAsia" w:cs="Times New Roman"/>
                <w:color w:val="000000"/>
                <w:sz w:val="24"/>
                <w:lang w:val="en-US" w:eastAsia="zh-CN"/>
              </w:rPr>
              <w:t>报告书，其他（仅分割、焊接、组装的除外；年用非溶剂型低VOCs含量涂料10吨以下的除外）的应编制</w:t>
            </w:r>
            <w:r>
              <w:rPr>
                <w:rFonts w:hint="default" w:ascii="Times New Roman" w:hAnsi="Times New Roman" w:cs="Times New Roman"/>
                <w:color w:val="000000"/>
                <w:sz w:val="24"/>
              </w:rPr>
              <w:t>环境影响报告表。本项目</w:t>
            </w:r>
            <w:r>
              <w:rPr>
                <w:rFonts w:hint="eastAsia" w:cs="Times New Roman"/>
                <w:color w:val="000000"/>
                <w:sz w:val="24"/>
                <w:lang w:val="en-US" w:eastAsia="zh-CN"/>
              </w:rPr>
              <w:t>涉及淬火</w:t>
            </w:r>
            <w:r>
              <w:rPr>
                <w:rFonts w:hint="eastAsia" w:cs="Times New Roman"/>
                <w:color w:val="000000" w:themeColor="text1"/>
                <w:sz w:val="24"/>
                <w:lang w:val="en-US" w:eastAsia="zh-CN"/>
                <w14:textFill>
                  <w14:solidFill>
                    <w14:schemeClr w14:val="tx1"/>
                  </w14:solidFill>
                </w14:textFill>
              </w:rPr>
              <w:t>工序，电镀由其他公司外协加工，</w:t>
            </w:r>
            <w:r>
              <w:rPr>
                <w:rFonts w:hint="default" w:ascii="Times New Roman" w:hAnsi="Times New Roman" w:cs="Times New Roman"/>
                <w:color w:val="000000" w:themeColor="text1"/>
                <w:sz w:val="24"/>
                <w14:textFill>
                  <w14:solidFill>
                    <w14:schemeClr w14:val="tx1"/>
                  </w14:solidFill>
                </w14:textFill>
              </w:rPr>
              <w:t>应</w:t>
            </w:r>
            <w:r>
              <w:rPr>
                <w:rFonts w:hint="default" w:ascii="Times New Roman" w:hAnsi="Times New Roman" w:cs="Times New Roman"/>
                <w:color w:val="000000"/>
                <w:sz w:val="24"/>
              </w:rPr>
              <w:t>编制环境影响报告表。</w:t>
            </w:r>
          </w:p>
          <w:p w14:paraId="320E0988">
            <w:pPr>
              <w:keepNext w:val="0"/>
              <w:keepLines w:val="0"/>
              <w:suppressLineNumbers w:val="0"/>
              <w:spacing w:before="0" w:beforeAutospacing="0" w:after="0" w:afterAutospacing="0" w:line="440" w:lineRule="exact"/>
              <w:ind w:left="0" w:right="0" w:firstLine="482" w:firstLineChars="200"/>
              <w:rPr>
                <w:rFonts w:hint="default" w:ascii="宋体" w:hAnsi="宋体"/>
                <w:b/>
                <w:bCs/>
                <w:color w:val="000000"/>
                <w:sz w:val="24"/>
              </w:rPr>
            </w:pPr>
            <w:r>
              <w:rPr>
                <w:rFonts w:hint="default" w:ascii="Times New Roman" w:hAnsi="Times New Roman" w:cs="Times New Roman"/>
                <w:b/>
                <w:bCs/>
                <w:color w:val="000000"/>
                <w:sz w:val="24"/>
              </w:rPr>
              <w:t>3</w:t>
            </w:r>
            <w:r>
              <w:rPr>
                <w:rFonts w:hint="eastAsia" w:ascii="宋体" w:hAnsi="宋体"/>
                <w:b/>
                <w:bCs/>
                <w:color w:val="000000"/>
                <w:sz w:val="24"/>
              </w:rPr>
              <w:t>、项目建设与产业政策及备案相符性分析</w:t>
            </w:r>
          </w:p>
          <w:p w14:paraId="13F293B3">
            <w:pPr>
              <w:keepNext w:val="0"/>
              <w:keepLines w:val="0"/>
              <w:suppressLineNumbers w:val="0"/>
              <w:spacing w:before="0" w:beforeAutospacing="0" w:after="0" w:afterAutospacing="0" w:line="440" w:lineRule="exact"/>
              <w:ind w:left="0" w:right="0" w:firstLine="480" w:firstLineChars="200"/>
              <w:jc w:val="both"/>
              <w:rPr>
                <w:rFonts w:hint="default" w:ascii="宋体" w:hAnsi="宋体"/>
                <w:b/>
                <w:bCs/>
                <w:color w:val="000000"/>
                <w:sz w:val="24"/>
                <w:highlight w:val="none"/>
              </w:rPr>
            </w:pPr>
            <w:r>
              <w:rPr>
                <w:rFonts w:hint="default" w:ascii="宋体" w:hAnsi="宋体"/>
                <w:sz w:val="24"/>
                <w:highlight w:val="none"/>
              </w:rPr>
              <w:t>本项目已在</w:t>
            </w:r>
            <w:r>
              <w:rPr>
                <w:rFonts w:hint="eastAsia" w:ascii="宋体" w:hAnsi="宋体"/>
                <w:sz w:val="24"/>
                <w:highlight w:val="none"/>
                <w:lang w:val="en-US" w:eastAsia="zh-CN"/>
              </w:rPr>
              <w:t>新乡县发展和改革委员会</w:t>
            </w:r>
            <w:r>
              <w:rPr>
                <w:rFonts w:hint="default" w:ascii="宋体" w:hAnsi="宋体"/>
                <w:sz w:val="24"/>
                <w:highlight w:val="none"/>
              </w:rPr>
              <w:t>备案，项目代码</w:t>
            </w:r>
            <w:r>
              <w:rPr>
                <w:rFonts w:hint="eastAsia" w:cs="Times New Roman"/>
                <w:sz w:val="24"/>
                <w:szCs w:val="24"/>
                <w:highlight w:val="none"/>
                <w:lang w:val="en-US" w:eastAsia="zh-CN"/>
              </w:rPr>
              <w:t>2411-410721-04-01-291302</w:t>
            </w:r>
            <w:r>
              <w:rPr>
                <w:rFonts w:hint="default" w:ascii="宋体" w:hAnsi="宋体"/>
                <w:sz w:val="24"/>
                <w:highlight w:val="none"/>
              </w:rPr>
              <w:t>（详见附件）。经查阅《产业结构调整指导目录》（</w:t>
            </w:r>
            <w:r>
              <w:rPr>
                <w:rFonts w:hint="default" w:ascii="Times New Roman" w:hAnsi="Times New Roman" w:cs="Times New Roman"/>
                <w:sz w:val="24"/>
                <w:highlight w:val="none"/>
              </w:rPr>
              <w:t>2024</w:t>
            </w:r>
            <w:r>
              <w:rPr>
                <w:rFonts w:hint="default" w:ascii="宋体" w:hAnsi="宋体"/>
                <w:sz w:val="24"/>
                <w:highlight w:val="none"/>
              </w:rPr>
              <w:t>年本），该项目属于“</w:t>
            </w:r>
            <w:r>
              <w:rPr>
                <w:rFonts w:hint="eastAsia" w:ascii="宋体" w:hAnsi="宋体"/>
                <w:sz w:val="24"/>
                <w:highlight w:val="none"/>
                <w:lang w:val="en-US" w:eastAsia="zh-CN"/>
              </w:rPr>
              <w:t>允许类</w:t>
            </w:r>
            <w:r>
              <w:rPr>
                <w:rFonts w:hint="default" w:ascii="宋体" w:hAnsi="宋体"/>
                <w:sz w:val="24"/>
                <w:highlight w:val="none"/>
              </w:rPr>
              <w:t>”，符合国家产业政策要求。</w:t>
            </w:r>
            <w:r>
              <w:rPr>
                <w:rFonts w:hint="default" w:ascii="宋体" w:hAnsi="宋体"/>
                <w:color w:val="000000"/>
                <w:sz w:val="24"/>
                <w:highlight w:val="none"/>
              </w:rPr>
              <w:t>本项目情况与产业政策一致性分析见表</w:t>
            </w:r>
            <w:r>
              <w:rPr>
                <w:rFonts w:hint="eastAsia" w:cs="Times New Roman"/>
                <w:color w:val="000000"/>
                <w:sz w:val="24"/>
                <w:highlight w:val="none"/>
                <w:lang w:val="en-US" w:eastAsia="zh-CN"/>
              </w:rPr>
              <w:t>3</w:t>
            </w:r>
            <w:r>
              <w:rPr>
                <w:rFonts w:hint="default" w:ascii="宋体" w:hAnsi="宋体"/>
                <w:color w:val="000000"/>
                <w:sz w:val="24"/>
                <w:highlight w:val="none"/>
              </w:rPr>
              <w:t>。</w:t>
            </w:r>
          </w:p>
          <w:p w14:paraId="0B0CAC90">
            <w:pPr>
              <w:keepNext w:val="0"/>
              <w:keepLines w:val="0"/>
              <w:suppressLineNumbers w:val="0"/>
              <w:spacing w:before="0" w:beforeAutospacing="0" w:after="0" w:afterAutospacing="0" w:line="440" w:lineRule="exact"/>
              <w:ind w:left="0" w:right="0"/>
              <w:jc w:val="center"/>
              <w:textAlignment w:val="baseline"/>
              <w:rPr>
                <w:rFonts w:hint="default" w:eastAsia="黑体"/>
                <w:color w:val="000000"/>
                <w:sz w:val="24"/>
              </w:rPr>
            </w:pPr>
            <w:r>
              <w:rPr>
                <w:rFonts w:hint="default" w:ascii="宋体" w:hAnsi="宋体"/>
                <w:b/>
                <w:bCs/>
                <w:color w:val="000000"/>
                <w:sz w:val="24"/>
              </w:rPr>
              <w:t>表</w:t>
            </w:r>
            <w:r>
              <w:rPr>
                <w:rFonts w:hint="eastAsia" w:cs="Times New Roman"/>
                <w:b/>
                <w:bCs/>
                <w:color w:val="000000"/>
                <w:sz w:val="24"/>
                <w:lang w:val="en-US" w:eastAsia="zh-CN"/>
              </w:rPr>
              <w:t xml:space="preserve">6 </w:t>
            </w:r>
            <w:r>
              <w:rPr>
                <w:rFonts w:hint="eastAsia" w:ascii="宋体" w:hAnsi="宋体"/>
                <w:b/>
                <w:bCs/>
                <w:color w:val="000000"/>
                <w:sz w:val="24"/>
                <w:lang w:val="en-US" w:eastAsia="zh-CN"/>
              </w:rPr>
              <w:t xml:space="preserve">  </w:t>
            </w:r>
            <w:r>
              <w:rPr>
                <w:rFonts w:hint="default" w:ascii="宋体" w:hAnsi="宋体"/>
                <w:b/>
                <w:bCs/>
                <w:color w:val="000000"/>
                <w:sz w:val="24"/>
              </w:rPr>
              <w:t>项目与产业政策一致性分析</w:t>
            </w:r>
          </w:p>
          <w:tbl>
            <w:tblPr>
              <w:tblStyle w:val="22"/>
              <w:tblW w:w="4999" w:type="pct"/>
              <w:jc w:val="center"/>
              <w:tblLayout w:type="autofit"/>
              <w:tblCellMar>
                <w:top w:w="0" w:type="dxa"/>
                <w:left w:w="108" w:type="dxa"/>
                <w:bottom w:w="0" w:type="dxa"/>
                <w:right w:w="108" w:type="dxa"/>
              </w:tblCellMar>
            </w:tblPr>
            <w:tblGrid>
              <w:gridCol w:w="2837"/>
              <w:gridCol w:w="2794"/>
              <w:gridCol w:w="2096"/>
              <w:gridCol w:w="1121"/>
            </w:tblGrid>
            <w:tr w14:paraId="1A056A2B">
              <w:tblPrEx>
                <w:tblCellMar>
                  <w:top w:w="0" w:type="dxa"/>
                  <w:left w:w="108" w:type="dxa"/>
                  <w:bottom w:w="0" w:type="dxa"/>
                  <w:right w:w="108" w:type="dxa"/>
                </w:tblCellMar>
              </w:tblPrEx>
              <w:trPr>
                <w:trHeight w:val="397" w:hRule="atLeast"/>
                <w:jc w:val="center"/>
              </w:trPr>
              <w:tc>
                <w:tcPr>
                  <w:tcW w:w="2833" w:type="dxa"/>
                  <w:tcBorders>
                    <w:top w:val="single" w:color="auto" w:sz="8" w:space="0"/>
                    <w:left w:val="nil"/>
                    <w:bottom w:val="single" w:color="auto" w:sz="8" w:space="0"/>
                    <w:right w:val="single" w:color="auto" w:sz="4" w:space="0"/>
                  </w:tcBorders>
                  <w:noWrap w:val="0"/>
                  <w:vAlign w:val="center"/>
                </w:tcPr>
                <w:p w14:paraId="45B3EC73">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类 别</w:t>
                  </w:r>
                </w:p>
              </w:tc>
              <w:tc>
                <w:tcPr>
                  <w:tcW w:w="2791" w:type="dxa"/>
                  <w:tcBorders>
                    <w:top w:val="single" w:color="auto" w:sz="8" w:space="0"/>
                    <w:left w:val="single" w:color="auto" w:sz="4" w:space="0"/>
                    <w:bottom w:val="single" w:color="auto" w:sz="8" w:space="0"/>
                    <w:right w:val="single" w:color="auto" w:sz="4" w:space="0"/>
                  </w:tcBorders>
                  <w:noWrap w:val="0"/>
                  <w:vAlign w:val="center"/>
                </w:tcPr>
                <w:p w14:paraId="1CDC775E">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内 容</w:t>
                  </w:r>
                </w:p>
              </w:tc>
              <w:tc>
                <w:tcPr>
                  <w:tcW w:w="2093" w:type="dxa"/>
                  <w:tcBorders>
                    <w:top w:val="single" w:color="auto" w:sz="8" w:space="0"/>
                    <w:left w:val="single" w:color="auto" w:sz="4" w:space="0"/>
                    <w:bottom w:val="single" w:color="auto" w:sz="8" w:space="0"/>
                    <w:right w:val="single" w:color="auto" w:sz="4" w:space="0"/>
                  </w:tcBorders>
                  <w:noWrap w:val="0"/>
                  <w:vAlign w:val="center"/>
                </w:tcPr>
                <w:p w14:paraId="32FFAD04">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本项目情况</w:t>
                  </w:r>
                </w:p>
              </w:tc>
              <w:tc>
                <w:tcPr>
                  <w:tcW w:w="1120" w:type="dxa"/>
                  <w:tcBorders>
                    <w:top w:val="single" w:color="auto" w:sz="8" w:space="0"/>
                    <w:left w:val="single" w:color="auto" w:sz="4" w:space="0"/>
                    <w:bottom w:val="single" w:color="auto" w:sz="8" w:space="0"/>
                    <w:right w:val="nil"/>
                  </w:tcBorders>
                  <w:noWrap w:val="0"/>
                  <w:vAlign w:val="center"/>
                </w:tcPr>
                <w:p w14:paraId="07E571A0">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相符性</w:t>
                  </w:r>
                </w:p>
              </w:tc>
            </w:tr>
            <w:tr w14:paraId="25114AC1">
              <w:tblPrEx>
                <w:tblCellMar>
                  <w:top w:w="0" w:type="dxa"/>
                  <w:left w:w="108" w:type="dxa"/>
                  <w:bottom w:w="0" w:type="dxa"/>
                  <w:right w:w="108" w:type="dxa"/>
                </w:tblCellMar>
              </w:tblPrEx>
              <w:trPr>
                <w:trHeight w:val="397" w:hRule="atLeast"/>
                <w:jc w:val="center"/>
              </w:trPr>
              <w:tc>
                <w:tcPr>
                  <w:tcW w:w="2833" w:type="dxa"/>
                  <w:tcBorders>
                    <w:top w:val="single" w:color="auto" w:sz="8" w:space="0"/>
                    <w:bottom w:val="single" w:color="auto" w:sz="4" w:space="0"/>
                    <w:right w:val="single" w:color="auto" w:sz="4" w:space="0"/>
                  </w:tcBorders>
                  <w:noWrap w:val="0"/>
                  <w:vAlign w:val="center"/>
                </w:tcPr>
                <w:p w14:paraId="0A5CC7EA">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1"/>
                      <w:szCs w:val="21"/>
                    </w:rPr>
                  </w:pPr>
                  <w:r>
                    <w:rPr>
                      <w:rFonts w:hint="eastAsia" w:ascii="宋体" w:hAnsi="宋体"/>
                      <w:color w:val="auto"/>
                      <w:sz w:val="21"/>
                      <w:szCs w:val="21"/>
                    </w:rPr>
                    <w:t>鼓励类</w:t>
                  </w:r>
                </w:p>
              </w:tc>
              <w:tc>
                <w:tcPr>
                  <w:tcW w:w="2791" w:type="dxa"/>
                  <w:tcBorders>
                    <w:top w:val="single" w:color="auto" w:sz="8" w:space="0"/>
                    <w:left w:val="single" w:color="auto" w:sz="4" w:space="0"/>
                    <w:bottom w:val="single" w:color="auto" w:sz="4" w:space="0"/>
                    <w:right w:val="single" w:color="auto" w:sz="4" w:space="0"/>
                  </w:tcBorders>
                  <w:noWrap w:val="0"/>
                  <w:vAlign w:val="center"/>
                </w:tcPr>
                <w:p w14:paraId="00D07141">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ascii="宋体" w:hAnsi="宋体"/>
                      <w:color w:val="auto"/>
                      <w:sz w:val="21"/>
                      <w:szCs w:val="21"/>
                    </w:rPr>
                    <w:t>查无相关对应条款</w:t>
                  </w:r>
                </w:p>
              </w:tc>
              <w:tc>
                <w:tcPr>
                  <w:tcW w:w="2093" w:type="dxa"/>
                  <w:tcBorders>
                    <w:top w:val="single" w:color="auto" w:sz="8" w:space="0"/>
                    <w:left w:val="single" w:color="auto" w:sz="4" w:space="0"/>
                    <w:bottom w:val="single" w:color="auto" w:sz="4" w:space="0"/>
                    <w:right w:val="single" w:color="auto" w:sz="4" w:space="0"/>
                  </w:tcBorders>
                  <w:noWrap w:val="0"/>
                  <w:vAlign w:val="center"/>
                </w:tcPr>
                <w:p w14:paraId="025665BE">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ascii="宋体" w:hAnsi="宋体"/>
                      <w:color w:val="auto"/>
                      <w:sz w:val="21"/>
                      <w:szCs w:val="21"/>
                      <w:lang w:val="en-US" w:eastAsia="zh-CN"/>
                    </w:rPr>
                    <w:t>/</w:t>
                  </w:r>
                </w:p>
              </w:tc>
              <w:tc>
                <w:tcPr>
                  <w:tcW w:w="1120" w:type="dxa"/>
                  <w:tcBorders>
                    <w:top w:val="single" w:color="auto" w:sz="8" w:space="0"/>
                    <w:left w:val="single" w:color="auto" w:sz="4" w:space="0"/>
                    <w:bottom w:val="single" w:color="auto" w:sz="4" w:space="0"/>
                  </w:tcBorders>
                  <w:noWrap w:val="0"/>
                  <w:vAlign w:val="center"/>
                </w:tcPr>
                <w:p w14:paraId="0BD50242">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ascii="宋体" w:hAnsi="宋体" w:eastAsia="宋体" w:cs="宋体"/>
                      <w:color w:val="auto"/>
                      <w:sz w:val="21"/>
                      <w:szCs w:val="21"/>
                      <w:lang w:val="en-US" w:eastAsia="zh-CN"/>
                    </w:rPr>
                    <w:t>/</w:t>
                  </w:r>
                </w:p>
              </w:tc>
            </w:tr>
            <w:tr w14:paraId="7B4161C4">
              <w:tblPrEx>
                <w:tblCellMar>
                  <w:top w:w="0" w:type="dxa"/>
                  <w:left w:w="108" w:type="dxa"/>
                  <w:bottom w:w="0" w:type="dxa"/>
                  <w:right w:w="108" w:type="dxa"/>
                </w:tblCellMar>
              </w:tblPrEx>
              <w:trPr>
                <w:trHeight w:val="397" w:hRule="atLeast"/>
                <w:jc w:val="center"/>
              </w:trPr>
              <w:tc>
                <w:tcPr>
                  <w:tcW w:w="2833" w:type="dxa"/>
                  <w:tcBorders>
                    <w:top w:val="single" w:color="auto" w:sz="4" w:space="0"/>
                    <w:bottom w:val="single" w:color="auto" w:sz="4" w:space="0"/>
                    <w:right w:val="single" w:color="auto" w:sz="4" w:space="0"/>
                  </w:tcBorders>
                  <w:noWrap w:val="0"/>
                  <w:vAlign w:val="center"/>
                </w:tcPr>
                <w:p w14:paraId="0697CE1D">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1"/>
                      <w:szCs w:val="21"/>
                    </w:rPr>
                  </w:pPr>
                  <w:r>
                    <w:rPr>
                      <w:rFonts w:hint="eastAsia" w:ascii="宋体" w:hAnsi="宋体"/>
                      <w:color w:val="000000"/>
                      <w:sz w:val="21"/>
                      <w:szCs w:val="21"/>
                    </w:rPr>
                    <w:t>限制类</w:t>
                  </w:r>
                </w:p>
              </w:tc>
              <w:tc>
                <w:tcPr>
                  <w:tcW w:w="2791" w:type="dxa"/>
                  <w:tcBorders>
                    <w:top w:val="single" w:color="auto" w:sz="4" w:space="0"/>
                    <w:left w:val="single" w:color="auto" w:sz="4" w:space="0"/>
                    <w:bottom w:val="single" w:color="auto" w:sz="4" w:space="0"/>
                    <w:right w:val="single" w:color="auto" w:sz="4" w:space="0"/>
                  </w:tcBorders>
                  <w:noWrap w:val="0"/>
                  <w:vAlign w:val="center"/>
                </w:tcPr>
                <w:p w14:paraId="642872A1">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查无相关对应条款</w:t>
                  </w:r>
                </w:p>
              </w:tc>
              <w:tc>
                <w:tcPr>
                  <w:tcW w:w="2093" w:type="dxa"/>
                  <w:tcBorders>
                    <w:top w:val="single" w:color="auto" w:sz="4" w:space="0"/>
                    <w:left w:val="single" w:color="auto" w:sz="4" w:space="0"/>
                    <w:bottom w:val="single" w:color="auto" w:sz="4" w:space="0"/>
                    <w:right w:val="single" w:color="auto" w:sz="4" w:space="0"/>
                  </w:tcBorders>
                  <w:noWrap w:val="0"/>
                  <w:vAlign w:val="center"/>
                </w:tcPr>
                <w:p w14:paraId="2FF1E3A3">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w:t>
                  </w:r>
                </w:p>
              </w:tc>
              <w:tc>
                <w:tcPr>
                  <w:tcW w:w="1120" w:type="dxa"/>
                  <w:tcBorders>
                    <w:top w:val="single" w:color="auto" w:sz="4" w:space="0"/>
                    <w:left w:val="single" w:color="auto" w:sz="4" w:space="0"/>
                    <w:bottom w:val="single" w:color="auto" w:sz="4" w:space="0"/>
                  </w:tcBorders>
                  <w:noWrap w:val="0"/>
                  <w:vAlign w:val="center"/>
                </w:tcPr>
                <w:p w14:paraId="77B17BD9">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w:t>
                  </w:r>
                </w:p>
              </w:tc>
            </w:tr>
            <w:tr w14:paraId="77767567">
              <w:tblPrEx>
                <w:tblCellMar>
                  <w:top w:w="0" w:type="dxa"/>
                  <w:left w:w="108" w:type="dxa"/>
                  <w:bottom w:w="0" w:type="dxa"/>
                  <w:right w:w="108" w:type="dxa"/>
                </w:tblCellMar>
              </w:tblPrEx>
              <w:trPr>
                <w:trHeight w:val="397" w:hRule="atLeast"/>
                <w:jc w:val="center"/>
              </w:trPr>
              <w:tc>
                <w:tcPr>
                  <w:tcW w:w="2833" w:type="dxa"/>
                  <w:tcBorders>
                    <w:top w:val="single" w:color="auto" w:sz="4" w:space="0"/>
                    <w:bottom w:val="single" w:color="auto" w:sz="4" w:space="0"/>
                    <w:right w:val="single" w:color="auto" w:sz="4" w:space="0"/>
                  </w:tcBorders>
                  <w:noWrap w:val="0"/>
                  <w:vAlign w:val="center"/>
                </w:tcPr>
                <w:p w14:paraId="1B8A575A">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1"/>
                      <w:szCs w:val="21"/>
                    </w:rPr>
                  </w:pPr>
                  <w:r>
                    <w:rPr>
                      <w:rFonts w:hint="eastAsia" w:ascii="宋体" w:hAnsi="宋体"/>
                      <w:color w:val="000000"/>
                      <w:sz w:val="21"/>
                      <w:szCs w:val="21"/>
                    </w:rPr>
                    <w:t>淘汰类（落后生产工艺装备）</w:t>
                  </w:r>
                </w:p>
              </w:tc>
              <w:tc>
                <w:tcPr>
                  <w:tcW w:w="2791" w:type="dxa"/>
                  <w:tcBorders>
                    <w:top w:val="single" w:color="auto" w:sz="4" w:space="0"/>
                    <w:left w:val="single" w:color="auto" w:sz="4" w:space="0"/>
                    <w:bottom w:val="single" w:color="auto" w:sz="4" w:space="0"/>
                    <w:right w:val="single" w:color="auto" w:sz="4" w:space="0"/>
                  </w:tcBorders>
                  <w:noWrap w:val="0"/>
                  <w:vAlign w:val="center"/>
                </w:tcPr>
                <w:p w14:paraId="7939335E">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查无相关对应条款</w:t>
                  </w:r>
                </w:p>
              </w:tc>
              <w:tc>
                <w:tcPr>
                  <w:tcW w:w="2093" w:type="dxa"/>
                  <w:tcBorders>
                    <w:top w:val="single" w:color="auto" w:sz="4" w:space="0"/>
                    <w:left w:val="single" w:color="auto" w:sz="4" w:space="0"/>
                    <w:bottom w:val="single" w:color="auto" w:sz="4" w:space="0"/>
                    <w:right w:val="single" w:color="auto" w:sz="4" w:space="0"/>
                  </w:tcBorders>
                  <w:noWrap w:val="0"/>
                  <w:vAlign w:val="center"/>
                </w:tcPr>
                <w:p w14:paraId="0C78B18F">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w:t>
                  </w:r>
                </w:p>
              </w:tc>
              <w:tc>
                <w:tcPr>
                  <w:tcW w:w="1120" w:type="dxa"/>
                  <w:tcBorders>
                    <w:top w:val="single" w:color="auto" w:sz="4" w:space="0"/>
                    <w:left w:val="single" w:color="auto" w:sz="4" w:space="0"/>
                    <w:bottom w:val="single" w:color="auto" w:sz="4" w:space="0"/>
                  </w:tcBorders>
                  <w:noWrap w:val="0"/>
                  <w:vAlign w:val="center"/>
                </w:tcPr>
                <w:p w14:paraId="7784B026">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w:t>
                  </w:r>
                </w:p>
              </w:tc>
            </w:tr>
            <w:tr w14:paraId="1F2AB5D3">
              <w:tblPrEx>
                <w:tblCellMar>
                  <w:top w:w="0" w:type="dxa"/>
                  <w:left w:w="108" w:type="dxa"/>
                  <w:bottom w:w="0" w:type="dxa"/>
                  <w:right w:w="108" w:type="dxa"/>
                </w:tblCellMar>
              </w:tblPrEx>
              <w:trPr>
                <w:trHeight w:val="397" w:hRule="atLeast"/>
                <w:jc w:val="center"/>
              </w:trPr>
              <w:tc>
                <w:tcPr>
                  <w:tcW w:w="2833" w:type="dxa"/>
                  <w:tcBorders>
                    <w:top w:val="single" w:color="auto" w:sz="4" w:space="0"/>
                    <w:bottom w:val="single" w:color="auto" w:sz="8" w:space="0"/>
                    <w:right w:val="single" w:color="auto" w:sz="4" w:space="0"/>
                  </w:tcBorders>
                  <w:noWrap w:val="0"/>
                  <w:vAlign w:val="center"/>
                </w:tcPr>
                <w:p w14:paraId="10497BDA">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1"/>
                      <w:szCs w:val="21"/>
                    </w:rPr>
                  </w:pPr>
                  <w:r>
                    <w:rPr>
                      <w:rFonts w:hint="eastAsia" w:ascii="宋体" w:hAnsi="宋体"/>
                      <w:color w:val="000000"/>
                      <w:sz w:val="21"/>
                      <w:szCs w:val="21"/>
                    </w:rPr>
                    <w:t>淘汰类（落后产品）</w:t>
                  </w:r>
                </w:p>
              </w:tc>
              <w:tc>
                <w:tcPr>
                  <w:tcW w:w="2791" w:type="dxa"/>
                  <w:tcBorders>
                    <w:top w:val="single" w:color="auto" w:sz="4" w:space="0"/>
                    <w:left w:val="single" w:color="auto" w:sz="4" w:space="0"/>
                    <w:bottom w:val="single" w:color="auto" w:sz="8" w:space="0"/>
                    <w:right w:val="single" w:color="auto" w:sz="4" w:space="0"/>
                  </w:tcBorders>
                  <w:noWrap w:val="0"/>
                  <w:vAlign w:val="center"/>
                </w:tcPr>
                <w:p w14:paraId="4D6BFBC3">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查无相关对应条款</w:t>
                  </w:r>
                </w:p>
              </w:tc>
              <w:tc>
                <w:tcPr>
                  <w:tcW w:w="2093" w:type="dxa"/>
                  <w:tcBorders>
                    <w:top w:val="single" w:color="auto" w:sz="4" w:space="0"/>
                    <w:left w:val="single" w:color="auto" w:sz="4" w:space="0"/>
                    <w:bottom w:val="single" w:color="auto" w:sz="8" w:space="0"/>
                    <w:right w:val="single" w:color="auto" w:sz="4" w:space="0"/>
                  </w:tcBorders>
                  <w:noWrap w:val="0"/>
                  <w:vAlign w:val="center"/>
                </w:tcPr>
                <w:p w14:paraId="1C530F2C">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w:t>
                  </w:r>
                </w:p>
              </w:tc>
              <w:tc>
                <w:tcPr>
                  <w:tcW w:w="1120" w:type="dxa"/>
                  <w:tcBorders>
                    <w:top w:val="single" w:color="auto" w:sz="4" w:space="0"/>
                    <w:left w:val="single" w:color="auto" w:sz="4" w:space="0"/>
                    <w:bottom w:val="single" w:color="auto" w:sz="8" w:space="0"/>
                  </w:tcBorders>
                  <w:noWrap w:val="0"/>
                  <w:vAlign w:val="center"/>
                </w:tcPr>
                <w:p w14:paraId="3FBC9FF6">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w:t>
                  </w:r>
                </w:p>
              </w:tc>
            </w:tr>
          </w:tbl>
          <w:p w14:paraId="54535EAA">
            <w:pPr>
              <w:keepNext w:val="0"/>
              <w:keepLines w:val="0"/>
              <w:suppressLineNumbers w:val="0"/>
              <w:spacing w:before="0" w:beforeAutospacing="0" w:after="0" w:afterAutospacing="0" w:line="440" w:lineRule="exact"/>
              <w:ind w:left="0" w:right="0" w:firstLine="480" w:firstLineChars="200"/>
              <w:rPr>
                <w:rFonts w:hint="default" w:ascii="宋体" w:hAnsi="宋体"/>
                <w:b/>
                <w:bCs/>
                <w:color w:val="auto"/>
                <w:sz w:val="24"/>
                <w:highlight w:val="none"/>
              </w:rPr>
            </w:pPr>
            <w:r>
              <w:rPr>
                <w:rFonts w:hint="default" w:hAnsi="宋体"/>
                <w:color w:val="000000"/>
                <w:sz w:val="24"/>
                <w:highlight w:val="none"/>
              </w:rPr>
              <w:t>本项目与备案一致性分析见表</w:t>
            </w:r>
            <w:r>
              <w:rPr>
                <w:rFonts w:hint="eastAsia" w:cs="Times New Roman"/>
                <w:color w:val="000000"/>
                <w:sz w:val="24"/>
                <w:highlight w:val="none"/>
                <w:lang w:val="en-US" w:eastAsia="zh-CN"/>
              </w:rPr>
              <w:t>7</w:t>
            </w:r>
            <w:r>
              <w:rPr>
                <w:rFonts w:hint="default" w:hAnsi="宋体"/>
                <w:color w:val="000000"/>
                <w:sz w:val="24"/>
                <w:highlight w:val="none"/>
              </w:rPr>
              <w:t>。</w:t>
            </w:r>
          </w:p>
          <w:p w14:paraId="13DC4538">
            <w:pPr>
              <w:keepNext w:val="0"/>
              <w:keepLines w:val="0"/>
              <w:suppressLineNumbers w:val="0"/>
              <w:spacing w:before="0" w:beforeAutospacing="0" w:after="0" w:afterAutospacing="0" w:line="440" w:lineRule="exact"/>
              <w:ind w:left="0" w:right="0"/>
              <w:jc w:val="center"/>
              <w:textAlignment w:val="baseline"/>
              <w:rPr>
                <w:rFonts w:hint="default" w:eastAsia="黑体"/>
                <w:color w:val="auto"/>
                <w:sz w:val="24"/>
                <w:highlight w:val="none"/>
              </w:rPr>
            </w:pPr>
            <w:r>
              <w:rPr>
                <w:rFonts w:hint="default" w:ascii="宋体" w:hAnsi="宋体"/>
                <w:b/>
                <w:bCs/>
                <w:color w:val="auto"/>
                <w:sz w:val="24"/>
                <w:highlight w:val="none"/>
              </w:rPr>
              <w:t>表</w:t>
            </w:r>
            <w:r>
              <w:rPr>
                <w:rFonts w:hint="eastAsia" w:cs="Times New Roman"/>
                <w:b/>
                <w:bCs/>
                <w:color w:val="auto"/>
                <w:sz w:val="24"/>
                <w:highlight w:val="none"/>
                <w:lang w:val="en-US" w:eastAsia="zh-CN"/>
              </w:rPr>
              <w:t xml:space="preserve"> 7  </w:t>
            </w:r>
            <w:r>
              <w:rPr>
                <w:rFonts w:hint="default" w:ascii="宋体" w:hAnsi="宋体"/>
                <w:b/>
                <w:bCs/>
                <w:color w:val="auto"/>
                <w:sz w:val="24"/>
                <w:highlight w:val="none"/>
              </w:rPr>
              <w:t xml:space="preserve"> </w:t>
            </w:r>
            <w:r>
              <w:rPr>
                <w:rFonts w:hint="eastAsia" w:ascii="宋体" w:hAnsi="宋体"/>
                <w:b/>
                <w:bCs/>
                <w:color w:val="auto"/>
                <w:sz w:val="24"/>
                <w:highlight w:val="none"/>
                <w:lang w:val="en-US" w:eastAsia="zh-CN"/>
              </w:rPr>
              <w:t xml:space="preserve"> </w:t>
            </w:r>
            <w:r>
              <w:rPr>
                <w:rFonts w:hint="default" w:ascii="宋体" w:hAnsi="宋体"/>
                <w:b/>
                <w:bCs/>
                <w:color w:val="auto"/>
                <w:sz w:val="24"/>
                <w:highlight w:val="none"/>
              </w:rPr>
              <w:t>本项目与备案一致性分析一览表</w:t>
            </w:r>
          </w:p>
          <w:tbl>
            <w:tblPr>
              <w:tblStyle w:val="22"/>
              <w:tblW w:w="4999" w:type="pct"/>
              <w:jc w:val="center"/>
              <w:tblLayout w:type="autofit"/>
              <w:tblCellMar>
                <w:top w:w="0" w:type="dxa"/>
                <w:left w:w="108" w:type="dxa"/>
                <w:bottom w:w="0" w:type="dxa"/>
                <w:right w:w="108" w:type="dxa"/>
              </w:tblCellMar>
            </w:tblPr>
            <w:tblGrid>
              <w:gridCol w:w="1094"/>
              <w:gridCol w:w="3446"/>
              <w:gridCol w:w="3440"/>
              <w:gridCol w:w="868"/>
            </w:tblGrid>
            <w:tr w14:paraId="760AB395">
              <w:tblPrEx>
                <w:tblCellMar>
                  <w:top w:w="0" w:type="dxa"/>
                  <w:left w:w="108" w:type="dxa"/>
                  <w:bottom w:w="0" w:type="dxa"/>
                  <w:right w:w="108" w:type="dxa"/>
                </w:tblCellMar>
              </w:tblPrEx>
              <w:trPr>
                <w:trHeight w:val="397" w:hRule="atLeast"/>
                <w:jc w:val="center"/>
              </w:trPr>
              <w:tc>
                <w:tcPr>
                  <w:tcW w:w="1093" w:type="dxa"/>
                  <w:tcBorders>
                    <w:top w:val="single" w:color="000000" w:sz="8" w:space="0"/>
                    <w:left w:val="nil"/>
                    <w:bottom w:val="single" w:color="000000" w:sz="8" w:space="0"/>
                    <w:right w:val="single" w:color="000000" w:sz="4" w:space="0"/>
                  </w:tcBorders>
                  <w:noWrap w:val="0"/>
                  <w:vAlign w:val="center"/>
                </w:tcPr>
                <w:p w14:paraId="187C2324">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名称</w:t>
                  </w:r>
                </w:p>
              </w:tc>
              <w:tc>
                <w:tcPr>
                  <w:tcW w:w="3442" w:type="dxa"/>
                  <w:tcBorders>
                    <w:top w:val="single" w:color="000000" w:sz="8" w:space="0"/>
                    <w:left w:val="single" w:color="000000" w:sz="4" w:space="0"/>
                    <w:bottom w:val="single" w:color="000000" w:sz="8" w:space="0"/>
                    <w:right w:val="single" w:color="000000" w:sz="4" w:space="0"/>
                  </w:tcBorders>
                  <w:noWrap w:val="0"/>
                  <w:vAlign w:val="center"/>
                </w:tcPr>
                <w:p w14:paraId="21CF3C5F">
                  <w:pPr>
                    <w:keepNext w:val="0"/>
                    <w:keepLines w:val="0"/>
                    <w:suppressLineNumbers w:val="0"/>
                    <w:adjustRightInd w:val="0"/>
                    <w:snapToGrid w:val="0"/>
                    <w:spacing w:before="0" w:beforeAutospacing="0" w:after="0" w:afterAutospacing="0"/>
                    <w:ind w:left="0" w:right="0"/>
                    <w:jc w:val="center"/>
                    <w:rPr>
                      <w:rFonts w:hint="eastAsia" w:eastAsia="宋体"/>
                      <w:b/>
                      <w:color w:val="auto"/>
                      <w:sz w:val="21"/>
                      <w:szCs w:val="21"/>
                      <w:highlight w:val="none"/>
                      <w:lang w:val="en-US" w:eastAsia="zh-CN"/>
                    </w:rPr>
                  </w:pPr>
                  <w:r>
                    <w:rPr>
                      <w:rFonts w:hint="default" w:hAnsi="宋体"/>
                      <w:b/>
                      <w:color w:val="auto"/>
                      <w:sz w:val="21"/>
                      <w:szCs w:val="21"/>
                      <w:highlight w:val="none"/>
                    </w:rPr>
                    <w:t>项目备案</w:t>
                  </w:r>
                  <w:r>
                    <w:rPr>
                      <w:rFonts w:hint="eastAsia" w:hAnsi="宋体"/>
                      <w:b/>
                      <w:color w:val="auto"/>
                      <w:sz w:val="21"/>
                      <w:szCs w:val="21"/>
                      <w:highlight w:val="none"/>
                      <w:lang w:val="en-US" w:eastAsia="zh-CN"/>
                    </w:rPr>
                    <w:t>情况</w:t>
                  </w:r>
                </w:p>
              </w:tc>
              <w:tc>
                <w:tcPr>
                  <w:tcW w:w="3436" w:type="dxa"/>
                  <w:tcBorders>
                    <w:top w:val="single" w:color="000000" w:sz="8" w:space="0"/>
                    <w:left w:val="single" w:color="000000" w:sz="4" w:space="0"/>
                    <w:bottom w:val="single" w:color="000000" w:sz="8" w:space="0"/>
                    <w:right w:val="single" w:color="000000" w:sz="4" w:space="0"/>
                  </w:tcBorders>
                  <w:noWrap w:val="0"/>
                  <w:vAlign w:val="center"/>
                </w:tcPr>
                <w:p w14:paraId="33BB2530">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项目</w:t>
                  </w:r>
                  <w:r>
                    <w:rPr>
                      <w:rFonts w:hint="eastAsia" w:hAnsi="宋体"/>
                      <w:b/>
                      <w:color w:val="auto"/>
                      <w:sz w:val="21"/>
                      <w:szCs w:val="21"/>
                      <w:highlight w:val="none"/>
                      <w:lang w:val="en-US" w:eastAsia="zh-CN"/>
                    </w:rPr>
                    <w:t>环评</w:t>
                  </w:r>
                  <w:r>
                    <w:rPr>
                      <w:rFonts w:hint="default" w:hAnsi="宋体"/>
                      <w:b/>
                      <w:color w:val="auto"/>
                      <w:sz w:val="21"/>
                      <w:szCs w:val="21"/>
                      <w:highlight w:val="none"/>
                    </w:rPr>
                    <w:t>情况</w:t>
                  </w:r>
                </w:p>
              </w:tc>
              <w:tc>
                <w:tcPr>
                  <w:tcW w:w="866" w:type="dxa"/>
                  <w:tcBorders>
                    <w:top w:val="single" w:color="000000" w:sz="8" w:space="0"/>
                    <w:left w:val="single" w:color="000000" w:sz="4" w:space="0"/>
                    <w:bottom w:val="single" w:color="000000" w:sz="8" w:space="0"/>
                    <w:right w:val="nil"/>
                  </w:tcBorders>
                  <w:noWrap w:val="0"/>
                  <w:vAlign w:val="center"/>
                </w:tcPr>
                <w:p w14:paraId="32C1DF5D">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相符性</w:t>
                  </w:r>
                </w:p>
              </w:tc>
            </w:tr>
            <w:tr w14:paraId="5BE125FE">
              <w:tblPrEx>
                <w:tblCellMar>
                  <w:top w:w="0" w:type="dxa"/>
                  <w:left w:w="108" w:type="dxa"/>
                  <w:bottom w:w="0" w:type="dxa"/>
                  <w:right w:w="108" w:type="dxa"/>
                </w:tblCellMar>
              </w:tblPrEx>
              <w:trPr>
                <w:trHeight w:val="397" w:hRule="atLeast"/>
                <w:jc w:val="center"/>
              </w:trPr>
              <w:tc>
                <w:tcPr>
                  <w:tcW w:w="1093" w:type="dxa"/>
                  <w:tcBorders>
                    <w:top w:val="single" w:color="000000" w:sz="8" w:space="0"/>
                    <w:left w:val="nil"/>
                    <w:bottom w:val="single" w:color="000000" w:sz="4" w:space="0"/>
                    <w:right w:val="single" w:color="000000" w:sz="4" w:space="0"/>
                  </w:tcBorders>
                  <w:noWrap w:val="0"/>
                  <w:vAlign w:val="center"/>
                </w:tcPr>
                <w:p w14:paraId="6DA3C817">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建设单位</w:t>
                  </w:r>
                </w:p>
              </w:tc>
              <w:tc>
                <w:tcPr>
                  <w:tcW w:w="3442" w:type="dxa"/>
                  <w:tcBorders>
                    <w:top w:val="single" w:color="000000" w:sz="8" w:space="0"/>
                    <w:left w:val="single" w:color="000000" w:sz="4" w:space="0"/>
                    <w:bottom w:val="single" w:color="000000" w:sz="4" w:space="0"/>
                    <w:right w:val="single" w:color="000000" w:sz="4" w:space="0"/>
                  </w:tcBorders>
                  <w:noWrap w:val="0"/>
                  <w:vAlign w:val="center"/>
                </w:tcPr>
                <w:p w14:paraId="64656DE0">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highlight w:val="none"/>
                      <w:lang w:val="en-US" w:eastAsia="zh-CN"/>
                    </w:rPr>
                  </w:pPr>
                  <w:r>
                    <w:rPr>
                      <w:rFonts w:hint="eastAsia" w:ascii="宋体" w:hAnsi="宋体" w:cs="宋体"/>
                      <w:sz w:val="21"/>
                      <w:szCs w:val="21"/>
                      <w:highlight w:val="none"/>
                      <w:lang w:val="en-US" w:eastAsia="zh-CN"/>
                    </w:rPr>
                    <w:t>新乡市华恩机械有限公司</w:t>
                  </w:r>
                </w:p>
              </w:tc>
              <w:tc>
                <w:tcPr>
                  <w:tcW w:w="3436" w:type="dxa"/>
                  <w:tcBorders>
                    <w:top w:val="single" w:color="000000" w:sz="8" w:space="0"/>
                    <w:left w:val="single" w:color="000000" w:sz="4" w:space="0"/>
                    <w:bottom w:val="single" w:color="000000" w:sz="4" w:space="0"/>
                    <w:right w:val="single" w:color="000000" w:sz="4" w:space="0"/>
                  </w:tcBorders>
                  <w:noWrap w:val="0"/>
                  <w:vAlign w:val="center"/>
                </w:tcPr>
                <w:p w14:paraId="3D7FE208">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ascii="宋体" w:hAnsi="宋体" w:cs="宋体"/>
                      <w:sz w:val="21"/>
                      <w:szCs w:val="21"/>
                      <w:highlight w:val="none"/>
                      <w:lang w:val="en-US" w:eastAsia="zh-CN"/>
                    </w:rPr>
                    <w:t>新乡市华恩机械有限公司</w:t>
                  </w:r>
                </w:p>
              </w:tc>
              <w:tc>
                <w:tcPr>
                  <w:tcW w:w="866" w:type="dxa"/>
                  <w:tcBorders>
                    <w:top w:val="single" w:color="000000" w:sz="8" w:space="0"/>
                    <w:left w:val="single" w:color="000000" w:sz="4" w:space="0"/>
                    <w:bottom w:val="single" w:color="000000" w:sz="4" w:space="0"/>
                    <w:right w:val="nil"/>
                  </w:tcBorders>
                  <w:noWrap w:val="0"/>
                  <w:vAlign w:val="center"/>
                </w:tcPr>
                <w:p w14:paraId="757EA212">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highlight w:val="none"/>
                    </w:rPr>
                  </w:pPr>
                  <w:r>
                    <w:rPr>
                      <w:rFonts w:hint="default" w:hAnsi="宋体"/>
                      <w:color w:val="auto"/>
                      <w:sz w:val="21"/>
                      <w:szCs w:val="21"/>
                      <w:highlight w:val="none"/>
                    </w:rPr>
                    <w:t>相</w:t>
                  </w:r>
                  <w:r>
                    <w:rPr>
                      <w:rFonts w:hint="default"/>
                      <w:color w:val="auto"/>
                      <w:sz w:val="21"/>
                      <w:szCs w:val="21"/>
                      <w:highlight w:val="none"/>
                    </w:rPr>
                    <w:t xml:space="preserve"> </w:t>
                  </w:r>
                  <w:r>
                    <w:rPr>
                      <w:rFonts w:hint="default" w:hAnsi="宋体"/>
                      <w:color w:val="auto"/>
                      <w:sz w:val="21"/>
                      <w:szCs w:val="21"/>
                      <w:highlight w:val="none"/>
                    </w:rPr>
                    <w:t>符</w:t>
                  </w:r>
                </w:p>
              </w:tc>
            </w:tr>
            <w:tr w14:paraId="567E5C0A">
              <w:tblPrEx>
                <w:tblCellMar>
                  <w:top w:w="0" w:type="dxa"/>
                  <w:left w:w="108" w:type="dxa"/>
                  <w:bottom w:w="0" w:type="dxa"/>
                  <w:right w:w="108" w:type="dxa"/>
                </w:tblCellMar>
              </w:tblPrEx>
              <w:trPr>
                <w:trHeight w:val="397" w:hRule="atLeast"/>
                <w:jc w:val="center"/>
              </w:trPr>
              <w:tc>
                <w:tcPr>
                  <w:tcW w:w="1093" w:type="dxa"/>
                  <w:tcBorders>
                    <w:top w:val="single" w:color="000000" w:sz="4" w:space="0"/>
                    <w:left w:val="nil"/>
                    <w:bottom w:val="single" w:color="000000" w:sz="4" w:space="0"/>
                    <w:right w:val="single" w:color="000000" w:sz="4" w:space="0"/>
                  </w:tcBorders>
                  <w:noWrap w:val="0"/>
                  <w:vAlign w:val="center"/>
                </w:tcPr>
                <w:p w14:paraId="0D4F9E32">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项目名称</w:t>
                  </w:r>
                </w:p>
              </w:tc>
              <w:tc>
                <w:tcPr>
                  <w:tcW w:w="3442" w:type="dxa"/>
                  <w:tcBorders>
                    <w:top w:val="single" w:color="000000" w:sz="4" w:space="0"/>
                    <w:left w:val="single" w:color="000000" w:sz="4" w:space="0"/>
                    <w:bottom w:val="single" w:color="000000" w:sz="4" w:space="0"/>
                    <w:right w:val="single" w:color="000000" w:sz="4" w:space="0"/>
                  </w:tcBorders>
                  <w:noWrap w:val="0"/>
                  <w:vAlign w:val="center"/>
                </w:tcPr>
                <w:p w14:paraId="37A3F5F1">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highlight w:val="none"/>
                      <w:lang w:val="en-US" w:eastAsia="zh-CN"/>
                    </w:rPr>
                  </w:pPr>
                  <w:r>
                    <w:rPr>
                      <w:rFonts w:hint="eastAsia" w:ascii="宋体" w:hAnsi="宋体" w:cs="宋体"/>
                      <w:sz w:val="21"/>
                      <w:szCs w:val="21"/>
                      <w:highlight w:val="none"/>
                      <w:lang w:val="en-US" w:eastAsia="zh-CN"/>
                    </w:rPr>
                    <w:t>新乡市华恩机械有限公司年产</w:t>
                  </w:r>
                  <w:r>
                    <w:rPr>
                      <w:rFonts w:hint="default" w:ascii="Times New Roman" w:hAnsi="Times New Roman" w:cs="Times New Roman"/>
                      <w:sz w:val="21"/>
                      <w:szCs w:val="21"/>
                      <w:highlight w:val="none"/>
                      <w:lang w:val="en-US" w:eastAsia="zh-CN"/>
                    </w:rPr>
                    <w:t>1.2</w:t>
                  </w:r>
                  <w:r>
                    <w:rPr>
                      <w:rFonts w:hint="eastAsia" w:ascii="宋体" w:hAnsi="宋体" w:cs="宋体"/>
                      <w:sz w:val="21"/>
                      <w:szCs w:val="21"/>
                      <w:highlight w:val="none"/>
                      <w:lang w:val="en-US" w:eastAsia="zh-CN"/>
                    </w:rPr>
                    <w:t>万件变幅杆项目</w:t>
                  </w:r>
                </w:p>
              </w:tc>
              <w:tc>
                <w:tcPr>
                  <w:tcW w:w="3436" w:type="dxa"/>
                  <w:tcBorders>
                    <w:top w:val="single" w:color="000000" w:sz="4" w:space="0"/>
                    <w:left w:val="single" w:color="000000" w:sz="4" w:space="0"/>
                    <w:bottom w:val="single" w:color="000000" w:sz="4" w:space="0"/>
                    <w:right w:val="single" w:color="000000" w:sz="4" w:space="0"/>
                  </w:tcBorders>
                  <w:noWrap w:val="0"/>
                  <w:vAlign w:val="center"/>
                </w:tcPr>
                <w:p w14:paraId="52AD91CC">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ascii="宋体" w:hAnsi="宋体" w:cs="宋体"/>
                      <w:sz w:val="21"/>
                      <w:szCs w:val="21"/>
                      <w:highlight w:val="none"/>
                      <w:lang w:val="en-US" w:eastAsia="zh-CN"/>
                    </w:rPr>
                    <w:t>新乡市华恩机械有限公司年产</w:t>
                  </w:r>
                  <w:r>
                    <w:rPr>
                      <w:rFonts w:hint="default" w:ascii="Times New Roman" w:hAnsi="Times New Roman" w:cs="Times New Roman"/>
                      <w:sz w:val="21"/>
                      <w:szCs w:val="21"/>
                      <w:highlight w:val="none"/>
                      <w:lang w:val="en-US" w:eastAsia="zh-CN"/>
                    </w:rPr>
                    <w:t>1.2</w:t>
                  </w:r>
                  <w:r>
                    <w:rPr>
                      <w:rFonts w:hint="eastAsia" w:ascii="宋体" w:hAnsi="宋体" w:cs="宋体"/>
                      <w:sz w:val="21"/>
                      <w:szCs w:val="21"/>
                      <w:highlight w:val="none"/>
                      <w:lang w:val="en-US" w:eastAsia="zh-CN"/>
                    </w:rPr>
                    <w:t>万件变幅杆项目</w:t>
                  </w:r>
                </w:p>
              </w:tc>
              <w:tc>
                <w:tcPr>
                  <w:tcW w:w="866" w:type="dxa"/>
                  <w:tcBorders>
                    <w:top w:val="single" w:color="000000" w:sz="4" w:space="0"/>
                    <w:left w:val="single" w:color="000000" w:sz="4" w:space="0"/>
                    <w:bottom w:val="single" w:color="000000" w:sz="4" w:space="0"/>
                    <w:right w:val="nil"/>
                  </w:tcBorders>
                  <w:noWrap w:val="0"/>
                  <w:vAlign w:val="center"/>
                </w:tcPr>
                <w:p w14:paraId="7C343A00">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highlight w:val="none"/>
                    </w:rPr>
                  </w:pPr>
                  <w:r>
                    <w:rPr>
                      <w:rFonts w:hint="default" w:hAnsi="宋体"/>
                      <w:color w:val="auto"/>
                      <w:sz w:val="21"/>
                      <w:szCs w:val="21"/>
                      <w:highlight w:val="none"/>
                    </w:rPr>
                    <w:t>相</w:t>
                  </w:r>
                  <w:r>
                    <w:rPr>
                      <w:rFonts w:hint="default"/>
                      <w:color w:val="auto"/>
                      <w:sz w:val="21"/>
                      <w:szCs w:val="21"/>
                      <w:highlight w:val="none"/>
                    </w:rPr>
                    <w:t xml:space="preserve"> </w:t>
                  </w:r>
                  <w:r>
                    <w:rPr>
                      <w:rFonts w:hint="default" w:hAnsi="宋体"/>
                      <w:color w:val="auto"/>
                      <w:sz w:val="21"/>
                      <w:szCs w:val="21"/>
                      <w:highlight w:val="none"/>
                    </w:rPr>
                    <w:t>符</w:t>
                  </w:r>
                </w:p>
              </w:tc>
            </w:tr>
            <w:tr w14:paraId="1623DDF6">
              <w:tblPrEx>
                <w:tblCellMar>
                  <w:top w:w="0" w:type="dxa"/>
                  <w:left w:w="108" w:type="dxa"/>
                  <w:bottom w:w="0" w:type="dxa"/>
                  <w:right w:w="108" w:type="dxa"/>
                </w:tblCellMar>
              </w:tblPrEx>
              <w:trPr>
                <w:trHeight w:val="397" w:hRule="atLeast"/>
                <w:jc w:val="center"/>
              </w:trPr>
              <w:tc>
                <w:tcPr>
                  <w:tcW w:w="1093" w:type="dxa"/>
                  <w:tcBorders>
                    <w:top w:val="single" w:color="000000" w:sz="4" w:space="0"/>
                    <w:bottom w:val="single" w:color="000000" w:sz="4" w:space="0"/>
                    <w:right w:val="single" w:color="000000" w:sz="4" w:space="0"/>
                  </w:tcBorders>
                  <w:noWrap w:val="0"/>
                  <w:vAlign w:val="center"/>
                </w:tcPr>
                <w:p w14:paraId="77A34F3B">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建设内容</w:t>
                  </w:r>
                </w:p>
              </w:tc>
              <w:tc>
                <w:tcPr>
                  <w:tcW w:w="3442" w:type="dxa"/>
                  <w:tcBorders>
                    <w:top w:val="single" w:color="000000" w:sz="4" w:space="0"/>
                    <w:left w:val="single" w:color="000000" w:sz="4" w:space="0"/>
                    <w:bottom w:val="single" w:color="000000" w:sz="4" w:space="0"/>
                    <w:right w:val="single" w:color="000000" w:sz="4" w:space="0"/>
                  </w:tcBorders>
                  <w:noWrap w:val="0"/>
                  <w:vAlign w:val="center"/>
                </w:tcPr>
                <w:p w14:paraId="43E72B1F">
                  <w:pPr>
                    <w:keepNext w:val="0"/>
                    <w:keepLines w:val="0"/>
                    <w:suppressLineNumbers w:val="0"/>
                    <w:adjustRightInd w:val="0"/>
                    <w:snapToGrid w:val="0"/>
                    <w:spacing w:before="0" w:beforeAutospacing="0" w:after="0" w:afterAutospacing="0"/>
                    <w:ind w:left="0" w:right="0"/>
                    <w:jc w:val="both"/>
                    <w:rPr>
                      <w:rFonts w:hint="default" w:hAnsi="宋体" w:eastAsia="宋体"/>
                      <w:color w:val="auto"/>
                      <w:sz w:val="21"/>
                      <w:szCs w:val="21"/>
                      <w:highlight w:val="none"/>
                      <w:lang w:val="en-US" w:eastAsia="zh-CN"/>
                    </w:rPr>
                  </w:pPr>
                  <w:r>
                    <w:rPr>
                      <w:rFonts w:hint="eastAsia" w:hAnsi="宋体"/>
                      <w:color w:val="auto"/>
                      <w:sz w:val="21"/>
                      <w:szCs w:val="21"/>
                      <w:highlight w:val="none"/>
                      <w:lang w:val="en-US" w:eastAsia="zh-CN"/>
                    </w:rPr>
                    <w:t>本项目租赁现有厂房，建设年产1.2万件变幅杆项目，主要原辅料为圆钢、水性淬火液、水性切削液等，主要生产设备为加工中心（850型等）、数控车床（61401型等）、平面磨床（7140型）、喷砂机、小型电加热炉等。主要生产工艺为：圆钢下料一粗车一淬火一机加工—精车一打毛—电镀（本公司不进行电镀，由其他公司外协）一平磨—包装。</w:t>
                  </w:r>
                </w:p>
              </w:tc>
              <w:tc>
                <w:tcPr>
                  <w:tcW w:w="3436" w:type="dxa"/>
                  <w:tcBorders>
                    <w:top w:val="single" w:color="000000" w:sz="4" w:space="0"/>
                    <w:left w:val="single" w:color="000000" w:sz="4" w:space="0"/>
                    <w:bottom w:val="single" w:color="000000" w:sz="4" w:space="0"/>
                    <w:right w:val="single" w:color="000000" w:sz="4" w:space="0"/>
                  </w:tcBorders>
                  <w:noWrap w:val="0"/>
                  <w:vAlign w:val="center"/>
                </w:tcPr>
                <w:p w14:paraId="7B87BB33">
                  <w:pPr>
                    <w:keepNext w:val="0"/>
                    <w:keepLines w:val="0"/>
                    <w:suppressLineNumbers w:val="0"/>
                    <w:adjustRightInd w:val="0"/>
                    <w:snapToGrid w:val="0"/>
                    <w:spacing w:before="0" w:beforeAutospacing="0" w:after="0" w:afterAutospacing="0"/>
                    <w:ind w:left="0" w:right="0"/>
                    <w:jc w:val="both"/>
                    <w:rPr>
                      <w:rFonts w:hint="eastAsia" w:eastAsia="宋体"/>
                      <w:color w:val="auto"/>
                      <w:sz w:val="21"/>
                      <w:szCs w:val="21"/>
                      <w:highlight w:val="none"/>
                      <w:lang w:val="en-US" w:eastAsia="zh-CN"/>
                    </w:rPr>
                  </w:pPr>
                  <w:r>
                    <w:rPr>
                      <w:rFonts w:hint="eastAsia" w:hAnsi="宋体"/>
                      <w:color w:val="auto"/>
                      <w:sz w:val="21"/>
                      <w:szCs w:val="21"/>
                      <w:highlight w:val="none"/>
                      <w:lang w:val="en-US" w:eastAsia="zh-CN"/>
                    </w:rPr>
                    <w:t>本项目租赁现有厂房，建设年产1.2万件变幅杆项目，主要原辅料为圆钢、水性淬火液、水性切削液等，主要生产设备为加工中心（850型等）、数控车床（61401型等）、平面磨床（7140型）、喷砂机、小型电加热炉等。主要生产工艺为：圆钢下料一粗车一淬火一机加工—精车一打毛—电镀（本公司不进行电镀，由其他公司外协）一平磨—包装。</w:t>
                  </w:r>
                </w:p>
              </w:tc>
              <w:tc>
                <w:tcPr>
                  <w:tcW w:w="866" w:type="dxa"/>
                  <w:tcBorders>
                    <w:top w:val="single" w:color="000000" w:sz="4" w:space="0"/>
                    <w:left w:val="single" w:color="000000" w:sz="4" w:space="0"/>
                    <w:bottom w:val="single" w:color="000000" w:sz="4" w:space="0"/>
                  </w:tcBorders>
                  <w:noWrap w:val="0"/>
                  <w:vAlign w:val="center"/>
                </w:tcPr>
                <w:p w14:paraId="7E1B85A1">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default" w:hAnsi="宋体"/>
                      <w:color w:val="auto"/>
                      <w:sz w:val="21"/>
                      <w:szCs w:val="21"/>
                      <w:highlight w:val="none"/>
                    </w:rPr>
                    <w:t>相</w:t>
                  </w:r>
                  <w:r>
                    <w:rPr>
                      <w:rFonts w:hint="default"/>
                      <w:color w:val="auto"/>
                      <w:sz w:val="21"/>
                      <w:szCs w:val="21"/>
                      <w:highlight w:val="none"/>
                    </w:rPr>
                    <w:t xml:space="preserve"> </w:t>
                  </w:r>
                  <w:r>
                    <w:rPr>
                      <w:rFonts w:hint="default" w:hAnsi="宋体"/>
                      <w:color w:val="auto"/>
                      <w:sz w:val="21"/>
                      <w:szCs w:val="21"/>
                      <w:highlight w:val="none"/>
                    </w:rPr>
                    <w:t>符</w:t>
                  </w:r>
                </w:p>
              </w:tc>
            </w:tr>
            <w:tr w14:paraId="47AFFFE4">
              <w:tblPrEx>
                <w:tblCellMar>
                  <w:top w:w="0" w:type="dxa"/>
                  <w:left w:w="108" w:type="dxa"/>
                  <w:bottom w:w="0" w:type="dxa"/>
                  <w:right w:w="108" w:type="dxa"/>
                </w:tblCellMar>
              </w:tblPrEx>
              <w:trPr>
                <w:trHeight w:val="397" w:hRule="atLeast"/>
                <w:jc w:val="center"/>
              </w:trPr>
              <w:tc>
                <w:tcPr>
                  <w:tcW w:w="1093" w:type="dxa"/>
                  <w:tcBorders>
                    <w:top w:val="single" w:color="000000" w:sz="4" w:space="0"/>
                    <w:bottom w:val="single" w:color="000000" w:sz="4" w:space="0"/>
                    <w:right w:val="single" w:color="000000" w:sz="4" w:space="0"/>
                  </w:tcBorders>
                  <w:noWrap w:val="0"/>
                  <w:vAlign w:val="center"/>
                </w:tcPr>
                <w:p w14:paraId="1C63306B">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项目</w:t>
                  </w:r>
                  <w:r>
                    <w:rPr>
                      <w:rFonts w:hint="default"/>
                      <w:color w:val="auto"/>
                      <w:sz w:val="21"/>
                      <w:szCs w:val="21"/>
                      <w:highlight w:val="none"/>
                    </w:rPr>
                    <w:t>投资</w:t>
                  </w:r>
                </w:p>
              </w:tc>
              <w:tc>
                <w:tcPr>
                  <w:tcW w:w="3442" w:type="dxa"/>
                  <w:tcBorders>
                    <w:top w:val="single" w:color="000000" w:sz="4" w:space="0"/>
                    <w:left w:val="single" w:color="000000" w:sz="4" w:space="0"/>
                    <w:bottom w:val="single" w:color="000000" w:sz="4" w:space="0"/>
                    <w:right w:val="single" w:color="000000" w:sz="4" w:space="0"/>
                  </w:tcBorders>
                  <w:noWrap w:val="0"/>
                  <w:vAlign w:val="center"/>
                </w:tcPr>
                <w:p w14:paraId="289394FB">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200</w:t>
                  </w:r>
                  <w:r>
                    <w:rPr>
                      <w:rFonts w:hint="default" w:hAnsi="宋体"/>
                      <w:color w:val="auto"/>
                      <w:sz w:val="21"/>
                      <w:szCs w:val="21"/>
                      <w:highlight w:val="none"/>
                    </w:rPr>
                    <w:t>万元</w:t>
                  </w:r>
                </w:p>
              </w:tc>
              <w:tc>
                <w:tcPr>
                  <w:tcW w:w="3436" w:type="dxa"/>
                  <w:tcBorders>
                    <w:top w:val="single" w:color="000000" w:sz="4" w:space="0"/>
                    <w:left w:val="single" w:color="000000" w:sz="4" w:space="0"/>
                    <w:bottom w:val="single" w:color="000000" w:sz="4" w:space="0"/>
                    <w:right w:val="single" w:color="000000" w:sz="4" w:space="0"/>
                  </w:tcBorders>
                  <w:noWrap w:val="0"/>
                  <w:vAlign w:val="center"/>
                </w:tcPr>
                <w:p w14:paraId="342A2776">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200</w:t>
                  </w:r>
                  <w:r>
                    <w:rPr>
                      <w:rFonts w:hint="default" w:hAnsi="宋体"/>
                      <w:color w:val="auto"/>
                      <w:sz w:val="21"/>
                      <w:szCs w:val="21"/>
                      <w:highlight w:val="none"/>
                    </w:rPr>
                    <w:t>万元</w:t>
                  </w:r>
                </w:p>
              </w:tc>
              <w:tc>
                <w:tcPr>
                  <w:tcW w:w="866" w:type="dxa"/>
                  <w:tcBorders>
                    <w:top w:val="single" w:color="000000" w:sz="4" w:space="0"/>
                    <w:left w:val="single" w:color="000000" w:sz="4" w:space="0"/>
                    <w:bottom w:val="single" w:color="000000" w:sz="4" w:space="0"/>
                  </w:tcBorders>
                  <w:noWrap w:val="0"/>
                  <w:vAlign w:val="center"/>
                </w:tcPr>
                <w:p w14:paraId="270FB7EE">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hAnsi="宋体"/>
                      <w:color w:val="auto"/>
                      <w:sz w:val="21"/>
                      <w:szCs w:val="21"/>
                      <w:highlight w:val="none"/>
                    </w:rPr>
                    <w:t>相</w:t>
                  </w:r>
                  <w:r>
                    <w:rPr>
                      <w:rFonts w:hint="default"/>
                      <w:color w:val="auto"/>
                      <w:sz w:val="21"/>
                      <w:szCs w:val="21"/>
                      <w:highlight w:val="none"/>
                    </w:rPr>
                    <w:t xml:space="preserve"> </w:t>
                  </w:r>
                  <w:r>
                    <w:rPr>
                      <w:rFonts w:hint="default" w:hAnsi="宋体"/>
                      <w:color w:val="auto"/>
                      <w:sz w:val="21"/>
                      <w:szCs w:val="21"/>
                      <w:highlight w:val="none"/>
                    </w:rPr>
                    <w:t>符</w:t>
                  </w:r>
                </w:p>
              </w:tc>
            </w:tr>
            <w:tr w14:paraId="146DC628">
              <w:tblPrEx>
                <w:tblCellMar>
                  <w:top w:w="0" w:type="dxa"/>
                  <w:left w:w="108" w:type="dxa"/>
                  <w:bottom w:w="0" w:type="dxa"/>
                  <w:right w:w="108" w:type="dxa"/>
                </w:tblCellMar>
              </w:tblPrEx>
              <w:trPr>
                <w:trHeight w:val="397" w:hRule="atLeast"/>
                <w:jc w:val="center"/>
              </w:trPr>
              <w:tc>
                <w:tcPr>
                  <w:tcW w:w="1093" w:type="dxa"/>
                  <w:tcBorders>
                    <w:top w:val="single" w:color="000000" w:sz="4" w:space="0"/>
                    <w:bottom w:val="single" w:color="000000" w:sz="4" w:space="0"/>
                    <w:right w:val="single" w:color="000000" w:sz="4" w:space="0"/>
                  </w:tcBorders>
                  <w:noWrap w:val="0"/>
                  <w:vAlign w:val="center"/>
                </w:tcPr>
                <w:p w14:paraId="56AC2F61">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项目</w:t>
                  </w:r>
                  <w:r>
                    <w:rPr>
                      <w:rFonts w:hint="default"/>
                      <w:color w:val="auto"/>
                      <w:sz w:val="21"/>
                      <w:szCs w:val="21"/>
                      <w:highlight w:val="none"/>
                    </w:rPr>
                    <w:t>规模</w:t>
                  </w:r>
                </w:p>
              </w:tc>
              <w:tc>
                <w:tcPr>
                  <w:tcW w:w="3442" w:type="dxa"/>
                  <w:tcBorders>
                    <w:top w:val="single" w:color="000000" w:sz="4" w:space="0"/>
                    <w:left w:val="single" w:color="000000" w:sz="4" w:space="0"/>
                    <w:bottom w:val="single" w:color="000000" w:sz="4" w:space="0"/>
                    <w:right w:val="single" w:color="000000" w:sz="4" w:space="0"/>
                  </w:tcBorders>
                  <w:noWrap w:val="0"/>
                  <w:vAlign w:val="center"/>
                </w:tcPr>
                <w:p w14:paraId="3CCFCB0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年产1.2万件变幅杆 </w:t>
                  </w:r>
                </w:p>
              </w:tc>
              <w:tc>
                <w:tcPr>
                  <w:tcW w:w="3436" w:type="dxa"/>
                  <w:tcBorders>
                    <w:top w:val="single" w:color="000000" w:sz="4" w:space="0"/>
                    <w:left w:val="single" w:color="000000" w:sz="4" w:space="0"/>
                    <w:bottom w:val="single" w:color="000000" w:sz="4" w:space="0"/>
                    <w:right w:val="single" w:color="000000" w:sz="4" w:space="0"/>
                  </w:tcBorders>
                  <w:noWrap w:val="0"/>
                  <w:vAlign w:val="center"/>
                </w:tcPr>
                <w:p w14:paraId="3104BC7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年产1.2万件变幅杆</w:t>
                  </w:r>
                </w:p>
              </w:tc>
              <w:tc>
                <w:tcPr>
                  <w:tcW w:w="866" w:type="dxa"/>
                  <w:tcBorders>
                    <w:top w:val="single" w:color="000000" w:sz="4" w:space="0"/>
                    <w:left w:val="single" w:color="000000" w:sz="4" w:space="0"/>
                    <w:bottom w:val="single" w:color="000000" w:sz="4" w:space="0"/>
                  </w:tcBorders>
                  <w:noWrap w:val="0"/>
                  <w:vAlign w:val="center"/>
                </w:tcPr>
                <w:p w14:paraId="2604E7DA">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hAnsi="宋体"/>
                      <w:color w:val="auto"/>
                      <w:sz w:val="21"/>
                      <w:szCs w:val="21"/>
                      <w:highlight w:val="none"/>
                    </w:rPr>
                    <w:t>相</w:t>
                  </w:r>
                  <w:r>
                    <w:rPr>
                      <w:rFonts w:hint="default"/>
                      <w:color w:val="auto"/>
                      <w:sz w:val="21"/>
                      <w:szCs w:val="21"/>
                      <w:highlight w:val="none"/>
                    </w:rPr>
                    <w:t xml:space="preserve"> </w:t>
                  </w:r>
                  <w:r>
                    <w:rPr>
                      <w:rFonts w:hint="default" w:hAnsi="宋体"/>
                      <w:color w:val="auto"/>
                      <w:sz w:val="21"/>
                      <w:szCs w:val="21"/>
                      <w:highlight w:val="none"/>
                    </w:rPr>
                    <w:t>符</w:t>
                  </w:r>
                </w:p>
              </w:tc>
            </w:tr>
            <w:tr w14:paraId="3022E909">
              <w:tblPrEx>
                <w:tblCellMar>
                  <w:top w:w="0" w:type="dxa"/>
                  <w:left w:w="108" w:type="dxa"/>
                  <w:bottom w:w="0" w:type="dxa"/>
                  <w:right w:w="108" w:type="dxa"/>
                </w:tblCellMar>
              </w:tblPrEx>
              <w:trPr>
                <w:trHeight w:val="397" w:hRule="atLeast"/>
                <w:jc w:val="center"/>
              </w:trPr>
              <w:tc>
                <w:tcPr>
                  <w:tcW w:w="1093" w:type="dxa"/>
                  <w:tcBorders>
                    <w:top w:val="single" w:color="000000" w:sz="4" w:space="0"/>
                    <w:bottom w:val="single" w:color="000000" w:sz="8" w:space="0"/>
                    <w:right w:val="single" w:color="000000" w:sz="4" w:space="0"/>
                  </w:tcBorders>
                  <w:noWrap w:val="0"/>
                  <w:vAlign w:val="center"/>
                </w:tcPr>
                <w:p w14:paraId="6E168734">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hAnsi="宋体"/>
                      <w:color w:val="auto"/>
                      <w:sz w:val="21"/>
                      <w:szCs w:val="21"/>
                      <w:highlight w:val="none"/>
                    </w:rPr>
                    <w:t>建设地点</w:t>
                  </w:r>
                </w:p>
              </w:tc>
              <w:tc>
                <w:tcPr>
                  <w:tcW w:w="3442" w:type="dxa"/>
                  <w:tcBorders>
                    <w:top w:val="single" w:color="000000" w:sz="4" w:space="0"/>
                    <w:left w:val="single" w:color="000000" w:sz="4" w:space="0"/>
                    <w:bottom w:val="single" w:color="000000" w:sz="8" w:space="0"/>
                    <w:right w:val="single" w:color="000000" w:sz="4" w:space="0"/>
                  </w:tcBorders>
                  <w:noWrap w:val="0"/>
                  <w:vAlign w:val="center"/>
                </w:tcPr>
                <w:p w14:paraId="52B5CA1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000000" w:themeColor="text1"/>
                      <w:sz w:val="21"/>
                      <w:szCs w:val="21"/>
                      <w:highlight w:val="none"/>
                      <w:lang w:val="en-US" w:eastAsia="zh-CN"/>
                      <w14:textFill>
                        <w14:solidFill>
                          <w14:schemeClr w14:val="tx1"/>
                        </w14:solidFill>
                      </w14:textFill>
                    </w:rPr>
                    <w:t>河南省</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新乡市新乡县</w:t>
                  </w:r>
                  <w:r>
                    <w:rPr>
                      <w:rFonts w:hint="eastAsia" w:cs="Times New Roman"/>
                      <w:color w:val="000000" w:themeColor="text1"/>
                      <w:sz w:val="21"/>
                      <w:szCs w:val="21"/>
                      <w:highlight w:val="none"/>
                      <w:lang w:val="en-US" w:eastAsia="zh-CN"/>
                      <w14:textFill>
                        <w14:solidFill>
                          <w14:schemeClr w14:val="tx1"/>
                        </w14:solidFill>
                      </w14:textFill>
                    </w:rPr>
                    <w:t>中央大道兴隆路交叉路口西南角处</w:t>
                  </w:r>
                </w:p>
              </w:tc>
              <w:tc>
                <w:tcPr>
                  <w:tcW w:w="3436" w:type="dxa"/>
                  <w:tcBorders>
                    <w:top w:val="single" w:color="000000" w:sz="4" w:space="0"/>
                    <w:left w:val="single" w:color="000000" w:sz="4" w:space="0"/>
                    <w:bottom w:val="single" w:color="000000" w:sz="8" w:space="0"/>
                    <w:right w:val="single" w:color="000000" w:sz="4" w:space="0"/>
                  </w:tcBorders>
                  <w:noWrap w:val="0"/>
                  <w:vAlign w:val="center"/>
                </w:tcPr>
                <w:p w14:paraId="5AE2AE1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eastAsia" w:cs="Times New Roman"/>
                      <w:sz w:val="21"/>
                      <w:szCs w:val="21"/>
                      <w:highlight w:val="none"/>
                      <w:lang w:val="en-US" w:eastAsia="zh-CN"/>
                    </w:rPr>
                    <w:t>河南省新乡市新乡县中央大道兴隆路交叉路口西南角处</w:t>
                  </w:r>
                </w:p>
              </w:tc>
              <w:tc>
                <w:tcPr>
                  <w:tcW w:w="866" w:type="dxa"/>
                  <w:tcBorders>
                    <w:top w:val="single" w:color="000000" w:sz="4" w:space="0"/>
                    <w:left w:val="single" w:color="000000" w:sz="4" w:space="0"/>
                    <w:bottom w:val="single" w:color="000000" w:sz="8" w:space="0"/>
                  </w:tcBorders>
                  <w:noWrap w:val="0"/>
                  <w:vAlign w:val="center"/>
                </w:tcPr>
                <w:p w14:paraId="610417BF">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eastAsia="zh-CN"/>
                    </w:rPr>
                  </w:pPr>
                  <w:r>
                    <w:rPr>
                      <w:rFonts w:hint="eastAsia"/>
                      <w:color w:val="auto"/>
                      <w:sz w:val="21"/>
                      <w:szCs w:val="21"/>
                      <w:highlight w:val="none"/>
                      <w:lang w:eastAsia="zh-CN"/>
                    </w:rPr>
                    <w:t>相</w:t>
                  </w:r>
                  <w:r>
                    <w:rPr>
                      <w:rFonts w:hint="eastAsia"/>
                      <w:color w:val="auto"/>
                      <w:sz w:val="21"/>
                      <w:szCs w:val="21"/>
                      <w:highlight w:val="none"/>
                      <w:lang w:val="en-US" w:eastAsia="zh-CN"/>
                    </w:rPr>
                    <w:t xml:space="preserve"> </w:t>
                  </w:r>
                  <w:r>
                    <w:rPr>
                      <w:rFonts w:hint="eastAsia"/>
                      <w:color w:val="auto"/>
                      <w:sz w:val="21"/>
                      <w:szCs w:val="21"/>
                      <w:highlight w:val="none"/>
                      <w:lang w:eastAsia="zh-CN"/>
                    </w:rPr>
                    <w:t>符</w:t>
                  </w:r>
                </w:p>
              </w:tc>
            </w:tr>
          </w:tbl>
          <w:p w14:paraId="3A758BC1">
            <w:pPr>
              <w:keepNext w:val="0"/>
              <w:keepLines w:val="0"/>
              <w:suppressLineNumbers w:val="0"/>
              <w:spacing w:before="0" w:beforeAutospacing="0" w:after="0" w:afterAutospacing="0" w:line="440" w:lineRule="exact"/>
              <w:ind w:left="0" w:right="0" w:firstLine="480" w:firstLineChars="200"/>
              <w:rPr>
                <w:rFonts w:hint="eastAsia"/>
                <w:b w:val="0"/>
                <w:bCs/>
                <w:color w:val="auto"/>
                <w:sz w:val="24"/>
              </w:rPr>
            </w:pPr>
            <w:r>
              <w:rPr>
                <w:rFonts w:hint="eastAsia"/>
                <w:b w:val="0"/>
                <w:bCs/>
                <w:color w:val="auto"/>
                <w:sz w:val="24"/>
              </w:rPr>
              <w:t>依据备案信息，本项目与备案</w:t>
            </w:r>
            <w:r>
              <w:rPr>
                <w:rFonts w:hint="eastAsia"/>
                <w:b w:val="0"/>
                <w:bCs/>
                <w:color w:val="auto"/>
                <w:sz w:val="24"/>
                <w:lang w:val="en-US" w:eastAsia="zh-CN"/>
              </w:rPr>
              <w:t>信息</w:t>
            </w:r>
            <w:r>
              <w:rPr>
                <w:rFonts w:hint="eastAsia"/>
                <w:b w:val="0"/>
                <w:bCs/>
                <w:color w:val="auto"/>
                <w:sz w:val="24"/>
              </w:rPr>
              <w:t>一致。</w:t>
            </w:r>
          </w:p>
          <w:p w14:paraId="544D49FD">
            <w:pPr>
              <w:keepNext w:val="0"/>
              <w:keepLines w:val="0"/>
              <w:suppressLineNumbers w:val="0"/>
              <w:autoSpaceDE w:val="0"/>
              <w:autoSpaceDN w:val="0"/>
              <w:adjustRightInd w:val="0"/>
              <w:snapToGrid w:val="0"/>
              <w:spacing w:before="0" w:beforeAutospacing="0" w:after="0" w:afterAutospacing="0" w:line="440" w:lineRule="exact"/>
              <w:ind w:left="0" w:right="0" w:firstLine="482" w:firstLineChars="200"/>
              <w:rPr>
                <w:rFonts w:hint="default"/>
                <w:b/>
                <w:bCs/>
                <w:kern w:val="0"/>
                <w:sz w:val="24"/>
                <w:highlight w:val="none"/>
              </w:rPr>
            </w:pPr>
            <w:r>
              <w:rPr>
                <w:rFonts w:hint="eastAsia"/>
                <w:b/>
                <w:bCs/>
                <w:kern w:val="0"/>
                <w:sz w:val="24"/>
                <w:highlight w:val="none"/>
              </w:rPr>
              <w:t>4</w:t>
            </w:r>
            <w:r>
              <w:rPr>
                <w:rFonts w:hint="default"/>
                <w:b/>
                <w:bCs/>
                <w:kern w:val="0"/>
                <w:sz w:val="24"/>
                <w:highlight w:val="none"/>
              </w:rPr>
              <w:t>、新乡县饮用水源地区划</w:t>
            </w:r>
          </w:p>
          <w:p w14:paraId="5E5109F2">
            <w:pPr>
              <w:keepNext w:val="0"/>
              <w:keepLines w:val="0"/>
              <w:suppressLineNumbers w:val="0"/>
              <w:spacing w:before="0" w:beforeAutospacing="0" w:after="0" w:afterAutospacing="0" w:line="440" w:lineRule="exact"/>
              <w:ind w:left="0" w:right="0" w:firstLine="480" w:firstLineChars="200"/>
              <w:rPr>
                <w:rFonts w:hint="default"/>
                <w:kern w:val="0"/>
                <w:sz w:val="24"/>
              </w:rPr>
            </w:pPr>
            <w:r>
              <w:rPr>
                <w:rFonts w:hint="default"/>
                <w:kern w:val="0"/>
                <w:sz w:val="24"/>
                <w:highlight w:val="none"/>
              </w:rPr>
              <w:t>本项目厂址最近的饮用水源地为北侧的新乡县</w:t>
            </w:r>
            <w:r>
              <w:rPr>
                <w:rFonts w:hint="eastAsia"/>
                <w:kern w:val="0"/>
                <w:sz w:val="24"/>
                <w:highlight w:val="none"/>
                <w:lang w:val="en-US" w:eastAsia="zh-CN"/>
              </w:rPr>
              <w:t>翟坡</w:t>
            </w:r>
            <w:r>
              <w:rPr>
                <w:rFonts w:hint="default"/>
                <w:kern w:val="0"/>
                <w:sz w:val="24"/>
                <w:highlight w:val="none"/>
              </w:rPr>
              <w:t>镇地下水井群保护区。</w:t>
            </w:r>
            <w:r>
              <w:rPr>
                <w:rFonts w:hint="eastAsia"/>
                <w:highlight w:val="none"/>
              </w:rPr>
              <w:t>新乡县翟坡镇水井群有三眼井</w:t>
            </w:r>
            <w:r>
              <w:rPr>
                <w:rFonts w:hint="eastAsia"/>
                <w:highlight w:val="none"/>
                <w:lang w:eastAsia="zh-CN"/>
              </w:rPr>
              <w:t>，</w:t>
            </w:r>
            <w:r>
              <w:rPr>
                <w:rFonts w:hint="eastAsia"/>
                <w:kern w:val="0"/>
                <w:sz w:val="24"/>
                <w:highlight w:val="none"/>
                <w:lang w:val="en-US" w:eastAsia="zh-CN"/>
              </w:rPr>
              <w:t>翟坡</w:t>
            </w:r>
            <w:r>
              <w:rPr>
                <w:rFonts w:hint="default"/>
                <w:kern w:val="0"/>
                <w:sz w:val="24"/>
                <w:highlight w:val="none"/>
              </w:rPr>
              <w:t>镇</w:t>
            </w:r>
            <w:r>
              <w:rPr>
                <w:rFonts w:hint="default"/>
                <w:kern w:val="0"/>
                <w:sz w:val="24"/>
              </w:rPr>
              <w:t>地下水井群保护区一级保护区范围为：以取水井为圆心，其余方位水井外围50m范围的半圆形区域为一级保护区。厂界距离</w:t>
            </w:r>
            <w:r>
              <w:rPr>
                <w:rFonts w:hint="eastAsia"/>
                <w:kern w:val="0"/>
                <w:sz w:val="24"/>
                <w:lang w:val="en-US" w:eastAsia="zh-CN"/>
              </w:rPr>
              <w:t>翟坡</w:t>
            </w:r>
            <w:r>
              <w:rPr>
                <w:rFonts w:hint="default"/>
                <w:kern w:val="0"/>
                <w:sz w:val="24"/>
              </w:rPr>
              <w:t>镇地下水群保护区约为</w:t>
            </w:r>
            <w:r>
              <w:rPr>
                <w:rFonts w:hint="eastAsia"/>
                <w:kern w:val="0"/>
                <w:sz w:val="24"/>
                <w:lang w:val="en-US" w:eastAsia="zh-CN"/>
              </w:rPr>
              <w:t>4.8</w:t>
            </w:r>
            <w:r>
              <w:rPr>
                <w:rFonts w:hint="default"/>
                <w:kern w:val="0"/>
                <w:sz w:val="24"/>
              </w:rPr>
              <w:t>km，故本项目不在保护区范围内。</w:t>
            </w:r>
          </w:p>
          <w:p w14:paraId="2E665967">
            <w:pPr>
              <w:keepNext w:val="0"/>
              <w:keepLines w:val="0"/>
              <w:suppressLineNumbers w:val="0"/>
              <w:autoSpaceDE w:val="0"/>
              <w:autoSpaceDN w:val="0"/>
              <w:adjustRightInd w:val="0"/>
              <w:snapToGrid w:val="0"/>
              <w:spacing w:before="0" w:beforeAutospacing="0" w:after="0" w:afterAutospacing="0" w:line="440" w:lineRule="exact"/>
              <w:ind w:left="0" w:right="0" w:firstLine="482" w:firstLineChars="200"/>
              <w:rPr>
                <w:rFonts w:hint="default" w:eastAsia="宋体"/>
                <w:b/>
                <w:bCs/>
                <w:color w:val="000000" w:themeColor="text1"/>
                <w:kern w:val="0"/>
                <w:sz w:val="24"/>
                <w:highlight w:val="none"/>
                <w:lang w:val="en-US" w:eastAsia="zh-CN"/>
                <w14:textFill>
                  <w14:solidFill>
                    <w14:schemeClr w14:val="tx1"/>
                  </w14:solidFill>
                </w14:textFill>
              </w:rPr>
            </w:pPr>
            <w:r>
              <w:rPr>
                <w:rFonts w:hint="eastAsia"/>
                <w:b/>
                <w:bCs/>
                <w:kern w:val="0"/>
                <w:sz w:val="24"/>
                <w:highlight w:val="none"/>
                <w:lang w:val="en-US" w:eastAsia="zh-CN"/>
              </w:rPr>
              <w:t>5</w:t>
            </w:r>
            <w:r>
              <w:rPr>
                <w:rFonts w:hint="default"/>
                <w:b/>
                <w:bCs/>
                <w:kern w:val="0"/>
                <w:sz w:val="24"/>
                <w:highlight w:val="none"/>
              </w:rPr>
              <w:t>、</w:t>
            </w:r>
            <w:r>
              <w:rPr>
                <w:rFonts w:hint="eastAsia"/>
                <w:b/>
                <w:bCs/>
                <w:kern w:val="0"/>
                <w:sz w:val="24"/>
                <w:highlight w:val="none"/>
                <w:lang w:val="en-US" w:eastAsia="zh-CN"/>
              </w:rPr>
              <w:t>本项目与</w:t>
            </w:r>
            <w:r>
              <w:rPr>
                <w:rFonts w:hint="default"/>
                <w:b/>
                <w:bCs/>
                <w:kern w:val="0"/>
                <w:sz w:val="24"/>
                <w:highlight w:val="none"/>
              </w:rPr>
              <w:t>新乡县</w:t>
            </w:r>
            <w:r>
              <w:rPr>
                <w:rFonts w:hint="eastAsia"/>
                <w:b/>
                <w:bCs/>
                <w:kern w:val="0"/>
                <w:sz w:val="24"/>
                <w:highlight w:val="none"/>
                <w:lang w:val="en-US" w:eastAsia="zh-CN"/>
              </w:rPr>
              <w:t>空气质量监</w:t>
            </w:r>
            <w:r>
              <w:rPr>
                <w:rFonts w:hint="eastAsia"/>
                <w:b/>
                <w:bCs/>
                <w:color w:val="000000" w:themeColor="text1"/>
                <w:kern w:val="0"/>
                <w:sz w:val="24"/>
                <w:highlight w:val="none"/>
                <w:lang w:val="en-US" w:eastAsia="zh-CN"/>
                <w14:textFill>
                  <w14:solidFill>
                    <w14:schemeClr w14:val="tx1"/>
                  </w14:solidFill>
                </w14:textFill>
              </w:rPr>
              <w:t>测站位置关系</w:t>
            </w:r>
          </w:p>
          <w:p w14:paraId="270E5FCA">
            <w:pPr>
              <w:keepNext w:val="0"/>
              <w:keepLines w:val="0"/>
              <w:suppressLineNumbers w:val="0"/>
              <w:spacing w:before="0" w:beforeAutospacing="0" w:after="0" w:afterAutospacing="0" w:line="440" w:lineRule="exact"/>
              <w:ind w:left="0" w:right="0" w:firstLine="480" w:firstLineChars="200"/>
              <w:rPr>
                <w:rFonts w:hint="eastAsia" w:ascii="宋体" w:hAnsi="宋体" w:eastAsia="宋体" w:cs="宋体"/>
                <w:kern w:val="0"/>
                <w:sz w:val="24"/>
                <w:szCs w:val="24"/>
                <w:lang w:val="en-US" w:eastAsia="zh-CN"/>
              </w:rPr>
            </w:pPr>
            <w:r>
              <w:rPr>
                <w:rFonts w:hint="eastAsia"/>
                <w:kern w:val="0"/>
                <w:sz w:val="24"/>
                <w:lang w:val="en-US" w:eastAsia="zh-CN"/>
              </w:rPr>
              <w:t>本项目位于</w:t>
            </w:r>
            <w:r>
              <w:rPr>
                <w:rFonts w:hint="eastAsia" w:cs="Times New Roman"/>
                <w:color w:val="000000" w:themeColor="text1"/>
                <w:sz w:val="24"/>
                <w:szCs w:val="24"/>
                <w:highlight w:val="none"/>
                <w:lang w:val="en-US" w:eastAsia="zh-CN"/>
                <w14:textFill>
                  <w14:solidFill>
                    <w14:schemeClr w14:val="tx1"/>
                  </w14:solidFill>
                </w14:textFill>
              </w:rPr>
              <w:t>河南省新乡县翟坡镇中央大道与富兴路交叉口西南角处，项目最近的空气监测站为厂区北侧距离约3km翟坡镇空气监测站。翟坡镇空气监测站位于</w:t>
            </w:r>
            <w:r>
              <w:rPr>
                <w:rFonts w:hint="eastAsia" w:ascii="宋体" w:hAnsi="宋体" w:eastAsia="宋体" w:cs="宋体"/>
                <w:i w:val="0"/>
                <w:iCs w:val="0"/>
                <w:caps w:val="0"/>
                <w:color w:val="2D2D2D"/>
                <w:spacing w:val="0"/>
                <w:sz w:val="24"/>
                <w:szCs w:val="24"/>
                <w:shd w:val="clear" w:fill="FFFFFF"/>
              </w:rPr>
              <w:t>河南省新乡市新乡县宏业大道翟坡镇政府翟坡镇委</w:t>
            </w:r>
            <w:r>
              <w:rPr>
                <w:rFonts w:hint="eastAsia" w:ascii="宋体" w:hAnsi="宋体" w:eastAsia="宋体" w:cs="宋体"/>
                <w:i w:val="0"/>
                <w:iCs w:val="0"/>
                <w:caps w:val="0"/>
                <w:color w:val="2D2D2D"/>
                <w:spacing w:val="0"/>
                <w:sz w:val="24"/>
                <w:szCs w:val="24"/>
                <w:shd w:val="clear" w:fill="FFFFFF"/>
                <w:lang w:eastAsia="zh-CN"/>
              </w:rPr>
              <w:t>。</w:t>
            </w:r>
          </w:p>
          <w:p w14:paraId="53FB675D">
            <w:pPr>
              <w:keepNext w:val="0"/>
              <w:keepLines w:val="0"/>
              <w:suppressLineNumbers w:val="0"/>
              <w:spacing w:before="0" w:beforeAutospacing="0" w:after="0" w:afterAutospacing="0" w:line="440" w:lineRule="exact"/>
              <w:ind w:left="0" w:right="0" w:firstLine="482" w:firstLineChars="200"/>
              <w:rPr>
                <w:rFonts w:hint="default" w:ascii="宋体" w:hAnsi="宋体"/>
                <w:b/>
                <w:bCs/>
                <w:color w:val="000000"/>
                <w:sz w:val="24"/>
                <w:highlight w:val="none"/>
              </w:rPr>
            </w:pPr>
            <w:r>
              <w:rPr>
                <w:rFonts w:hint="eastAsia"/>
                <w:b/>
                <w:color w:val="000000" w:themeColor="text1"/>
                <w:sz w:val="24"/>
                <w:highlight w:val="none"/>
                <w:lang w:val="en-US" w:eastAsia="zh-CN"/>
                <w14:textFill>
                  <w14:solidFill>
                    <w14:schemeClr w14:val="tx1"/>
                  </w14:solidFill>
                </w14:textFill>
              </w:rPr>
              <w:t>6</w:t>
            </w:r>
            <w:r>
              <w:rPr>
                <w:rFonts w:hint="eastAsia"/>
                <w:b/>
                <w:color w:val="000000" w:themeColor="text1"/>
                <w:sz w:val="24"/>
                <w:highlight w:val="none"/>
                <w14:textFill>
                  <w14:solidFill>
                    <w14:schemeClr w14:val="tx1"/>
                  </w14:solidFill>
                </w14:textFill>
              </w:rPr>
              <w:t>、</w:t>
            </w:r>
            <w:r>
              <w:rPr>
                <w:rFonts w:hint="eastAsia"/>
                <w:b/>
                <w:bCs/>
                <w:color w:val="000000" w:themeColor="text1"/>
                <w:kern w:val="0"/>
                <w:sz w:val="24"/>
                <w:highlight w:val="none"/>
                <w14:textFill>
                  <w14:solidFill>
                    <w14:schemeClr w14:val="tx1"/>
                  </w14:solidFill>
                </w14:textFill>
              </w:rPr>
              <w:t>本项目与《新乡市202</w:t>
            </w:r>
            <w:r>
              <w:rPr>
                <w:rFonts w:hint="eastAsia"/>
                <w:b/>
                <w:bCs/>
                <w:color w:val="000000" w:themeColor="text1"/>
                <w:kern w:val="0"/>
                <w:sz w:val="24"/>
                <w:highlight w:val="none"/>
                <w:lang w:val="en-US" w:eastAsia="zh-CN"/>
                <w14:textFill>
                  <w14:solidFill>
                    <w14:schemeClr w14:val="tx1"/>
                  </w14:solidFill>
                </w14:textFill>
              </w:rPr>
              <w:t>4</w:t>
            </w:r>
            <w:r>
              <w:rPr>
                <w:rFonts w:hint="eastAsia"/>
                <w:b/>
                <w:bCs/>
                <w:color w:val="000000" w:themeColor="text1"/>
                <w:kern w:val="0"/>
                <w:sz w:val="24"/>
                <w:highlight w:val="none"/>
                <w14:textFill>
                  <w14:solidFill>
                    <w14:schemeClr w14:val="tx1"/>
                  </w14:solidFill>
                </w14:textFill>
              </w:rPr>
              <w:t>年蓝天保卫战实施方案》</w:t>
            </w:r>
            <w:r>
              <w:rPr>
                <w:rFonts w:hint="eastAsia"/>
                <w:b/>
                <w:bCs/>
                <w:color w:val="000000" w:themeColor="text1"/>
                <w:kern w:val="0"/>
                <w:sz w:val="24"/>
                <w:highlight w:val="none"/>
                <w:lang w:eastAsia="zh-CN"/>
                <w14:textFill>
                  <w14:solidFill>
                    <w14:schemeClr w14:val="tx1"/>
                  </w14:solidFill>
                </w14:textFill>
              </w:rPr>
              <w:t>、</w:t>
            </w:r>
            <w:r>
              <w:rPr>
                <w:rFonts w:hint="eastAsia"/>
                <w:b/>
                <w:bCs/>
                <w:color w:val="000000" w:themeColor="text1"/>
                <w:kern w:val="0"/>
                <w:sz w:val="24"/>
                <w:highlight w:val="none"/>
                <w14:textFill>
                  <w14:solidFill>
                    <w14:schemeClr w14:val="tx1"/>
                  </w14:solidFill>
                </w14:textFill>
              </w:rPr>
              <w:t>《新乡市202</w:t>
            </w:r>
            <w:r>
              <w:rPr>
                <w:rFonts w:hint="eastAsia"/>
                <w:b/>
                <w:bCs/>
                <w:color w:val="000000" w:themeColor="text1"/>
                <w:kern w:val="0"/>
                <w:sz w:val="24"/>
                <w:highlight w:val="none"/>
                <w:lang w:val="en-US" w:eastAsia="zh-CN"/>
                <w14:textFill>
                  <w14:solidFill>
                    <w14:schemeClr w14:val="tx1"/>
                  </w14:solidFill>
                </w14:textFill>
              </w:rPr>
              <w:t>4</w:t>
            </w:r>
            <w:r>
              <w:rPr>
                <w:rFonts w:hint="eastAsia"/>
                <w:b/>
                <w:bCs/>
                <w:color w:val="000000" w:themeColor="text1"/>
                <w:kern w:val="0"/>
                <w:sz w:val="24"/>
                <w:highlight w:val="none"/>
                <w14:textFill>
                  <w14:solidFill>
                    <w14:schemeClr w14:val="tx1"/>
                  </w14:solidFill>
                </w14:textFill>
              </w:rPr>
              <w:t>年净土保卫战实施方案》</w:t>
            </w:r>
            <w:r>
              <w:rPr>
                <w:rFonts w:hint="eastAsia"/>
                <w:b/>
                <w:bCs/>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b/>
                <w:bCs/>
                <w:color w:val="000000"/>
                <w:kern w:val="0"/>
                <w:sz w:val="24"/>
                <w:szCs w:val="24"/>
                <w:highlight w:val="none"/>
                <w:lang w:val="en-US" w:eastAsia="zh-CN" w:bidi="ar"/>
              </w:rPr>
              <w:t>《新乡市202</w:t>
            </w:r>
            <w:r>
              <w:rPr>
                <w:rFonts w:hint="eastAsia" w:cs="Times New Roman"/>
                <w:b/>
                <w:bCs/>
                <w:color w:val="000000"/>
                <w:kern w:val="0"/>
                <w:sz w:val="24"/>
                <w:szCs w:val="24"/>
                <w:highlight w:val="none"/>
                <w:lang w:val="en-US" w:eastAsia="zh-CN" w:bidi="ar"/>
              </w:rPr>
              <w:t>4</w:t>
            </w:r>
            <w:r>
              <w:rPr>
                <w:rFonts w:hint="default" w:ascii="Times New Roman" w:hAnsi="Times New Roman" w:eastAsia="宋体" w:cs="Times New Roman"/>
                <w:b/>
                <w:bCs/>
                <w:color w:val="000000"/>
                <w:kern w:val="0"/>
                <w:sz w:val="24"/>
                <w:szCs w:val="24"/>
                <w:highlight w:val="none"/>
                <w:lang w:val="en-US" w:eastAsia="zh-CN" w:bidi="ar"/>
              </w:rPr>
              <w:t>年</w:t>
            </w:r>
            <w:r>
              <w:rPr>
                <w:rFonts w:hint="eastAsia" w:ascii="Times New Roman" w:hAnsi="Times New Roman" w:eastAsia="宋体" w:cs="Times New Roman"/>
                <w:b/>
                <w:bCs/>
                <w:color w:val="000000"/>
                <w:kern w:val="0"/>
                <w:sz w:val="24"/>
                <w:szCs w:val="24"/>
                <w:highlight w:val="none"/>
                <w:lang w:val="en-US" w:eastAsia="zh-CN" w:bidi="ar"/>
              </w:rPr>
              <w:t>碧水</w:t>
            </w:r>
            <w:r>
              <w:rPr>
                <w:rFonts w:hint="default" w:ascii="Times New Roman" w:hAnsi="Times New Roman" w:eastAsia="宋体" w:cs="Times New Roman"/>
                <w:b/>
                <w:bCs/>
                <w:color w:val="000000"/>
                <w:kern w:val="0"/>
                <w:sz w:val="24"/>
                <w:szCs w:val="24"/>
                <w:highlight w:val="none"/>
                <w:lang w:val="en-US" w:eastAsia="zh-CN" w:bidi="ar"/>
              </w:rPr>
              <w:t>保卫战实施方案》</w:t>
            </w:r>
            <w:r>
              <w:rPr>
                <w:rFonts w:hint="eastAsia"/>
                <w:b/>
                <w:bCs/>
                <w:color w:val="000000" w:themeColor="text1"/>
                <w:kern w:val="0"/>
                <w:sz w:val="24"/>
                <w:szCs w:val="24"/>
                <w:highlight w:val="none"/>
                <w14:textFill>
                  <w14:solidFill>
                    <w14:schemeClr w14:val="tx1"/>
                  </w14:solidFill>
                </w14:textFill>
              </w:rPr>
              <w:t>相</w:t>
            </w:r>
            <w:r>
              <w:rPr>
                <w:rFonts w:hint="eastAsia"/>
                <w:b/>
                <w:bCs/>
                <w:color w:val="000000" w:themeColor="text1"/>
                <w:kern w:val="0"/>
                <w:sz w:val="24"/>
                <w:highlight w:val="none"/>
                <w14:textFill>
                  <w14:solidFill>
                    <w14:schemeClr w14:val="tx1"/>
                  </w14:solidFill>
                </w14:textFill>
              </w:rPr>
              <w:t>符性分析</w:t>
            </w:r>
          </w:p>
          <w:p w14:paraId="6AE195B3">
            <w:pPr>
              <w:keepNext w:val="0"/>
              <w:keepLines w:val="0"/>
              <w:suppressLineNumbers w:val="0"/>
              <w:spacing w:before="0" w:beforeAutospacing="0" w:after="0" w:afterAutospacing="0" w:line="440" w:lineRule="exact"/>
              <w:ind w:left="0" w:right="0" w:firstLine="482" w:firstLineChars="200"/>
              <w:jc w:val="center"/>
              <w:textAlignment w:val="baseline"/>
              <w:rPr>
                <w:rFonts w:hint="default" w:eastAsia="黑体"/>
                <w:color w:val="000000"/>
                <w:sz w:val="24"/>
                <w:highlight w:val="yellow"/>
              </w:rPr>
            </w:pPr>
            <w:r>
              <w:rPr>
                <w:rFonts w:hint="default" w:ascii="宋体" w:hAnsi="宋体"/>
                <w:b/>
                <w:bCs/>
                <w:color w:val="000000"/>
                <w:sz w:val="24"/>
                <w:highlight w:val="none"/>
              </w:rPr>
              <w:t>表</w:t>
            </w:r>
            <w:r>
              <w:rPr>
                <w:rFonts w:hint="eastAsia" w:ascii="宋体" w:hAnsi="宋体"/>
                <w:b/>
                <w:bCs/>
                <w:color w:val="000000"/>
                <w:sz w:val="24"/>
                <w:highlight w:val="none"/>
                <w:lang w:val="en-US" w:eastAsia="zh-CN"/>
              </w:rPr>
              <w:t xml:space="preserve">8 </w:t>
            </w:r>
            <w:r>
              <w:rPr>
                <w:rFonts w:hint="eastAsia" w:ascii="宋体" w:hAnsi="宋体"/>
                <w:b/>
                <w:bCs/>
                <w:color w:val="000000"/>
                <w:sz w:val="24"/>
                <w:highlight w:val="none"/>
              </w:rPr>
              <w:t>与新乡市</w:t>
            </w:r>
            <w:r>
              <w:rPr>
                <w:rFonts w:hint="default" w:ascii="Times New Roman" w:hAnsi="Times New Roman" w:cs="Times New Roman"/>
                <w:b/>
                <w:bCs/>
                <w:color w:val="000000"/>
                <w:sz w:val="24"/>
                <w:highlight w:val="none"/>
              </w:rPr>
              <w:t>202</w:t>
            </w:r>
            <w:r>
              <w:rPr>
                <w:rFonts w:hint="eastAsia" w:cs="Times New Roman"/>
                <w:b/>
                <w:bCs/>
                <w:color w:val="000000"/>
                <w:sz w:val="24"/>
                <w:highlight w:val="none"/>
                <w:lang w:val="en-US" w:eastAsia="zh-CN"/>
              </w:rPr>
              <w:t>4</w:t>
            </w:r>
            <w:r>
              <w:rPr>
                <w:rFonts w:hint="default" w:ascii="Times New Roman" w:hAnsi="Times New Roman" w:cs="Times New Roman"/>
                <w:b/>
                <w:bCs/>
                <w:color w:val="000000"/>
                <w:sz w:val="24"/>
                <w:highlight w:val="none"/>
              </w:rPr>
              <w:t>年各项</w:t>
            </w:r>
            <w:r>
              <w:rPr>
                <w:rFonts w:hint="eastAsia" w:ascii="宋体" w:hAnsi="宋体"/>
                <w:b/>
                <w:bCs/>
                <w:color w:val="000000"/>
                <w:sz w:val="24"/>
                <w:highlight w:val="none"/>
              </w:rPr>
              <w:t>保卫战实施方案的相符性分析</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5"/>
              <w:gridCol w:w="5297"/>
              <w:gridCol w:w="1731"/>
              <w:gridCol w:w="907"/>
            </w:tblGrid>
            <w:tr w14:paraId="07FCC5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4" w:type="dxa"/>
                  <w:tcBorders>
                    <w:top w:val="single" w:color="auto" w:sz="8" w:space="0"/>
                    <w:bottom w:val="single" w:color="auto" w:sz="8" w:space="0"/>
                    <w:right w:val="single" w:color="auto" w:sz="4" w:space="0"/>
                  </w:tcBorders>
                  <w:noWrap w:val="0"/>
                  <w:vAlign w:val="center"/>
                </w:tcPr>
                <w:p w14:paraId="2B32FF3C">
                  <w:pPr>
                    <w:keepNext w:val="0"/>
                    <w:keepLines w:val="0"/>
                    <w:suppressLineNumbers w:val="0"/>
                    <w:adjustRightInd w:val="0"/>
                    <w:snapToGrid w:val="0"/>
                    <w:spacing w:before="0" w:beforeAutospacing="0" w:after="0" w:afterAutospacing="0"/>
                    <w:ind w:left="0" w:right="0"/>
                    <w:jc w:val="center"/>
                    <w:textAlignment w:val="baseline"/>
                    <w:rPr>
                      <w:rFonts w:hint="eastAsia" w:eastAsia="宋体"/>
                      <w:b/>
                      <w:color w:val="000000"/>
                      <w:sz w:val="21"/>
                      <w:szCs w:val="21"/>
                      <w:highlight w:val="none"/>
                      <w:lang w:eastAsia="zh-CN"/>
                    </w:rPr>
                  </w:pPr>
                  <w:r>
                    <w:rPr>
                      <w:rFonts w:hint="eastAsia"/>
                      <w:b/>
                      <w:color w:val="000000"/>
                      <w:sz w:val="21"/>
                      <w:szCs w:val="21"/>
                      <w:highlight w:val="none"/>
                      <w:lang w:val="en-US" w:eastAsia="zh-CN"/>
                    </w:rPr>
                    <w:t>类别</w:t>
                  </w:r>
                </w:p>
              </w:tc>
              <w:tc>
                <w:tcPr>
                  <w:tcW w:w="5290" w:type="dxa"/>
                  <w:tcBorders>
                    <w:top w:val="single" w:color="auto" w:sz="8" w:space="0"/>
                    <w:left w:val="single" w:color="auto" w:sz="4" w:space="0"/>
                    <w:bottom w:val="single" w:color="auto" w:sz="8" w:space="0"/>
                    <w:right w:val="single" w:color="auto" w:sz="4" w:space="0"/>
                  </w:tcBorders>
                  <w:noWrap w:val="0"/>
                  <w:vAlign w:val="center"/>
                </w:tcPr>
                <w:p w14:paraId="40ACEFDE">
                  <w:pPr>
                    <w:keepNext w:val="0"/>
                    <w:keepLines w:val="0"/>
                    <w:suppressLineNumbers w:val="0"/>
                    <w:adjustRightInd w:val="0"/>
                    <w:snapToGrid w:val="0"/>
                    <w:spacing w:before="0" w:beforeAutospacing="0" w:after="0" w:afterAutospacing="0"/>
                    <w:ind w:left="0" w:right="0"/>
                    <w:jc w:val="center"/>
                    <w:textAlignment w:val="baseline"/>
                    <w:rPr>
                      <w:rFonts w:hint="eastAsia" w:eastAsia="宋体"/>
                      <w:b/>
                      <w:color w:val="000000"/>
                      <w:sz w:val="21"/>
                      <w:szCs w:val="21"/>
                      <w:highlight w:val="none"/>
                      <w:lang w:eastAsia="zh-CN"/>
                    </w:rPr>
                  </w:pPr>
                  <w:r>
                    <w:rPr>
                      <w:rFonts w:hint="eastAsia"/>
                      <w:b/>
                      <w:color w:val="000000"/>
                      <w:sz w:val="21"/>
                      <w:szCs w:val="21"/>
                      <w:highlight w:val="none"/>
                      <w:lang w:val="en-US" w:eastAsia="zh-CN"/>
                    </w:rPr>
                    <w:t>文件要求</w:t>
                  </w:r>
                </w:p>
              </w:tc>
              <w:tc>
                <w:tcPr>
                  <w:tcW w:w="1729" w:type="dxa"/>
                  <w:tcBorders>
                    <w:top w:val="single" w:color="auto" w:sz="8" w:space="0"/>
                    <w:left w:val="single" w:color="auto" w:sz="4" w:space="0"/>
                    <w:bottom w:val="single" w:color="auto" w:sz="8" w:space="0"/>
                    <w:right w:val="single" w:color="auto" w:sz="4" w:space="0"/>
                  </w:tcBorders>
                  <w:noWrap w:val="0"/>
                  <w:vAlign w:val="center"/>
                </w:tcPr>
                <w:p w14:paraId="55DBD4C5">
                  <w:pPr>
                    <w:keepNext w:val="0"/>
                    <w:keepLines w:val="0"/>
                    <w:suppressLineNumbers w:val="0"/>
                    <w:adjustRightInd w:val="0"/>
                    <w:snapToGrid w:val="0"/>
                    <w:spacing w:before="0" w:beforeAutospacing="0" w:after="0" w:afterAutospacing="0"/>
                    <w:ind w:left="0" w:right="0"/>
                    <w:jc w:val="center"/>
                    <w:textAlignment w:val="baseline"/>
                    <w:rPr>
                      <w:rFonts w:hint="default"/>
                      <w:b/>
                      <w:color w:val="000000"/>
                      <w:sz w:val="21"/>
                      <w:szCs w:val="21"/>
                      <w:highlight w:val="none"/>
                    </w:rPr>
                  </w:pPr>
                  <w:r>
                    <w:rPr>
                      <w:rFonts w:hint="default"/>
                      <w:b/>
                      <w:color w:val="000000"/>
                      <w:sz w:val="21"/>
                      <w:szCs w:val="21"/>
                      <w:highlight w:val="none"/>
                    </w:rPr>
                    <w:t>本项目情况</w:t>
                  </w:r>
                </w:p>
              </w:tc>
              <w:tc>
                <w:tcPr>
                  <w:tcW w:w="905" w:type="dxa"/>
                  <w:tcBorders>
                    <w:top w:val="single" w:color="auto" w:sz="8" w:space="0"/>
                    <w:left w:val="single" w:color="auto" w:sz="4" w:space="0"/>
                    <w:bottom w:val="single" w:color="auto" w:sz="8" w:space="0"/>
                  </w:tcBorders>
                  <w:noWrap w:val="0"/>
                  <w:vAlign w:val="center"/>
                </w:tcPr>
                <w:p w14:paraId="5E8DB0C6">
                  <w:pPr>
                    <w:keepNext w:val="0"/>
                    <w:keepLines w:val="0"/>
                    <w:suppressLineNumbers w:val="0"/>
                    <w:adjustRightInd w:val="0"/>
                    <w:snapToGrid w:val="0"/>
                    <w:spacing w:before="0" w:beforeAutospacing="0" w:after="0" w:afterAutospacing="0"/>
                    <w:ind w:left="0" w:right="0"/>
                    <w:jc w:val="center"/>
                    <w:textAlignment w:val="baseline"/>
                    <w:rPr>
                      <w:rFonts w:hint="default"/>
                      <w:b/>
                      <w:color w:val="000000"/>
                      <w:sz w:val="21"/>
                      <w:szCs w:val="21"/>
                      <w:highlight w:val="none"/>
                    </w:rPr>
                  </w:pPr>
                  <w:r>
                    <w:rPr>
                      <w:rFonts w:hint="eastAsia"/>
                      <w:b/>
                      <w:color w:val="000000"/>
                      <w:sz w:val="21"/>
                      <w:szCs w:val="21"/>
                      <w:highlight w:val="none"/>
                    </w:rPr>
                    <w:t>相符性</w:t>
                  </w:r>
                </w:p>
              </w:tc>
            </w:tr>
            <w:tr w14:paraId="51B2B2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tcBorders>
                    <w:top w:val="single" w:color="auto" w:sz="4" w:space="0"/>
                    <w:bottom w:val="single" w:color="auto" w:sz="4" w:space="0"/>
                  </w:tcBorders>
                  <w:noWrap w:val="0"/>
                  <w:vAlign w:val="center"/>
                </w:tcPr>
                <w:p w14:paraId="59C2CE0A">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rPr>
                  </w:pPr>
                  <w:r>
                    <w:rPr>
                      <w:rFonts w:hint="eastAsia"/>
                      <w:b/>
                      <w:bCs/>
                      <w:color w:val="auto"/>
                      <w:sz w:val="21"/>
                      <w:szCs w:val="21"/>
                      <w:highlight w:val="none"/>
                      <w:lang w:val="en-US" w:eastAsia="zh-CN"/>
                    </w:rPr>
                    <w:t>《新乡市2024年蓝天保卫战实施方案》</w:t>
                  </w:r>
                </w:p>
              </w:tc>
            </w:tr>
            <w:tr w14:paraId="0EF50D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4" w:type="dxa"/>
                  <w:tcBorders>
                    <w:top w:val="single" w:color="auto" w:sz="4" w:space="0"/>
                    <w:tl2br w:val="nil"/>
                    <w:tr2bl w:val="nil"/>
                  </w:tcBorders>
                  <w:noWrap w:val="0"/>
                  <w:vAlign w:val="center"/>
                </w:tcPr>
                <w:p w14:paraId="3CECD98A">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bCs/>
                      <w:color w:val="FF0000"/>
                      <w:sz w:val="21"/>
                      <w:szCs w:val="21"/>
                      <w:highlight w:val="none"/>
                    </w:rPr>
                  </w:pPr>
                  <w:r>
                    <w:rPr>
                      <w:rFonts w:hint="eastAsia"/>
                      <w:bCs/>
                      <w:color w:val="auto"/>
                      <w:sz w:val="21"/>
                      <w:szCs w:val="21"/>
                      <w:highlight w:val="none"/>
                      <w:lang w:val="en-US" w:eastAsia="zh-CN"/>
                    </w:rPr>
                    <w:t>3、开展传统产业集群专项整治</w:t>
                  </w:r>
                </w:p>
              </w:tc>
              <w:tc>
                <w:tcPr>
                  <w:tcW w:w="5290" w:type="dxa"/>
                  <w:tcBorders>
                    <w:top w:val="single" w:color="auto" w:sz="4" w:space="0"/>
                    <w:tl2br w:val="nil"/>
                    <w:tr2bl w:val="nil"/>
                  </w:tcBorders>
                  <w:noWrap w:val="0"/>
                  <w:vAlign w:val="center"/>
                </w:tcPr>
                <w:p w14:paraId="1CEF96D4">
                  <w:pPr>
                    <w:keepNext w:val="0"/>
                    <w:keepLines w:val="0"/>
                    <w:suppressLineNumbers w:val="0"/>
                    <w:autoSpaceDE w:val="0"/>
                    <w:autoSpaceDN w:val="0"/>
                    <w:adjustRightInd w:val="0"/>
                    <w:spacing w:before="0" w:beforeAutospacing="0" w:after="0" w:afterAutospacing="0"/>
                    <w:ind w:left="0" w:leftChars="0" w:right="0" w:rightChars="0"/>
                    <w:jc w:val="left"/>
                    <w:rPr>
                      <w:rFonts w:hint="default"/>
                      <w:color w:val="000000"/>
                      <w:sz w:val="21"/>
                      <w:szCs w:val="21"/>
                      <w:highlight w:val="none"/>
                    </w:rPr>
                  </w:pPr>
                  <w:r>
                    <w:rPr>
                      <w:rFonts w:hint="default" w:ascii="Times New Roman" w:hAnsi="Times New Roman" w:eastAsia="宋体" w:cs="Times New Roman"/>
                      <w:color w:val="000000"/>
                      <w:kern w:val="0"/>
                      <w:sz w:val="21"/>
                      <w:szCs w:val="21"/>
                      <w:lang w:val="en-US" w:eastAsia="zh-CN" w:bidi="ar"/>
                    </w:rPr>
                    <w:t>结合我市产业集群特点，2024年6月底前，制定涉气产业集群发展规划和专项整治方案，排查不符合城市建设规划、行业发展规划、生态环境功能定位的重污染企业，通过关停淘汰、搬迁入园、就地改造提升等措施，推动对环境空气质量影响较大的电池制造、铸造、工业涂装、塑料制品、包装印刷、有机化工、家具制造等行业 11 个产业集群综合整治，提升企业环保治理水平，严防“散乱污”企业死灰复燃、异地转移。推进园区和产业集群涉 VOCs“绿岛”项目建设，规划建设一批集中喷涂中心、活性炭再生中心和溶剂回收置中心，实现 VOCs 集中高效处理。</w:t>
                  </w:r>
                </w:p>
              </w:tc>
              <w:tc>
                <w:tcPr>
                  <w:tcW w:w="1729" w:type="dxa"/>
                  <w:tcBorders>
                    <w:top w:val="single" w:color="auto" w:sz="4" w:space="0"/>
                    <w:tl2br w:val="nil"/>
                    <w:tr2bl w:val="nil"/>
                  </w:tcBorders>
                  <w:noWrap w:val="0"/>
                  <w:vAlign w:val="center"/>
                </w:tcPr>
                <w:p w14:paraId="3A28C179">
                  <w:pPr>
                    <w:keepNext w:val="0"/>
                    <w:keepLines w:val="0"/>
                    <w:suppressLineNumbers w:val="0"/>
                    <w:adjustRightInd w:val="0"/>
                    <w:snapToGrid w:val="0"/>
                    <w:spacing w:before="0" w:beforeAutospacing="0" w:after="0" w:afterAutospacing="0"/>
                    <w:ind w:left="0" w:leftChars="0" w:right="0" w:rightChars="0"/>
                    <w:jc w:val="both"/>
                    <w:rPr>
                      <w:rFonts w:hint="default"/>
                      <w:color w:val="FF0000"/>
                      <w:kern w:val="0"/>
                      <w:sz w:val="21"/>
                      <w:szCs w:val="21"/>
                      <w:highlight w:val="none"/>
                    </w:rPr>
                  </w:pPr>
                  <w:r>
                    <w:rPr>
                      <w:rFonts w:hint="eastAsia"/>
                      <w:color w:val="auto"/>
                      <w:kern w:val="0"/>
                      <w:sz w:val="21"/>
                      <w:szCs w:val="21"/>
                      <w:highlight w:val="none"/>
                      <w:lang w:val="en-US" w:eastAsia="zh-CN"/>
                    </w:rPr>
                    <w:t>本项目属于机械零部件加工业，</w:t>
                  </w:r>
                  <w:r>
                    <w:rPr>
                      <w:rFonts w:hint="eastAsia"/>
                      <w:sz w:val="21"/>
                      <w:szCs w:val="21"/>
                      <w:highlight w:val="none"/>
                      <w:lang w:val="en-US" w:eastAsia="zh-CN"/>
                    </w:rPr>
                    <w:t>不属于对环境空气质量影响较大的电池制造、铸造、工业涂装、塑料制品、包装印刷、有机化工、家具制造等行业，本项目不涉及VOCs废气产生。</w:t>
                  </w:r>
                </w:p>
              </w:tc>
              <w:tc>
                <w:tcPr>
                  <w:tcW w:w="905" w:type="dxa"/>
                  <w:tcBorders>
                    <w:top w:val="single" w:color="auto" w:sz="4" w:space="0"/>
                    <w:tl2br w:val="nil"/>
                    <w:tr2bl w:val="nil"/>
                  </w:tcBorders>
                  <w:noWrap w:val="0"/>
                  <w:vAlign w:val="center"/>
                </w:tcPr>
                <w:p w14:paraId="60BE2A0C">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rPr>
                  </w:pPr>
                  <w:r>
                    <w:rPr>
                      <w:rFonts w:hint="eastAsia"/>
                      <w:sz w:val="21"/>
                      <w:szCs w:val="21"/>
                      <w:highlight w:val="none"/>
                    </w:rPr>
                    <w:t>相符</w:t>
                  </w:r>
                </w:p>
              </w:tc>
            </w:tr>
            <w:tr w14:paraId="75D966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tcBorders>
                    <w:top w:val="single" w:color="auto" w:sz="4" w:space="0"/>
                    <w:bottom w:val="single" w:color="auto" w:sz="4" w:space="0"/>
                  </w:tcBorders>
                  <w:noWrap w:val="0"/>
                  <w:vAlign w:val="center"/>
                </w:tcPr>
                <w:p w14:paraId="76DDEDA5">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yellow"/>
                    </w:rPr>
                  </w:pPr>
                  <w:r>
                    <w:rPr>
                      <w:rFonts w:hint="default" w:ascii="Times New Roman" w:hAnsi="Times New Roman" w:eastAsia="宋体" w:cs="Times New Roman"/>
                      <w:b/>
                      <w:bCs/>
                      <w:color w:val="000000"/>
                      <w:kern w:val="0"/>
                      <w:sz w:val="21"/>
                      <w:szCs w:val="21"/>
                      <w:highlight w:val="none"/>
                      <w:lang w:val="en-US" w:eastAsia="zh-CN" w:bidi="ar"/>
                    </w:rPr>
                    <w:t>《新乡市202</w:t>
                  </w:r>
                  <w:r>
                    <w:rPr>
                      <w:rFonts w:hint="eastAsia" w:cs="Times New Roman"/>
                      <w:b/>
                      <w:bCs/>
                      <w:color w:val="000000"/>
                      <w:kern w:val="0"/>
                      <w:sz w:val="21"/>
                      <w:szCs w:val="21"/>
                      <w:highlight w:val="none"/>
                      <w:lang w:val="en-US" w:eastAsia="zh-CN" w:bidi="ar"/>
                    </w:rPr>
                    <w:t>4</w:t>
                  </w:r>
                  <w:r>
                    <w:rPr>
                      <w:rFonts w:hint="default" w:ascii="Times New Roman" w:hAnsi="Times New Roman" w:eastAsia="宋体" w:cs="Times New Roman"/>
                      <w:b/>
                      <w:bCs/>
                      <w:color w:val="000000"/>
                      <w:kern w:val="0"/>
                      <w:sz w:val="21"/>
                      <w:szCs w:val="21"/>
                      <w:highlight w:val="none"/>
                      <w:lang w:val="en-US" w:eastAsia="zh-CN" w:bidi="ar"/>
                    </w:rPr>
                    <w:t>年净土保卫战实施方案》</w:t>
                  </w:r>
                </w:p>
              </w:tc>
            </w:tr>
            <w:tr w14:paraId="1FE29B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4" w:type="dxa"/>
                  <w:tcBorders>
                    <w:top w:val="single" w:color="auto" w:sz="4" w:space="0"/>
                    <w:bottom w:val="single" w:color="auto" w:sz="4" w:space="0"/>
                  </w:tcBorders>
                  <w:noWrap w:val="0"/>
                  <w:vAlign w:val="center"/>
                </w:tcPr>
                <w:p w14:paraId="37849D1C">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bCs/>
                      <w:color w:val="FF0000"/>
                      <w:sz w:val="21"/>
                      <w:szCs w:val="21"/>
                      <w:highlight w:val="none"/>
                    </w:rPr>
                  </w:pPr>
                  <w:r>
                    <w:rPr>
                      <w:rFonts w:hint="eastAsia"/>
                      <w:bCs/>
                      <w:color w:val="auto"/>
                      <w:sz w:val="21"/>
                      <w:szCs w:val="21"/>
                      <w:highlight w:val="none"/>
                      <w:lang w:val="en-US" w:eastAsia="zh-CN"/>
                    </w:rPr>
                    <w:t>14、推进危险废物监管和利用处置能力改革</w:t>
                  </w:r>
                </w:p>
              </w:tc>
              <w:tc>
                <w:tcPr>
                  <w:tcW w:w="5290" w:type="dxa"/>
                  <w:tcBorders>
                    <w:top w:val="single" w:color="auto" w:sz="4" w:space="0"/>
                    <w:bottom w:val="single" w:color="auto" w:sz="4" w:space="0"/>
                  </w:tcBorders>
                  <w:noWrap w:val="0"/>
                  <w:vAlign w:val="center"/>
                </w:tcPr>
                <w:p w14:paraId="5E439C0A">
                  <w:pPr>
                    <w:keepNext w:val="0"/>
                    <w:keepLines w:val="0"/>
                    <w:suppressLineNumbers w:val="0"/>
                    <w:autoSpaceDE w:val="0"/>
                    <w:autoSpaceDN w:val="0"/>
                    <w:adjustRightInd w:val="0"/>
                    <w:spacing w:before="0" w:beforeAutospacing="0" w:after="0" w:afterAutospacing="0"/>
                    <w:ind w:left="0" w:leftChars="0" w:right="0" w:rightChars="0"/>
                    <w:jc w:val="both"/>
                    <w:rPr>
                      <w:rFonts w:hint="default"/>
                      <w:color w:val="000000"/>
                      <w:sz w:val="21"/>
                      <w:szCs w:val="21"/>
                      <w:highlight w:val="none"/>
                    </w:rPr>
                  </w:pPr>
                  <w:r>
                    <w:rPr>
                      <w:rFonts w:hint="default"/>
                      <w:color w:val="auto"/>
                      <w:sz w:val="21"/>
                      <w:szCs w:val="21"/>
                      <w:highlight w:val="none"/>
                      <w:lang w:val="en-US" w:eastAsia="zh-CN"/>
                    </w:rPr>
                    <w:t>持续创新危险废物环境监管方式，建立综合处置企业行业自律机制、特殊类别危险废物的信息通报机制，贯彻落实《河南省危险废物综合处置高质量发展指导意见》。提升危险废物规范化管理水平，实施危险废物规范化环境管理评估。开展危险废物自行利用处置专项整治行动。</w:t>
                  </w:r>
                </w:p>
              </w:tc>
              <w:tc>
                <w:tcPr>
                  <w:tcW w:w="1729" w:type="dxa"/>
                  <w:tcBorders>
                    <w:top w:val="single" w:color="auto" w:sz="4" w:space="0"/>
                    <w:bottom w:val="single" w:color="auto" w:sz="4" w:space="0"/>
                  </w:tcBorders>
                  <w:noWrap w:val="0"/>
                  <w:vAlign w:val="center"/>
                </w:tcPr>
                <w:p w14:paraId="6C06E504">
                  <w:pPr>
                    <w:keepNext w:val="0"/>
                    <w:keepLines w:val="0"/>
                    <w:suppressLineNumbers w:val="0"/>
                    <w:adjustRightInd w:val="0"/>
                    <w:snapToGrid w:val="0"/>
                    <w:spacing w:before="0" w:beforeAutospacing="0" w:after="0" w:afterAutospacing="0"/>
                    <w:ind w:left="0" w:leftChars="0" w:right="0" w:rightChars="0"/>
                    <w:jc w:val="both"/>
                    <w:rPr>
                      <w:rFonts w:hint="default" w:eastAsia="宋体"/>
                      <w:color w:val="FF0000"/>
                      <w:kern w:val="0"/>
                      <w:sz w:val="21"/>
                      <w:szCs w:val="21"/>
                      <w:highlight w:val="yellow"/>
                      <w:lang w:val="en-US" w:eastAsia="zh-CN"/>
                    </w:rPr>
                  </w:pPr>
                  <w:r>
                    <w:rPr>
                      <w:rFonts w:hint="default"/>
                      <w:color w:val="auto"/>
                      <w:kern w:val="0"/>
                      <w:sz w:val="21"/>
                      <w:szCs w:val="21"/>
                      <w:highlight w:val="none"/>
                    </w:rPr>
                    <w:t>本项目一般固体废物收集后在一般固体废物暂存间暂存，定期出售综合利用。</w:t>
                  </w:r>
                  <w:r>
                    <w:rPr>
                      <w:rFonts w:hint="eastAsia"/>
                      <w:color w:val="auto"/>
                      <w:kern w:val="0"/>
                      <w:sz w:val="21"/>
                      <w:szCs w:val="21"/>
                      <w:highlight w:val="none"/>
                      <w:lang w:val="en-US" w:eastAsia="zh-CN"/>
                    </w:rPr>
                    <w:t>危险废物在危废暂存间暂存，定期交由有资质单位处置。</w:t>
                  </w:r>
                </w:p>
              </w:tc>
              <w:tc>
                <w:tcPr>
                  <w:tcW w:w="905" w:type="dxa"/>
                  <w:tcBorders>
                    <w:top w:val="single" w:color="auto" w:sz="4" w:space="0"/>
                    <w:bottom w:val="single" w:color="auto" w:sz="4" w:space="0"/>
                  </w:tcBorders>
                  <w:noWrap w:val="0"/>
                  <w:vAlign w:val="center"/>
                </w:tcPr>
                <w:p w14:paraId="538B32CD">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rPr>
                  </w:pPr>
                  <w:r>
                    <w:rPr>
                      <w:rFonts w:hint="eastAsia"/>
                      <w:sz w:val="21"/>
                      <w:szCs w:val="21"/>
                      <w:highlight w:val="none"/>
                    </w:rPr>
                    <w:t>相符</w:t>
                  </w:r>
                </w:p>
              </w:tc>
            </w:tr>
            <w:tr w14:paraId="4F3760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tcBorders>
                    <w:top w:val="single" w:color="auto" w:sz="4" w:space="0"/>
                    <w:bottom w:val="single" w:color="auto" w:sz="4" w:space="0"/>
                  </w:tcBorders>
                  <w:noWrap w:val="0"/>
                  <w:vAlign w:val="center"/>
                </w:tcPr>
                <w:p w14:paraId="30505B72">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rPr>
                  </w:pPr>
                  <w:r>
                    <w:rPr>
                      <w:rFonts w:hint="default" w:ascii="Times New Roman" w:hAnsi="Times New Roman" w:eastAsia="宋体" w:cs="Times New Roman"/>
                      <w:b/>
                      <w:bCs/>
                      <w:color w:val="000000"/>
                      <w:kern w:val="0"/>
                      <w:sz w:val="21"/>
                      <w:szCs w:val="21"/>
                      <w:highlight w:val="none"/>
                      <w:lang w:val="en-US" w:eastAsia="zh-CN" w:bidi="ar"/>
                    </w:rPr>
                    <w:t>《新乡市202</w:t>
                  </w:r>
                  <w:r>
                    <w:rPr>
                      <w:rFonts w:hint="eastAsia" w:cs="Times New Roman"/>
                      <w:b/>
                      <w:bCs/>
                      <w:color w:val="000000"/>
                      <w:kern w:val="0"/>
                      <w:sz w:val="21"/>
                      <w:szCs w:val="21"/>
                      <w:highlight w:val="none"/>
                      <w:lang w:val="en-US" w:eastAsia="zh-CN" w:bidi="ar"/>
                    </w:rPr>
                    <w:t>4</w:t>
                  </w:r>
                  <w:r>
                    <w:rPr>
                      <w:rFonts w:hint="default" w:ascii="Times New Roman" w:hAnsi="Times New Roman" w:eastAsia="宋体" w:cs="Times New Roman"/>
                      <w:b/>
                      <w:bCs/>
                      <w:color w:val="000000"/>
                      <w:kern w:val="0"/>
                      <w:sz w:val="21"/>
                      <w:szCs w:val="21"/>
                      <w:highlight w:val="none"/>
                      <w:lang w:val="en-US" w:eastAsia="zh-CN" w:bidi="ar"/>
                    </w:rPr>
                    <w:t>年</w:t>
                  </w:r>
                  <w:r>
                    <w:rPr>
                      <w:rFonts w:hint="eastAsia" w:ascii="Times New Roman" w:hAnsi="Times New Roman" w:eastAsia="宋体" w:cs="Times New Roman"/>
                      <w:b/>
                      <w:bCs/>
                      <w:color w:val="000000"/>
                      <w:kern w:val="0"/>
                      <w:sz w:val="21"/>
                      <w:szCs w:val="21"/>
                      <w:highlight w:val="none"/>
                      <w:lang w:val="en-US" w:eastAsia="zh-CN" w:bidi="ar"/>
                    </w:rPr>
                    <w:t>碧水</w:t>
                  </w:r>
                  <w:r>
                    <w:rPr>
                      <w:rFonts w:hint="default" w:ascii="Times New Roman" w:hAnsi="Times New Roman" w:eastAsia="宋体" w:cs="Times New Roman"/>
                      <w:b/>
                      <w:bCs/>
                      <w:color w:val="000000"/>
                      <w:kern w:val="0"/>
                      <w:sz w:val="21"/>
                      <w:szCs w:val="21"/>
                      <w:highlight w:val="none"/>
                      <w:lang w:val="en-US" w:eastAsia="zh-CN" w:bidi="ar"/>
                    </w:rPr>
                    <w:t>保卫战实施方案》</w:t>
                  </w:r>
                </w:p>
              </w:tc>
            </w:tr>
            <w:tr w14:paraId="36D647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4" w:type="dxa"/>
                  <w:tcBorders>
                    <w:top w:val="single" w:color="auto" w:sz="4" w:space="0"/>
                    <w:bottom w:val="single" w:color="auto" w:sz="8" w:space="0"/>
                  </w:tcBorders>
                  <w:noWrap w:val="0"/>
                  <w:vAlign w:val="center"/>
                </w:tcPr>
                <w:p w14:paraId="471E9EB2">
                  <w:pPr>
                    <w:keepNext w:val="0"/>
                    <w:keepLines w:val="0"/>
                    <w:suppressLineNumbers w:val="0"/>
                    <w:adjustRightInd w:val="0"/>
                    <w:snapToGrid w:val="0"/>
                    <w:spacing w:before="0" w:beforeAutospacing="0" w:after="0" w:afterAutospacing="0"/>
                    <w:ind w:left="0" w:leftChars="0" w:right="0" w:rightChars="0"/>
                    <w:jc w:val="both"/>
                    <w:textAlignment w:val="baseline"/>
                    <w:rPr>
                      <w:rFonts w:hint="eastAsia"/>
                      <w:bCs/>
                      <w:color w:val="auto"/>
                      <w:sz w:val="21"/>
                      <w:szCs w:val="21"/>
                      <w:highlight w:val="none"/>
                      <w:lang w:val="en-US" w:eastAsia="zh-CN"/>
                    </w:rPr>
                  </w:pPr>
                  <w:r>
                    <w:rPr>
                      <w:rFonts w:hint="eastAsia"/>
                      <w:bCs/>
                      <w:color w:val="auto"/>
                      <w:sz w:val="21"/>
                      <w:szCs w:val="21"/>
                      <w:highlight w:val="none"/>
                      <w:lang w:val="en-US" w:eastAsia="zh-CN"/>
                    </w:rPr>
                    <w:t>18、持续开展工业废水循环利用工程</w:t>
                  </w:r>
                </w:p>
              </w:tc>
              <w:tc>
                <w:tcPr>
                  <w:tcW w:w="5290" w:type="dxa"/>
                  <w:tcBorders>
                    <w:top w:val="single" w:color="auto" w:sz="4" w:space="0"/>
                    <w:bottom w:val="single" w:color="auto" w:sz="8" w:space="0"/>
                  </w:tcBorders>
                  <w:noWrap w:val="0"/>
                  <w:vAlign w:val="center"/>
                </w:tcPr>
                <w:p w14:paraId="2078374F">
                  <w:pPr>
                    <w:keepNext w:val="0"/>
                    <w:keepLines w:val="0"/>
                    <w:widowControl/>
                    <w:suppressLineNumbers w:val="0"/>
                    <w:spacing w:before="0" w:beforeAutospacing="0" w:after="0" w:afterAutospacing="0"/>
                    <w:ind w:left="0" w:leftChars="0" w:right="0" w:rightChars="0"/>
                    <w:jc w:val="both"/>
                    <w:rPr>
                      <w:rFonts w:hint="default"/>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推动工业企业、园区废水循环利用，实现串联用水、分质用水、一水多用和梯级利用，提升企业水重复利用率。推动有条件的工业企业、园区进一步完善再生水管网，将处理达标后的再生水回用于生产过程，减少企业新水取用量。重点围绕火电、石化、钢铁、有色、造纸、印染等高耗水行业，组织开展企业内部废水利用，积极创建工业废水循环利用示范企业、园区。</w:t>
                  </w:r>
                </w:p>
              </w:tc>
              <w:tc>
                <w:tcPr>
                  <w:tcW w:w="1729" w:type="dxa"/>
                  <w:tcBorders>
                    <w:top w:val="single" w:color="auto" w:sz="4" w:space="0"/>
                    <w:bottom w:val="single" w:color="auto" w:sz="8" w:space="0"/>
                  </w:tcBorders>
                  <w:noWrap w:val="0"/>
                  <w:vAlign w:val="center"/>
                </w:tcPr>
                <w:p w14:paraId="0A3CC2CC">
                  <w:pPr>
                    <w:keepNext w:val="0"/>
                    <w:keepLines w:val="0"/>
                    <w:suppressLineNumbers w:val="0"/>
                    <w:adjustRightInd w:val="0"/>
                    <w:snapToGrid w:val="0"/>
                    <w:spacing w:before="0" w:beforeAutospacing="0" w:after="0" w:afterAutospacing="0"/>
                    <w:ind w:left="0" w:leftChars="0" w:right="0" w:rightChars="0"/>
                    <w:jc w:val="both"/>
                    <w:rPr>
                      <w:rFonts w:hint="default"/>
                      <w:color w:val="auto"/>
                      <w:kern w:val="0"/>
                      <w:sz w:val="21"/>
                      <w:szCs w:val="21"/>
                      <w:highlight w:val="none"/>
                      <w:lang w:val="en-US"/>
                    </w:rPr>
                  </w:pPr>
                  <w:r>
                    <w:rPr>
                      <w:rFonts w:hint="eastAsia"/>
                      <w:sz w:val="21"/>
                      <w:szCs w:val="21"/>
                      <w:highlight w:val="none"/>
                      <w:lang w:val="en-US" w:eastAsia="zh-CN"/>
                    </w:rPr>
                    <w:t>本项目不涉及生产废水，生活污水经化粪池</w:t>
                  </w:r>
                  <w:r>
                    <w:rPr>
                      <w:rFonts w:hint="eastAsia"/>
                      <w:color w:val="000000" w:themeColor="text1"/>
                      <w:sz w:val="21"/>
                      <w:szCs w:val="21"/>
                      <w:highlight w:val="none"/>
                      <w:lang w:val="en-US" w:eastAsia="zh-CN"/>
                      <w14:textFill>
                        <w14:solidFill>
                          <w14:schemeClr w14:val="tx1"/>
                        </w14:solidFill>
                      </w14:textFill>
                    </w:rPr>
                    <w:t>处理后由污水管网排</w:t>
                  </w:r>
                  <w:r>
                    <w:rPr>
                      <w:rFonts w:hint="eastAsia"/>
                      <w:sz w:val="21"/>
                      <w:szCs w:val="21"/>
                      <w:highlight w:val="none"/>
                      <w:lang w:val="en-US" w:eastAsia="zh-CN"/>
                    </w:rPr>
                    <w:t>至新乡县综合污水处理厂进一步处理。</w:t>
                  </w:r>
                </w:p>
              </w:tc>
              <w:tc>
                <w:tcPr>
                  <w:tcW w:w="905" w:type="dxa"/>
                  <w:tcBorders>
                    <w:top w:val="single" w:color="auto" w:sz="4" w:space="0"/>
                    <w:bottom w:val="single" w:color="auto" w:sz="8" w:space="0"/>
                  </w:tcBorders>
                  <w:noWrap w:val="0"/>
                  <w:vAlign w:val="center"/>
                </w:tcPr>
                <w:p w14:paraId="3BD8ACD0">
                  <w:pPr>
                    <w:keepNext w:val="0"/>
                    <w:keepLines w:val="0"/>
                    <w:suppressLineNumbers w:val="0"/>
                    <w:adjustRightInd w:val="0"/>
                    <w:snapToGrid w:val="0"/>
                    <w:spacing w:before="0" w:beforeAutospacing="0" w:after="0" w:afterAutospacing="0"/>
                    <w:ind w:left="0" w:leftChars="0" w:right="0" w:rightChars="0"/>
                    <w:jc w:val="both"/>
                    <w:textAlignment w:val="baseline"/>
                    <w:rPr>
                      <w:rFonts w:hint="eastAsia"/>
                      <w:sz w:val="21"/>
                      <w:szCs w:val="21"/>
                      <w:highlight w:val="none"/>
                    </w:rPr>
                  </w:pPr>
                  <w:r>
                    <w:rPr>
                      <w:rFonts w:hint="eastAsia" w:eastAsiaTheme="minorEastAsia"/>
                      <w:sz w:val="21"/>
                      <w:szCs w:val="21"/>
                      <w:lang w:eastAsia="zh-CN"/>
                    </w:rPr>
                    <w:t>相符</w:t>
                  </w:r>
                </w:p>
              </w:tc>
            </w:tr>
          </w:tbl>
          <w:p w14:paraId="65B1E61D">
            <w:pPr>
              <w:keepNext w:val="0"/>
              <w:keepLines w:val="0"/>
              <w:suppressLineNumbers w:val="0"/>
              <w:spacing w:before="0" w:beforeAutospacing="0" w:after="0" w:afterAutospacing="0" w:line="440" w:lineRule="exact"/>
              <w:ind w:left="0" w:right="0" w:firstLine="480" w:firstLineChars="200"/>
              <w:rPr>
                <w:rFonts w:hint="eastAsia" w:hAnsi="宋体"/>
                <w:b/>
                <w:bCs/>
                <w:color w:val="000000"/>
                <w:sz w:val="24"/>
                <w:highlight w:val="none"/>
                <w:lang w:val="en-US" w:eastAsia="zh-CN"/>
              </w:rPr>
            </w:pPr>
            <w:r>
              <w:rPr>
                <w:rFonts w:hint="default" w:hAnsi="宋体"/>
                <w:color w:val="000000"/>
                <w:sz w:val="24"/>
                <w:highlight w:val="none"/>
              </w:rPr>
              <w:t>由上表可知，本项目符合</w:t>
            </w:r>
            <w:r>
              <w:rPr>
                <w:rFonts w:hint="default" w:hAnsi="宋体"/>
                <w:bCs/>
                <w:color w:val="000000"/>
                <w:kern w:val="0"/>
                <w:sz w:val="24"/>
                <w:highlight w:val="none"/>
              </w:rPr>
              <w:t>新乡市202</w:t>
            </w:r>
            <w:r>
              <w:rPr>
                <w:rFonts w:hint="eastAsia" w:hAnsi="宋体"/>
                <w:bCs/>
                <w:color w:val="000000"/>
                <w:kern w:val="0"/>
                <w:sz w:val="24"/>
                <w:highlight w:val="none"/>
                <w:lang w:val="en-US" w:eastAsia="zh-CN"/>
              </w:rPr>
              <w:t>4</w:t>
            </w:r>
            <w:r>
              <w:rPr>
                <w:rFonts w:hint="default" w:hAnsi="宋体"/>
                <w:bCs/>
                <w:color w:val="000000"/>
                <w:kern w:val="0"/>
                <w:sz w:val="24"/>
                <w:highlight w:val="none"/>
              </w:rPr>
              <w:t>年各项保卫战实施方案</w:t>
            </w:r>
            <w:r>
              <w:rPr>
                <w:rFonts w:hint="default" w:hAnsi="宋体"/>
                <w:color w:val="000000"/>
                <w:sz w:val="24"/>
                <w:highlight w:val="none"/>
              </w:rPr>
              <w:t>的相关规定。</w:t>
            </w:r>
          </w:p>
          <w:p w14:paraId="677A64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eastAsia" w:hAnsi="宋体"/>
                <w:b/>
                <w:bCs/>
                <w:color w:val="000000"/>
                <w:sz w:val="24"/>
                <w:highlight w:val="none"/>
                <w:lang w:val="en-US" w:eastAsia="zh-CN"/>
              </w:rPr>
            </w:pPr>
            <w:r>
              <w:rPr>
                <w:rFonts w:hint="eastAsia" w:hAnsi="宋体"/>
                <w:b/>
                <w:bCs/>
                <w:color w:val="000000"/>
                <w:sz w:val="24"/>
                <w:highlight w:val="none"/>
                <w:lang w:val="en-US" w:eastAsia="zh-CN"/>
              </w:rPr>
              <w:t>7、</w:t>
            </w:r>
            <w:r>
              <w:rPr>
                <w:rFonts w:hint="default" w:ascii="Times New Roman" w:hAnsi="宋体" w:cs="Times New Roman"/>
                <w:b/>
                <w:bCs/>
                <w:color w:val="auto"/>
                <w:sz w:val="24"/>
                <w:highlight w:val="none"/>
              </w:rPr>
              <w:t>本项目与《</w:t>
            </w:r>
            <w:r>
              <w:rPr>
                <w:rFonts w:hint="default" w:ascii="Times New Roman" w:hAnsi="宋体" w:cs="Times New Roman"/>
                <w:b/>
                <w:bCs/>
                <w:color w:val="auto"/>
                <w:sz w:val="24"/>
                <w:highlight w:val="none"/>
                <w:lang w:eastAsia="zh-CN"/>
              </w:rPr>
              <w:t>河南省</w:t>
            </w:r>
            <w:r>
              <w:rPr>
                <w:rFonts w:hint="default" w:ascii="Times New Roman" w:hAnsi="宋体" w:cs="Times New Roman"/>
                <w:b/>
                <w:bCs/>
                <w:color w:val="auto"/>
                <w:sz w:val="24"/>
                <w:highlight w:val="none"/>
                <w:lang w:val="en-US" w:eastAsia="zh-CN"/>
              </w:rPr>
              <w:t>重污染天气通用行业应急减排措施制定技术指南</w:t>
            </w:r>
            <w:r>
              <w:rPr>
                <w:rFonts w:hint="default" w:ascii="Times New Roman" w:hAnsi="宋体" w:cs="Times New Roman"/>
                <w:b/>
                <w:bCs/>
                <w:color w:val="auto"/>
                <w:sz w:val="24"/>
                <w:highlight w:val="none"/>
              </w:rPr>
              <w:t>》（202</w:t>
            </w:r>
            <w:r>
              <w:rPr>
                <w:rFonts w:hint="eastAsia" w:hAnsi="宋体" w:cs="Times New Roman"/>
                <w:b/>
                <w:bCs/>
                <w:color w:val="auto"/>
                <w:sz w:val="24"/>
                <w:highlight w:val="none"/>
                <w:lang w:val="en-US" w:eastAsia="zh-CN"/>
              </w:rPr>
              <w:t>4</w:t>
            </w:r>
            <w:r>
              <w:rPr>
                <w:rFonts w:hint="default" w:ascii="Times New Roman" w:hAnsi="宋体" w:cs="Times New Roman"/>
                <w:b/>
                <w:bCs/>
                <w:color w:val="auto"/>
                <w:sz w:val="24"/>
                <w:highlight w:val="none"/>
              </w:rPr>
              <w:t>年修订版）</w:t>
            </w:r>
            <w:r>
              <w:rPr>
                <w:rFonts w:hint="default" w:ascii="Times New Roman" w:hAnsi="宋体" w:cs="Times New Roman"/>
                <w:b/>
                <w:bCs/>
                <w:color w:val="auto"/>
                <w:sz w:val="24"/>
                <w:highlight w:val="none"/>
                <w:lang w:eastAsia="zh-CN"/>
              </w:rPr>
              <w:t>中通用行业</w:t>
            </w:r>
            <w:r>
              <w:rPr>
                <w:rFonts w:hint="eastAsia" w:hAnsi="宋体" w:cs="Times New Roman"/>
                <w:b/>
                <w:bCs/>
                <w:color w:val="auto"/>
                <w:sz w:val="24"/>
                <w:highlight w:val="none"/>
                <w:lang w:val="en-US" w:eastAsia="zh-CN"/>
              </w:rPr>
              <w:t>基本要求</w:t>
            </w:r>
            <w:r>
              <w:rPr>
                <w:rFonts w:hint="default" w:ascii="Times New Roman" w:hAnsi="宋体" w:cs="Times New Roman"/>
                <w:b/>
                <w:bCs/>
                <w:color w:val="auto"/>
                <w:sz w:val="24"/>
                <w:highlight w:val="none"/>
              </w:rPr>
              <w:t>对照分析</w:t>
            </w:r>
          </w:p>
          <w:p w14:paraId="1DB3F5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20" w:lineRule="exact"/>
              <w:ind w:left="0" w:right="0"/>
              <w:jc w:val="center"/>
              <w:textAlignment w:val="auto"/>
              <w:rPr>
                <w:rFonts w:hint="eastAsia" w:hAnsi="宋体" w:cs="Times New Roman"/>
                <w:b/>
                <w:bCs/>
                <w:color w:val="000000"/>
                <w:sz w:val="24"/>
                <w:szCs w:val="24"/>
                <w:highlight w:val="none"/>
                <w:lang w:val="en-US" w:eastAsia="zh-CN"/>
              </w:rPr>
            </w:pPr>
            <w:r>
              <w:rPr>
                <w:rFonts w:hint="eastAsia" w:hAnsi="宋体"/>
                <w:b/>
                <w:bCs/>
                <w:color w:val="000000"/>
                <w:sz w:val="24"/>
                <w:highlight w:val="none"/>
                <w:lang w:val="en-US" w:eastAsia="zh-CN"/>
              </w:rPr>
              <w:t xml:space="preserve">表9  </w:t>
            </w:r>
            <w:r>
              <w:rPr>
                <w:rFonts w:hint="eastAsia" w:hAnsi="宋体" w:cs="Times New Roman"/>
                <w:b/>
                <w:bCs/>
                <w:color w:val="000000"/>
                <w:sz w:val="24"/>
                <w:szCs w:val="24"/>
                <w:highlight w:val="none"/>
                <w:lang w:val="en-US" w:eastAsia="zh-CN"/>
              </w:rPr>
              <w:t>本项目与</w:t>
            </w:r>
            <w:r>
              <w:rPr>
                <w:rFonts w:hint="eastAsia" w:hAnsi="宋体"/>
                <w:b/>
                <w:bCs/>
                <w:color w:val="000000"/>
                <w:sz w:val="24"/>
                <w:highlight w:val="none"/>
                <w:lang w:val="en-US" w:eastAsia="zh-CN"/>
              </w:rPr>
              <w:t>通用涉PM企业绩效引领性指标对照分</w:t>
            </w:r>
            <w:r>
              <w:rPr>
                <w:rFonts w:hint="eastAsia" w:hAnsi="宋体" w:cs="Times New Roman"/>
                <w:b/>
                <w:bCs/>
                <w:color w:val="000000"/>
                <w:sz w:val="24"/>
                <w:szCs w:val="24"/>
                <w:highlight w:val="none"/>
                <w:lang w:val="en-US" w:eastAsia="zh-CN"/>
              </w:rPr>
              <w:t>析</w:t>
            </w:r>
          </w:p>
          <w:tbl>
            <w:tblPr>
              <w:tblStyle w:val="22"/>
              <w:tblW w:w="4989" w:type="pct"/>
              <w:tblInd w:w="0" w:type="dxa"/>
              <w:tblBorders>
                <w:top w:val="single" w:color="auto" w:sz="8"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739"/>
              <w:gridCol w:w="2954"/>
              <w:gridCol w:w="2939"/>
              <w:gridCol w:w="1096"/>
            </w:tblGrid>
            <w:tr w14:paraId="563F4D02">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625" w:type="pct"/>
                  <w:tcBorders>
                    <w:bottom w:val="single" w:color="auto" w:sz="8" w:space="0"/>
                  </w:tcBorders>
                  <w:noWrap w:val="0"/>
                  <w:vAlign w:val="center"/>
                </w:tcPr>
                <w:p w14:paraId="1342E783">
                  <w:pPr>
                    <w:keepNext w:val="0"/>
                    <w:keepLines w:val="0"/>
                    <w:suppressLineNumbers w:val="0"/>
                    <w:spacing w:before="0" w:beforeAutospacing="0" w:after="0" w:afterAutospacing="0" w:line="340" w:lineRule="exact"/>
                    <w:ind w:left="0" w:right="0"/>
                    <w:jc w:val="center"/>
                    <w:rPr>
                      <w:rFonts w:hint="default" w:eastAsia="宋体" w:cs="宋体"/>
                      <w:b/>
                      <w:bCs/>
                      <w:color w:val="000000"/>
                      <w:sz w:val="21"/>
                      <w:szCs w:val="21"/>
                      <w:lang w:val="en-US" w:eastAsia="zh-CN"/>
                    </w:rPr>
                  </w:pPr>
                  <w:r>
                    <w:rPr>
                      <w:rFonts w:hint="eastAsia" w:cs="宋体"/>
                      <w:b/>
                      <w:bCs/>
                      <w:color w:val="000000"/>
                      <w:sz w:val="21"/>
                      <w:szCs w:val="21"/>
                      <w:lang w:val="en-US" w:eastAsia="zh-CN"/>
                    </w:rPr>
                    <w:t>引领性指标</w:t>
                  </w:r>
                </w:p>
              </w:tc>
              <w:tc>
                <w:tcPr>
                  <w:tcW w:w="2090" w:type="pct"/>
                  <w:gridSpan w:val="2"/>
                  <w:tcBorders>
                    <w:bottom w:val="single" w:color="auto" w:sz="8" w:space="0"/>
                  </w:tcBorders>
                  <w:noWrap w:val="0"/>
                  <w:vAlign w:val="center"/>
                </w:tcPr>
                <w:p w14:paraId="5F09BA5C">
                  <w:pPr>
                    <w:keepNext w:val="0"/>
                    <w:keepLines w:val="0"/>
                    <w:suppressLineNumbers w:val="0"/>
                    <w:spacing w:before="0" w:beforeAutospacing="0" w:after="0" w:afterAutospacing="0" w:line="340" w:lineRule="exact"/>
                    <w:ind w:left="0" w:right="0"/>
                    <w:jc w:val="center"/>
                    <w:rPr>
                      <w:rFonts w:hint="default" w:cs="宋体"/>
                      <w:b/>
                      <w:bCs/>
                      <w:color w:val="000000"/>
                      <w:sz w:val="21"/>
                      <w:szCs w:val="21"/>
                      <w:lang w:val="en-US" w:eastAsia="zh-CN"/>
                    </w:rPr>
                  </w:pPr>
                  <w:r>
                    <w:rPr>
                      <w:rFonts w:hint="eastAsia" w:cs="宋体"/>
                      <w:b/>
                      <w:bCs/>
                      <w:color w:val="000000"/>
                      <w:sz w:val="21"/>
                      <w:szCs w:val="21"/>
                      <w:lang w:eastAsia="zh-CN"/>
                    </w:rPr>
                    <w:t>通用</w:t>
                  </w:r>
                  <w:r>
                    <w:rPr>
                      <w:rFonts w:hint="eastAsia" w:cs="宋体"/>
                      <w:b/>
                      <w:bCs/>
                      <w:color w:val="000000"/>
                      <w:sz w:val="21"/>
                      <w:szCs w:val="21"/>
                      <w:lang w:val="en-US" w:eastAsia="zh-CN"/>
                    </w:rPr>
                    <w:t>涉PM企业</w:t>
                  </w:r>
                </w:p>
              </w:tc>
              <w:tc>
                <w:tcPr>
                  <w:tcW w:w="1663" w:type="pct"/>
                  <w:tcBorders>
                    <w:bottom w:val="single" w:color="auto" w:sz="8" w:space="0"/>
                  </w:tcBorders>
                  <w:noWrap w:val="0"/>
                  <w:vAlign w:val="center"/>
                </w:tcPr>
                <w:p w14:paraId="311D4F2E">
                  <w:pPr>
                    <w:keepNext w:val="0"/>
                    <w:keepLines w:val="0"/>
                    <w:suppressLineNumbers w:val="0"/>
                    <w:spacing w:before="0" w:beforeAutospacing="0" w:after="0" w:afterAutospacing="0" w:line="340" w:lineRule="exact"/>
                    <w:ind w:left="0" w:right="0"/>
                    <w:jc w:val="center"/>
                    <w:rPr>
                      <w:rFonts w:hint="default" w:cs="宋体"/>
                      <w:b/>
                      <w:bCs/>
                      <w:color w:val="000000"/>
                      <w:sz w:val="21"/>
                      <w:szCs w:val="21"/>
                    </w:rPr>
                  </w:pPr>
                  <w:r>
                    <w:rPr>
                      <w:rFonts w:hint="eastAsia" w:cs="宋体"/>
                      <w:b/>
                      <w:bCs/>
                      <w:color w:val="000000"/>
                      <w:sz w:val="21"/>
                      <w:szCs w:val="21"/>
                    </w:rPr>
                    <w:t>本项目情况</w:t>
                  </w:r>
                </w:p>
              </w:tc>
              <w:tc>
                <w:tcPr>
                  <w:tcW w:w="620" w:type="pct"/>
                  <w:tcBorders>
                    <w:bottom w:val="single" w:color="auto" w:sz="8" w:space="0"/>
                  </w:tcBorders>
                  <w:noWrap w:val="0"/>
                  <w:vAlign w:val="center"/>
                </w:tcPr>
                <w:p w14:paraId="6745EF55">
                  <w:pPr>
                    <w:keepNext w:val="0"/>
                    <w:keepLines w:val="0"/>
                    <w:suppressLineNumbers w:val="0"/>
                    <w:spacing w:before="0" w:beforeAutospacing="0" w:after="0" w:afterAutospacing="0" w:line="340" w:lineRule="exact"/>
                    <w:ind w:left="0" w:right="0"/>
                    <w:jc w:val="center"/>
                    <w:rPr>
                      <w:rFonts w:hint="default" w:cs="宋体"/>
                      <w:b/>
                      <w:bCs/>
                      <w:color w:val="000000"/>
                      <w:sz w:val="21"/>
                      <w:szCs w:val="21"/>
                    </w:rPr>
                  </w:pPr>
                  <w:r>
                    <w:rPr>
                      <w:rFonts w:hint="default" w:cs="宋体"/>
                      <w:b/>
                      <w:bCs/>
                      <w:color w:val="000000"/>
                      <w:sz w:val="21"/>
                      <w:szCs w:val="21"/>
                    </w:rPr>
                    <w:t>对比结果</w:t>
                  </w:r>
                </w:p>
              </w:tc>
            </w:tr>
            <w:tr w14:paraId="5A26104A">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1" w:hRule="atLeast"/>
              </w:trPr>
              <w:tc>
                <w:tcPr>
                  <w:tcW w:w="625" w:type="pct"/>
                  <w:tcBorders>
                    <w:tl2br w:val="nil"/>
                    <w:tr2bl w:val="nil"/>
                  </w:tcBorders>
                  <w:noWrap w:val="0"/>
                  <w:vAlign w:val="center"/>
                </w:tcPr>
                <w:p w14:paraId="7B349F4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生产工艺和装备</w:t>
                  </w:r>
                </w:p>
              </w:tc>
              <w:tc>
                <w:tcPr>
                  <w:tcW w:w="2090" w:type="pct"/>
                  <w:gridSpan w:val="2"/>
                  <w:tcBorders>
                    <w:tl2br w:val="nil"/>
                    <w:tr2bl w:val="nil"/>
                  </w:tcBorders>
                  <w:noWrap w:val="0"/>
                  <w:vAlign w:val="center"/>
                </w:tcPr>
                <w:p w14:paraId="5283D546">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不属于《产业结构调整指导目录（2024 年版）》淘汰类，不属于省级和市级政府部门明确列入已经限期淘汰类项目。</w:t>
                  </w:r>
                </w:p>
              </w:tc>
              <w:tc>
                <w:tcPr>
                  <w:tcW w:w="1663" w:type="pct"/>
                  <w:tcBorders>
                    <w:tl2br w:val="nil"/>
                    <w:tr2bl w:val="nil"/>
                  </w:tcBorders>
                  <w:noWrap w:val="0"/>
                  <w:vAlign w:val="center"/>
                </w:tcPr>
                <w:p w14:paraId="245B90C3">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ascii="Times New Roman" w:hAnsi="Times New Roman" w:cs="Times New Roman" w:eastAsiaTheme="minorEastAsia"/>
                      <w:b w:val="0"/>
                      <w:bCs w:val="0"/>
                      <w:color w:val="000000"/>
                      <w:kern w:val="0"/>
                      <w:sz w:val="21"/>
                      <w:szCs w:val="21"/>
                      <w:lang w:val="en-US" w:eastAsia="zh-CN" w:bidi="ar"/>
                    </w:rPr>
                    <w:t>本项目</w:t>
                  </w:r>
                  <w:r>
                    <w:rPr>
                      <w:rFonts w:hint="default" w:ascii="Times New Roman" w:hAnsi="Times New Roman" w:cs="Times New Roman" w:eastAsiaTheme="minorEastAsia"/>
                      <w:b w:val="0"/>
                      <w:bCs w:val="0"/>
                      <w:color w:val="000000"/>
                      <w:kern w:val="0"/>
                      <w:sz w:val="21"/>
                      <w:szCs w:val="21"/>
                      <w:lang w:val="en-US" w:eastAsia="zh-CN" w:bidi="ar"/>
                    </w:rPr>
                    <w:t>属于《产业结构调整指导目录（2024 年版）》</w:t>
                  </w:r>
                  <w:r>
                    <w:rPr>
                      <w:rFonts w:hint="eastAsia" w:ascii="Times New Roman" w:hAnsi="Times New Roman" w:cs="Times New Roman" w:eastAsiaTheme="minorEastAsia"/>
                      <w:b w:val="0"/>
                      <w:bCs w:val="0"/>
                      <w:color w:val="000000"/>
                      <w:kern w:val="0"/>
                      <w:sz w:val="21"/>
                      <w:szCs w:val="21"/>
                      <w:lang w:val="en-US" w:eastAsia="zh-CN" w:bidi="ar"/>
                    </w:rPr>
                    <w:t>允许</w:t>
                  </w:r>
                  <w:r>
                    <w:rPr>
                      <w:rFonts w:hint="default" w:ascii="Times New Roman" w:hAnsi="Times New Roman" w:cs="Times New Roman" w:eastAsiaTheme="minorEastAsia"/>
                      <w:b w:val="0"/>
                      <w:bCs w:val="0"/>
                      <w:color w:val="000000"/>
                      <w:kern w:val="0"/>
                      <w:sz w:val="21"/>
                      <w:szCs w:val="21"/>
                      <w:lang w:val="en-US" w:eastAsia="zh-CN" w:bidi="ar"/>
                    </w:rPr>
                    <w:t>类</w:t>
                  </w:r>
                  <w:r>
                    <w:rPr>
                      <w:rFonts w:hint="eastAsia" w:ascii="Times New Roman" w:hAnsi="Times New Roman" w:cs="Times New Roman" w:eastAsiaTheme="minorEastAsia"/>
                      <w:b w:val="0"/>
                      <w:bCs w:val="0"/>
                      <w:color w:val="000000"/>
                      <w:kern w:val="0"/>
                      <w:sz w:val="21"/>
                      <w:szCs w:val="21"/>
                      <w:lang w:val="en-US" w:eastAsia="zh-CN" w:bidi="ar"/>
                    </w:rPr>
                    <w:t>，不属于</w:t>
                  </w:r>
                  <w:r>
                    <w:rPr>
                      <w:rFonts w:hint="default" w:ascii="Times New Roman" w:hAnsi="Times New Roman" w:cs="Times New Roman" w:eastAsiaTheme="minorEastAsia"/>
                      <w:b w:val="0"/>
                      <w:bCs w:val="0"/>
                      <w:color w:val="000000"/>
                      <w:kern w:val="0"/>
                      <w:sz w:val="21"/>
                      <w:szCs w:val="21"/>
                      <w:lang w:val="en-US" w:eastAsia="zh-CN" w:bidi="ar"/>
                    </w:rPr>
                    <w:t>省级和市级政府部门明确列入已经限期淘汰类项目</w:t>
                  </w:r>
                </w:p>
              </w:tc>
              <w:tc>
                <w:tcPr>
                  <w:tcW w:w="620" w:type="pct"/>
                  <w:tcBorders>
                    <w:tl2br w:val="nil"/>
                    <w:tr2bl w:val="nil"/>
                  </w:tcBorders>
                  <w:noWrap w:val="0"/>
                  <w:vAlign w:val="center"/>
                </w:tcPr>
                <w:p w14:paraId="7C26D931">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lang w:val="en-US" w:eastAsia="zh-CN"/>
                    </w:rPr>
                  </w:pPr>
                  <w:r>
                    <w:rPr>
                      <w:rFonts w:hint="eastAsia"/>
                      <w:sz w:val="21"/>
                      <w:szCs w:val="21"/>
                      <w:lang w:val="en-US" w:eastAsia="zh-CN"/>
                    </w:rPr>
                    <w:t>符合</w:t>
                  </w:r>
                </w:p>
              </w:tc>
            </w:tr>
            <w:tr w14:paraId="33807845">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1" w:hRule="atLeast"/>
              </w:trPr>
              <w:tc>
                <w:tcPr>
                  <w:tcW w:w="625" w:type="pct"/>
                  <w:tcBorders>
                    <w:tl2br w:val="nil"/>
                    <w:tr2bl w:val="nil"/>
                  </w:tcBorders>
                  <w:noWrap w:val="0"/>
                  <w:vAlign w:val="center"/>
                </w:tcPr>
                <w:p w14:paraId="3EF7CFBD">
                  <w:pPr>
                    <w:keepNext w:val="0"/>
                    <w:keepLines w:val="0"/>
                    <w:widowControl/>
                    <w:suppressLineNumbers w:val="0"/>
                    <w:spacing w:before="0" w:beforeAutospacing="0" w:after="0" w:afterAutospacing="0"/>
                    <w:ind w:left="0" w:right="0"/>
                    <w:jc w:val="center"/>
                    <w:rPr>
                      <w:rFonts w:hint="default" w:cs="Times New Roman"/>
                      <w:color w:val="000000"/>
                      <w:sz w:val="21"/>
                      <w:szCs w:val="21"/>
                      <w:lang w:val="en-US" w:eastAsia="zh-CN"/>
                    </w:rPr>
                  </w:pPr>
                  <w:r>
                    <w:rPr>
                      <w:rFonts w:hint="eastAsia" w:cs="Times New Roman"/>
                      <w:color w:val="000000"/>
                      <w:sz w:val="21"/>
                      <w:szCs w:val="21"/>
                      <w:lang w:val="en-US" w:eastAsia="zh-CN"/>
                    </w:rPr>
                    <w:t>物料装卸</w:t>
                  </w:r>
                </w:p>
              </w:tc>
              <w:tc>
                <w:tcPr>
                  <w:tcW w:w="2090" w:type="pct"/>
                  <w:gridSpan w:val="2"/>
                  <w:tcBorders>
                    <w:tl2br w:val="nil"/>
                    <w:tr2bl w:val="nil"/>
                  </w:tcBorders>
                  <w:noWrap w:val="0"/>
                  <w:vAlign w:val="center"/>
                </w:tcPr>
                <w:p w14:paraId="017FD759">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一般物料。粉状物料应储存于密闭/封闭料仓中；粒状、块状物料应储存于封闭料场中，并采取喷淋、清扫或其他有效抑尘措施；袋装物料应储存于封闭/半封闭料场中。封闭料场顶棚和四周围墙完整，料场内地面全部硬化，料场货物进出大门为硬质材料门或自动感应门，在确保安全的情况下，所有门窗保持常闭状态。不产尘物料（如钢材、管件）及产品如露天储存应在规定的存储区域码放整齐； </w:t>
                  </w:r>
                </w:p>
                <w:p w14:paraId="0B1EBE17">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2.危险废物。应有符合规范要求的危险废物储存间，危险废物储存间门口应张贴标准规范的危险废物标识和危废信息板，建立台账并挂于危废间内，危险废物管理台账和危险废物转移情况信息表保存5年以上。危废间内禁止存放除危险废物和应急工具外的其他物品。涉大气污染物排放的，应设置对应污染治理设施。</w:t>
                  </w:r>
                </w:p>
              </w:tc>
              <w:tc>
                <w:tcPr>
                  <w:tcW w:w="1663" w:type="pct"/>
                  <w:tcBorders>
                    <w:tl2br w:val="nil"/>
                    <w:tr2bl w:val="nil"/>
                  </w:tcBorders>
                  <w:noWrap w:val="0"/>
                  <w:vAlign w:val="center"/>
                </w:tcPr>
                <w:p w14:paraId="65F9AD03">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1、本项目原辅料为圆钢，产品为变幅杆工件，均属于不产尘物料，圆钢在原料库码放整齐，产品在成品库放置整齐。</w:t>
                  </w:r>
                </w:p>
                <w:p w14:paraId="779B04A4">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sz w:val="21"/>
                      <w:szCs w:val="21"/>
                      <w:highlight w:val="none"/>
                      <w:lang w:val="en-US" w:eastAsia="zh-CN"/>
                    </w:rPr>
                    <w:t>2、本项目</w:t>
                  </w:r>
                  <w:r>
                    <w:rPr>
                      <w:rFonts w:hint="default" w:ascii="Times New Roman" w:hAnsi="Times New Roman" w:eastAsia="宋体" w:cs="Times New Roman"/>
                      <w:sz w:val="21"/>
                      <w:szCs w:val="21"/>
                      <w:lang w:eastAsia="zh-CN"/>
                    </w:rPr>
                    <w:t>危险废物暂存间按照</w:t>
                  </w:r>
                  <w:r>
                    <w:rPr>
                      <w:rFonts w:hint="default" w:ascii="Times New Roman" w:hAnsi="Times New Roman" w:eastAsia="宋体" w:cs="Times New Roman"/>
                      <w:sz w:val="21"/>
                      <w:szCs w:val="21"/>
                    </w:rPr>
                    <w:t>《危险废物贮存污染控制标准》（GB18597-2023）</w:t>
                  </w:r>
                  <w:r>
                    <w:rPr>
                      <w:rFonts w:hint="default" w:ascii="Times New Roman" w:hAnsi="Times New Roman" w:eastAsia="宋体" w:cs="Times New Roman"/>
                      <w:sz w:val="21"/>
                      <w:szCs w:val="21"/>
                      <w:lang w:eastAsia="zh-CN"/>
                    </w:rPr>
                    <w:t>中相关要求进行建设，张贴标准规范的危险废物标识和危废信息</w:t>
                  </w:r>
                  <w:r>
                    <w:rPr>
                      <w:rFonts w:hint="eastAsia" w:ascii="Times New Roman" w:hAnsi="Times New Roman" w:eastAsia="宋体" w:cs="Times New Roman"/>
                      <w:sz w:val="21"/>
                      <w:szCs w:val="21"/>
                      <w:lang w:val="en-US" w:eastAsia="zh-CN"/>
                    </w:rPr>
                    <w:t>板</w:t>
                  </w:r>
                  <w:r>
                    <w:rPr>
                      <w:rFonts w:hint="default" w:ascii="Times New Roman" w:hAnsi="Times New Roman" w:eastAsia="宋体" w:cs="Times New Roman"/>
                      <w:sz w:val="21"/>
                      <w:szCs w:val="21"/>
                      <w:lang w:eastAsia="zh-CN"/>
                    </w:rPr>
                    <w:t>，建立台账，</w:t>
                  </w:r>
                  <w:r>
                    <w:rPr>
                      <w:rFonts w:hint="default" w:ascii="Times New Roman" w:hAnsi="Times New Roman" w:eastAsia="宋体" w:cs="Times New Roman"/>
                      <w:color w:val="000000"/>
                      <w:kern w:val="0"/>
                      <w:sz w:val="21"/>
                      <w:szCs w:val="21"/>
                      <w:lang w:val="en-US" w:eastAsia="zh-CN" w:bidi="ar"/>
                    </w:rPr>
                    <w:t>危险废物的记录和货单保存</w:t>
                  </w:r>
                  <w:r>
                    <w:rPr>
                      <w:rFonts w:hint="eastAsia" w:ascii="Times New Roman" w:hAnsi="Times New Roman" w:eastAsia="宋体" w:cs="Times New Roman"/>
                      <w:color w:val="000000"/>
                      <w:kern w:val="0"/>
                      <w:sz w:val="21"/>
                      <w:szCs w:val="21"/>
                      <w:lang w:val="en-US" w:eastAsia="zh-CN" w:bidi="ar"/>
                    </w:rPr>
                    <w:t>5</w:t>
                  </w:r>
                  <w:r>
                    <w:rPr>
                      <w:rFonts w:hint="default" w:ascii="Times New Roman" w:hAnsi="Times New Roman" w:eastAsia="宋体" w:cs="Times New Roman"/>
                      <w:color w:val="000000"/>
                      <w:kern w:val="0"/>
                      <w:sz w:val="21"/>
                      <w:szCs w:val="21"/>
                      <w:lang w:val="en-US" w:eastAsia="zh-CN" w:bidi="ar"/>
                    </w:rPr>
                    <w:t>年以上。危废间内禁止存放除危险废物和应急工具外的其他物品。</w:t>
                  </w:r>
                </w:p>
              </w:tc>
              <w:tc>
                <w:tcPr>
                  <w:tcW w:w="620" w:type="pct"/>
                  <w:tcBorders>
                    <w:tl2br w:val="nil"/>
                    <w:tr2bl w:val="nil"/>
                  </w:tcBorders>
                  <w:noWrap w:val="0"/>
                  <w:vAlign w:val="center"/>
                </w:tcPr>
                <w:p w14:paraId="77F65094">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lang w:val="en-US" w:eastAsia="zh-CN"/>
                    </w:rPr>
                  </w:pPr>
                  <w:r>
                    <w:rPr>
                      <w:rFonts w:hint="eastAsia"/>
                      <w:sz w:val="21"/>
                      <w:szCs w:val="21"/>
                      <w:lang w:val="en-US" w:eastAsia="zh-CN"/>
                    </w:rPr>
                    <w:t>符合</w:t>
                  </w:r>
                </w:p>
              </w:tc>
            </w:tr>
            <w:tr w14:paraId="4B7E3A1B">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1" w:hRule="atLeast"/>
              </w:trPr>
              <w:tc>
                <w:tcPr>
                  <w:tcW w:w="625" w:type="pct"/>
                  <w:tcBorders>
                    <w:tl2br w:val="nil"/>
                    <w:tr2bl w:val="nil"/>
                  </w:tcBorders>
                  <w:noWrap w:val="0"/>
                  <w:vAlign w:val="center"/>
                </w:tcPr>
                <w:p w14:paraId="7C53FAB6">
                  <w:pPr>
                    <w:keepNext w:val="0"/>
                    <w:keepLines w:val="0"/>
                    <w:widowControl/>
                    <w:suppressLineNumbers w:val="0"/>
                    <w:spacing w:before="0" w:beforeAutospacing="0" w:after="0" w:afterAutospacing="0"/>
                    <w:ind w:left="0" w:right="0"/>
                    <w:jc w:val="center"/>
                    <w:rPr>
                      <w:rFonts w:hint="default" w:cs="Times New Roman"/>
                      <w:color w:val="000000"/>
                      <w:sz w:val="21"/>
                      <w:szCs w:val="21"/>
                      <w:lang w:val="en-US" w:eastAsia="zh-CN"/>
                    </w:rPr>
                  </w:pPr>
                  <w:r>
                    <w:rPr>
                      <w:rFonts w:hint="eastAsia" w:cs="Times New Roman"/>
                      <w:color w:val="000000"/>
                      <w:sz w:val="21"/>
                      <w:szCs w:val="21"/>
                      <w:lang w:val="en-US" w:eastAsia="zh-CN"/>
                    </w:rPr>
                    <w:t>物料转移和输送</w:t>
                  </w:r>
                </w:p>
              </w:tc>
              <w:tc>
                <w:tcPr>
                  <w:tcW w:w="2090" w:type="pct"/>
                  <w:gridSpan w:val="2"/>
                  <w:tcBorders>
                    <w:tl2br w:val="nil"/>
                    <w:tr2bl w:val="nil"/>
                  </w:tcBorders>
                  <w:noWrap w:val="0"/>
                  <w:vAlign w:val="center"/>
                </w:tcPr>
                <w:p w14:paraId="736A0D81">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1.粉状、粒状等易产尘物料厂内转移、输送过程应采用气力输送、密闭输送，块状和粘湿粉状物料采用封闭输送； </w:t>
                  </w:r>
                </w:p>
                <w:p w14:paraId="167D4CFE">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2.无法封闭的产尘点（物料转载、下料口等）应采取集气除尘措施，或有效抑尘措施。</w:t>
                  </w:r>
                </w:p>
              </w:tc>
              <w:tc>
                <w:tcPr>
                  <w:tcW w:w="1663" w:type="pct"/>
                  <w:tcBorders>
                    <w:tl2br w:val="nil"/>
                    <w:tr2bl w:val="nil"/>
                  </w:tcBorders>
                  <w:noWrap w:val="0"/>
                  <w:vAlign w:val="center"/>
                </w:tcPr>
                <w:p w14:paraId="38E31E9A">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1、本项目原料为圆钢，不涉及产尘原料，除尘器集尘采用密闭输送；</w:t>
                  </w:r>
                </w:p>
                <w:p w14:paraId="6982301D">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sz w:val="21"/>
                      <w:szCs w:val="21"/>
                      <w:lang w:val="en-US" w:eastAsia="zh-CN"/>
                    </w:rPr>
                    <w:t>2、本项目不涉及无法封闭的产尘点。</w:t>
                  </w:r>
                </w:p>
              </w:tc>
              <w:tc>
                <w:tcPr>
                  <w:tcW w:w="620" w:type="pct"/>
                  <w:tcBorders>
                    <w:tl2br w:val="nil"/>
                    <w:tr2bl w:val="nil"/>
                  </w:tcBorders>
                  <w:noWrap w:val="0"/>
                  <w:vAlign w:val="center"/>
                </w:tcPr>
                <w:p w14:paraId="66088608">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lang w:val="en-US" w:eastAsia="zh-CN"/>
                    </w:rPr>
                  </w:pPr>
                  <w:r>
                    <w:rPr>
                      <w:rFonts w:hint="eastAsia"/>
                      <w:sz w:val="21"/>
                      <w:szCs w:val="21"/>
                      <w:lang w:val="en-US" w:eastAsia="zh-CN"/>
                    </w:rPr>
                    <w:t>符合</w:t>
                  </w:r>
                </w:p>
              </w:tc>
            </w:tr>
            <w:tr w14:paraId="69CC4FBA">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1" w:hRule="atLeast"/>
              </w:trPr>
              <w:tc>
                <w:tcPr>
                  <w:tcW w:w="625" w:type="pct"/>
                  <w:tcBorders>
                    <w:bottom w:val="single" w:color="auto" w:sz="4" w:space="0"/>
                  </w:tcBorders>
                  <w:noWrap w:val="0"/>
                  <w:vAlign w:val="center"/>
                </w:tcPr>
                <w:p w14:paraId="14D67338">
                  <w:pPr>
                    <w:keepNext w:val="0"/>
                    <w:keepLines w:val="0"/>
                    <w:widowControl/>
                    <w:suppressLineNumbers w:val="0"/>
                    <w:spacing w:before="0" w:beforeAutospacing="0" w:after="0" w:afterAutospacing="0"/>
                    <w:ind w:left="0" w:right="0"/>
                    <w:jc w:val="center"/>
                    <w:rPr>
                      <w:rFonts w:hint="default" w:cs="Times New Roman"/>
                      <w:color w:val="000000"/>
                      <w:sz w:val="21"/>
                      <w:szCs w:val="21"/>
                      <w:lang w:val="en-US" w:eastAsia="zh-CN"/>
                    </w:rPr>
                  </w:pPr>
                  <w:r>
                    <w:rPr>
                      <w:rFonts w:hint="eastAsia" w:cs="Times New Roman"/>
                      <w:color w:val="000000"/>
                      <w:sz w:val="21"/>
                      <w:szCs w:val="21"/>
                      <w:lang w:val="en-US" w:eastAsia="zh-CN"/>
                    </w:rPr>
                    <w:t>工艺过程</w:t>
                  </w:r>
                </w:p>
              </w:tc>
              <w:tc>
                <w:tcPr>
                  <w:tcW w:w="2090" w:type="pct"/>
                  <w:gridSpan w:val="2"/>
                  <w:tcBorders>
                    <w:bottom w:val="single" w:color="auto" w:sz="4" w:space="0"/>
                  </w:tcBorders>
                  <w:noWrap w:val="0"/>
                  <w:vAlign w:val="center"/>
                </w:tcPr>
                <w:p w14:paraId="3A95B660">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1.各种物料破碎、筛分、配料、混料等过程应在封闭厂房内进行，并采取收尘/抑尘措施； </w:t>
                  </w:r>
                </w:p>
                <w:p w14:paraId="0DC5AE28">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2.破碎筛分设备在进、出料口和配料混料过程等产尘点应设置集气除尘设施。</w:t>
                  </w:r>
                </w:p>
              </w:tc>
              <w:tc>
                <w:tcPr>
                  <w:tcW w:w="1663" w:type="pct"/>
                  <w:tcBorders>
                    <w:bottom w:val="single" w:color="auto" w:sz="4" w:space="0"/>
                  </w:tcBorders>
                  <w:noWrap w:val="0"/>
                  <w:vAlign w:val="center"/>
                </w:tcPr>
                <w:p w14:paraId="19D21436">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sz w:val="21"/>
                      <w:szCs w:val="21"/>
                      <w:lang w:val="en-US" w:eastAsia="zh-CN"/>
                    </w:rPr>
                    <w:t>本项目不涉及物料破碎、筛分、配料、混料等工序</w:t>
                  </w:r>
                </w:p>
              </w:tc>
              <w:tc>
                <w:tcPr>
                  <w:tcW w:w="620" w:type="pct"/>
                  <w:tcBorders>
                    <w:bottom w:val="single" w:color="auto" w:sz="4" w:space="0"/>
                  </w:tcBorders>
                  <w:noWrap w:val="0"/>
                  <w:vAlign w:val="center"/>
                </w:tcPr>
                <w:p w14:paraId="437D40FB">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lang w:val="en-US" w:eastAsia="zh-CN"/>
                    </w:rPr>
                  </w:pPr>
                  <w:r>
                    <w:rPr>
                      <w:rFonts w:hint="eastAsia"/>
                      <w:sz w:val="21"/>
                      <w:szCs w:val="21"/>
                      <w:lang w:val="en-US" w:eastAsia="zh-CN"/>
                    </w:rPr>
                    <w:t>不涉及</w:t>
                  </w:r>
                </w:p>
              </w:tc>
            </w:tr>
            <w:tr w14:paraId="575BA66C">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1" w:hRule="atLeast"/>
              </w:trPr>
              <w:tc>
                <w:tcPr>
                  <w:tcW w:w="625" w:type="pct"/>
                  <w:tcBorders>
                    <w:top w:val="single" w:color="auto" w:sz="4" w:space="0"/>
                    <w:tl2br w:val="nil"/>
                    <w:tr2bl w:val="nil"/>
                  </w:tcBorders>
                  <w:noWrap w:val="0"/>
                  <w:vAlign w:val="center"/>
                </w:tcPr>
                <w:p w14:paraId="367A7835">
                  <w:pPr>
                    <w:keepNext w:val="0"/>
                    <w:keepLines w:val="0"/>
                    <w:widowControl/>
                    <w:suppressLineNumbers w:val="0"/>
                    <w:spacing w:before="0" w:beforeAutospacing="0" w:after="0" w:afterAutospacing="0"/>
                    <w:ind w:left="0" w:right="0"/>
                    <w:jc w:val="center"/>
                    <w:rPr>
                      <w:rFonts w:hint="default" w:cs="Times New Roman"/>
                      <w:color w:val="000000"/>
                      <w:sz w:val="21"/>
                      <w:szCs w:val="21"/>
                      <w:lang w:val="en-US" w:eastAsia="zh-CN"/>
                    </w:rPr>
                  </w:pPr>
                  <w:r>
                    <w:rPr>
                      <w:rFonts w:hint="eastAsia" w:cs="Times New Roman"/>
                      <w:color w:val="000000"/>
                      <w:sz w:val="21"/>
                      <w:szCs w:val="21"/>
                      <w:lang w:val="en-US" w:eastAsia="zh-CN"/>
                    </w:rPr>
                    <w:t>成品包装</w:t>
                  </w:r>
                </w:p>
              </w:tc>
              <w:tc>
                <w:tcPr>
                  <w:tcW w:w="2090" w:type="pct"/>
                  <w:gridSpan w:val="2"/>
                  <w:tcBorders>
                    <w:top w:val="single" w:color="auto" w:sz="4" w:space="0"/>
                    <w:tl2br w:val="nil"/>
                    <w:tr2bl w:val="nil"/>
                  </w:tcBorders>
                  <w:noWrap w:val="0"/>
                  <w:vAlign w:val="center"/>
                </w:tcPr>
                <w:p w14:paraId="2066E4EC">
                  <w:pPr>
                    <w:keepNext w:val="0"/>
                    <w:keepLines w:val="0"/>
                    <w:widowControl/>
                    <w:suppressLineNumbers w:val="0"/>
                    <w:spacing w:before="0" w:beforeAutospacing="0" w:after="0" w:afterAutospacing="0"/>
                    <w:ind w:left="0" w:right="0"/>
                    <w:jc w:val="left"/>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1.粉状、粒状产品包装卸料口应完全封闭，如不能封闭应采取局部集气除尘措施。卸料口地面应及时清扫，地面无明显积尘； </w:t>
                  </w:r>
                </w:p>
                <w:p w14:paraId="31BC1E62">
                  <w:pPr>
                    <w:keepNext w:val="0"/>
                    <w:keepLines w:val="0"/>
                    <w:widowControl/>
                    <w:suppressLineNumbers w:val="0"/>
                    <w:spacing w:before="0" w:beforeAutospacing="0" w:after="0" w:afterAutospacing="0"/>
                    <w:ind w:left="0" w:right="0"/>
                    <w:jc w:val="left"/>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2.各生产工序的车间地面干净，无积料、积灰现象； </w:t>
                  </w:r>
                </w:p>
                <w:p w14:paraId="2BC98CBC">
                  <w:pPr>
                    <w:keepNext w:val="0"/>
                    <w:keepLines w:val="0"/>
                    <w:widowControl/>
                    <w:suppressLineNumbers w:val="0"/>
                    <w:spacing w:before="0" w:beforeAutospacing="0" w:after="0" w:afterAutospacing="0"/>
                    <w:ind w:left="0" w:right="0"/>
                    <w:jc w:val="left"/>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3.生产车间不得有可见烟（粉）尘外逸。</w:t>
                  </w:r>
                </w:p>
              </w:tc>
              <w:tc>
                <w:tcPr>
                  <w:tcW w:w="1663" w:type="pct"/>
                  <w:tcBorders>
                    <w:top w:val="single" w:color="auto" w:sz="4" w:space="0"/>
                    <w:tl2br w:val="nil"/>
                    <w:tr2bl w:val="nil"/>
                  </w:tcBorders>
                  <w:noWrap w:val="0"/>
                  <w:vAlign w:val="center"/>
                </w:tcPr>
                <w:p w14:paraId="0B7BA27F">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1、本项目原料为圆钢，不涉及卸料粉尘；</w:t>
                  </w:r>
                </w:p>
                <w:p w14:paraId="4087713C">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sz w:val="21"/>
                      <w:szCs w:val="21"/>
                      <w:lang w:val="en-US" w:eastAsia="zh-CN"/>
                    </w:rPr>
                    <w:t>2、各生产工序车间地面干净，无积料、积灰现象，车间无可见烟（粉）尘外逸。</w:t>
                  </w:r>
                </w:p>
              </w:tc>
              <w:tc>
                <w:tcPr>
                  <w:tcW w:w="620" w:type="pct"/>
                  <w:tcBorders>
                    <w:top w:val="single" w:color="auto" w:sz="4" w:space="0"/>
                    <w:tl2br w:val="nil"/>
                    <w:tr2bl w:val="nil"/>
                  </w:tcBorders>
                  <w:noWrap w:val="0"/>
                  <w:vAlign w:val="center"/>
                </w:tcPr>
                <w:p w14:paraId="0E53718B">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lang w:val="en-US" w:eastAsia="zh-CN"/>
                    </w:rPr>
                  </w:pPr>
                  <w:r>
                    <w:rPr>
                      <w:rFonts w:hint="eastAsia"/>
                      <w:sz w:val="21"/>
                      <w:szCs w:val="21"/>
                      <w:lang w:val="en-US" w:eastAsia="zh-CN"/>
                    </w:rPr>
                    <w:t>符合</w:t>
                  </w:r>
                </w:p>
              </w:tc>
            </w:tr>
            <w:tr w14:paraId="1F586FB7">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625" w:type="pct"/>
                  <w:tcBorders>
                    <w:tl2br w:val="nil"/>
                    <w:tr2bl w:val="nil"/>
                  </w:tcBorders>
                  <w:noWrap w:val="0"/>
                  <w:vAlign w:val="center"/>
                </w:tcPr>
                <w:p w14:paraId="5426D1BF">
                  <w:pPr>
                    <w:keepNext w:val="0"/>
                    <w:keepLines w:val="0"/>
                    <w:widowControl/>
                    <w:suppressLineNumbers w:val="0"/>
                    <w:spacing w:before="0" w:beforeAutospacing="0" w:after="0" w:afterAutospacing="0"/>
                    <w:ind w:left="0" w:right="0"/>
                    <w:jc w:val="center"/>
                    <w:rPr>
                      <w:rFonts w:hint="default" w:cs="Times New Roman"/>
                      <w:color w:val="000000"/>
                      <w:sz w:val="21"/>
                      <w:szCs w:val="21"/>
                      <w:lang w:val="en-US" w:eastAsia="zh-CN"/>
                    </w:rPr>
                  </w:pPr>
                  <w:r>
                    <w:rPr>
                      <w:rFonts w:hint="eastAsia" w:cs="Times New Roman"/>
                      <w:color w:val="000000"/>
                      <w:sz w:val="21"/>
                      <w:szCs w:val="21"/>
                      <w:lang w:val="en-US" w:eastAsia="zh-CN"/>
                    </w:rPr>
                    <w:t>排放限值</w:t>
                  </w:r>
                </w:p>
              </w:tc>
              <w:tc>
                <w:tcPr>
                  <w:tcW w:w="2090" w:type="pct"/>
                  <w:gridSpan w:val="2"/>
                  <w:tcBorders>
                    <w:tl2br w:val="nil"/>
                    <w:tr2bl w:val="nil"/>
                  </w:tcBorders>
                  <w:noWrap w:val="0"/>
                  <w:vAlign w:val="center"/>
                </w:tcPr>
                <w:p w14:paraId="50330610">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PM 排放限值不高于10mg/m</w:t>
                  </w:r>
                  <w:r>
                    <w:rPr>
                      <w:rFonts w:hint="default" w:ascii="Times New Roman" w:hAnsi="Times New Roman" w:cs="Times New Roman" w:eastAsiaTheme="minorEastAsia"/>
                      <w:b w:val="0"/>
                      <w:bCs w:val="0"/>
                      <w:color w:val="000000"/>
                      <w:kern w:val="0"/>
                      <w:sz w:val="21"/>
                      <w:szCs w:val="21"/>
                      <w:vertAlign w:val="superscript"/>
                      <w:lang w:val="en-US" w:eastAsia="zh-CN" w:bidi="ar"/>
                    </w:rPr>
                    <w:t>3</w:t>
                  </w:r>
                  <w:r>
                    <w:rPr>
                      <w:rFonts w:hint="default" w:ascii="Times New Roman" w:hAnsi="Times New Roman" w:cs="Times New Roman" w:eastAsiaTheme="minorEastAsia"/>
                      <w:b w:val="0"/>
                      <w:bCs w:val="0"/>
                      <w:color w:val="000000"/>
                      <w:kern w:val="0"/>
                      <w:sz w:val="21"/>
                      <w:szCs w:val="21"/>
                      <w:lang w:val="en-US" w:eastAsia="zh-CN" w:bidi="ar"/>
                    </w:rPr>
                    <w:t>；其他污染物排放浓度达到相关污染物排放标准。</w:t>
                  </w:r>
                </w:p>
              </w:tc>
              <w:tc>
                <w:tcPr>
                  <w:tcW w:w="1663" w:type="pct"/>
                  <w:tcBorders>
                    <w:tl2br w:val="nil"/>
                    <w:tr2bl w:val="nil"/>
                  </w:tcBorders>
                  <w:noWrap w:val="0"/>
                  <w:vAlign w:val="center"/>
                </w:tcPr>
                <w:p w14:paraId="53996EAE">
                  <w:pPr>
                    <w:keepNext w:val="0"/>
                    <w:keepLines w:val="0"/>
                    <w:suppressLineNumbers w:val="0"/>
                    <w:spacing w:before="0" w:beforeAutospacing="0" w:after="0" w:afterAutospacing="0"/>
                    <w:ind w:left="0" w:right="0"/>
                    <w:jc w:val="both"/>
                    <w:rPr>
                      <w:rFonts w:hint="default"/>
                      <w:sz w:val="21"/>
                      <w:szCs w:val="21"/>
                      <w:vertAlign w:val="baseline"/>
                      <w:lang w:val="en-US" w:eastAsia="zh-CN"/>
                    </w:rPr>
                  </w:pPr>
                  <w:r>
                    <w:rPr>
                      <w:rFonts w:hint="eastAsia"/>
                      <w:sz w:val="21"/>
                      <w:szCs w:val="21"/>
                      <w:lang w:val="en-US" w:eastAsia="zh-CN"/>
                    </w:rPr>
                    <w:t>本项目PM排放限值不高于</w:t>
                  </w:r>
                  <w:r>
                    <w:rPr>
                      <w:rFonts w:hint="default" w:ascii="Times New Roman" w:hAnsi="Times New Roman" w:cs="Times New Roman" w:eastAsiaTheme="minorEastAsia"/>
                      <w:b w:val="0"/>
                      <w:bCs w:val="0"/>
                      <w:color w:val="000000"/>
                      <w:kern w:val="0"/>
                      <w:sz w:val="21"/>
                      <w:szCs w:val="21"/>
                      <w:lang w:val="en-US" w:eastAsia="zh-CN" w:bidi="ar"/>
                    </w:rPr>
                    <w:t>10mg/m</w:t>
                  </w:r>
                  <w:r>
                    <w:rPr>
                      <w:rFonts w:hint="default" w:ascii="Times New Roman" w:hAnsi="Times New Roman" w:cs="Times New Roman" w:eastAsiaTheme="minorEastAsia"/>
                      <w:b w:val="0"/>
                      <w:bCs w:val="0"/>
                      <w:color w:val="000000"/>
                      <w:kern w:val="0"/>
                      <w:sz w:val="21"/>
                      <w:szCs w:val="21"/>
                      <w:vertAlign w:val="superscript"/>
                      <w:lang w:val="en-US" w:eastAsia="zh-CN" w:bidi="ar"/>
                    </w:rPr>
                    <w:t>3</w:t>
                  </w:r>
                  <w:r>
                    <w:rPr>
                      <w:rFonts w:hint="eastAsia" w:cs="Times New Roman" w:eastAsiaTheme="minorEastAsia"/>
                      <w:b w:val="0"/>
                      <w:bCs w:val="0"/>
                      <w:color w:val="000000"/>
                      <w:kern w:val="0"/>
                      <w:sz w:val="21"/>
                      <w:szCs w:val="21"/>
                      <w:vertAlign w:val="baseline"/>
                      <w:lang w:val="en-US" w:eastAsia="zh-CN" w:bidi="ar"/>
                    </w:rPr>
                    <w:t>。</w:t>
                  </w:r>
                </w:p>
              </w:tc>
              <w:tc>
                <w:tcPr>
                  <w:tcW w:w="620" w:type="pct"/>
                  <w:tcBorders>
                    <w:tl2br w:val="nil"/>
                    <w:tr2bl w:val="nil"/>
                  </w:tcBorders>
                  <w:noWrap w:val="0"/>
                  <w:vAlign w:val="center"/>
                </w:tcPr>
                <w:p w14:paraId="72281BB3">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lang w:val="en-US" w:eastAsia="zh-CN"/>
                    </w:rPr>
                  </w:pPr>
                  <w:r>
                    <w:rPr>
                      <w:rFonts w:hint="eastAsia"/>
                      <w:sz w:val="21"/>
                      <w:szCs w:val="21"/>
                      <w:lang w:val="en-US" w:eastAsia="zh-CN"/>
                    </w:rPr>
                    <w:t>符合</w:t>
                  </w:r>
                </w:p>
              </w:tc>
            </w:tr>
            <w:tr w14:paraId="28BFDE29">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625" w:type="pct"/>
                  <w:tcBorders>
                    <w:tl2br w:val="nil"/>
                    <w:tr2bl w:val="nil"/>
                  </w:tcBorders>
                  <w:noWrap w:val="0"/>
                  <w:vAlign w:val="center"/>
                </w:tcPr>
                <w:p w14:paraId="15829CE3">
                  <w:pPr>
                    <w:keepNext w:val="0"/>
                    <w:keepLines w:val="0"/>
                    <w:widowControl/>
                    <w:suppressLineNumbers w:val="0"/>
                    <w:spacing w:before="0" w:beforeAutospacing="0" w:after="0" w:afterAutospacing="0"/>
                    <w:ind w:left="0" w:right="0"/>
                    <w:jc w:val="center"/>
                    <w:rPr>
                      <w:rFonts w:hint="eastAsia" w:cs="Times New Roman"/>
                      <w:color w:val="000000"/>
                      <w:sz w:val="21"/>
                      <w:szCs w:val="21"/>
                      <w:lang w:val="en-US" w:eastAsia="zh-CN"/>
                    </w:rPr>
                  </w:pPr>
                  <w:r>
                    <w:rPr>
                      <w:rFonts w:hint="eastAsia" w:ascii="宋体" w:hAnsi="宋体" w:eastAsia="宋体" w:cs="宋体"/>
                      <w:b w:val="0"/>
                      <w:bCs w:val="0"/>
                      <w:color w:val="000000"/>
                      <w:kern w:val="0"/>
                      <w:sz w:val="21"/>
                      <w:szCs w:val="21"/>
                      <w:lang w:val="en-US" w:eastAsia="zh-CN" w:bidi="ar"/>
                    </w:rPr>
                    <w:t>无组织管控</w:t>
                  </w:r>
                </w:p>
              </w:tc>
              <w:tc>
                <w:tcPr>
                  <w:tcW w:w="2090" w:type="pct"/>
                  <w:gridSpan w:val="2"/>
                  <w:tcBorders>
                    <w:tl2br w:val="nil"/>
                    <w:tr2bl w:val="nil"/>
                  </w:tcBorders>
                  <w:noWrap w:val="0"/>
                  <w:vAlign w:val="center"/>
                </w:tcPr>
                <w:p w14:paraId="0DD41120">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1.除尘器应设置密闭灰仓并及时卸灰，除尘灰应通过气力输送、罐车、吨包袋等封闭方式卸灰，不得直接卸落到地面； </w:t>
                  </w:r>
                </w:p>
                <w:p w14:paraId="16C869D5">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2.除尘灰如果转运应采用气力输送、封闭传送带方式，如果直接外运应采用罐车或袋装后运输，并在装车过程中采取抑尘措施，除尘灰在厂区内应密闭/封闭储存； </w:t>
                  </w:r>
                </w:p>
                <w:p w14:paraId="4B956683">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3.脱硫石膏和脱硫废渣等固体废物在厂区内应封闭储存，在转运过程中应采取封闭抑尘措施并应封闭储存。</w:t>
                  </w:r>
                </w:p>
              </w:tc>
              <w:tc>
                <w:tcPr>
                  <w:tcW w:w="1663" w:type="pct"/>
                  <w:tcBorders>
                    <w:tl2br w:val="nil"/>
                    <w:tr2bl w:val="nil"/>
                  </w:tcBorders>
                  <w:noWrap w:val="0"/>
                  <w:vAlign w:val="center"/>
                </w:tcPr>
                <w:p w14:paraId="2BF62B80">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1、本项目除尘灰设置密闭灰仓，除尘灰通过密闭方式卸灰，不直接卸落到地面。</w:t>
                  </w:r>
                </w:p>
                <w:p w14:paraId="1336EE88">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2、本项目除尘灰采用袋装运输，除尘灰在厂区一般固废暂存间内密闭储存。</w:t>
                  </w:r>
                </w:p>
                <w:p w14:paraId="580B9CE5">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sz w:val="21"/>
                      <w:szCs w:val="21"/>
                      <w:lang w:val="en-US" w:eastAsia="zh-CN"/>
                    </w:rPr>
                    <w:t>3、本项目不涉及脱硫石膏和脱硫废渣等固体废物。</w:t>
                  </w:r>
                </w:p>
              </w:tc>
              <w:tc>
                <w:tcPr>
                  <w:tcW w:w="620" w:type="pct"/>
                  <w:tcBorders>
                    <w:tl2br w:val="nil"/>
                    <w:tr2bl w:val="nil"/>
                  </w:tcBorders>
                  <w:noWrap w:val="0"/>
                  <w:vAlign w:val="center"/>
                </w:tcPr>
                <w:p w14:paraId="23619DFB">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lang w:eastAsia="zh-CN"/>
                    </w:rPr>
                  </w:pPr>
                  <w:r>
                    <w:rPr>
                      <w:rFonts w:hint="eastAsia"/>
                      <w:sz w:val="21"/>
                      <w:szCs w:val="21"/>
                      <w:lang w:val="en-US" w:eastAsia="zh-CN"/>
                    </w:rPr>
                    <w:t>符合</w:t>
                  </w:r>
                </w:p>
              </w:tc>
            </w:tr>
            <w:tr w14:paraId="62C9E8CC">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625" w:type="pct"/>
                  <w:tcBorders>
                    <w:tl2br w:val="nil"/>
                    <w:tr2bl w:val="nil"/>
                  </w:tcBorders>
                  <w:noWrap w:val="0"/>
                  <w:vAlign w:val="center"/>
                </w:tcPr>
                <w:p w14:paraId="0ED9B475">
                  <w:pPr>
                    <w:keepNext w:val="0"/>
                    <w:keepLines w:val="0"/>
                    <w:widowControl/>
                    <w:suppressLineNumbers w:val="0"/>
                    <w:spacing w:before="0" w:beforeAutospacing="0" w:after="0" w:afterAutospacing="0"/>
                    <w:ind w:left="0" w:right="0"/>
                    <w:jc w:val="center"/>
                    <w:rPr>
                      <w:rFonts w:hint="default"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视频监管</w:t>
                  </w:r>
                </w:p>
              </w:tc>
              <w:tc>
                <w:tcPr>
                  <w:tcW w:w="2090" w:type="pct"/>
                  <w:gridSpan w:val="2"/>
                  <w:tcBorders>
                    <w:tl2br w:val="nil"/>
                    <w:tr2bl w:val="nil"/>
                  </w:tcBorders>
                  <w:noWrap w:val="0"/>
                  <w:vAlign w:val="center"/>
                </w:tcPr>
                <w:p w14:paraId="567D123A">
                  <w:pPr>
                    <w:keepNext w:val="0"/>
                    <w:keepLines w:val="0"/>
                    <w:widowControl/>
                    <w:suppressLineNumbers w:val="0"/>
                    <w:spacing w:before="0" w:beforeAutospacing="0" w:after="0" w:afterAutospacing="0"/>
                    <w:ind w:left="0" w:right="0"/>
                    <w:jc w:val="left"/>
                    <w:rPr>
                      <w:rFonts w:hint="default" w:ascii="Times New Roman" w:hAnsi="Times New Roman" w:cs="Times New Roman" w:eastAsiaTheme="minorEastAsia"/>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未安装自动在线监控的企业，应在主要生产设备（投料口、卸料口等位置）安装视频监控设施，相关数据保存</w:t>
                  </w:r>
                  <w:r>
                    <w:rPr>
                      <w:rFonts w:hint="default" w:ascii="Times New Roman" w:hAnsi="Times New Roman" w:eastAsia="宋体" w:cs="Times New Roman"/>
                      <w:b w:val="0"/>
                      <w:bCs w:val="0"/>
                      <w:color w:val="000000"/>
                      <w:kern w:val="0"/>
                      <w:sz w:val="21"/>
                      <w:szCs w:val="21"/>
                      <w:lang w:val="en-US" w:eastAsia="zh-CN" w:bidi="ar"/>
                    </w:rPr>
                    <w:t>6</w:t>
                  </w:r>
                  <w:r>
                    <w:rPr>
                      <w:rFonts w:hint="eastAsia" w:ascii="宋体" w:hAnsi="宋体" w:eastAsia="宋体" w:cs="宋体"/>
                      <w:b w:val="0"/>
                      <w:bCs w:val="0"/>
                      <w:color w:val="000000"/>
                      <w:kern w:val="0"/>
                      <w:sz w:val="21"/>
                      <w:szCs w:val="21"/>
                      <w:lang w:val="en-US" w:eastAsia="zh-CN" w:bidi="ar"/>
                    </w:rPr>
                    <w:t>个月以上。</w:t>
                  </w:r>
                </w:p>
              </w:tc>
              <w:tc>
                <w:tcPr>
                  <w:tcW w:w="1663" w:type="pct"/>
                  <w:tcBorders>
                    <w:tl2br w:val="nil"/>
                    <w:tr2bl w:val="nil"/>
                  </w:tcBorders>
                  <w:noWrap w:val="0"/>
                  <w:vAlign w:val="center"/>
                </w:tcPr>
                <w:p w14:paraId="29A81B37">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sz w:val="21"/>
                      <w:szCs w:val="21"/>
                      <w:lang w:val="en-US" w:eastAsia="zh-CN"/>
                    </w:rPr>
                    <w:t>本项目将按生态环境部门要求安装视频监控设施并保存相关数据6个月以上。</w:t>
                  </w:r>
                </w:p>
              </w:tc>
              <w:tc>
                <w:tcPr>
                  <w:tcW w:w="620" w:type="pct"/>
                  <w:tcBorders>
                    <w:tl2br w:val="nil"/>
                    <w:tr2bl w:val="nil"/>
                  </w:tcBorders>
                  <w:noWrap w:val="0"/>
                  <w:vAlign w:val="center"/>
                </w:tcPr>
                <w:p w14:paraId="433E4FC1">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lang w:eastAsia="zh-CN"/>
                    </w:rPr>
                  </w:pPr>
                  <w:r>
                    <w:rPr>
                      <w:rFonts w:hint="eastAsia"/>
                      <w:sz w:val="21"/>
                      <w:szCs w:val="21"/>
                      <w:lang w:val="en-US" w:eastAsia="zh-CN"/>
                    </w:rPr>
                    <w:t>符合</w:t>
                  </w:r>
                </w:p>
              </w:tc>
            </w:tr>
            <w:tr w14:paraId="194E4E75">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625" w:type="pct"/>
                  <w:tcBorders>
                    <w:tl2br w:val="nil"/>
                    <w:tr2bl w:val="nil"/>
                  </w:tcBorders>
                  <w:noWrap w:val="0"/>
                  <w:vAlign w:val="center"/>
                </w:tcPr>
                <w:p w14:paraId="3149FC08">
                  <w:pPr>
                    <w:keepNext w:val="0"/>
                    <w:keepLines w:val="0"/>
                    <w:widowControl/>
                    <w:suppressLineNumbers w:val="0"/>
                    <w:spacing w:before="0" w:beforeAutospacing="0" w:after="0" w:afterAutospacing="0"/>
                    <w:ind w:left="0" w:right="0"/>
                    <w:jc w:val="center"/>
                    <w:rPr>
                      <w:rFonts w:hint="default"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厂容厂貌</w:t>
                  </w:r>
                </w:p>
              </w:tc>
              <w:tc>
                <w:tcPr>
                  <w:tcW w:w="2090" w:type="pct"/>
                  <w:gridSpan w:val="2"/>
                  <w:tcBorders>
                    <w:tl2br w:val="nil"/>
                    <w:tr2bl w:val="nil"/>
                  </w:tcBorders>
                  <w:noWrap w:val="0"/>
                  <w:vAlign w:val="center"/>
                </w:tcPr>
                <w:p w14:paraId="73343EBB">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1.厂区内道路、原辅材料和燃料堆场等路面应硬化； </w:t>
                  </w:r>
                </w:p>
                <w:p w14:paraId="1D5FB17C">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2.厂区内道路采取定期清扫、洒水等措施，保持清洁，路面无明显可见积尘； </w:t>
                  </w:r>
                </w:p>
                <w:p w14:paraId="1136A1F8">
                  <w:pPr>
                    <w:keepNext w:val="0"/>
                    <w:keepLines w:val="0"/>
                    <w:widowControl/>
                    <w:suppressLineNumbers w:val="0"/>
                    <w:spacing w:before="0" w:beforeAutospacing="0" w:after="0" w:afterAutospacing="0"/>
                    <w:ind w:left="0" w:right="0"/>
                    <w:jc w:val="both"/>
                    <w:rPr>
                      <w:rFonts w:hint="eastAsia" w:ascii="宋体" w:hAnsi="宋体" w:eastAsia="宋体" w:cs="宋体"/>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3.其他未利用地优先绿化，或进行硬化，无成片裸露土地。</w:t>
                  </w:r>
                </w:p>
              </w:tc>
              <w:tc>
                <w:tcPr>
                  <w:tcW w:w="1663" w:type="pct"/>
                  <w:tcBorders>
                    <w:tl2br w:val="nil"/>
                    <w:tr2bl w:val="nil"/>
                  </w:tcBorders>
                  <w:noWrap w:val="0"/>
                  <w:vAlign w:val="center"/>
                </w:tcPr>
                <w:p w14:paraId="4115BF0E">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1、厂区内道路、原辅材料堆场等路面均硬化；</w:t>
                  </w:r>
                </w:p>
                <w:p w14:paraId="392144CA">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2、厂区内道路定期清扫、洒水，路面无可见积尘；</w:t>
                  </w:r>
                </w:p>
                <w:p w14:paraId="2E00857E">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sz w:val="21"/>
                      <w:szCs w:val="21"/>
                      <w:lang w:val="en-US" w:eastAsia="zh-CN"/>
                    </w:rPr>
                    <w:t>3、厂区内无成片裸露土地。</w:t>
                  </w:r>
                </w:p>
              </w:tc>
              <w:tc>
                <w:tcPr>
                  <w:tcW w:w="620" w:type="pct"/>
                  <w:tcBorders>
                    <w:tl2br w:val="nil"/>
                    <w:tr2bl w:val="nil"/>
                  </w:tcBorders>
                  <w:noWrap w:val="0"/>
                  <w:vAlign w:val="center"/>
                </w:tcPr>
                <w:p w14:paraId="2321CF57">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lang w:val="en-US" w:eastAsia="zh-CN"/>
                    </w:rPr>
                  </w:pPr>
                  <w:r>
                    <w:rPr>
                      <w:rFonts w:hint="eastAsia"/>
                      <w:sz w:val="21"/>
                      <w:szCs w:val="21"/>
                      <w:lang w:val="en-US" w:eastAsia="zh-CN"/>
                    </w:rPr>
                    <w:t>符合</w:t>
                  </w:r>
                </w:p>
              </w:tc>
            </w:tr>
            <w:tr w14:paraId="4973F0E6">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625" w:type="pct"/>
                  <w:vMerge w:val="restart"/>
                  <w:tcBorders>
                    <w:tl2br w:val="nil"/>
                    <w:tr2bl w:val="nil"/>
                  </w:tcBorders>
                  <w:noWrap w:val="0"/>
                  <w:vAlign w:val="center"/>
                </w:tcPr>
                <w:p w14:paraId="2CE0EAD9">
                  <w:pPr>
                    <w:keepNext w:val="0"/>
                    <w:keepLines w:val="0"/>
                    <w:widowControl/>
                    <w:suppressLineNumbers w:val="0"/>
                    <w:spacing w:before="0" w:beforeAutospacing="0" w:after="0" w:afterAutospacing="0"/>
                    <w:ind w:left="0" w:right="0"/>
                    <w:jc w:val="center"/>
                    <w:rPr>
                      <w:rFonts w:hint="default"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环境管理水平</w:t>
                  </w:r>
                </w:p>
              </w:tc>
              <w:tc>
                <w:tcPr>
                  <w:tcW w:w="418" w:type="pct"/>
                  <w:tcBorders>
                    <w:tl2br w:val="nil"/>
                    <w:tr2bl w:val="nil"/>
                  </w:tcBorders>
                  <w:noWrap w:val="0"/>
                  <w:vAlign w:val="center"/>
                </w:tcPr>
                <w:p w14:paraId="7680092D">
                  <w:pPr>
                    <w:keepNext w:val="0"/>
                    <w:keepLines w:val="0"/>
                    <w:widowControl/>
                    <w:suppressLineNumbers w:val="0"/>
                    <w:spacing w:before="0" w:beforeAutospacing="0" w:after="0" w:afterAutospacing="0"/>
                    <w:ind w:left="0" w:right="0"/>
                    <w:jc w:val="both"/>
                    <w:rPr>
                      <w:rFonts w:hint="eastAsia" w:ascii="Times New Roman" w:hAnsi="Times New Roman" w:cs="Times New Roman" w:eastAsiaTheme="minorEastAsia"/>
                      <w:b w:val="0"/>
                      <w:bCs w:val="0"/>
                      <w:color w:val="000000"/>
                      <w:kern w:val="0"/>
                      <w:sz w:val="21"/>
                      <w:szCs w:val="21"/>
                      <w:lang w:val="en-US" w:eastAsia="zh-CN" w:bidi="ar"/>
                    </w:rPr>
                  </w:pPr>
                  <w:r>
                    <w:rPr>
                      <w:rFonts w:hint="eastAsia" w:ascii="Times New Roman" w:hAnsi="Times New Roman" w:cs="Times New Roman" w:eastAsiaTheme="minorEastAsia"/>
                      <w:b w:val="0"/>
                      <w:bCs w:val="0"/>
                      <w:color w:val="000000"/>
                      <w:kern w:val="0"/>
                      <w:sz w:val="21"/>
                      <w:szCs w:val="21"/>
                      <w:lang w:val="en-US" w:eastAsia="zh-CN" w:bidi="ar"/>
                    </w:rPr>
                    <w:t>环保</w:t>
                  </w:r>
                </w:p>
                <w:p w14:paraId="058B8E14">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eastAsia" w:ascii="Times New Roman" w:hAnsi="Times New Roman" w:cs="Times New Roman" w:eastAsiaTheme="minorEastAsia"/>
                      <w:b w:val="0"/>
                      <w:bCs w:val="0"/>
                      <w:color w:val="000000"/>
                      <w:kern w:val="0"/>
                      <w:sz w:val="21"/>
                      <w:szCs w:val="21"/>
                      <w:lang w:val="en-US" w:eastAsia="zh-CN" w:bidi="ar"/>
                    </w:rPr>
                    <w:t>档案</w:t>
                  </w:r>
                </w:p>
              </w:tc>
              <w:tc>
                <w:tcPr>
                  <w:tcW w:w="1672" w:type="pct"/>
                  <w:tcBorders>
                    <w:tl2br w:val="nil"/>
                    <w:tr2bl w:val="nil"/>
                  </w:tcBorders>
                  <w:noWrap w:val="0"/>
                  <w:vAlign w:val="center"/>
                </w:tcPr>
                <w:p w14:paraId="0C8A64B9">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1.环评批复文件和竣工验收文件/现状评估文件； </w:t>
                  </w:r>
                </w:p>
                <w:p w14:paraId="53B137C8">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2.废气治理设施运行管理规程； </w:t>
                  </w:r>
                </w:p>
                <w:p w14:paraId="4AA356EE">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3.一年内废气监测报告； </w:t>
                  </w:r>
                </w:p>
                <w:p w14:paraId="49126D02">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4.国家版排污许可证，并按要求开展自行监测和信息披露，规范设置废气排放口标志牌、二维码标识和采样平台、采样孔。</w:t>
                  </w:r>
                </w:p>
              </w:tc>
              <w:tc>
                <w:tcPr>
                  <w:tcW w:w="1663" w:type="pct"/>
                  <w:tcBorders>
                    <w:tl2br w:val="nil"/>
                    <w:tr2bl w:val="nil"/>
                  </w:tcBorders>
                  <w:noWrap w:val="0"/>
                  <w:vAlign w:val="center"/>
                </w:tcPr>
                <w:p w14:paraId="6A9D358F">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sz w:val="21"/>
                      <w:szCs w:val="21"/>
                      <w:lang w:val="en-US" w:eastAsia="zh-CN"/>
                    </w:rPr>
                    <w:t>本项目建成后，按照要求建立环保档案。</w:t>
                  </w:r>
                </w:p>
              </w:tc>
              <w:tc>
                <w:tcPr>
                  <w:tcW w:w="620" w:type="pct"/>
                  <w:tcBorders>
                    <w:tl2br w:val="nil"/>
                    <w:tr2bl w:val="nil"/>
                  </w:tcBorders>
                  <w:noWrap w:val="0"/>
                  <w:vAlign w:val="center"/>
                </w:tcPr>
                <w:p w14:paraId="4E4FD2E0">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lang w:eastAsia="zh-CN"/>
                    </w:rPr>
                  </w:pPr>
                  <w:r>
                    <w:rPr>
                      <w:rFonts w:hint="eastAsia"/>
                      <w:sz w:val="21"/>
                      <w:szCs w:val="21"/>
                      <w:lang w:val="en-US" w:eastAsia="zh-CN"/>
                    </w:rPr>
                    <w:t>符合</w:t>
                  </w:r>
                </w:p>
              </w:tc>
            </w:tr>
            <w:tr w14:paraId="13B95AF1">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625" w:type="pct"/>
                  <w:vMerge w:val="continue"/>
                  <w:tcBorders>
                    <w:tl2br w:val="nil"/>
                    <w:tr2bl w:val="nil"/>
                  </w:tcBorders>
                  <w:noWrap w:val="0"/>
                  <w:vAlign w:val="center"/>
                </w:tcPr>
                <w:p w14:paraId="234126DB">
                  <w:pPr>
                    <w:keepNext w:val="0"/>
                    <w:keepLines w:val="0"/>
                    <w:widowControl/>
                    <w:suppressLineNumbers w:val="0"/>
                    <w:spacing w:before="0" w:beforeAutospacing="0" w:after="0" w:afterAutospacing="0"/>
                    <w:ind w:left="0" w:right="0"/>
                    <w:jc w:val="center"/>
                    <w:rPr>
                      <w:rFonts w:hint="eastAsia" w:ascii="宋体" w:hAnsi="宋体" w:eastAsia="宋体" w:cs="宋体"/>
                      <w:b w:val="0"/>
                      <w:bCs w:val="0"/>
                      <w:color w:val="000000"/>
                      <w:kern w:val="0"/>
                      <w:sz w:val="21"/>
                      <w:szCs w:val="21"/>
                      <w:lang w:val="en-US" w:eastAsia="zh-CN" w:bidi="ar"/>
                    </w:rPr>
                  </w:pPr>
                </w:p>
              </w:tc>
              <w:tc>
                <w:tcPr>
                  <w:tcW w:w="418" w:type="pct"/>
                  <w:tcBorders>
                    <w:tl2br w:val="nil"/>
                    <w:tr2bl w:val="nil"/>
                  </w:tcBorders>
                  <w:noWrap w:val="0"/>
                  <w:vAlign w:val="center"/>
                </w:tcPr>
                <w:p w14:paraId="6D58A46D">
                  <w:pPr>
                    <w:keepNext w:val="0"/>
                    <w:keepLines w:val="0"/>
                    <w:widowControl/>
                    <w:suppressLineNumbers w:val="0"/>
                    <w:spacing w:before="0" w:beforeAutospacing="0" w:after="0" w:afterAutospacing="0"/>
                    <w:ind w:left="0" w:right="0"/>
                    <w:jc w:val="both"/>
                    <w:rPr>
                      <w:rFonts w:hint="eastAsia" w:ascii="Times New Roman" w:hAnsi="Times New Roman" w:cs="Times New Roman" w:eastAsiaTheme="minorEastAsia"/>
                      <w:b w:val="0"/>
                      <w:bCs w:val="0"/>
                      <w:color w:val="000000"/>
                      <w:kern w:val="0"/>
                      <w:sz w:val="21"/>
                      <w:szCs w:val="21"/>
                      <w:lang w:val="en-US" w:eastAsia="zh-CN" w:bidi="ar"/>
                    </w:rPr>
                  </w:pPr>
                  <w:r>
                    <w:rPr>
                      <w:rFonts w:hint="eastAsia" w:ascii="Times New Roman" w:hAnsi="Times New Roman" w:cs="Times New Roman" w:eastAsiaTheme="minorEastAsia"/>
                      <w:b w:val="0"/>
                      <w:bCs w:val="0"/>
                      <w:color w:val="000000"/>
                      <w:kern w:val="0"/>
                      <w:sz w:val="21"/>
                      <w:szCs w:val="21"/>
                      <w:lang w:val="en-US" w:eastAsia="zh-CN" w:bidi="ar"/>
                    </w:rPr>
                    <w:t>台账</w:t>
                  </w:r>
                </w:p>
                <w:p w14:paraId="0E94A9BA">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eastAsia" w:ascii="Times New Roman" w:hAnsi="Times New Roman" w:cs="Times New Roman" w:eastAsiaTheme="minorEastAsia"/>
                      <w:b w:val="0"/>
                      <w:bCs w:val="0"/>
                      <w:color w:val="000000"/>
                      <w:kern w:val="0"/>
                      <w:sz w:val="21"/>
                      <w:szCs w:val="21"/>
                      <w:lang w:val="en-US" w:eastAsia="zh-CN" w:bidi="ar"/>
                    </w:rPr>
                    <w:t>记录</w:t>
                  </w:r>
                </w:p>
              </w:tc>
              <w:tc>
                <w:tcPr>
                  <w:tcW w:w="1672" w:type="pct"/>
                  <w:tcBorders>
                    <w:tl2br w:val="nil"/>
                    <w:tr2bl w:val="nil"/>
                  </w:tcBorders>
                  <w:noWrap w:val="0"/>
                  <w:vAlign w:val="center"/>
                </w:tcPr>
                <w:p w14:paraId="673C9962">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1.生产设施运行管理信息（生产时间、运行负荷、产品产量等）； </w:t>
                  </w:r>
                </w:p>
                <w:p w14:paraId="4C220AB0">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2.废气污染治理设施运行管理信息（除尘滤料等更换量和时间）； </w:t>
                  </w:r>
                </w:p>
                <w:p w14:paraId="0DA8CB02">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3.监测记录信息（主要污染排放口废气排放记录（手工监测和在线监测）等）； </w:t>
                  </w:r>
                </w:p>
                <w:p w14:paraId="0EC4732F">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4.主要原辅材料、燃料消耗记录； </w:t>
                  </w:r>
                </w:p>
                <w:p w14:paraId="20DAFF97">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 xml:space="preserve">5.电消耗记录。 </w:t>
                  </w:r>
                </w:p>
              </w:tc>
              <w:tc>
                <w:tcPr>
                  <w:tcW w:w="1663" w:type="pct"/>
                  <w:tcBorders>
                    <w:tl2br w:val="nil"/>
                    <w:tr2bl w:val="nil"/>
                  </w:tcBorders>
                  <w:noWrap w:val="0"/>
                  <w:vAlign w:val="center"/>
                </w:tcPr>
                <w:p w14:paraId="5176827B">
                  <w:pPr>
                    <w:keepNext w:val="0"/>
                    <w:keepLines w:val="0"/>
                    <w:suppressLineNumbers w:val="0"/>
                    <w:spacing w:before="0" w:beforeAutospacing="0" w:after="0" w:afterAutospacing="0"/>
                    <w:ind w:left="0" w:right="0"/>
                    <w:jc w:val="both"/>
                    <w:rPr>
                      <w:rFonts w:hint="eastAsia"/>
                      <w:sz w:val="21"/>
                      <w:szCs w:val="21"/>
                      <w:lang w:eastAsia="zh-CN"/>
                    </w:rPr>
                  </w:pPr>
                  <w:r>
                    <w:rPr>
                      <w:rFonts w:hint="eastAsia"/>
                      <w:sz w:val="21"/>
                      <w:szCs w:val="21"/>
                      <w:lang w:val="en-US" w:eastAsia="zh-CN"/>
                    </w:rPr>
                    <w:t>本项目建成后，按照要求建立台账记录。</w:t>
                  </w:r>
                </w:p>
              </w:tc>
              <w:tc>
                <w:tcPr>
                  <w:tcW w:w="620" w:type="pct"/>
                  <w:tcBorders>
                    <w:tl2br w:val="nil"/>
                    <w:tr2bl w:val="nil"/>
                  </w:tcBorders>
                  <w:noWrap w:val="0"/>
                  <w:vAlign w:val="center"/>
                </w:tcPr>
                <w:p w14:paraId="20E63F2A">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lang w:eastAsia="zh-CN"/>
                    </w:rPr>
                  </w:pPr>
                  <w:r>
                    <w:rPr>
                      <w:rFonts w:hint="eastAsia"/>
                      <w:sz w:val="21"/>
                      <w:szCs w:val="21"/>
                      <w:lang w:val="en-US" w:eastAsia="zh-CN"/>
                    </w:rPr>
                    <w:t>符合</w:t>
                  </w:r>
                </w:p>
              </w:tc>
            </w:tr>
            <w:tr w14:paraId="04052D65">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625" w:type="pct"/>
                  <w:vMerge w:val="continue"/>
                  <w:tcBorders>
                    <w:tl2br w:val="nil"/>
                    <w:tr2bl w:val="nil"/>
                  </w:tcBorders>
                  <w:noWrap w:val="0"/>
                  <w:vAlign w:val="center"/>
                </w:tcPr>
                <w:p w14:paraId="16DD6714">
                  <w:pPr>
                    <w:keepNext w:val="0"/>
                    <w:keepLines w:val="0"/>
                    <w:widowControl/>
                    <w:suppressLineNumbers w:val="0"/>
                    <w:spacing w:before="0" w:beforeAutospacing="0" w:after="0" w:afterAutospacing="0"/>
                    <w:ind w:left="0" w:right="0"/>
                    <w:jc w:val="center"/>
                    <w:rPr>
                      <w:rFonts w:hint="eastAsia" w:ascii="宋体" w:hAnsi="宋体" w:eastAsia="宋体" w:cs="宋体"/>
                      <w:b w:val="0"/>
                      <w:bCs w:val="0"/>
                      <w:color w:val="000000"/>
                      <w:kern w:val="0"/>
                      <w:sz w:val="21"/>
                      <w:szCs w:val="21"/>
                      <w:lang w:val="en-US" w:eastAsia="zh-CN" w:bidi="ar"/>
                    </w:rPr>
                  </w:pPr>
                </w:p>
              </w:tc>
              <w:tc>
                <w:tcPr>
                  <w:tcW w:w="418" w:type="pct"/>
                  <w:tcBorders>
                    <w:tl2br w:val="nil"/>
                    <w:tr2bl w:val="nil"/>
                  </w:tcBorders>
                  <w:noWrap w:val="0"/>
                  <w:vAlign w:val="center"/>
                </w:tcPr>
                <w:p w14:paraId="6F15C764">
                  <w:pPr>
                    <w:keepNext w:val="0"/>
                    <w:keepLines w:val="0"/>
                    <w:widowControl/>
                    <w:suppressLineNumbers w:val="0"/>
                    <w:spacing w:before="0" w:beforeAutospacing="0" w:after="0" w:afterAutospacing="0"/>
                    <w:ind w:left="0" w:right="0"/>
                    <w:jc w:val="both"/>
                    <w:rPr>
                      <w:rFonts w:hint="eastAsia" w:ascii="Times New Roman" w:hAnsi="Times New Roman" w:cs="Times New Roman" w:eastAsiaTheme="minorEastAsia"/>
                      <w:b w:val="0"/>
                      <w:bCs w:val="0"/>
                      <w:color w:val="000000"/>
                      <w:kern w:val="0"/>
                      <w:sz w:val="21"/>
                      <w:szCs w:val="21"/>
                      <w:lang w:val="en-US" w:eastAsia="zh-CN" w:bidi="ar"/>
                    </w:rPr>
                  </w:pPr>
                  <w:r>
                    <w:rPr>
                      <w:rFonts w:hint="eastAsia" w:ascii="Times New Roman" w:hAnsi="Times New Roman" w:cs="Times New Roman" w:eastAsiaTheme="minorEastAsia"/>
                      <w:b w:val="0"/>
                      <w:bCs w:val="0"/>
                      <w:color w:val="000000"/>
                      <w:kern w:val="0"/>
                      <w:sz w:val="21"/>
                      <w:szCs w:val="21"/>
                      <w:lang w:val="en-US" w:eastAsia="zh-CN" w:bidi="ar"/>
                    </w:rPr>
                    <w:t>人员</w:t>
                  </w:r>
                </w:p>
                <w:p w14:paraId="33DB9BAE">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eastAsia" w:ascii="Times New Roman" w:hAnsi="Times New Roman" w:cs="Times New Roman" w:eastAsiaTheme="minorEastAsia"/>
                      <w:b w:val="0"/>
                      <w:bCs w:val="0"/>
                      <w:color w:val="000000"/>
                      <w:kern w:val="0"/>
                      <w:sz w:val="21"/>
                      <w:szCs w:val="21"/>
                      <w:lang w:val="en-US" w:eastAsia="zh-CN" w:bidi="ar"/>
                    </w:rPr>
                    <w:t>配置</w:t>
                  </w:r>
                </w:p>
              </w:tc>
              <w:tc>
                <w:tcPr>
                  <w:tcW w:w="1672" w:type="pct"/>
                  <w:tcBorders>
                    <w:tl2br w:val="nil"/>
                    <w:tr2bl w:val="nil"/>
                  </w:tcBorders>
                  <w:noWrap w:val="0"/>
                  <w:vAlign w:val="center"/>
                </w:tcPr>
                <w:p w14:paraId="2E7CB60B">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配备专职环保人员，并具备相应的环境管理能力（学历、培训、从业经验等）</w:t>
                  </w:r>
                </w:p>
              </w:tc>
              <w:tc>
                <w:tcPr>
                  <w:tcW w:w="1663" w:type="pct"/>
                  <w:tcBorders>
                    <w:tl2br w:val="nil"/>
                    <w:tr2bl w:val="nil"/>
                  </w:tcBorders>
                  <w:noWrap w:val="0"/>
                  <w:vAlign w:val="center"/>
                </w:tcPr>
                <w:p w14:paraId="1F7CC6A4">
                  <w:pPr>
                    <w:keepNext w:val="0"/>
                    <w:keepLines w:val="0"/>
                    <w:suppressLineNumbers w:val="0"/>
                    <w:spacing w:before="0" w:beforeAutospacing="0" w:after="0" w:afterAutospacing="0"/>
                    <w:ind w:left="0" w:right="0"/>
                    <w:jc w:val="both"/>
                    <w:rPr>
                      <w:rFonts w:hint="eastAsia"/>
                      <w:sz w:val="21"/>
                      <w:szCs w:val="21"/>
                      <w:lang w:eastAsia="zh-CN"/>
                    </w:rPr>
                  </w:pPr>
                  <w:r>
                    <w:rPr>
                      <w:rFonts w:hint="eastAsia"/>
                      <w:sz w:val="21"/>
                      <w:szCs w:val="21"/>
                      <w:lang w:val="en-US" w:eastAsia="zh-CN"/>
                    </w:rPr>
                    <w:t>本项目建成后，按照要求配备专职环保人员。</w:t>
                  </w:r>
                </w:p>
              </w:tc>
              <w:tc>
                <w:tcPr>
                  <w:tcW w:w="620" w:type="pct"/>
                  <w:tcBorders>
                    <w:tl2br w:val="nil"/>
                    <w:tr2bl w:val="nil"/>
                  </w:tcBorders>
                  <w:noWrap w:val="0"/>
                  <w:vAlign w:val="center"/>
                </w:tcPr>
                <w:p w14:paraId="418710AA">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lang w:eastAsia="zh-CN"/>
                    </w:rPr>
                  </w:pPr>
                  <w:r>
                    <w:rPr>
                      <w:rFonts w:hint="eastAsia"/>
                      <w:sz w:val="21"/>
                      <w:szCs w:val="21"/>
                      <w:lang w:val="en-US" w:eastAsia="zh-CN"/>
                    </w:rPr>
                    <w:t>符合</w:t>
                  </w:r>
                </w:p>
              </w:tc>
            </w:tr>
            <w:tr w14:paraId="77565F03">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625" w:type="pct"/>
                  <w:tcBorders>
                    <w:tl2br w:val="nil"/>
                    <w:tr2bl w:val="nil"/>
                  </w:tcBorders>
                  <w:noWrap w:val="0"/>
                  <w:vAlign w:val="center"/>
                </w:tcPr>
                <w:p w14:paraId="14FAC6E7">
                  <w:pPr>
                    <w:keepNext w:val="0"/>
                    <w:keepLines w:val="0"/>
                    <w:widowControl/>
                    <w:suppressLineNumbers w:val="0"/>
                    <w:spacing w:before="0" w:beforeAutospacing="0" w:after="0" w:afterAutospacing="0"/>
                    <w:ind w:left="0" w:right="0"/>
                    <w:jc w:val="center"/>
                    <w:rPr>
                      <w:rFonts w:hint="default"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运输方式</w:t>
                  </w:r>
                </w:p>
              </w:tc>
              <w:tc>
                <w:tcPr>
                  <w:tcW w:w="2090" w:type="pct"/>
                  <w:gridSpan w:val="2"/>
                  <w:tcBorders>
                    <w:tl2br w:val="nil"/>
                    <w:tr2bl w:val="nil"/>
                  </w:tcBorders>
                  <w:noWrap w:val="0"/>
                  <w:vAlign w:val="center"/>
                </w:tcPr>
                <w:p w14:paraId="58866338">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1.物料、产品等公路运输全部使用国五及以上排放标准重型载货车辆（重型燃气车辆达到国六排放标准）或新能源车辆； </w:t>
                  </w:r>
                </w:p>
                <w:p w14:paraId="3245E7F4">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2.厂内运输全部使用国五及以上排放标准（重型燃气车辆达到国六排放标准）或使用新能源车辆； </w:t>
                  </w:r>
                </w:p>
                <w:p w14:paraId="17A92DCE">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3.危险品及危废运输全部使用国五及以上排放标准（重型燃气车辆达到国六排放标准）或新能源车辆； </w:t>
                  </w:r>
                </w:p>
                <w:p w14:paraId="4628EB20">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4.厂内非道路移动机械全部使用国三及以上排放标准或使用新能源（电动、氢能）机械。</w:t>
                  </w:r>
                </w:p>
              </w:tc>
              <w:tc>
                <w:tcPr>
                  <w:tcW w:w="1663" w:type="pct"/>
                  <w:tcBorders>
                    <w:tl2br w:val="nil"/>
                    <w:tr2bl w:val="nil"/>
                  </w:tcBorders>
                  <w:noWrap w:val="0"/>
                  <w:vAlign w:val="center"/>
                </w:tcPr>
                <w:p w14:paraId="2DFCC34E">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eastAsia"/>
                      <w:sz w:val="21"/>
                      <w:szCs w:val="21"/>
                      <w:lang w:val="en-US" w:eastAsia="zh-CN"/>
                    </w:rPr>
                    <w:t>1、本项目物料、产品</w:t>
                  </w:r>
                  <w:r>
                    <w:rPr>
                      <w:rFonts w:hint="default" w:ascii="Times New Roman" w:hAnsi="Times New Roman" w:cs="Times New Roman" w:eastAsiaTheme="minorEastAsia"/>
                      <w:b w:val="0"/>
                      <w:bCs w:val="0"/>
                      <w:color w:val="000000"/>
                      <w:kern w:val="0"/>
                      <w:sz w:val="21"/>
                      <w:szCs w:val="21"/>
                      <w:lang w:val="en-US" w:eastAsia="zh-CN" w:bidi="ar"/>
                    </w:rPr>
                    <w:t xml:space="preserve">公路运输全部使用国五及以上排放标准重型载货车辆（重型燃气车辆达到国六排放标准）或新能源车辆； </w:t>
                  </w:r>
                </w:p>
                <w:p w14:paraId="1EB4AEAA">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2、本项目不涉及厂内运输；</w:t>
                  </w:r>
                </w:p>
                <w:p w14:paraId="007C35CB">
                  <w:pPr>
                    <w:keepNext w:val="0"/>
                    <w:keepLines w:val="0"/>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eastAsia"/>
                      <w:sz w:val="21"/>
                      <w:szCs w:val="21"/>
                      <w:lang w:val="en-US" w:eastAsia="zh-CN"/>
                    </w:rPr>
                    <w:t>3、危废品及危废运输全部使用国五及以上排放标准</w:t>
                  </w:r>
                  <w:r>
                    <w:rPr>
                      <w:rFonts w:hint="default" w:ascii="Times New Roman" w:hAnsi="Times New Roman" w:cs="Times New Roman" w:eastAsiaTheme="minorEastAsia"/>
                      <w:b w:val="0"/>
                      <w:bCs w:val="0"/>
                      <w:color w:val="000000"/>
                      <w:kern w:val="0"/>
                      <w:sz w:val="21"/>
                      <w:szCs w:val="21"/>
                      <w:lang w:val="en-US" w:eastAsia="zh-CN" w:bidi="ar"/>
                    </w:rPr>
                    <w:t>（重型燃气车辆达到国六排放标准）或新能源车辆；</w:t>
                  </w:r>
                </w:p>
                <w:p w14:paraId="34F78303">
                  <w:pPr>
                    <w:keepNext w:val="0"/>
                    <w:keepLines w:val="0"/>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eastAsia" w:cs="Times New Roman" w:eastAsiaTheme="minorEastAsia"/>
                      <w:b w:val="0"/>
                      <w:bCs w:val="0"/>
                      <w:color w:val="000000"/>
                      <w:kern w:val="0"/>
                      <w:sz w:val="21"/>
                      <w:szCs w:val="21"/>
                      <w:lang w:val="en-US" w:eastAsia="zh-CN" w:bidi="ar"/>
                    </w:rPr>
                    <w:t>4、本项目不涉及</w:t>
                  </w:r>
                  <w:r>
                    <w:rPr>
                      <w:rFonts w:hint="default" w:ascii="Times New Roman" w:hAnsi="Times New Roman" w:cs="Times New Roman" w:eastAsiaTheme="minorEastAsia"/>
                      <w:b w:val="0"/>
                      <w:bCs w:val="0"/>
                      <w:color w:val="000000"/>
                      <w:kern w:val="0"/>
                      <w:sz w:val="21"/>
                      <w:szCs w:val="21"/>
                      <w:lang w:val="en-US" w:eastAsia="zh-CN" w:bidi="ar"/>
                    </w:rPr>
                    <w:t>非道路移动机械</w:t>
                  </w:r>
                  <w:r>
                    <w:rPr>
                      <w:rFonts w:hint="eastAsia" w:cs="Times New Roman" w:eastAsiaTheme="minorEastAsia"/>
                      <w:b w:val="0"/>
                      <w:bCs w:val="0"/>
                      <w:color w:val="000000"/>
                      <w:kern w:val="0"/>
                      <w:sz w:val="21"/>
                      <w:szCs w:val="21"/>
                      <w:lang w:val="en-US" w:eastAsia="zh-CN" w:bidi="ar"/>
                    </w:rPr>
                    <w:t>。</w:t>
                  </w:r>
                </w:p>
              </w:tc>
              <w:tc>
                <w:tcPr>
                  <w:tcW w:w="620" w:type="pct"/>
                  <w:tcBorders>
                    <w:tl2br w:val="nil"/>
                    <w:tr2bl w:val="nil"/>
                  </w:tcBorders>
                  <w:noWrap w:val="0"/>
                  <w:vAlign w:val="center"/>
                </w:tcPr>
                <w:p w14:paraId="0C226460">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lang w:eastAsia="zh-CN"/>
                    </w:rPr>
                  </w:pPr>
                  <w:r>
                    <w:rPr>
                      <w:rFonts w:hint="eastAsia"/>
                      <w:sz w:val="21"/>
                      <w:szCs w:val="21"/>
                      <w:lang w:val="en-US" w:eastAsia="zh-CN"/>
                    </w:rPr>
                    <w:t>符合</w:t>
                  </w:r>
                </w:p>
              </w:tc>
            </w:tr>
            <w:tr w14:paraId="6EA6887F">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4" w:hRule="atLeast"/>
              </w:trPr>
              <w:tc>
                <w:tcPr>
                  <w:tcW w:w="625" w:type="pct"/>
                  <w:tcBorders>
                    <w:bottom w:val="single" w:color="auto" w:sz="8" w:space="0"/>
                  </w:tcBorders>
                  <w:noWrap w:val="0"/>
                  <w:vAlign w:val="center"/>
                </w:tcPr>
                <w:p w14:paraId="582E8E1D">
                  <w:pPr>
                    <w:keepNext w:val="0"/>
                    <w:keepLines w:val="0"/>
                    <w:widowControl/>
                    <w:suppressLineNumbers w:val="0"/>
                    <w:spacing w:before="0" w:beforeAutospacing="0" w:after="0" w:afterAutospacing="0"/>
                    <w:ind w:left="0" w:right="0"/>
                    <w:jc w:val="center"/>
                    <w:rPr>
                      <w:rFonts w:hint="default" w:eastAsia="宋体" w:cs="宋体"/>
                      <w:color w:val="000000"/>
                      <w:sz w:val="21"/>
                      <w:szCs w:val="21"/>
                      <w:lang w:val="en-US" w:eastAsia="zh-CN"/>
                    </w:rPr>
                  </w:pPr>
                  <w:r>
                    <w:rPr>
                      <w:rFonts w:hint="eastAsia" w:cs="Times New Roman"/>
                      <w:color w:val="000000"/>
                      <w:sz w:val="21"/>
                      <w:szCs w:val="21"/>
                      <w:lang w:val="en-US" w:eastAsia="zh-CN"/>
                    </w:rPr>
                    <w:t>运输监管</w:t>
                  </w:r>
                </w:p>
              </w:tc>
              <w:tc>
                <w:tcPr>
                  <w:tcW w:w="2090" w:type="pct"/>
                  <w:gridSpan w:val="2"/>
                  <w:tcBorders>
                    <w:bottom w:val="single" w:color="auto" w:sz="8" w:space="0"/>
                  </w:tcBorders>
                  <w:noWrap w:val="0"/>
                  <w:vAlign w:val="center"/>
                </w:tcPr>
                <w:p w14:paraId="08074B55">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日均进出货物 150 吨（或载货车辆日进出 10 辆次）及以上（货物包括原料、辅料、燃料、产品和其他与生产相关物 </w:t>
                  </w:r>
                </w:p>
                <w:p w14:paraId="0A0DC33A">
                  <w:pPr>
                    <w:keepNext w:val="0"/>
                    <w:keepLines w:val="0"/>
                    <w:widowControl/>
                    <w:suppressLineNumbers w:val="0"/>
                    <w:spacing w:before="0" w:beforeAutospacing="0" w:after="0" w:afterAutospacing="0"/>
                    <w:ind w:left="0" w:right="0"/>
                    <w:jc w:val="both"/>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料）的企业，参照《重污染天气重点行业移动源应急管理技术指南》建立门禁视频监控系统和电子台账；其他企业安装车辆运输视频监控（数据能保存6个月），并建立车辆运输手工台账。</w:t>
                  </w:r>
                </w:p>
              </w:tc>
              <w:tc>
                <w:tcPr>
                  <w:tcW w:w="1663" w:type="pct"/>
                  <w:tcBorders>
                    <w:bottom w:val="single" w:color="auto" w:sz="8" w:space="0"/>
                  </w:tcBorders>
                  <w:noWrap w:val="0"/>
                  <w:vAlign w:val="center"/>
                </w:tcPr>
                <w:p w14:paraId="07B47909">
                  <w:pPr>
                    <w:keepNext w:val="0"/>
                    <w:keepLines w:val="0"/>
                    <w:suppressLineNumbers w:val="0"/>
                    <w:spacing w:before="0" w:beforeAutospacing="0" w:after="0" w:afterAutospacing="0"/>
                    <w:ind w:left="0" w:right="0"/>
                    <w:jc w:val="both"/>
                    <w:rPr>
                      <w:rFonts w:hint="default" w:eastAsia="宋体"/>
                      <w:sz w:val="21"/>
                      <w:szCs w:val="21"/>
                      <w:lang w:val="en-US" w:eastAsia="zh-CN"/>
                    </w:rPr>
                  </w:pPr>
                  <w:r>
                    <w:rPr>
                      <w:rFonts w:hint="eastAsia" w:cs="Times New Roman"/>
                      <w:sz w:val="21"/>
                      <w:szCs w:val="21"/>
                      <w:lang w:val="en-US" w:eastAsia="zh-CN"/>
                    </w:rPr>
                    <w:t>本项目建成后按照要求安装车辆运输视频监控（数据能保存6个月），并建立车辆运输手工台账。</w:t>
                  </w:r>
                </w:p>
              </w:tc>
              <w:tc>
                <w:tcPr>
                  <w:tcW w:w="620" w:type="pct"/>
                  <w:tcBorders>
                    <w:bottom w:val="single" w:color="auto" w:sz="8" w:space="0"/>
                  </w:tcBorders>
                  <w:noWrap w:val="0"/>
                  <w:vAlign w:val="center"/>
                </w:tcPr>
                <w:p w14:paraId="55C093AD">
                  <w:pPr>
                    <w:keepNext w:val="0"/>
                    <w:keepLines w:val="0"/>
                    <w:suppressLineNumbers w:val="0"/>
                    <w:adjustRightInd w:val="0"/>
                    <w:snapToGrid w:val="0"/>
                    <w:spacing w:before="0" w:beforeAutospacing="0" w:after="0" w:afterAutospacing="0"/>
                    <w:ind w:left="0" w:right="0"/>
                    <w:jc w:val="center"/>
                    <w:textAlignment w:val="baseline"/>
                    <w:rPr>
                      <w:rFonts w:hint="eastAsia" w:eastAsia="宋体"/>
                      <w:sz w:val="21"/>
                      <w:szCs w:val="21"/>
                      <w:lang w:eastAsia="zh-CN"/>
                    </w:rPr>
                  </w:pPr>
                  <w:r>
                    <w:rPr>
                      <w:rFonts w:hint="eastAsia"/>
                      <w:sz w:val="21"/>
                      <w:szCs w:val="21"/>
                      <w:lang w:eastAsia="zh-CN"/>
                    </w:rPr>
                    <w:t>符合</w:t>
                  </w:r>
                </w:p>
              </w:tc>
            </w:tr>
          </w:tbl>
          <w:p w14:paraId="77FCBE9F">
            <w:pPr>
              <w:pStyle w:val="10"/>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default"/>
                <w:color w:val="000000"/>
                <w:sz w:val="24"/>
              </w:rPr>
            </w:pPr>
            <w:r>
              <w:rPr>
                <w:rFonts w:hint="eastAsia"/>
                <w:color w:val="000000"/>
                <w:sz w:val="24"/>
              </w:rPr>
              <w:t>综上，</w:t>
            </w:r>
            <w:r>
              <w:rPr>
                <w:rFonts w:hint="eastAsia"/>
                <w:color w:val="000000"/>
                <w:sz w:val="24"/>
                <w:lang w:val="pt-BR"/>
              </w:rPr>
              <w:t>本项目</w:t>
            </w:r>
            <w:r>
              <w:rPr>
                <w:rFonts w:hint="eastAsia"/>
                <w:color w:val="000000"/>
                <w:sz w:val="24"/>
              </w:rPr>
              <w:t>符合《河南省重污染天气</w:t>
            </w:r>
            <w:r>
              <w:rPr>
                <w:rFonts w:hint="eastAsia"/>
                <w:color w:val="000000"/>
                <w:sz w:val="24"/>
                <w:lang w:eastAsia="zh-CN"/>
              </w:rPr>
              <w:t>通用行业</w:t>
            </w:r>
            <w:r>
              <w:rPr>
                <w:rFonts w:hint="eastAsia"/>
                <w:color w:val="000000"/>
                <w:sz w:val="24"/>
              </w:rPr>
              <w:t>应急减排措施制定技术指南》（202</w:t>
            </w:r>
            <w:r>
              <w:rPr>
                <w:rFonts w:hint="eastAsia"/>
                <w:color w:val="000000"/>
                <w:sz w:val="24"/>
                <w:lang w:val="en-US" w:eastAsia="zh-CN"/>
              </w:rPr>
              <w:t>4</w:t>
            </w:r>
            <w:r>
              <w:rPr>
                <w:rFonts w:hint="eastAsia"/>
                <w:color w:val="000000"/>
                <w:sz w:val="24"/>
              </w:rPr>
              <w:t>年修订版）中</w:t>
            </w:r>
            <w:r>
              <w:rPr>
                <w:rFonts w:hint="eastAsia"/>
                <w:color w:val="000000"/>
                <w:sz w:val="24"/>
                <w:lang w:eastAsia="zh-CN"/>
              </w:rPr>
              <w:t>涉</w:t>
            </w:r>
            <w:r>
              <w:rPr>
                <w:rFonts w:hint="eastAsia"/>
                <w:color w:val="000000"/>
                <w:sz w:val="24"/>
                <w:lang w:val="en-US" w:eastAsia="zh-CN"/>
              </w:rPr>
              <w:t>PM企业基本要求</w:t>
            </w:r>
            <w:r>
              <w:rPr>
                <w:rFonts w:hint="eastAsia"/>
                <w:color w:val="000000"/>
                <w:sz w:val="24"/>
              </w:rPr>
              <w:t>。</w:t>
            </w:r>
          </w:p>
          <w:p w14:paraId="71D4A641">
            <w:pPr>
              <w:keepNext w:val="0"/>
              <w:keepLines w:val="0"/>
              <w:suppressLineNumbers w:val="0"/>
              <w:autoSpaceDE w:val="0"/>
              <w:autoSpaceDN w:val="0"/>
              <w:adjustRightInd w:val="0"/>
              <w:snapToGrid w:val="0"/>
              <w:spacing w:before="0" w:beforeAutospacing="0" w:after="0" w:afterAutospacing="0" w:line="440" w:lineRule="exact"/>
              <w:ind w:left="0" w:right="0" w:firstLine="480" w:firstLineChars="200"/>
              <w:jc w:val="left"/>
              <w:rPr>
                <w:rFonts w:hint="eastAsia" w:eastAsia="宋体"/>
                <w:bCs/>
                <w:color w:val="000000"/>
                <w:kern w:val="0"/>
                <w:sz w:val="24"/>
                <w:lang w:eastAsia="zh-CN"/>
              </w:rPr>
            </w:pPr>
          </w:p>
        </w:tc>
      </w:tr>
    </w:tbl>
    <w:p w14:paraId="23D193B8">
      <w:pPr>
        <w:bidi w:val="0"/>
        <w:spacing w:line="360" w:lineRule="auto"/>
        <w:jc w:val="center"/>
        <w:rPr>
          <w:rFonts w:hint="eastAsia" w:ascii="黑体" w:hAnsi="黑体" w:eastAsia="黑体" w:cs="黑体"/>
          <w:b w:val="0"/>
          <w:bCs w:val="0"/>
          <w:sz w:val="30"/>
          <w:szCs w:val="30"/>
        </w:rPr>
      </w:pPr>
      <w:r>
        <w:rPr>
          <w:rFonts w:hint="eastAsia" w:ascii="黑体" w:hAnsi="黑体" w:eastAsia="黑体" w:cs="黑体"/>
          <w:b w:val="0"/>
          <w:bCs w:val="0"/>
          <w:sz w:val="30"/>
          <w:szCs w:val="30"/>
        </w:rPr>
        <w:t>二、建设项目工程分析</w:t>
      </w:r>
    </w:p>
    <w:tbl>
      <w:tblPr>
        <w:tblStyle w:val="22"/>
        <w:tblW w:w="975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9021"/>
      </w:tblGrid>
      <w:tr w14:paraId="139DF5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23" w:hRule="atLeast"/>
          <w:jc w:val="center"/>
        </w:trPr>
        <w:tc>
          <w:tcPr>
            <w:tcW w:w="731" w:type="dxa"/>
            <w:noWrap w:val="0"/>
            <w:vAlign w:val="center"/>
          </w:tcPr>
          <w:p w14:paraId="1846B9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szCs w:val="21"/>
                <w:lang w:val="en-US" w:eastAsia="zh-CN"/>
              </w:rPr>
            </w:pPr>
            <w:r>
              <w:rPr>
                <w:rFonts w:hint="default"/>
                <w:lang w:val="en-US" w:eastAsia="zh-CN"/>
              </w:rPr>
              <w:t>建设内容</w:t>
            </w:r>
          </w:p>
        </w:tc>
        <w:tc>
          <w:tcPr>
            <w:tcW w:w="9021" w:type="dxa"/>
            <w:noWrap w:val="0"/>
            <w:vAlign w:val="top"/>
          </w:tcPr>
          <w:p w14:paraId="18C706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textAlignment w:val="auto"/>
              <w:rPr>
                <w:rFonts w:hint="eastAsia" w:ascii="宋体" w:hAnsi="宋体"/>
                <w:color w:val="000000"/>
                <w:sz w:val="24"/>
                <w:lang w:val="en-US" w:eastAsia="zh-CN"/>
              </w:rPr>
            </w:pPr>
            <w:bookmarkStart w:id="0" w:name="_Toc262219100"/>
            <w:r>
              <w:rPr>
                <w:rFonts w:hint="eastAsia"/>
                <w:b/>
                <w:sz w:val="24"/>
              </w:rPr>
              <w:t>一、项目由来</w:t>
            </w:r>
            <w:bookmarkEnd w:id="0"/>
          </w:p>
          <w:p w14:paraId="295C4B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cs="Times New Roman"/>
                <w:sz w:val="24"/>
              </w:rPr>
            </w:pPr>
            <w:r>
              <w:rPr>
                <w:rFonts w:hint="eastAsia" w:ascii="Times New Roman" w:hAnsi="Times New Roman" w:cs="Times New Roman"/>
                <w:color w:val="000000"/>
                <w:sz w:val="24"/>
                <w:lang w:val="en-US" w:eastAsia="zh-CN"/>
              </w:rPr>
              <w:t>企业</w:t>
            </w:r>
            <w:r>
              <w:rPr>
                <w:rFonts w:hint="default" w:ascii="Times New Roman" w:hAnsi="Times New Roman" w:cs="Times New Roman"/>
                <w:color w:val="000000"/>
                <w:sz w:val="24"/>
                <w:lang w:val="en-US" w:eastAsia="zh-CN"/>
              </w:rPr>
              <w:t>位于</w:t>
            </w:r>
            <w:r>
              <w:rPr>
                <w:rFonts w:hint="eastAsia" w:ascii="Times New Roman" w:hAnsi="Times New Roman" w:cs="Times New Roman"/>
                <w:color w:val="000000"/>
                <w:sz w:val="24"/>
                <w:lang w:val="en-US" w:eastAsia="zh-CN"/>
              </w:rPr>
              <w:t>河南省新乡市新乡县</w:t>
            </w:r>
            <w:r>
              <w:rPr>
                <w:rFonts w:hint="eastAsia" w:cs="Times New Roman"/>
                <w:color w:val="000000"/>
                <w:sz w:val="24"/>
                <w:lang w:val="en-US" w:eastAsia="zh-CN"/>
              </w:rPr>
              <w:t>中央大道兴隆路交叉路口西南角处</w:t>
            </w:r>
            <w:r>
              <w:rPr>
                <w:rFonts w:hint="default" w:ascii="Times New Roman" w:hAnsi="Times New Roman" w:cs="Times New Roman"/>
                <w:color w:val="000000"/>
                <w:sz w:val="24"/>
                <w:lang w:val="en-US" w:eastAsia="zh-CN"/>
              </w:rPr>
              <w:t>，</w:t>
            </w:r>
            <w:r>
              <w:rPr>
                <w:rFonts w:hint="eastAsia" w:hAnsi="宋体"/>
                <w:color w:val="000000"/>
                <w:kern w:val="36"/>
                <w:sz w:val="24"/>
              </w:rPr>
              <w:t>租赁现有</w:t>
            </w:r>
            <w:r>
              <w:rPr>
                <w:rFonts w:hint="eastAsia" w:hAnsi="宋体"/>
                <w:color w:val="000000"/>
                <w:kern w:val="36"/>
                <w:sz w:val="24"/>
                <w:lang w:val="en-US" w:eastAsia="zh-CN"/>
              </w:rPr>
              <w:t>闲置</w:t>
            </w:r>
            <w:r>
              <w:rPr>
                <w:rFonts w:hint="eastAsia" w:hAnsi="宋体"/>
                <w:color w:val="000000"/>
                <w:kern w:val="36"/>
                <w:sz w:val="24"/>
              </w:rPr>
              <w:t>厂房</w:t>
            </w:r>
            <w:r>
              <w:rPr>
                <w:rFonts w:hint="eastAsia" w:hAnsi="宋体"/>
                <w:color w:val="000000"/>
                <w:kern w:val="36"/>
                <w:sz w:val="24"/>
                <w:lang w:eastAsia="zh-CN"/>
              </w:rPr>
              <w:t>，</w:t>
            </w:r>
            <w:r>
              <w:rPr>
                <w:rFonts w:hint="eastAsia" w:ascii="Times New Roman" w:hAnsi="Times New Roman" w:cs="Times New Roman"/>
                <w:color w:val="000000"/>
                <w:sz w:val="24"/>
                <w:lang w:val="en-US" w:eastAsia="zh-CN"/>
              </w:rPr>
              <w:t>总</w:t>
            </w:r>
            <w:r>
              <w:rPr>
                <w:rFonts w:hint="default" w:ascii="Times New Roman" w:hAnsi="Times New Roman" w:cs="Times New Roman"/>
                <w:color w:val="000000"/>
                <w:sz w:val="24"/>
                <w:lang w:val="en-US" w:eastAsia="zh-CN"/>
              </w:rPr>
              <w:t>占地面</w:t>
            </w:r>
            <w:r>
              <w:rPr>
                <w:rFonts w:hint="default" w:ascii="Times New Roman" w:hAnsi="Times New Roman" w:cs="Times New Roman"/>
                <w:color w:val="000000"/>
                <w:sz w:val="24"/>
                <w:highlight w:val="none"/>
                <w:lang w:val="en-US" w:eastAsia="zh-CN"/>
              </w:rPr>
              <w:t>积</w:t>
            </w:r>
            <w:r>
              <w:rPr>
                <w:rFonts w:hint="eastAsia" w:cs="Times New Roman"/>
                <w:color w:val="000000"/>
                <w:sz w:val="24"/>
                <w:highlight w:val="none"/>
                <w:lang w:val="en-US" w:eastAsia="zh-CN"/>
              </w:rPr>
              <w:t>约600</w:t>
            </w:r>
            <w:r>
              <w:rPr>
                <w:rFonts w:hint="default" w:ascii="Times New Roman" w:hAnsi="Times New Roman" w:cs="Times New Roman"/>
                <w:color w:val="000000"/>
                <w:sz w:val="24"/>
                <w:highlight w:val="none"/>
                <w:lang w:val="en-US" w:eastAsia="zh-CN"/>
              </w:rPr>
              <w:t>m</w:t>
            </w:r>
            <w:r>
              <w:rPr>
                <w:rFonts w:hint="default" w:ascii="Times New Roman" w:hAnsi="Times New Roman" w:cs="Times New Roman"/>
                <w:color w:val="000000"/>
                <w:sz w:val="24"/>
                <w:highlight w:val="none"/>
                <w:vertAlign w:val="superscript"/>
                <w:lang w:val="en-US" w:eastAsia="zh-CN"/>
              </w:rPr>
              <w:t>2</w:t>
            </w:r>
            <w:r>
              <w:rPr>
                <w:rFonts w:hint="eastAsia" w:cs="Times New Roman"/>
                <w:color w:val="000000"/>
                <w:sz w:val="24"/>
                <w:vertAlign w:val="baseline"/>
                <w:lang w:val="en-US" w:eastAsia="zh-CN"/>
              </w:rPr>
              <w:t>。</w:t>
            </w:r>
            <w:r>
              <w:rPr>
                <w:rFonts w:hint="default" w:ascii="Times New Roman" w:hAnsi="Times New Roman" w:cs="Times New Roman"/>
                <w:sz w:val="24"/>
              </w:rPr>
              <w:t>企业计划投资</w:t>
            </w:r>
            <w:r>
              <w:rPr>
                <w:rFonts w:hint="eastAsia" w:cs="Times New Roman"/>
                <w:sz w:val="24"/>
                <w:lang w:val="en-US" w:eastAsia="zh-CN"/>
              </w:rPr>
              <w:t>200</w:t>
            </w:r>
            <w:r>
              <w:rPr>
                <w:rFonts w:hint="default" w:ascii="Times New Roman" w:hAnsi="Times New Roman" w:cs="Times New Roman"/>
                <w:sz w:val="24"/>
              </w:rPr>
              <w:t>万元</w:t>
            </w:r>
            <w:r>
              <w:rPr>
                <w:rFonts w:hint="eastAsia" w:cs="Times New Roman"/>
                <w:sz w:val="24"/>
                <w:lang w:eastAsia="zh-CN"/>
              </w:rPr>
              <w:t>，</w:t>
            </w:r>
            <w:r>
              <w:rPr>
                <w:rFonts w:hint="default" w:ascii="Times New Roman" w:hAnsi="Times New Roman" w:cs="Times New Roman"/>
                <w:sz w:val="24"/>
              </w:rPr>
              <w:t>建设</w:t>
            </w:r>
            <w:r>
              <w:rPr>
                <w:rFonts w:hint="eastAsia" w:cs="Times New Roman"/>
                <w:sz w:val="24"/>
                <w:lang w:val="en-US" w:eastAsia="zh-CN"/>
              </w:rPr>
              <w:t>新乡市华恩机械有限公司年产1.2万件变幅杆项目，本项目变幅杆为超声波焊接机配件</w:t>
            </w:r>
            <w:r>
              <w:rPr>
                <w:rFonts w:hint="default" w:ascii="Times New Roman" w:hAnsi="Times New Roman" w:cs="Times New Roman"/>
                <w:sz w:val="24"/>
              </w:rPr>
              <w:t>。项目已经</w:t>
            </w:r>
            <w:r>
              <w:rPr>
                <w:rFonts w:hint="eastAsia" w:cs="Times New Roman"/>
                <w:sz w:val="24"/>
                <w:lang w:eastAsia="zh-CN"/>
              </w:rPr>
              <w:t>在</w:t>
            </w:r>
            <w:r>
              <w:rPr>
                <w:rFonts w:hint="default" w:ascii="Times New Roman" w:hAnsi="Times New Roman" w:cs="Times New Roman"/>
                <w:sz w:val="24"/>
              </w:rPr>
              <w:t>新乡县发展和改革委员会备案，备案文号：</w:t>
            </w:r>
            <w:r>
              <w:rPr>
                <w:rFonts w:hint="eastAsia" w:cs="Times New Roman"/>
                <w:sz w:val="24"/>
                <w:highlight w:val="none"/>
                <w:lang w:eastAsia="zh-CN"/>
              </w:rPr>
              <w:t>2411-410721-04-01-291302</w:t>
            </w:r>
            <w:r>
              <w:rPr>
                <w:rFonts w:hint="default" w:ascii="Times New Roman" w:hAnsi="Times New Roman" w:cs="Times New Roman"/>
                <w:sz w:val="24"/>
                <w:highlight w:val="none"/>
              </w:rPr>
              <w:t>。经现场</w:t>
            </w:r>
            <w:r>
              <w:rPr>
                <w:rFonts w:hint="default" w:ascii="Times New Roman" w:hAnsi="Times New Roman" w:cs="Times New Roman"/>
                <w:sz w:val="24"/>
              </w:rPr>
              <w:t>勘察，本项目设备未到位，不具备生产能力，不属于未批先建。</w:t>
            </w:r>
          </w:p>
          <w:p w14:paraId="5A3BA5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drawing>
                <wp:inline distT="0" distB="0" distL="114300" distR="114300">
                  <wp:extent cx="5448935" cy="3154045"/>
                  <wp:effectExtent l="0" t="0" r="18415" b="8255"/>
                  <wp:docPr id="3" name="图片 3" descr="d05182084f82239069cdbdbe6192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05182084f82239069cdbdbe61923f7"/>
                          <pic:cNvPicPr>
                            <a:picLocks noChangeAspect="1"/>
                          </pic:cNvPicPr>
                        </pic:nvPicPr>
                        <pic:blipFill>
                          <a:blip r:embed="rId16"/>
                          <a:stretch>
                            <a:fillRect/>
                          </a:stretch>
                        </pic:blipFill>
                        <pic:spPr>
                          <a:xfrm>
                            <a:off x="0" y="0"/>
                            <a:ext cx="5448935" cy="3154045"/>
                          </a:xfrm>
                          <a:prstGeom prst="rect">
                            <a:avLst/>
                          </a:prstGeom>
                        </pic:spPr>
                      </pic:pic>
                    </a:graphicData>
                  </a:graphic>
                </wp:inline>
              </w:drawing>
            </w:r>
          </w:p>
          <w:p w14:paraId="335EB228">
            <w:pPr>
              <w:keepNext w:val="0"/>
              <w:keepLines w:val="0"/>
              <w:suppressLineNumbers w:val="0"/>
              <w:tabs>
                <w:tab w:val="center" w:pos="4709"/>
              </w:tabs>
              <w:adjustRightInd w:val="0"/>
              <w:snapToGrid w:val="0"/>
              <w:spacing w:before="0" w:beforeAutospacing="0" w:after="0" w:afterAutospacing="0" w:line="440" w:lineRule="exact"/>
              <w:ind w:left="0" w:right="0"/>
              <w:jc w:val="center"/>
              <w:rPr>
                <w:rFonts w:hint="eastAsia"/>
                <w:b/>
                <w:sz w:val="24"/>
                <w:highlight w:val="none"/>
              </w:rPr>
            </w:pPr>
            <w:r>
              <w:rPr>
                <w:rFonts w:hint="eastAsia"/>
                <w:b/>
                <w:bCs/>
                <w:color w:val="000000"/>
                <w:sz w:val="24"/>
                <w:lang w:val="en-US" w:eastAsia="zh-CN"/>
              </w:rPr>
              <w:t>图3  本项目现状图</w:t>
            </w:r>
          </w:p>
          <w:p w14:paraId="0C6071DD">
            <w:pPr>
              <w:keepNext w:val="0"/>
              <w:keepLines w:val="0"/>
              <w:suppressLineNumbers w:val="0"/>
              <w:tabs>
                <w:tab w:val="center" w:pos="4709"/>
              </w:tabs>
              <w:adjustRightInd w:val="0"/>
              <w:snapToGrid w:val="0"/>
              <w:spacing w:before="0" w:beforeAutospacing="0" w:after="0" w:afterAutospacing="0" w:line="440" w:lineRule="exact"/>
              <w:ind w:left="0" w:right="0"/>
              <w:rPr>
                <w:rFonts w:hint="default"/>
                <w:b/>
                <w:sz w:val="24"/>
                <w:highlight w:val="none"/>
              </w:rPr>
            </w:pPr>
            <w:r>
              <w:rPr>
                <w:rFonts w:hint="eastAsia"/>
                <w:b/>
                <w:sz w:val="24"/>
                <w:highlight w:val="none"/>
              </w:rPr>
              <w:t>二、工程内容及规模</w:t>
            </w:r>
          </w:p>
          <w:p w14:paraId="1D63729A">
            <w:pPr>
              <w:keepNext w:val="0"/>
              <w:keepLines w:val="0"/>
              <w:suppressLineNumbers w:val="0"/>
              <w:adjustRightInd w:val="0"/>
              <w:snapToGrid w:val="0"/>
              <w:spacing w:before="0" w:beforeAutospacing="0" w:after="0" w:afterAutospacing="0" w:line="440" w:lineRule="exact"/>
              <w:ind w:left="0" w:right="0" w:firstLine="482" w:firstLineChars="200"/>
              <w:rPr>
                <w:rFonts w:hint="default"/>
                <w:sz w:val="24"/>
              </w:rPr>
            </w:pPr>
            <w:r>
              <w:rPr>
                <w:rFonts w:hint="default" w:ascii="宋体" w:hAnsi="宋体"/>
                <w:b/>
                <w:sz w:val="24"/>
              </w:rPr>
              <w:t>1、项目概况</w:t>
            </w:r>
          </w:p>
          <w:p w14:paraId="35B6D12F">
            <w:pPr>
              <w:keepNext w:val="0"/>
              <w:keepLines w:val="0"/>
              <w:suppressLineNumbers w:val="0"/>
              <w:adjustRightInd w:val="0"/>
              <w:snapToGrid w:val="0"/>
              <w:spacing w:before="0" w:beforeAutospacing="0" w:after="0" w:afterAutospacing="0" w:line="440" w:lineRule="exact"/>
              <w:ind w:left="0" w:right="0" w:firstLine="480" w:firstLineChars="200"/>
              <w:rPr>
                <w:rFonts w:hint="default"/>
                <w:sz w:val="24"/>
              </w:rPr>
            </w:pPr>
            <w:r>
              <w:rPr>
                <w:rFonts w:hint="default"/>
                <w:sz w:val="24"/>
              </w:rPr>
              <w:t>项目的基本情</w:t>
            </w:r>
            <w:r>
              <w:rPr>
                <w:rFonts w:hint="default"/>
                <w:color w:val="auto"/>
                <w:sz w:val="24"/>
              </w:rPr>
              <w:t>况见表</w:t>
            </w:r>
            <w:r>
              <w:rPr>
                <w:rFonts w:hint="eastAsia"/>
                <w:color w:val="auto"/>
                <w:sz w:val="24"/>
                <w:lang w:val="en-US" w:eastAsia="zh-CN"/>
              </w:rPr>
              <w:t>11</w:t>
            </w:r>
            <w:r>
              <w:rPr>
                <w:rFonts w:hint="eastAsia"/>
                <w:color w:val="auto"/>
                <w:sz w:val="24"/>
              </w:rPr>
              <w:t>。</w:t>
            </w:r>
          </w:p>
          <w:p w14:paraId="5273AC7F">
            <w:pPr>
              <w:pStyle w:val="55"/>
              <w:keepNext w:val="0"/>
              <w:keepLines w:val="0"/>
              <w:suppressLineNumbers w:val="0"/>
              <w:spacing w:before="0" w:beforeAutospacing="0" w:after="0" w:afterAutospacing="0" w:line="440" w:lineRule="exact"/>
              <w:ind w:left="0" w:right="0" w:firstLine="0"/>
              <w:jc w:val="center"/>
              <w:rPr>
                <w:rFonts w:hint="default" w:hAnsi="宋体" w:cs="Times New Roman"/>
                <w:b/>
                <w:bCs/>
                <w:color w:val="000000"/>
                <w:sz w:val="24"/>
                <w:szCs w:val="24"/>
              </w:rPr>
            </w:pPr>
            <w:r>
              <w:rPr>
                <w:rFonts w:hint="default"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 xml:space="preserve">11  </w:t>
            </w:r>
            <w:r>
              <w:rPr>
                <w:rFonts w:hint="eastAsia" w:hAnsi="宋体" w:cs="Times New Roman"/>
                <w:b/>
                <w:bCs/>
                <w:color w:val="000000"/>
                <w:sz w:val="24"/>
                <w:szCs w:val="24"/>
              </w:rPr>
              <w:t>项目基本情况</w:t>
            </w:r>
          </w:p>
          <w:tbl>
            <w:tblPr>
              <w:tblStyle w:val="22"/>
              <w:tblW w:w="5000" w:type="pct"/>
              <w:jc w:val="center"/>
              <w:tblLayout w:type="autofit"/>
              <w:tblCellMar>
                <w:top w:w="0" w:type="dxa"/>
                <w:left w:w="108" w:type="dxa"/>
                <w:bottom w:w="0" w:type="dxa"/>
                <w:right w:w="108" w:type="dxa"/>
              </w:tblCellMar>
            </w:tblPr>
            <w:tblGrid>
              <w:gridCol w:w="651"/>
              <w:gridCol w:w="1917"/>
              <w:gridCol w:w="6237"/>
            </w:tblGrid>
            <w:tr w14:paraId="17110DAE">
              <w:tblPrEx>
                <w:tblCellMar>
                  <w:top w:w="0" w:type="dxa"/>
                  <w:left w:w="108" w:type="dxa"/>
                  <w:bottom w:w="0" w:type="dxa"/>
                  <w:right w:w="108" w:type="dxa"/>
                </w:tblCellMar>
              </w:tblPrEx>
              <w:trPr>
                <w:trHeight w:val="397" w:hRule="atLeast"/>
                <w:jc w:val="center"/>
              </w:trPr>
              <w:tc>
                <w:tcPr>
                  <w:tcW w:w="651" w:type="dxa"/>
                  <w:tcBorders>
                    <w:top w:val="single" w:color="auto" w:sz="8" w:space="0"/>
                    <w:left w:val="nil"/>
                    <w:bottom w:val="single" w:color="auto" w:sz="8" w:space="0"/>
                    <w:right w:val="single" w:color="auto" w:sz="4" w:space="0"/>
                  </w:tcBorders>
                  <w:noWrap w:val="0"/>
                  <w:vAlign w:val="center"/>
                </w:tcPr>
                <w:p w14:paraId="34DC453E">
                  <w:pPr>
                    <w:keepNext w:val="0"/>
                    <w:keepLines w:val="0"/>
                    <w:suppressLineNumbers w:val="0"/>
                    <w:adjustRightInd w:val="0"/>
                    <w:snapToGrid w:val="0"/>
                    <w:spacing w:before="0" w:beforeAutospacing="0" w:after="0" w:afterAutospacing="0"/>
                    <w:ind w:left="0" w:right="0"/>
                    <w:jc w:val="center"/>
                    <w:rPr>
                      <w:rFonts w:hint="default"/>
                      <w:b/>
                      <w:sz w:val="21"/>
                      <w:szCs w:val="21"/>
                    </w:rPr>
                  </w:pPr>
                  <w:r>
                    <w:rPr>
                      <w:rFonts w:hint="default"/>
                      <w:b/>
                      <w:sz w:val="21"/>
                      <w:szCs w:val="21"/>
                    </w:rPr>
                    <w:t>序号</w:t>
                  </w:r>
                </w:p>
              </w:tc>
              <w:tc>
                <w:tcPr>
                  <w:tcW w:w="1917" w:type="dxa"/>
                  <w:tcBorders>
                    <w:top w:val="single" w:color="auto" w:sz="8" w:space="0"/>
                    <w:left w:val="single" w:color="auto" w:sz="4" w:space="0"/>
                    <w:bottom w:val="single" w:color="auto" w:sz="8" w:space="0"/>
                    <w:right w:val="single" w:color="auto" w:sz="4" w:space="0"/>
                  </w:tcBorders>
                  <w:noWrap w:val="0"/>
                  <w:vAlign w:val="center"/>
                </w:tcPr>
                <w:p w14:paraId="582BE9D9">
                  <w:pPr>
                    <w:keepNext w:val="0"/>
                    <w:keepLines w:val="0"/>
                    <w:suppressLineNumbers w:val="0"/>
                    <w:adjustRightInd w:val="0"/>
                    <w:snapToGrid w:val="0"/>
                    <w:spacing w:before="0" w:beforeAutospacing="0" w:after="0" w:afterAutospacing="0"/>
                    <w:ind w:left="0" w:right="0"/>
                    <w:jc w:val="center"/>
                    <w:rPr>
                      <w:rFonts w:hint="default"/>
                      <w:b/>
                      <w:sz w:val="21"/>
                      <w:szCs w:val="21"/>
                    </w:rPr>
                  </w:pPr>
                  <w:r>
                    <w:rPr>
                      <w:rFonts w:hint="default"/>
                      <w:b/>
                      <w:sz w:val="21"/>
                      <w:szCs w:val="21"/>
                    </w:rPr>
                    <w:t>项目</w:t>
                  </w:r>
                </w:p>
              </w:tc>
              <w:tc>
                <w:tcPr>
                  <w:tcW w:w="6237" w:type="dxa"/>
                  <w:tcBorders>
                    <w:top w:val="single" w:color="auto" w:sz="8" w:space="0"/>
                    <w:left w:val="single" w:color="auto" w:sz="4" w:space="0"/>
                    <w:bottom w:val="single" w:color="auto" w:sz="8" w:space="0"/>
                    <w:right w:val="nil"/>
                  </w:tcBorders>
                  <w:noWrap w:val="0"/>
                  <w:vAlign w:val="center"/>
                </w:tcPr>
                <w:p w14:paraId="48CA9935">
                  <w:pPr>
                    <w:keepNext w:val="0"/>
                    <w:keepLines w:val="0"/>
                    <w:suppressLineNumbers w:val="0"/>
                    <w:adjustRightInd w:val="0"/>
                    <w:snapToGrid w:val="0"/>
                    <w:spacing w:before="0" w:beforeAutospacing="0" w:after="0" w:afterAutospacing="0"/>
                    <w:ind w:left="0" w:right="0"/>
                    <w:jc w:val="center"/>
                    <w:rPr>
                      <w:rFonts w:hint="default"/>
                      <w:b/>
                      <w:sz w:val="21"/>
                      <w:szCs w:val="21"/>
                    </w:rPr>
                  </w:pPr>
                  <w:r>
                    <w:rPr>
                      <w:rFonts w:hint="default"/>
                      <w:b/>
                      <w:sz w:val="21"/>
                      <w:szCs w:val="21"/>
                    </w:rPr>
                    <w:t>内容</w:t>
                  </w:r>
                </w:p>
              </w:tc>
            </w:tr>
            <w:tr w14:paraId="55AA984A">
              <w:tblPrEx>
                <w:tblCellMar>
                  <w:top w:w="0" w:type="dxa"/>
                  <w:left w:w="108" w:type="dxa"/>
                  <w:bottom w:w="0" w:type="dxa"/>
                  <w:right w:w="108" w:type="dxa"/>
                </w:tblCellMar>
              </w:tblPrEx>
              <w:trPr>
                <w:trHeight w:val="397" w:hRule="atLeast"/>
                <w:jc w:val="center"/>
              </w:trPr>
              <w:tc>
                <w:tcPr>
                  <w:tcW w:w="651" w:type="dxa"/>
                  <w:tcBorders>
                    <w:top w:val="single" w:color="auto" w:sz="8" w:space="0"/>
                    <w:left w:val="nil"/>
                    <w:bottom w:val="single" w:color="auto" w:sz="4" w:space="0"/>
                    <w:right w:val="single" w:color="auto" w:sz="4" w:space="0"/>
                  </w:tcBorders>
                  <w:noWrap w:val="0"/>
                  <w:vAlign w:val="center"/>
                </w:tcPr>
                <w:p w14:paraId="2957FB70">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1</w:t>
                  </w:r>
                </w:p>
              </w:tc>
              <w:tc>
                <w:tcPr>
                  <w:tcW w:w="1917" w:type="dxa"/>
                  <w:tcBorders>
                    <w:top w:val="single" w:color="auto" w:sz="8" w:space="0"/>
                    <w:left w:val="single" w:color="auto" w:sz="4" w:space="0"/>
                    <w:bottom w:val="single" w:color="auto" w:sz="4" w:space="0"/>
                    <w:right w:val="single" w:color="auto" w:sz="4" w:space="0"/>
                  </w:tcBorders>
                  <w:noWrap w:val="0"/>
                  <w:vAlign w:val="center"/>
                </w:tcPr>
                <w:p w14:paraId="0740B073">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项目名称</w:t>
                  </w:r>
                </w:p>
              </w:tc>
              <w:tc>
                <w:tcPr>
                  <w:tcW w:w="6237" w:type="dxa"/>
                  <w:tcBorders>
                    <w:top w:val="single" w:color="auto" w:sz="8" w:space="0"/>
                    <w:left w:val="single" w:color="auto" w:sz="4" w:space="0"/>
                    <w:bottom w:val="single" w:color="auto" w:sz="4" w:space="0"/>
                    <w:right w:val="nil"/>
                  </w:tcBorders>
                  <w:noWrap w:val="0"/>
                  <w:vAlign w:val="center"/>
                </w:tcPr>
                <w:p w14:paraId="1DB9B5A9">
                  <w:pPr>
                    <w:keepNext w:val="0"/>
                    <w:keepLines w:val="0"/>
                    <w:suppressLineNumbers w:val="0"/>
                    <w:adjustRightInd w:val="0"/>
                    <w:snapToGrid w:val="0"/>
                    <w:spacing w:before="0" w:beforeAutospacing="0" w:after="0" w:afterAutospacing="0"/>
                    <w:ind w:left="0" w:right="0"/>
                    <w:jc w:val="center"/>
                    <w:rPr>
                      <w:rFonts w:hint="default"/>
                      <w:color w:val="auto"/>
                      <w:sz w:val="21"/>
                      <w:szCs w:val="21"/>
                      <w:u w:val="none"/>
                    </w:rPr>
                  </w:pPr>
                  <w:r>
                    <w:rPr>
                      <w:rFonts w:hint="eastAsia" w:cs="Times New Roman"/>
                      <w:sz w:val="21"/>
                      <w:szCs w:val="21"/>
                      <w:lang w:val="en-US" w:eastAsia="zh-CN"/>
                    </w:rPr>
                    <w:t>新乡市华恩机械有限公司年产1.2万件变幅杆项目</w:t>
                  </w:r>
                </w:p>
              </w:tc>
            </w:tr>
            <w:tr w14:paraId="106128A4">
              <w:tblPrEx>
                <w:tblCellMar>
                  <w:top w:w="0" w:type="dxa"/>
                  <w:left w:w="108" w:type="dxa"/>
                  <w:bottom w:w="0" w:type="dxa"/>
                  <w:right w:w="108" w:type="dxa"/>
                </w:tblCellMar>
              </w:tblPrEx>
              <w:trPr>
                <w:trHeight w:val="397" w:hRule="atLeast"/>
                <w:jc w:val="center"/>
              </w:trPr>
              <w:tc>
                <w:tcPr>
                  <w:tcW w:w="651" w:type="dxa"/>
                  <w:tcBorders>
                    <w:top w:val="single" w:color="auto" w:sz="4" w:space="0"/>
                    <w:left w:val="nil"/>
                    <w:bottom w:val="single" w:color="auto" w:sz="4" w:space="0"/>
                    <w:right w:val="single" w:color="auto" w:sz="4" w:space="0"/>
                  </w:tcBorders>
                  <w:noWrap w:val="0"/>
                  <w:vAlign w:val="center"/>
                </w:tcPr>
                <w:p w14:paraId="548195D6">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2</w:t>
                  </w:r>
                </w:p>
              </w:tc>
              <w:tc>
                <w:tcPr>
                  <w:tcW w:w="1917" w:type="dxa"/>
                  <w:tcBorders>
                    <w:top w:val="single" w:color="auto" w:sz="4" w:space="0"/>
                    <w:left w:val="single" w:color="auto" w:sz="4" w:space="0"/>
                    <w:bottom w:val="single" w:color="auto" w:sz="4" w:space="0"/>
                    <w:right w:val="single" w:color="auto" w:sz="4" w:space="0"/>
                  </w:tcBorders>
                  <w:noWrap w:val="0"/>
                  <w:vAlign w:val="center"/>
                </w:tcPr>
                <w:p w14:paraId="61EB9D2D">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建设规模</w:t>
                  </w:r>
                </w:p>
              </w:tc>
              <w:tc>
                <w:tcPr>
                  <w:tcW w:w="6237" w:type="dxa"/>
                  <w:tcBorders>
                    <w:top w:val="single" w:color="auto" w:sz="4" w:space="0"/>
                    <w:left w:val="single" w:color="auto" w:sz="4" w:space="0"/>
                    <w:bottom w:val="single" w:color="auto" w:sz="4" w:space="0"/>
                    <w:right w:val="nil"/>
                  </w:tcBorders>
                  <w:noWrap w:val="0"/>
                  <w:vAlign w:val="center"/>
                </w:tcPr>
                <w:p w14:paraId="769390DB">
                  <w:pPr>
                    <w:keepNext w:val="0"/>
                    <w:keepLines w:val="0"/>
                    <w:suppressLineNumbers w:val="0"/>
                    <w:adjustRightInd w:val="0"/>
                    <w:snapToGrid w:val="0"/>
                    <w:spacing w:before="0" w:beforeAutospacing="0" w:after="0" w:afterAutospacing="0"/>
                    <w:ind w:left="0" w:right="0"/>
                    <w:jc w:val="center"/>
                    <w:rPr>
                      <w:rFonts w:hint="default" w:ascii="宋体" w:hAnsi="宋体" w:eastAsia="宋体"/>
                      <w:color w:val="auto"/>
                      <w:sz w:val="21"/>
                      <w:szCs w:val="21"/>
                      <w:u w:val="none"/>
                      <w:lang w:val="en-US" w:eastAsia="zh-CN"/>
                    </w:rPr>
                  </w:pPr>
                  <w:r>
                    <w:rPr>
                      <w:rFonts w:hint="default" w:ascii="Times New Roman" w:hAnsi="Times New Roman" w:cs="Times New Roman"/>
                      <w:sz w:val="21"/>
                      <w:szCs w:val="21"/>
                    </w:rPr>
                    <w:t>年产</w:t>
                  </w:r>
                  <w:r>
                    <w:rPr>
                      <w:rFonts w:hint="eastAsia" w:cs="Times New Roman"/>
                      <w:sz w:val="21"/>
                      <w:szCs w:val="21"/>
                      <w:lang w:val="en-US" w:eastAsia="zh-CN"/>
                    </w:rPr>
                    <w:t>1.2万件变幅杆</w:t>
                  </w:r>
                </w:p>
              </w:tc>
            </w:tr>
            <w:tr w14:paraId="61D4C927">
              <w:tblPrEx>
                <w:tblCellMar>
                  <w:top w:w="0" w:type="dxa"/>
                  <w:left w:w="108" w:type="dxa"/>
                  <w:bottom w:w="0" w:type="dxa"/>
                  <w:right w:w="108" w:type="dxa"/>
                </w:tblCellMar>
              </w:tblPrEx>
              <w:trPr>
                <w:trHeight w:val="397" w:hRule="atLeast"/>
                <w:jc w:val="center"/>
              </w:trPr>
              <w:tc>
                <w:tcPr>
                  <w:tcW w:w="651" w:type="dxa"/>
                  <w:tcBorders>
                    <w:top w:val="single" w:color="auto" w:sz="4" w:space="0"/>
                    <w:left w:val="nil"/>
                    <w:bottom w:val="single" w:color="auto" w:sz="4" w:space="0"/>
                    <w:right w:val="single" w:color="auto" w:sz="4" w:space="0"/>
                  </w:tcBorders>
                  <w:noWrap w:val="0"/>
                  <w:vAlign w:val="center"/>
                </w:tcPr>
                <w:p w14:paraId="4D3BD784">
                  <w:pPr>
                    <w:keepNext w:val="0"/>
                    <w:keepLines w:val="0"/>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3</w:t>
                  </w:r>
                </w:p>
              </w:tc>
              <w:tc>
                <w:tcPr>
                  <w:tcW w:w="1917" w:type="dxa"/>
                  <w:tcBorders>
                    <w:top w:val="single" w:color="auto" w:sz="4" w:space="0"/>
                    <w:left w:val="single" w:color="auto" w:sz="4" w:space="0"/>
                    <w:bottom w:val="single" w:color="auto" w:sz="4" w:space="0"/>
                    <w:right w:val="single" w:color="auto" w:sz="4" w:space="0"/>
                  </w:tcBorders>
                  <w:noWrap w:val="0"/>
                  <w:vAlign w:val="center"/>
                </w:tcPr>
                <w:p w14:paraId="31C40F0E">
                  <w:pPr>
                    <w:keepNext w:val="0"/>
                    <w:keepLines w:val="0"/>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建设性质</w:t>
                  </w:r>
                </w:p>
              </w:tc>
              <w:tc>
                <w:tcPr>
                  <w:tcW w:w="6237" w:type="dxa"/>
                  <w:tcBorders>
                    <w:top w:val="single" w:color="auto" w:sz="4" w:space="0"/>
                    <w:left w:val="single" w:color="auto" w:sz="4" w:space="0"/>
                    <w:bottom w:val="single" w:color="auto" w:sz="4" w:space="0"/>
                    <w:right w:val="nil"/>
                  </w:tcBorders>
                  <w:noWrap w:val="0"/>
                  <w:vAlign w:val="center"/>
                </w:tcPr>
                <w:p w14:paraId="127EAF8B">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1"/>
                      <w:szCs w:val="21"/>
                      <w:u w:val="none"/>
                      <w:lang w:val="en-US" w:eastAsia="zh-CN"/>
                    </w:rPr>
                  </w:pPr>
                  <w:r>
                    <w:rPr>
                      <w:rFonts w:hint="eastAsia" w:ascii="宋体" w:hAnsi="宋体"/>
                      <w:color w:val="auto"/>
                      <w:sz w:val="21"/>
                      <w:szCs w:val="21"/>
                      <w:u w:val="none"/>
                      <w:lang w:val="en-US" w:eastAsia="zh-CN"/>
                    </w:rPr>
                    <w:t>新建</w:t>
                  </w:r>
                </w:p>
              </w:tc>
            </w:tr>
            <w:tr w14:paraId="4E97EE6F">
              <w:tblPrEx>
                <w:tblCellMar>
                  <w:top w:w="0" w:type="dxa"/>
                  <w:left w:w="108" w:type="dxa"/>
                  <w:bottom w:w="0" w:type="dxa"/>
                  <w:right w:w="108" w:type="dxa"/>
                </w:tblCellMar>
              </w:tblPrEx>
              <w:trPr>
                <w:trHeight w:val="397" w:hRule="atLeast"/>
                <w:jc w:val="center"/>
              </w:trPr>
              <w:tc>
                <w:tcPr>
                  <w:tcW w:w="651" w:type="dxa"/>
                  <w:tcBorders>
                    <w:top w:val="single" w:color="auto" w:sz="4" w:space="0"/>
                    <w:left w:val="nil"/>
                    <w:bottom w:val="single" w:color="auto" w:sz="4" w:space="0"/>
                    <w:right w:val="single" w:color="auto" w:sz="4" w:space="0"/>
                  </w:tcBorders>
                  <w:noWrap w:val="0"/>
                  <w:vAlign w:val="center"/>
                </w:tcPr>
                <w:p w14:paraId="55CA9EF3">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4</w:t>
                  </w:r>
                </w:p>
              </w:tc>
              <w:tc>
                <w:tcPr>
                  <w:tcW w:w="1917" w:type="dxa"/>
                  <w:tcBorders>
                    <w:top w:val="single" w:color="auto" w:sz="4" w:space="0"/>
                    <w:left w:val="single" w:color="auto" w:sz="4" w:space="0"/>
                    <w:bottom w:val="single" w:color="auto" w:sz="4" w:space="0"/>
                    <w:right w:val="single" w:color="auto" w:sz="4" w:space="0"/>
                  </w:tcBorders>
                  <w:noWrap w:val="0"/>
                  <w:vAlign w:val="center"/>
                </w:tcPr>
                <w:p w14:paraId="112D3591">
                  <w:pPr>
                    <w:keepNext w:val="0"/>
                    <w:keepLines w:val="0"/>
                    <w:suppressLineNumbers w:val="0"/>
                    <w:adjustRightInd w:val="0"/>
                    <w:snapToGrid w:val="0"/>
                    <w:spacing w:before="0" w:beforeAutospacing="0" w:after="0" w:afterAutospacing="0"/>
                    <w:ind w:left="0" w:leftChars="0" w:right="0" w:rightChars="0"/>
                    <w:jc w:val="center"/>
                    <w:rPr>
                      <w:rFonts w:hint="default"/>
                      <w:sz w:val="21"/>
                      <w:szCs w:val="21"/>
                    </w:rPr>
                  </w:pPr>
                  <w:r>
                    <w:rPr>
                      <w:rFonts w:hint="eastAsia"/>
                      <w:sz w:val="21"/>
                      <w:szCs w:val="21"/>
                    </w:rPr>
                    <w:t>建设单位</w:t>
                  </w:r>
                </w:p>
              </w:tc>
              <w:tc>
                <w:tcPr>
                  <w:tcW w:w="6237" w:type="dxa"/>
                  <w:tcBorders>
                    <w:top w:val="single" w:color="auto" w:sz="4" w:space="0"/>
                    <w:left w:val="single" w:color="auto" w:sz="4" w:space="0"/>
                    <w:bottom w:val="single" w:color="auto" w:sz="4" w:space="0"/>
                    <w:right w:val="nil"/>
                  </w:tcBorders>
                  <w:noWrap w:val="0"/>
                  <w:vAlign w:val="center"/>
                </w:tcPr>
                <w:p w14:paraId="799093AB">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auto"/>
                      <w:sz w:val="21"/>
                      <w:szCs w:val="21"/>
                      <w:u w:val="none"/>
                      <w:lang w:val="en-US" w:eastAsia="zh-CN"/>
                    </w:rPr>
                  </w:pPr>
                  <w:r>
                    <w:rPr>
                      <w:rFonts w:hint="eastAsia" w:cs="Times New Roman"/>
                      <w:sz w:val="21"/>
                      <w:szCs w:val="21"/>
                      <w:lang w:val="en-US" w:eastAsia="zh-CN"/>
                    </w:rPr>
                    <w:t>新乡市华恩机械有限公司</w:t>
                  </w:r>
                </w:p>
              </w:tc>
            </w:tr>
            <w:tr w14:paraId="002A95DC">
              <w:tblPrEx>
                <w:tblCellMar>
                  <w:top w:w="0" w:type="dxa"/>
                  <w:left w:w="108" w:type="dxa"/>
                  <w:bottom w:w="0" w:type="dxa"/>
                  <w:right w:w="108" w:type="dxa"/>
                </w:tblCellMar>
              </w:tblPrEx>
              <w:trPr>
                <w:trHeight w:val="397" w:hRule="atLeast"/>
                <w:jc w:val="center"/>
              </w:trPr>
              <w:tc>
                <w:tcPr>
                  <w:tcW w:w="651" w:type="dxa"/>
                  <w:tcBorders>
                    <w:top w:val="single" w:color="auto" w:sz="4" w:space="0"/>
                    <w:left w:val="nil"/>
                    <w:bottom w:val="single" w:color="auto" w:sz="4" w:space="0"/>
                    <w:right w:val="single" w:color="auto" w:sz="4" w:space="0"/>
                  </w:tcBorders>
                  <w:noWrap w:val="0"/>
                  <w:vAlign w:val="center"/>
                </w:tcPr>
                <w:p w14:paraId="29490131">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5</w:t>
                  </w:r>
                </w:p>
              </w:tc>
              <w:tc>
                <w:tcPr>
                  <w:tcW w:w="1917" w:type="dxa"/>
                  <w:tcBorders>
                    <w:top w:val="single" w:color="auto" w:sz="4" w:space="0"/>
                    <w:left w:val="single" w:color="auto" w:sz="4" w:space="0"/>
                    <w:bottom w:val="single" w:color="auto" w:sz="4" w:space="0"/>
                    <w:right w:val="single" w:color="auto" w:sz="4" w:space="0"/>
                  </w:tcBorders>
                  <w:noWrap w:val="0"/>
                  <w:vAlign w:val="center"/>
                </w:tcPr>
                <w:p w14:paraId="7803C2AA">
                  <w:pPr>
                    <w:keepNext w:val="0"/>
                    <w:keepLines w:val="0"/>
                    <w:suppressLineNumbers w:val="0"/>
                    <w:adjustRightInd w:val="0"/>
                    <w:snapToGrid w:val="0"/>
                    <w:spacing w:before="0" w:beforeAutospacing="0" w:after="0" w:afterAutospacing="0"/>
                    <w:ind w:left="0" w:leftChars="0" w:right="0" w:rightChars="0"/>
                    <w:jc w:val="center"/>
                    <w:rPr>
                      <w:rFonts w:hint="default"/>
                      <w:sz w:val="21"/>
                      <w:szCs w:val="21"/>
                    </w:rPr>
                  </w:pPr>
                  <w:r>
                    <w:rPr>
                      <w:rFonts w:hint="eastAsia"/>
                      <w:sz w:val="21"/>
                      <w:szCs w:val="21"/>
                    </w:rPr>
                    <w:t>项目选址</w:t>
                  </w:r>
                </w:p>
              </w:tc>
              <w:tc>
                <w:tcPr>
                  <w:tcW w:w="6237" w:type="dxa"/>
                  <w:tcBorders>
                    <w:top w:val="single" w:color="auto" w:sz="4" w:space="0"/>
                    <w:left w:val="single" w:color="auto" w:sz="4" w:space="0"/>
                    <w:bottom w:val="single" w:color="auto" w:sz="4" w:space="0"/>
                    <w:right w:val="nil"/>
                  </w:tcBorders>
                  <w:noWrap w:val="0"/>
                  <w:vAlign w:val="center"/>
                </w:tcPr>
                <w:p w14:paraId="2ADCBD0D">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auto"/>
                      <w:sz w:val="21"/>
                      <w:szCs w:val="21"/>
                      <w:u w:val="none"/>
                      <w:lang w:eastAsia="zh-CN"/>
                    </w:rPr>
                  </w:pPr>
                  <w:r>
                    <w:rPr>
                      <w:rFonts w:hint="eastAsia"/>
                      <w:sz w:val="21"/>
                      <w:szCs w:val="21"/>
                      <w:lang w:eastAsia="zh-CN"/>
                    </w:rPr>
                    <w:t>河南省新乡市</w:t>
                  </w:r>
                  <w:r>
                    <w:rPr>
                      <w:rFonts w:hint="eastAsia"/>
                      <w:sz w:val="21"/>
                      <w:szCs w:val="21"/>
                      <w:lang w:val="en-US" w:eastAsia="zh-CN"/>
                    </w:rPr>
                    <w:t>新乡县中央大道兴隆路交叉路口西南角处</w:t>
                  </w:r>
                </w:p>
              </w:tc>
            </w:tr>
            <w:tr w14:paraId="182027C2">
              <w:tblPrEx>
                <w:tblCellMar>
                  <w:top w:w="0" w:type="dxa"/>
                  <w:left w:w="108" w:type="dxa"/>
                  <w:bottom w:w="0" w:type="dxa"/>
                  <w:right w:w="108" w:type="dxa"/>
                </w:tblCellMar>
              </w:tblPrEx>
              <w:trPr>
                <w:trHeight w:val="397" w:hRule="atLeast"/>
                <w:jc w:val="center"/>
              </w:trPr>
              <w:tc>
                <w:tcPr>
                  <w:tcW w:w="651" w:type="dxa"/>
                  <w:tcBorders>
                    <w:top w:val="single" w:color="auto" w:sz="4" w:space="0"/>
                    <w:left w:val="nil"/>
                    <w:bottom w:val="single" w:color="auto" w:sz="4" w:space="0"/>
                    <w:right w:val="single" w:color="auto" w:sz="4" w:space="0"/>
                  </w:tcBorders>
                  <w:noWrap w:val="0"/>
                  <w:vAlign w:val="center"/>
                </w:tcPr>
                <w:p w14:paraId="5F4BCFFC">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6</w:t>
                  </w:r>
                </w:p>
              </w:tc>
              <w:tc>
                <w:tcPr>
                  <w:tcW w:w="1917" w:type="dxa"/>
                  <w:tcBorders>
                    <w:top w:val="single" w:color="auto" w:sz="4" w:space="0"/>
                    <w:left w:val="single" w:color="auto" w:sz="4" w:space="0"/>
                    <w:bottom w:val="single" w:color="auto" w:sz="4" w:space="0"/>
                    <w:right w:val="single" w:color="auto" w:sz="4" w:space="0"/>
                  </w:tcBorders>
                  <w:noWrap w:val="0"/>
                  <w:vAlign w:val="center"/>
                </w:tcPr>
                <w:p w14:paraId="2AAC07A7">
                  <w:pPr>
                    <w:keepNext w:val="0"/>
                    <w:keepLines w:val="0"/>
                    <w:suppressLineNumbers w:val="0"/>
                    <w:adjustRightInd w:val="0"/>
                    <w:snapToGrid w:val="0"/>
                    <w:spacing w:before="0" w:beforeAutospacing="0" w:after="0" w:afterAutospacing="0"/>
                    <w:ind w:left="0" w:leftChars="0" w:right="0" w:rightChars="0"/>
                    <w:jc w:val="center"/>
                    <w:rPr>
                      <w:rFonts w:hint="eastAsia"/>
                      <w:sz w:val="21"/>
                      <w:szCs w:val="21"/>
                    </w:rPr>
                  </w:pPr>
                  <w:r>
                    <w:rPr>
                      <w:rFonts w:hint="default"/>
                      <w:sz w:val="21"/>
                      <w:szCs w:val="21"/>
                    </w:rPr>
                    <w:t>占地面积</w:t>
                  </w:r>
                </w:p>
              </w:tc>
              <w:tc>
                <w:tcPr>
                  <w:tcW w:w="6237" w:type="dxa"/>
                  <w:tcBorders>
                    <w:top w:val="single" w:color="auto" w:sz="4" w:space="0"/>
                    <w:left w:val="single" w:color="auto" w:sz="4" w:space="0"/>
                    <w:bottom w:val="single" w:color="auto" w:sz="4" w:space="0"/>
                    <w:right w:val="nil"/>
                  </w:tcBorders>
                  <w:noWrap w:val="0"/>
                  <w:vAlign w:val="center"/>
                </w:tcPr>
                <w:p w14:paraId="77B2A404">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olor w:val="auto"/>
                      <w:sz w:val="21"/>
                      <w:szCs w:val="21"/>
                      <w:u w:val="none"/>
                      <w:lang w:val="en-US" w:eastAsia="zh-CN"/>
                    </w:rPr>
                  </w:pPr>
                  <w:r>
                    <w:rPr>
                      <w:rFonts w:hint="eastAsia"/>
                      <w:color w:val="000000" w:themeColor="text1"/>
                      <w:sz w:val="21"/>
                      <w:szCs w:val="21"/>
                      <w:highlight w:val="none"/>
                      <w:u w:val="none"/>
                      <w:lang w:val="en-US" w:eastAsia="zh-CN"/>
                      <w14:textFill>
                        <w14:solidFill>
                          <w14:schemeClr w14:val="tx1"/>
                        </w14:solidFill>
                      </w14:textFill>
                    </w:rPr>
                    <w:t>600m</w:t>
                  </w:r>
                  <w:r>
                    <w:rPr>
                      <w:rFonts w:hint="eastAsia"/>
                      <w:color w:val="000000" w:themeColor="text1"/>
                      <w:sz w:val="21"/>
                      <w:szCs w:val="21"/>
                      <w:highlight w:val="none"/>
                      <w:u w:val="none"/>
                      <w:vertAlign w:val="superscript"/>
                      <w:lang w:val="en-US" w:eastAsia="zh-CN"/>
                      <w14:textFill>
                        <w14:solidFill>
                          <w14:schemeClr w14:val="tx1"/>
                        </w14:solidFill>
                      </w14:textFill>
                    </w:rPr>
                    <w:t>2</w:t>
                  </w:r>
                </w:p>
              </w:tc>
            </w:tr>
            <w:tr w14:paraId="1F839CA5">
              <w:tblPrEx>
                <w:tblCellMar>
                  <w:top w:w="0" w:type="dxa"/>
                  <w:left w:w="108" w:type="dxa"/>
                  <w:bottom w:w="0" w:type="dxa"/>
                  <w:right w:w="108" w:type="dxa"/>
                </w:tblCellMar>
              </w:tblPrEx>
              <w:trPr>
                <w:trHeight w:val="397" w:hRule="atLeast"/>
                <w:jc w:val="center"/>
              </w:trPr>
              <w:tc>
                <w:tcPr>
                  <w:tcW w:w="651" w:type="dxa"/>
                  <w:tcBorders>
                    <w:top w:val="single" w:color="auto" w:sz="4" w:space="0"/>
                    <w:left w:val="nil"/>
                    <w:bottom w:val="single" w:color="auto" w:sz="4" w:space="0"/>
                    <w:right w:val="single" w:color="auto" w:sz="4" w:space="0"/>
                  </w:tcBorders>
                  <w:noWrap w:val="0"/>
                  <w:vAlign w:val="center"/>
                </w:tcPr>
                <w:p w14:paraId="2D787E15">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7</w:t>
                  </w:r>
                </w:p>
              </w:tc>
              <w:tc>
                <w:tcPr>
                  <w:tcW w:w="1917" w:type="dxa"/>
                  <w:tcBorders>
                    <w:top w:val="single" w:color="auto" w:sz="4" w:space="0"/>
                    <w:left w:val="single" w:color="auto" w:sz="4" w:space="0"/>
                    <w:bottom w:val="single" w:color="auto" w:sz="4" w:space="0"/>
                    <w:right w:val="single" w:color="auto" w:sz="4" w:space="0"/>
                  </w:tcBorders>
                  <w:noWrap w:val="0"/>
                  <w:vAlign w:val="center"/>
                </w:tcPr>
                <w:p w14:paraId="58798BFD">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总投资</w:t>
                  </w:r>
                </w:p>
              </w:tc>
              <w:tc>
                <w:tcPr>
                  <w:tcW w:w="6237" w:type="dxa"/>
                  <w:tcBorders>
                    <w:top w:val="single" w:color="auto" w:sz="4" w:space="0"/>
                    <w:left w:val="single" w:color="auto" w:sz="4" w:space="0"/>
                    <w:bottom w:val="single" w:color="auto" w:sz="4" w:space="0"/>
                    <w:right w:val="nil"/>
                  </w:tcBorders>
                  <w:noWrap w:val="0"/>
                  <w:vAlign w:val="center"/>
                </w:tcPr>
                <w:p w14:paraId="5349412E">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u w:val="none"/>
                      <w:lang w:eastAsia="zh-CN"/>
                    </w:rPr>
                  </w:pPr>
                  <w:r>
                    <w:rPr>
                      <w:rFonts w:hint="eastAsia"/>
                      <w:color w:val="auto"/>
                      <w:sz w:val="21"/>
                      <w:szCs w:val="21"/>
                      <w:u w:val="none"/>
                      <w:lang w:val="en-US" w:eastAsia="zh-CN"/>
                    </w:rPr>
                    <w:t>2</w:t>
                  </w:r>
                  <w:r>
                    <w:rPr>
                      <w:rFonts w:hint="default"/>
                      <w:color w:val="auto"/>
                      <w:sz w:val="21"/>
                      <w:szCs w:val="21"/>
                      <w:u w:val="none"/>
                      <w:lang w:eastAsia="zh-CN"/>
                    </w:rPr>
                    <w:t>00</w:t>
                  </w:r>
                  <w:r>
                    <w:rPr>
                      <w:rFonts w:hint="eastAsia"/>
                      <w:color w:val="auto"/>
                      <w:sz w:val="21"/>
                      <w:szCs w:val="21"/>
                      <w:u w:val="none"/>
                    </w:rPr>
                    <w:t>万元</w:t>
                  </w:r>
                </w:p>
              </w:tc>
            </w:tr>
            <w:tr w14:paraId="6C7EE46E">
              <w:tblPrEx>
                <w:tblCellMar>
                  <w:top w:w="0" w:type="dxa"/>
                  <w:left w:w="108" w:type="dxa"/>
                  <w:bottom w:w="0" w:type="dxa"/>
                  <w:right w:w="108" w:type="dxa"/>
                </w:tblCellMar>
              </w:tblPrEx>
              <w:trPr>
                <w:trHeight w:val="397" w:hRule="atLeast"/>
                <w:jc w:val="center"/>
              </w:trPr>
              <w:tc>
                <w:tcPr>
                  <w:tcW w:w="651" w:type="dxa"/>
                  <w:tcBorders>
                    <w:top w:val="single" w:color="auto" w:sz="4" w:space="0"/>
                    <w:left w:val="nil"/>
                    <w:bottom w:val="single" w:color="auto" w:sz="8" w:space="0"/>
                    <w:right w:val="single" w:color="auto" w:sz="4" w:space="0"/>
                  </w:tcBorders>
                  <w:noWrap w:val="0"/>
                  <w:vAlign w:val="center"/>
                </w:tcPr>
                <w:p w14:paraId="557C1F87">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8</w:t>
                  </w:r>
                </w:p>
              </w:tc>
              <w:tc>
                <w:tcPr>
                  <w:tcW w:w="1917" w:type="dxa"/>
                  <w:tcBorders>
                    <w:top w:val="single" w:color="auto" w:sz="4" w:space="0"/>
                    <w:left w:val="single" w:color="auto" w:sz="4" w:space="0"/>
                    <w:bottom w:val="single" w:color="auto" w:sz="8" w:space="0"/>
                    <w:right w:val="single" w:color="auto" w:sz="4" w:space="0"/>
                  </w:tcBorders>
                  <w:noWrap w:val="0"/>
                  <w:vAlign w:val="center"/>
                </w:tcPr>
                <w:p w14:paraId="5EA47DEA">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劳动定员与制度</w:t>
                  </w:r>
                </w:p>
              </w:tc>
              <w:tc>
                <w:tcPr>
                  <w:tcW w:w="6237" w:type="dxa"/>
                  <w:tcBorders>
                    <w:top w:val="single" w:color="auto" w:sz="4" w:space="0"/>
                    <w:left w:val="single" w:color="auto" w:sz="4" w:space="0"/>
                    <w:bottom w:val="single" w:color="auto" w:sz="8" w:space="0"/>
                    <w:right w:val="nil"/>
                  </w:tcBorders>
                  <w:noWrap w:val="0"/>
                  <w:vAlign w:val="center"/>
                </w:tcPr>
                <w:p w14:paraId="4548D9FA">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u w:val="none"/>
                      <w:lang w:val="en-US" w:eastAsia="zh-CN"/>
                    </w:rPr>
                  </w:pPr>
                  <w:r>
                    <w:rPr>
                      <w:rFonts w:hint="eastAsia"/>
                      <w:color w:val="auto"/>
                      <w:sz w:val="21"/>
                      <w:szCs w:val="21"/>
                      <w:highlight w:val="none"/>
                      <w:u w:val="none"/>
                    </w:rPr>
                    <w:t>本项</w:t>
                  </w:r>
                  <w:r>
                    <w:rPr>
                      <w:rFonts w:hint="eastAsia"/>
                      <w:color w:val="auto"/>
                      <w:sz w:val="21"/>
                      <w:szCs w:val="21"/>
                      <w:highlight w:val="none"/>
                      <w:u w:val="none"/>
                      <w:lang w:eastAsia="zh-CN"/>
                    </w:rPr>
                    <w:t>目劳动定员</w:t>
                  </w:r>
                  <w:r>
                    <w:rPr>
                      <w:rFonts w:hint="eastAsia"/>
                      <w:color w:val="auto"/>
                      <w:sz w:val="21"/>
                      <w:szCs w:val="21"/>
                      <w:highlight w:val="none"/>
                      <w:u w:val="none"/>
                      <w:lang w:val="en-US" w:eastAsia="zh-CN"/>
                    </w:rPr>
                    <w:t>10人</w:t>
                  </w:r>
                  <w:r>
                    <w:rPr>
                      <w:rFonts w:hint="eastAsia"/>
                      <w:color w:val="auto"/>
                      <w:sz w:val="21"/>
                      <w:szCs w:val="21"/>
                      <w:highlight w:val="none"/>
                      <w:u w:val="none"/>
                    </w:rPr>
                    <w:t>，</w:t>
                  </w:r>
                  <w:r>
                    <w:rPr>
                      <w:rFonts w:hint="eastAsia"/>
                      <w:color w:val="auto"/>
                      <w:sz w:val="21"/>
                      <w:szCs w:val="21"/>
                      <w:highlight w:val="none"/>
                      <w:u w:val="none"/>
                      <w:lang w:val="en-US" w:eastAsia="zh-CN"/>
                    </w:rPr>
                    <w:t>单班生产，每班8小时，年工作300天</w:t>
                  </w:r>
                </w:p>
              </w:tc>
            </w:tr>
          </w:tbl>
          <w:p w14:paraId="305183AD">
            <w:pPr>
              <w:keepNext w:val="0"/>
              <w:keepLines w:val="0"/>
              <w:suppressLineNumbers w:val="0"/>
              <w:spacing w:before="0" w:beforeAutospacing="0" w:after="0" w:afterAutospacing="0" w:line="440" w:lineRule="exact"/>
              <w:ind w:left="0" w:right="0" w:firstLine="482" w:firstLineChars="200"/>
              <w:rPr>
                <w:rFonts w:hint="eastAsia" w:eastAsia="宋体"/>
                <w:b/>
                <w:sz w:val="24"/>
                <w:lang w:eastAsia="zh-CN"/>
              </w:rPr>
            </w:pPr>
            <w:r>
              <w:rPr>
                <w:rFonts w:hint="default"/>
                <w:b/>
                <w:sz w:val="24"/>
              </w:rPr>
              <w:t>2</w:t>
            </w:r>
            <w:r>
              <w:rPr>
                <w:rFonts w:hint="eastAsia"/>
                <w:b/>
                <w:sz w:val="24"/>
              </w:rPr>
              <w:t>、项目建设</w:t>
            </w:r>
            <w:r>
              <w:rPr>
                <w:rFonts w:hint="eastAsia"/>
                <w:b/>
                <w:sz w:val="24"/>
                <w:lang w:val="en-US" w:eastAsia="zh-CN"/>
              </w:rPr>
              <w:t>内容</w:t>
            </w:r>
          </w:p>
          <w:p w14:paraId="238FA1A4">
            <w:pPr>
              <w:keepNext w:val="0"/>
              <w:keepLines w:val="0"/>
              <w:suppressLineNumbers w:val="0"/>
              <w:spacing w:before="0" w:beforeAutospacing="0" w:after="0" w:afterAutospacing="0" w:line="440" w:lineRule="exact"/>
              <w:ind w:left="0" w:right="0" w:firstLine="480" w:firstLineChars="200"/>
              <w:rPr>
                <w:rFonts w:hint="default" w:hAnsi="宋体" w:cs="Times New Roman"/>
                <w:b/>
                <w:bCs/>
                <w:color w:val="auto"/>
                <w:sz w:val="24"/>
                <w:szCs w:val="24"/>
              </w:rPr>
            </w:pPr>
            <w:r>
              <w:rPr>
                <w:rFonts w:hint="eastAsia"/>
                <w:sz w:val="24"/>
              </w:rPr>
              <w:t>本项目主要工程组成见表</w:t>
            </w:r>
            <w:r>
              <w:rPr>
                <w:rFonts w:hint="eastAsia"/>
                <w:color w:val="auto"/>
                <w:sz w:val="24"/>
                <w:lang w:val="en-US" w:eastAsia="zh-CN"/>
              </w:rPr>
              <w:t>12</w:t>
            </w:r>
            <w:r>
              <w:rPr>
                <w:rFonts w:hint="eastAsia"/>
                <w:color w:val="auto"/>
                <w:sz w:val="24"/>
              </w:rPr>
              <w:t>。</w:t>
            </w:r>
          </w:p>
          <w:p w14:paraId="1CEF3DC6">
            <w:pPr>
              <w:pStyle w:val="55"/>
              <w:keepNext w:val="0"/>
              <w:keepLines w:val="0"/>
              <w:suppressLineNumbers w:val="0"/>
              <w:spacing w:before="0" w:beforeAutospacing="0" w:after="0" w:afterAutospacing="0" w:line="440" w:lineRule="exact"/>
              <w:ind w:left="0" w:right="0" w:firstLine="0"/>
              <w:jc w:val="center"/>
              <w:rPr>
                <w:rFonts w:hint="default" w:ascii="Times New Roman" w:hAnsi="Times New Roman" w:cs="Times New Roman"/>
                <w:sz w:val="24"/>
                <w:szCs w:val="24"/>
              </w:rPr>
            </w:pPr>
            <w:r>
              <w:rPr>
                <w:rFonts w:hint="default" w:hAnsi="宋体" w:cs="Times New Roman"/>
                <w:b/>
                <w:bCs/>
                <w:color w:val="auto"/>
                <w:sz w:val="24"/>
                <w:szCs w:val="24"/>
              </w:rPr>
              <w:t>表</w:t>
            </w:r>
            <w:r>
              <w:rPr>
                <w:rFonts w:hint="eastAsia" w:ascii="Times New Roman" w:hAnsi="Times New Roman" w:cs="Times New Roman"/>
                <w:b/>
                <w:bCs/>
                <w:color w:val="auto"/>
                <w:sz w:val="24"/>
                <w:szCs w:val="24"/>
                <w:lang w:val="en-US" w:eastAsia="zh-CN"/>
              </w:rPr>
              <w:t>12</w:t>
            </w:r>
            <w:r>
              <w:rPr>
                <w:rFonts w:hint="default" w:ascii="Times New Roman" w:hAnsi="Times New Roman" w:cs="Times New Roman"/>
                <w:b/>
                <w:bCs/>
                <w:color w:val="000000"/>
                <w:sz w:val="24"/>
                <w:szCs w:val="24"/>
                <w:lang w:val="en-US" w:eastAsia="zh-CN"/>
              </w:rPr>
              <w:t xml:space="preserve"> </w:t>
            </w:r>
            <w:r>
              <w:rPr>
                <w:rFonts w:hint="eastAsia" w:hAnsi="宋体" w:cs="Times New Roman"/>
                <w:b/>
                <w:bCs/>
                <w:color w:val="000000"/>
                <w:sz w:val="24"/>
                <w:szCs w:val="24"/>
                <w:lang w:val="en-US" w:eastAsia="zh-CN"/>
              </w:rPr>
              <w:t xml:space="preserve"> </w:t>
            </w:r>
            <w:r>
              <w:rPr>
                <w:rFonts w:hint="default" w:hAnsi="宋体" w:cs="Times New Roman"/>
                <w:b/>
                <w:bCs/>
                <w:color w:val="000000"/>
                <w:sz w:val="24"/>
                <w:szCs w:val="24"/>
              </w:rPr>
              <w:t>本项目组成情况</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080"/>
              <w:gridCol w:w="5220"/>
              <w:gridCol w:w="1432"/>
              <w:gridCol w:w="13"/>
            </w:tblGrid>
            <w:tr w14:paraId="4A8757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0" w:type="dxa"/>
                  <w:tcBorders>
                    <w:top w:val="single" w:color="auto" w:sz="8" w:space="0"/>
                    <w:bottom w:val="single" w:color="auto" w:sz="8" w:space="0"/>
                    <w:right w:val="single" w:color="auto" w:sz="4" w:space="0"/>
                  </w:tcBorders>
                  <w:noWrap w:val="0"/>
                  <w:vAlign w:val="center"/>
                </w:tcPr>
                <w:p w14:paraId="048C3A2F">
                  <w:pPr>
                    <w:keepNext w:val="0"/>
                    <w:keepLines w:val="0"/>
                    <w:suppressLineNumbers w:val="0"/>
                    <w:snapToGrid w:val="0"/>
                    <w:spacing w:before="0" w:beforeAutospacing="0" w:after="0" w:afterAutospacing="0" w:line="240" w:lineRule="auto"/>
                    <w:ind w:left="0" w:leftChars="0" w:right="0" w:rightChars="0"/>
                    <w:jc w:val="center"/>
                    <w:rPr>
                      <w:rFonts w:hint="default"/>
                      <w:b/>
                      <w:color w:val="auto"/>
                      <w:sz w:val="21"/>
                      <w:szCs w:val="21"/>
                      <w:highlight w:val="none"/>
                    </w:rPr>
                  </w:pPr>
                  <w:r>
                    <w:rPr>
                      <w:rFonts w:hint="default"/>
                      <w:b/>
                      <w:color w:val="auto"/>
                      <w:sz w:val="21"/>
                      <w:szCs w:val="21"/>
                      <w:highlight w:val="none"/>
                    </w:rPr>
                    <w:t>项目</w:t>
                  </w:r>
                </w:p>
              </w:tc>
              <w:tc>
                <w:tcPr>
                  <w:tcW w:w="1080" w:type="dxa"/>
                  <w:tcBorders>
                    <w:top w:val="single" w:color="auto" w:sz="8" w:space="0"/>
                    <w:left w:val="single" w:color="auto" w:sz="4" w:space="0"/>
                    <w:bottom w:val="single" w:color="auto" w:sz="8" w:space="0"/>
                    <w:right w:val="single" w:color="auto" w:sz="4" w:space="0"/>
                  </w:tcBorders>
                  <w:noWrap w:val="0"/>
                  <w:vAlign w:val="center"/>
                </w:tcPr>
                <w:p w14:paraId="6CC386E4">
                  <w:pPr>
                    <w:keepNext w:val="0"/>
                    <w:keepLines w:val="0"/>
                    <w:suppressLineNumbers w:val="0"/>
                    <w:snapToGrid w:val="0"/>
                    <w:spacing w:before="0" w:beforeAutospacing="0" w:after="0" w:afterAutospacing="0" w:line="240" w:lineRule="auto"/>
                    <w:ind w:left="0" w:leftChars="0" w:right="0" w:rightChars="0"/>
                    <w:jc w:val="center"/>
                    <w:rPr>
                      <w:rFonts w:hint="default"/>
                      <w:b/>
                      <w:color w:val="auto"/>
                      <w:sz w:val="21"/>
                      <w:szCs w:val="21"/>
                      <w:highlight w:val="none"/>
                    </w:rPr>
                  </w:pPr>
                  <w:r>
                    <w:rPr>
                      <w:rFonts w:hint="default"/>
                      <w:b/>
                      <w:color w:val="auto"/>
                      <w:sz w:val="21"/>
                      <w:szCs w:val="21"/>
                      <w:highlight w:val="none"/>
                    </w:rPr>
                    <w:t>建设</w:t>
                  </w:r>
                  <w:r>
                    <w:rPr>
                      <w:rFonts w:hint="eastAsia"/>
                      <w:b/>
                      <w:color w:val="auto"/>
                      <w:sz w:val="21"/>
                      <w:szCs w:val="21"/>
                      <w:highlight w:val="none"/>
                      <w:lang w:val="en-US" w:eastAsia="zh-CN"/>
                    </w:rPr>
                    <w:t>名称</w:t>
                  </w:r>
                </w:p>
              </w:tc>
              <w:tc>
                <w:tcPr>
                  <w:tcW w:w="5220" w:type="dxa"/>
                  <w:tcBorders>
                    <w:top w:val="single" w:color="auto" w:sz="8" w:space="0"/>
                    <w:left w:val="single" w:color="auto" w:sz="4" w:space="0"/>
                    <w:bottom w:val="single" w:color="auto" w:sz="8" w:space="0"/>
                    <w:right w:val="single" w:color="auto" w:sz="4" w:space="0"/>
                  </w:tcBorders>
                  <w:noWrap w:val="0"/>
                  <w:vAlign w:val="center"/>
                </w:tcPr>
                <w:p w14:paraId="506EA028">
                  <w:pPr>
                    <w:keepNext w:val="0"/>
                    <w:keepLines w:val="0"/>
                    <w:suppressLineNumbers w:val="0"/>
                    <w:snapToGrid w:val="0"/>
                    <w:spacing w:before="0" w:beforeAutospacing="0" w:after="0" w:afterAutospacing="0"/>
                    <w:ind w:left="0" w:right="0"/>
                    <w:jc w:val="center"/>
                    <w:rPr>
                      <w:rFonts w:hint="eastAsia" w:eastAsia="宋体"/>
                      <w:b/>
                      <w:color w:val="auto"/>
                      <w:sz w:val="21"/>
                      <w:szCs w:val="21"/>
                      <w:highlight w:val="none"/>
                      <w:lang w:eastAsia="zh-CN"/>
                    </w:rPr>
                  </w:pPr>
                  <w:r>
                    <w:rPr>
                      <w:rFonts w:hint="eastAsia"/>
                      <w:b/>
                      <w:color w:val="auto"/>
                      <w:sz w:val="21"/>
                      <w:szCs w:val="21"/>
                      <w:highlight w:val="none"/>
                      <w:lang w:val="en-US" w:eastAsia="zh-CN"/>
                    </w:rPr>
                    <w:t>建设内容</w:t>
                  </w:r>
                </w:p>
              </w:tc>
              <w:tc>
                <w:tcPr>
                  <w:tcW w:w="1432" w:type="dxa"/>
                  <w:tcBorders>
                    <w:top w:val="single" w:color="auto" w:sz="8" w:space="0"/>
                    <w:left w:val="single" w:color="auto" w:sz="4" w:space="0"/>
                    <w:bottom w:val="single" w:color="auto" w:sz="8" w:space="0"/>
                  </w:tcBorders>
                  <w:noWrap w:val="0"/>
                  <w:vAlign w:val="center"/>
                </w:tcPr>
                <w:p w14:paraId="6A034859">
                  <w:pPr>
                    <w:keepNext w:val="0"/>
                    <w:keepLines w:val="0"/>
                    <w:suppressLineNumbers w:val="0"/>
                    <w:snapToGrid w:val="0"/>
                    <w:spacing w:before="0" w:beforeAutospacing="0" w:after="0" w:afterAutospacing="0"/>
                    <w:ind w:left="0" w:right="0"/>
                    <w:jc w:val="center"/>
                    <w:rPr>
                      <w:rFonts w:hint="eastAsia" w:eastAsia="宋体"/>
                      <w:b/>
                      <w:color w:val="auto"/>
                      <w:sz w:val="21"/>
                      <w:szCs w:val="21"/>
                      <w:highlight w:val="none"/>
                      <w:lang w:val="en-US" w:eastAsia="zh-CN"/>
                    </w:rPr>
                  </w:pPr>
                  <w:r>
                    <w:rPr>
                      <w:rFonts w:hint="eastAsia"/>
                      <w:b/>
                      <w:color w:val="auto"/>
                      <w:sz w:val="21"/>
                      <w:szCs w:val="21"/>
                      <w:highlight w:val="none"/>
                      <w:lang w:val="en-US" w:eastAsia="zh-CN"/>
                    </w:rPr>
                    <w:t>备注</w:t>
                  </w:r>
                </w:p>
              </w:tc>
            </w:tr>
            <w:tr w14:paraId="135039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0" w:type="dxa"/>
                  <w:vMerge w:val="restart"/>
                  <w:tcBorders>
                    <w:top w:val="single" w:color="auto" w:sz="8" w:space="0"/>
                    <w:right w:val="single" w:color="auto" w:sz="4" w:space="0"/>
                  </w:tcBorders>
                  <w:noWrap w:val="0"/>
                  <w:vAlign w:val="center"/>
                </w:tcPr>
                <w:p w14:paraId="5E92781A">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r>
                    <w:rPr>
                      <w:rFonts w:hint="default"/>
                      <w:color w:val="auto"/>
                      <w:sz w:val="21"/>
                      <w:szCs w:val="21"/>
                      <w:highlight w:val="none"/>
                    </w:rPr>
                    <w:t>主体工程</w:t>
                  </w:r>
                </w:p>
              </w:tc>
              <w:tc>
                <w:tcPr>
                  <w:tcW w:w="1080" w:type="dxa"/>
                  <w:tcBorders>
                    <w:top w:val="single" w:color="auto" w:sz="8" w:space="0"/>
                    <w:left w:val="single" w:color="auto" w:sz="4" w:space="0"/>
                    <w:bottom w:val="single" w:color="auto" w:sz="4" w:space="0"/>
                    <w:right w:val="single" w:color="auto" w:sz="4" w:space="0"/>
                  </w:tcBorders>
                  <w:noWrap w:val="0"/>
                  <w:vAlign w:val="center"/>
                </w:tcPr>
                <w:p w14:paraId="091D557C">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rPr>
                  </w:pPr>
                  <w:r>
                    <w:rPr>
                      <w:rFonts w:hint="eastAsia"/>
                      <w:color w:val="auto"/>
                      <w:sz w:val="21"/>
                      <w:szCs w:val="21"/>
                      <w:highlight w:val="none"/>
                      <w:lang w:val="en-US" w:eastAsia="zh-CN"/>
                    </w:rPr>
                    <w:t>生产车间</w:t>
                  </w:r>
                </w:p>
              </w:tc>
              <w:tc>
                <w:tcPr>
                  <w:tcW w:w="5220" w:type="dxa"/>
                  <w:tcBorders>
                    <w:top w:val="single" w:color="auto" w:sz="8" w:space="0"/>
                    <w:left w:val="single" w:color="auto" w:sz="4" w:space="0"/>
                    <w:bottom w:val="single" w:color="auto" w:sz="4" w:space="0"/>
                    <w:right w:val="single" w:color="auto" w:sz="4" w:space="0"/>
                  </w:tcBorders>
                  <w:shd w:val="clear" w:color="auto" w:fill="auto"/>
                  <w:noWrap w:val="0"/>
                  <w:vAlign w:val="center"/>
                </w:tcPr>
                <w:p w14:paraId="18463125">
                  <w:pPr>
                    <w:keepNext w:val="0"/>
                    <w:keepLines w:val="0"/>
                    <w:suppressLineNumbers w:val="0"/>
                    <w:snapToGrid w:val="0"/>
                    <w:spacing w:before="0" w:beforeAutospacing="0" w:after="0" w:afterAutospacing="0"/>
                    <w:ind w:left="0" w:leftChars="0" w:right="0" w:rightChars="0" w:firstLine="132" w:firstLineChars="0"/>
                    <w:jc w:val="center"/>
                    <w:rPr>
                      <w:rFonts w:hint="eastAsia" w:eastAsia="宋体"/>
                      <w:color w:val="auto"/>
                      <w:sz w:val="21"/>
                      <w:szCs w:val="21"/>
                      <w:highlight w:val="none"/>
                      <w:lang w:eastAsia="zh-CN"/>
                    </w:rPr>
                  </w:pPr>
                  <w:r>
                    <w:rPr>
                      <w:rFonts w:hint="eastAsia"/>
                      <w:color w:val="auto"/>
                      <w:sz w:val="21"/>
                      <w:szCs w:val="21"/>
                      <w:highlight w:val="none"/>
                    </w:rPr>
                    <w:t>一座，建筑面积为</w:t>
                  </w:r>
                  <w:r>
                    <w:rPr>
                      <w:rFonts w:hint="eastAsia"/>
                      <w:color w:val="auto"/>
                      <w:sz w:val="21"/>
                      <w:szCs w:val="21"/>
                      <w:highlight w:val="none"/>
                      <w:lang w:val="en-US" w:eastAsia="zh-CN"/>
                    </w:rPr>
                    <w:t>600</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432" w:type="dxa"/>
                  <w:tcBorders>
                    <w:top w:val="single" w:color="auto" w:sz="8" w:space="0"/>
                    <w:left w:val="single" w:color="auto" w:sz="4" w:space="0"/>
                    <w:bottom w:val="single" w:color="auto" w:sz="4" w:space="0"/>
                  </w:tcBorders>
                  <w:noWrap w:val="0"/>
                  <w:vAlign w:val="center"/>
                </w:tcPr>
                <w:p w14:paraId="326232E7">
                  <w:pPr>
                    <w:keepNext w:val="0"/>
                    <w:keepLines w:val="0"/>
                    <w:suppressLineNumbers w:val="0"/>
                    <w:snapToGrid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hAnsi="宋体"/>
                      <w:color w:val="000000"/>
                      <w:sz w:val="21"/>
                      <w:szCs w:val="21"/>
                    </w:rPr>
                    <w:t>租赁</w:t>
                  </w:r>
                  <w:r>
                    <w:rPr>
                      <w:rFonts w:hint="default" w:hAnsi="宋体"/>
                      <w:color w:val="000000"/>
                      <w:sz w:val="21"/>
                      <w:szCs w:val="21"/>
                    </w:rPr>
                    <w:t>现有</w:t>
                  </w:r>
                </w:p>
              </w:tc>
            </w:tr>
            <w:tr w14:paraId="7DAF94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0" w:type="dxa"/>
                  <w:vMerge w:val="continue"/>
                  <w:tcBorders>
                    <w:bottom w:val="single" w:color="auto" w:sz="4" w:space="0"/>
                    <w:right w:val="single" w:color="auto" w:sz="4" w:space="0"/>
                  </w:tcBorders>
                  <w:noWrap w:val="0"/>
                  <w:vAlign w:val="center"/>
                </w:tcPr>
                <w:p w14:paraId="1F16914D">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14:paraId="23FB570C">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办公间</w:t>
                  </w:r>
                </w:p>
              </w:tc>
              <w:tc>
                <w:tcPr>
                  <w:tcW w:w="5220"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4ECFD36">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r>
                    <w:rPr>
                      <w:rFonts w:hint="eastAsia"/>
                      <w:color w:val="auto"/>
                      <w:sz w:val="21"/>
                      <w:szCs w:val="21"/>
                      <w:highlight w:val="none"/>
                    </w:rPr>
                    <w:t>一座，建筑面积为</w:t>
                  </w:r>
                  <w:r>
                    <w:rPr>
                      <w:rFonts w:hint="eastAsia"/>
                      <w:color w:val="auto"/>
                      <w:sz w:val="21"/>
                      <w:szCs w:val="21"/>
                      <w:highlight w:val="none"/>
                      <w:lang w:val="en-US" w:eastAsia="zh-CN"/>
                    </w:rPr>
                    <w:t>32</w:t>
                  </w:r>
                  <w:r>
                    <w:rPr>
                      <w:rFonts w:hint="eastAsia"/>
                      <w:color w:val="auto"/>
                      <w:sz w:val="21"/>
                      <w:szCs w:val="21"/>
                      <w:highlight w:val="none"/>
                    </w:rPr>
                    <w:t>m</w:t>
                  </w:r>
                  <w:r>
                    <w:rPr>
                      <w:rFonts w:hint="default" w:ascii="Times New Roman" w:hAnsi="Times New Roman" w:cs="Times New Roman"/>
                      <w:color w:val="auto"/>
                      <w:sz w:val="21"/>
                      <w:szCs w:val="21"/>
                      <w:highlight w:val="none"/>
                    </w:rPr>
                    <w:t>²</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位于车间内部</w:t>
                  </w:r>
                </w:p>
              </w:tc>
              <w:tc>
                <w:tcPr>
                  <w:tcW w:w="1432" w:type="dxa"/>
                  <w:tcBorders>
                    <w:top w:val="single" w:color="auto" w:sz="4" w:space="0"/>
                    <w:left w:val="single" w:color="auto" w:sz="4" w:space="0"/>
                    <w:bottom w:val="single" w:color="auto" w:sz="4" w:space="0"/>
                  </w:tcBorders>
                  <w:noWrap w:val="0"/>
                  <w:vAlign w:val="center"/>
                </w:tcPr>
                <w:p w14:paraId="7CF6BDC0">
                  <w:pPr>
                    <w:keepNext w:val="0"/>
                    <w:keepLines w:val="0"/>
                    <w:suppressLineNumbers w:val="0"/>
                    <w:snapToGrid w:val="0"/>
                    <w:spacing w:before="0" w:beforeAutospacing="0" w:after="0" w:afterAutospacing="0"/>
                    <w:ind w:left="0" w:leftChars="0" w:right="0" w:rightChars="0"/>
                    <w:jc w:val="center"/>
                    <w:rPr>
                      <w:rFonts w:hint="eastAsia" w:hAnsi="宋体"/>
                      <w:color w:val="000000"/>
                      <w:sz w:val="21"/>
                      <w:szCs w:val="21"/>
                    </w:rPr>
                  </w:pPr>
                  <w:r>
                    <w:rPr>
                      <w:rFonts w:hint="eastAsia" w:hAnsi="宋体"/>
                      <w:color w:val="000000"/>
                      <w:sz w:val="21"/>
                      <w:szCs w:val="21"/>
                      <w:lang w:val="en-US" w:eastAsia="zh-CN"/>
                    </w:rPr>
                    <w:t>新建</w:t>
                  </w:r>
                </w:p>
              </w:tc>
            </w:tr>
            <w:tr w14:paraId="5A33AD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0" w:type="dxa"/>
                  <w:vMerge w:val="restart"/>
                  <w:tcBorders>
                    <w:top w:val="single" w:color="auto" w:sz="4" w:space="0"/>
                    <w:bottom w:val="single" w:color="auto" w:sz="4" w:space="0"/>
                    <w:right w:val="single" w:color="auto" w:sz="4" w:space="0"/>
                  </w:tcBorders>
                  <w:noWrap w:val="0"/>
                  <w:vAlign w:val="center"/>
                </w:tcPr>
                <w:p w14:paraId="58E74AE6">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辅助工程</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5C2552BB">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原料堆放区</w:t>
                  </w:r>
                </w:p>
              </w:tc>
              <w:tc>
                <w:tcPr>
                  <w:tcW w:w="5220" w:type="dxa"/>
                  <w:tcBorders>
                    <w:top w:val="single" w:color="auto" w:sz="4" w:space="0"/>
                    <w:left w:val="single" w:color="auto" w:sz="4" w:space="0"/>
                    <w:bottom w:val="single" w:color="auto" w:sz="4" w:space="0"/>
                    <w:right w:val="single" w:color="auto" w:sz="4" w:space="0"/>
                  </w:tcBorders>
                  <w:noWrap w:val="0"/>
                  <w:vAlign w:val="center"/>
                </w:tcPr>
                <w:p w14:paraId="753D79E8">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r>
                    <w:rPr>
                      <w:rFonts w:hint="eastAsia"/>
                      <w:color w:val="auto"/>
                      <w:sz w:val="21"/>
                      <w:szCs w:val="21"/>
                      <w:highlight w:val="none"/>
                    </w:rPr>
                    <w:t>建筑面积为</w:t>
                  </w:r>
                  <w:r>
                    <w:rPr>
                      <w:rFonts w:hint="default"/>
                      <w:color w:val="auto"/>
                      <w:sz w:val="21"/>
                      <w:szCs w:val="21"/>
                      <w:highlight w:val="none"/>
                      <w:lang w:eastAsia="zh-CN"/>
                    </w:rPr>
                    <w:t>1</w:t>
                  </w:r>
                  <w:r>
                    <w:rPr>
                      <w:rFonts w:hint="eastAsia"/>
                      <w:color w:val="auto"/>
                      <w:sz w:val="21"/>
                      <w:szCs w:val="21"/>
                      <w:highlight w:val="none"/>
                      <w:lang w:val="en-US" w:eastAsia="zh-CN"/>
                    </w:rPr>
                    <w:t>00</w:t>
                  </w:r>
                  <w:r>
                    <w:rPr>
                      <w:rFonts w:hint="eastAsia"/>
                      <w:color w:val="auto"/>
                      <w:sz w:val="21"/>
                      <w:szCs w:val="21"/>
                      <w:highlight w:val="none"/>
                    </w:rPr>
                    <w:t>m</w:t>
                  </w:r>
                  <w:r>
                    <w:rPr>
                      <w:rFonts w:hint="default" w:ascii="Times New Roman" w:hAnsi="Times New Roman" w:cs="Times New Roman"/>
                      <w:color w:val="auto"/>
                      <w:sz w:val="21"/>
                      <w:szCs w:val="21"/>
                      <w:highlight w:val="none"/>
                    </w:rPr>
                    <w:t>²</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位于生产车间内部</w:t>
                  </w:r>
                </w:p>
              </w:tc>
              <w:tc>
                <w:tcPr>
                  <w:tcW w:w="1432" w:type="dxa"/>
                  <w:tcBorders>
                    <w:top w:val="single" w:color="auto" w:sz="4" w:space="0"/>
                    <w:left w:val="single" w:color="auto" w:sz="4" w:space="0"/>
                    <w:bottom w:val="single" w:color="auto" w:sz="4" w:space="0"/>
                  </w:tcBorders>
                  <w:noWrap w:val="0"/>
                  <w:vAlign w:val="center"/>
                </w:tcPr>
                <w:p w14:paraId="79C0F202">
                  <w:pPr>
                    <w:keepNext w:val="0"/>
                    <w:keepLines w:val="0"/>
                    <w:suppressLineNumbers w:val="0"/>
                    <w:snapToGrid w:val="0"/>
                    <w:spacing w:before="0" w:beforeAutospacing="0" w:after="0" w:afterAutospacing="0"/>
                    <w:ind w:left="0" w:leftChars="0" w:right="0" w:rightChars="0"/>
                    <w:jc w:val="center"/>
                    <w:rPr>
                      <w:rFonts w:hint="eastAsia" w:eastAsia="宋体"/>
                      <w:color w:val="auto"/>
                      <w:sz w:val="21"/>
                      <w:szCs w:val="21"/>
                      <w:highlight w:val="none"/>
                      <w:lang w:val="en-US" w:eastAsia="zh-CN"/>
                    </w:rPr>
                  </w:pPr>
                  <w:r>
                    <w:rPr>
                      <w:rFonts w:hint="eastAsia" w:hAnsi="宋体"/>
                      <w:color w:val="000000"/>
                      <w:sz w:val="21"/>
                      <w:szCs w:val="21"/>
                      <w:lang w:val="en-US" w:eastAsia="zh-CN"/>
                    </w:rPr>
                    <w:t>新建</w:t>
                  </w:r>
                </w:p>
              </w:tc>
            </w:tr>
            <w:tr w14:paraId="131504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0" w:type="dxa"/>
                  <w:vMerge w:val="continue"/>
                  <w:tcBorders>
                    <w:right w:val="single" w:color="auto" w:sz="4" w:space="0"/>
                  </w:tcBorders>
                  <w:noWrap w:val="0"/>
                  <w:vAlign w:val="center"/>
                </w:tcPr>
                <w:p w14:paraId="60333BF8">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14:paraId="41228023">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成品区</w:t>
                  </w:r>
                </w:p>
              </w:tc>
              <w:tc>
                <w:tcPr>
                  <w:tcW w:w="5220" w:type="dxa"/>
                  <w:tcBorders>
                    <w:top w:val="single" w:color="auto" w:sz="4" w:space="0"/>
                    <w:left w:val="single" w:color="auto" w:sz="4" w:space="0"/>
                    <w:bottom w:val="single" w:color="auto" w:sz="4" w:space="0"/>
                    <w:right w:val="single" w:color="auto" w:sz="4" w:space="0"/>
                  </w:tcBorders>
                  <w:noWrap w:val="0"/>
                  <w:vAlign w:val="center"/>
                </w:tcPr>
                <w:p w14:paraId="3485FB50">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rPr>
                  </w:pPr>
                  <w:r>
                    <w:rPr>
                      <w:rFonts w:hint="eastAsia"/>
                      <w:color w:val="auto"/>
                      <w:sz w:val="21"/>
                      <w:szCs w:val="21"/>
                      <w:highlight w:val="none"/>
                    </w:rPr>
                    <w:t>建筑面积为</w:t>
                  </w:r>
                  <w:r>
                    <w:rPr>
                      <w:rFonts w:hint="eastAsia"/>
                      <w:color w:val="auto"/>
                      <w:sz w:val="21"/>
                      <w:szCs w:val="21"/>
                      <w:highlight w:val="none"/>
                      <w:lang w:val="en-US" w:eastAsia="zh-CN"/>
                    </w:rPr>
                    <w:t>9</w:t>
                  </w:r>
                  <w:r>
                    <w:rPr>
                      <w:rFonts w:hint="eastAsia"/>
                      <w:color w:val="auto"/>
                      <w:sz w:val="21"/>
                      <w:szCs w:val="21"/>
                      <w:highlight w:val="none"/>
                    </w:rPr>
                    <w:t>m</w:t>
                  </w:r>
                  <w:r>
                    <w:rPr>
                      <w:rFonts w:hint="default" w:ascii="Times New Roman" w:hAnsi="Times New Roman" w:cs="Times New Roman"/>
                      <w:color w:val="auto"/>
                      <w:sz w:val="21"/>
                      <w:szCs w:val="21"/>
                      <w:highlight w:val="none"/>
                    </w:rPr>
                    <w:t>²</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位于生产车间内部</w:t>
                  </w:r>
                </w:p>
              </w:tc>
              <w:tc>
                <w:tcPr>
                  <w:tcW w:w="1432" w:type="dxa"/>
                  <w:tcBorders>
                    <w:top w:val="single" w:color="auto" w:sz="4" w:space="0"/>
                    <w:left w:val="single" w:color="auto" w:sz="4" w:space="0"/>
                    <w:bottom w:val="single" w:color="auto" w:sz="4" w:space="0"/>
                  </w:tcBorders>
                  <w:noWrap w:val="0"/>
                  <w:vAlign w:val="center"/>
                </w:tcPr>
                <w:p w14:paraId="1FD70D3D">
                  <w:pPr>
                    <w:keepNext w:val="0"/>
                    <w:keepLines w:val="0"/>
                    <w:suppressLineNumbers w:val="0"/>
                    <w:snapToGrid w:val="0"/>
                    <w:spacing w:before="0" w:beforeAutospacing="0" w:after="0" w:afterAutospacing="0"/>
                    <w:ind w:left="0" w:leftChars="0" w:right="0" w:rightChars="0"/>
                    <w:jc w:val="center"/>
                    <w:rPr>
                      <w:rFonts w:hint="eastAsia" w:hAnsi="宋体"/>
                      <w:color w:val="000000"/>
                      <w:sz w:val="21"/>
                      <w:szCs w:val="21"/>
                      <w:lang w:val="en-US" w:eastAsia="zh-CN"/>
                    </w:rPr>
                  </w:pPr>
                  <w:r>
                    <w:rPr>
                      <w:rFonts w:hint="eastAsia" w:hAnsi="宋体"/>
                      <w:color w:val="000000"/>
                      <w:sz w:val="21"/>
                      <w:szCs w:val="21"/>
                      <w:lang w:val="en-US" w:eastAsia="zh-CN"/>
                    </w:rPr>
                    <w:t>新建</w:t>
                  </w:r>
                </w:p>
              </w:tc>
            </w:tr>
            <w:tr w14:paraId="51026B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restart"/>
                  <w:tcBorders>
                    <w:top w:val="single" w:color="auto" w:sz="4" w:space="0"/>
                    <w:bottom w:val="single" w:color="auto" w:sz="4" w:space="0"/>
                    <w:right w:val="single" w:color="auto" w:sz="4" w:space="0"/>
                  </w:tcBorders>
                  <w:noWrap w:val="0"/>
                  <w:vAlign w:val="center"/>
                </w:tcPr>
                <w:p w14:paraId="1A00D571">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公用工程</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5B1FF68C">
                  <w:pPr>
                    <w:keepNext w:val="0"/>
                    <w:keepLines w:val="0"/>
                    <w:suppressLineNumbers w:val="0"/>
                    <w:snapToGrid w:val="0"/>
                    <w:spacing w:before="0" w:beforeAutospacing="0" w:after="0" w:afterAutospacing="0" w:line="240" w:lineRule="auto"/>
                    <w:ind w:left="0" w:right="0" w:rightChars="0"/>
                    <w:jc w:val="center"/>
                    <w:rPr>
                      <w:rFonts w:hint="default"/>
                      <w:color w:val="auto"/>
                      <w:sz w:val="21"/>
                      <w:szCs w:val="21"/>
                      <w:highlight w:val="none"/>
                    </w:rPr>
                  </w:pPr>
                  <w:r>
                    <w:rPr>
                      <w:rFonts w:hint="default"/>
                      <w:color w:val="auto"/>
                      <w:sz w:val="21"/>
                      <w:szCs w:val="21"/>
                      <w:highlight w:val="none"/>
                    </w:rPr>
                    <w:t>给水</w:t>
                  </w:r>
                </w:p>
              </w:tc>
              <w:tc>
                <w:tcPr>
                  <w:tcW w:w="5220" w:type="dxa"/>
                  <w:tcBorders>
                    <w:top w:val="single" w:color="auto" w:sz="4" w:space="0"/>
                    <w:left w:val="single" w:color="auto" w:sz="4" w:space="0"/>
                    <w:bottom w:val="single" w:color="auto" w:sz="4" w:space="0"/>
                    <w:right w:val="single" w:color="auto" w:sz="4" w:space="0"/>
                  </w:tcBorders>
                  <w:noWrap w:val="0"/>
                  <w:vAlign w:val="center"/>
                </w:tcPr>
                <w:p w14:paraId="0243F919">
                  <w:pPr>
                    <w:keepNext w:val="0"/>
                    <w:keepLines w:val="0"/>
                    <w:suppressLineNumbers w:val="0"/>
                    <w:snapToGrid w:val="0"/>
                    <w:spacing w:before="0" w:beforeAutospacing="0" w:after="0" w:afterAutospacing="0"/>
                    <w:ind w:left="0" w:right="0"/>
                    <w:jc w:val="center"/>
                    <w:rPr>
                      <w:rFonts w:hint="default"/>
                      <w:color w:val="auto"/>
                      <w:sz w:val="21"/>
                      <w:szCs w:val="21"/>
                      <w:highlight w:val="none"/>
                      <w:lang w:val="en-US"/>
                    </w:rPr>
                  </w:pPr>
                  <w:r>
                    <w:rPr>
                      <w:rFonts w:hint="default"/>
                      <w:color w:val="000000"/>
                      <w:sz w:val="21"/>
                      <w:szCs w:val="21"/>
                    </w:rPr>
                    <w:t>由市政管网供水</w:t>
                  </w:r>
                </w:p>
              </w:tc>
              <w:tc>
                <w:tcPr>
                  <w:tcW w:w="1445" w:type="dxa"/>
                  <w:gridSpan w:val="2"/>
                  <w:tcBorders>
                    <w:top w:val="single" w:color="auto" w:sz="4" w:space="0"/>
                    <w:left w:val="single" w:color="auto" w:sz="4" w:space="0"/>
                    <w:bottom w:val="single" w:color="auto" w:sz="4" w:space="0"/>
                  </w:tcBorders>
                  <w:noWrap w:val="0"/>
                  <w:vAlign w:val="center"/>
                </w:tcPr>
                <w:p w14:paraId="5A7B35B8">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r>
            <w:tr w14:paraId="35038A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060" w:type="dxa"/>
                  <w:vMerge w:val="continue"/>
                  <w:tcBorders>
                    <w:top w:val="single" w:color="auto" w:sz="4" w:space="0"/>
                    <w:bottom w:val="single" w:color="auto" w:sz="4" w:space="0"/>
                    <w:right w:val="single" w:color="auto" w:sz="4" w:space="0"/>
                  </w:tcBorders>
                  <w:noWrap w:val="0"/>
                  <w:vAlign w:val="center"/>
                </w:tcPr>
                <w:p w14:paraId="5D867371">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14:paraId="4AFE51D5">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r>
                    <w:rPr>
                      <w:rFonts w:hint="default"/>
                      <w:color w:val="auto"/>
                      <w:sz w:val="21"/>
                      <w:szCs w:val="21"/>
                      <w:highlight w:val="none"/>
                    </w:rPr>
                    <w:t>供电</w:t>
                  </w:r>
                </w:p>
              </w:tc>
              <w:tc>
                <w:tcPr>
                  <w:tcW w:w="5220" w:type="dxa"/>
                  <w:tcBorders>
                    <w:top w:val="single" w:color="auto" w:sz="4" w:space="0"/>
                    <w:left w:val="single" w:color="auto" w:sz="4" w:space="0"/>
                    <w:bottom w:val="single" w:color="auto" w:sz="4" w:space="0"/>
                    <w:right w:val="single" w:color="auto" w:sz="4" w:space="0"/>
                  </w:tcBorders>
                  <w:noWrap w:val="0"/>
                  <w:vAlign w:val="center"/>
                </w:tcPr>
                <w:p w14:paraId="34D4DB7C">
                  <w:pPr>
                    <w:keepNext w:val="0"/>
                    <w:keepLines w:val="0"/>
                    <w:suppressLineNumbers w:val="0"/>
                    <w:snapToGrid w:val="0"/>
                    <w:spacing w:before="0" w:beforeAutospacing="0" w:after="0" w:afterAutospacing="0"/>
                    <w:ind w:left="0" w:right="0"/>
                    <w:jc w:val="center"/>
                    <w:rPr>
                      <w:rFonts w:hint="eastAsia"/>
                      <w:b w:val="0"/>
                      <w:bCs/>
                      <w:color w:val="auto"/>
                      <w:sz w:val="21"/>
                      <w:szCs w:val="21"/>
                      <w:highlight w:val="none"/>
                      <w:u w:val="none"/>
                      <w:lang w:val="en-US" w:eastAsia="zh-CN"/>
                    </w:rPr>
                  </w:pPr>
                  <w:r>
                    <w:rPr>
                      <w:rFonts w:hint="default"/>
                      <w:color w:val="000000"/>
                      <w:sz w:val="21"/>
                      <w:szCs w:val="21"/>
                    </w:rPr>
                    <w:t>由国家电网供给</w:t>
                  </w:r>
                </w:p>
              </w:tc>
              <w:tc>
                <w:tcPr>
                  <w:tcW w:w="1445" w:type="dxa"/>
                  <w:gridSpan w:val="2"/>
                  <w:tcBorders>
                    <w:top w:val="single" w:color="auto" w:sz="4" w:space="0"/>
                    <w:left w:val="single" w:color="auto" w:sz="4" w:space="0"/>
                    <w:bottom w:val="single" w:color="auto" w:sz="4" w:space="0"/>
                  </w:tcBorders>
                  <w:noWrap w:val="0"/>
                  <w:vAlign w:val="center"/>
                </w:tcPr>
                <w:p w14:paraId="7BFC04E4">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r>
            <w:tr w14:paraId="157A96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restart"/>
                  <w:tcBorders>
                    <w:top w:val="single" w:color="auto" w:sz="4" w:space="0"/>
                    <w:bottom w:val="single" w:color="auto" w:sz="4" w:space="0"/>
                    <w:right w:val="single" w:color="auto" w:sz="4" w:space="0"/>
                  </w:tcBorders>
                  <w:noWrap w:val="0"/>
                  <w:vAlign w:val="center"/>
                </w:tcPr>
                <w:p w14:paraId="2E0DFF42">
                  <w:pPr>
                    <w:keepNext w:val="0"/>
                    <w:keepLines w:val="0"/>
                    <w:widowControl/>
                    <w:suppressLineNumbers w:val="0"/>
                    <w:snapToGrid w:val="0"/>
                    <w:spacing w:before="0" w:beforeAutospacing="0" w:after="0" w:afterAutospacing="0" w:line="240" w:lineRule="auto"/>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环保工程</w:t>
                  </w:r>
                </w:p>
              </w:tc>
              <w:tc>
                <w:tcPr>
                  <w:tcW w:w="1080" w:type="dxa"/>
                  <w:tcBorders>
                    <w:top w:val="single" w:color="auto" w:sz="4" w:space="0"/>
                    <w:left w:val="single" w:color="auto" w:sz="4" w:space="0"/>
                    <w:bottom w:val="single" w:color="auto" w:sz="4" w:space="0"/>
                    <w:right w:val="single" w:color="auto" w:sz="4" w:space="0"/>
                  </w:tcBorders>
                  <w:noWrap w:val="0"/>
                  <w:vAlign w:val="center"/>
                </w:tcPr>
                <w:p w14:paraId="72B03224">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废气治理</w:t>
                  </w:r>
                </w:p>
              </w:tc>
              <w:tc>
                <w:tcPr>
                  <w:tcW w:w="5220" w:type="dxa"/>
                  <w:tcBorders>
                    <w:top w:val="single" w:color="auto" w:sz="4" w:space="0"/>
                    <w:left w:val="single" w:color="auto" w:sz="4" w:space="0"/>
                    <w:bottom w:val="single" w:color="auto" w:sz="4" w:space="0"/>
                    <w:right w:val="single" w:color="auto" w:sz="4" w:space="0"/>
                  </w:tcBorders>
                  <w:noWrap w:val="0"/>
                  <w:vAlign w:val="center"/>
                </w:tcPr>
                <w:p w14:paraId="4ED75F13">
                  <w:pPr>
                    <w:keepNext w:val="0"/>
                    <w:keepLines w:val="0"/>
                    <w:suppressLineNumbers w:val="0"/>
                    <w:snapToGrid w:val="0"/>
                    <w:spacing w:before="0" w:beforeAutospacing="0" w:after="0" w:afterAutospacing="0"/>
                    <w:ind w:left="0" w:right="0"/>
                    <w:jc w:val="both"/>
                    <w:rPr>
                      <w:rFonts w:hint="default" w:cs="Times New Roman" w:eastAsiaTheme="minorEastAsia"/>
                      <w:color w:val="000000" w:themeColor="text1"/>
                      <w:sz w:val="21"/>
                      <w:szCs w:val="21"/>
                      <w:highlight w:val="none"/>
                      <w:lang w:val="en-US" w:eastAsia="zh-CN"/>
                      <w14:textFill>
                        <w14:solidFill>
                          <w14:schemeClr w14:val="tx1"/>
                        </w14:solidFill>
                      </w14:textFill>
                    </w:rPr>
                  </w:pPr>
                  <w:r>
                    <w:rPr>
                      <w:rFonts w:hint="eastAsia" w:cs="Times New Roman" w:eastAsiaTheme="minorEastAsia"/>
                      <w:color w:val="000000" w:themeColor="text1"/>
                      <w:sz w:val="21"/>
                      <w:szCs w:val="21"/>
                      <w:highlight w:val="none"/>
                      <w:lang w:val="en-US" w:eastAsia="zh-CN"/>
                      <w14:textFill>
                        <w14:solidFill>
                          <w14:schemeClr w14:val="tx1"/>
                        </w14:solidFill>
                      </w14:textFill>
                    </w:rPr>
                    <w:t>打毛（喷砂）废气经密闭管道收集，经设备自带除尘箱（滤筒除尘器）治理，尾气经一根15米高排气筒（DA001）排放。</w:t>
                  </w:r>
                </w:p>
              </w:tc>
              <w:tc>
                <w:tcPr>
                  <w:tcW w:w="1445" w:type="dxa"/>
                  <w:gridSpan w:val="2"/>
                  <w:tcBorders>
                    <w:top w:val="single" w:color="auto" w:sz="4" w:space="0"/>
                    <w:left w:val="single" w:color="auto" w:sz="4" w:space="0"/>
                    <w:bottom w:val="single" w:color="auto" w:sz="4" w:space="0"/>
                  </w:tcBorders>
                  <w:noWrap w:val="0"/>
                  <w:vAlign w:val="center"/>
                </w:tcPr>
                <w:p w14:paraId="59759C60">
                  <w:pPr>
                    <w:keepNext w:val="0"/>
                    <w:keepLines w:val="0"/>
                    <w:widowControl/>
                    <w:suppressLineNumbers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hAnsi="宋体"/>
                      <w:color w:val="000000"/>
                      <w:sz w:val="21"/>
                      <w:szCs w:val="21"/>
                      <w:highlight w:val="none"/>
                      <w:lang w:val="en-US" w:eastAsia="zh-CN"/>
                    </w:rPr>
                    <w:t>新建</w:t>
                  </w:r>
                </w:p>
              </w:tc>
            </w:tr>
            <w:tr w14:paraId="786C81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continue"/>
                  <w:tcBorders>
                    <w:top w:val="single" w:color="auto" w:sz="4" w:space="0"/>
                    <w:bottom w:val="single" w:color="auto" w:sz="4" w:space="0"/>
                    <w:right w:val="single" w:color="auto" w:sz="4" w:space="0"/>
                  </w:tcBorders>
                  <w:noWrap w:val="0"/>
                  <w:vAlign w:val="center"/>
                </w:tcPr>
                <w:p w14:paraId="462E9732">
                  <w:pPr>
                    <w:keepNext w:val="0"/>
                    <w:keepLines w:val="0"/>
                    <w:widowControl/>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14:paraId="401DD038">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废水治理</w:t>
                  </w:r>
                </w:p>
              </w:tc>
              <w:tc>
                <w:tcPr>
                  <w:tcW w:w="5220" w:type="dxa"/>
                  <w:tcBorders>
                    <w:top w:val="single" w:color="auto" w:sz="4" w:space="0"/>
                    <w:left w:val="single" w:color="auto" w:sz="4" w:space="0"/>
                    <w:bottom w:val="single" w:color="auto" w:sz="4" w:space="0"/>
                    <w:right w:val="single" w:color="auto" w:sz="4" w:space="0"/>
                  </w:tcBorders>
                  <w:noWrap w:val="0"/>
                  <w:vAlign w:val="center"/>
                </w:tcPr>
                <w:p w14:paraId="687FA66F">
                  <w:pPr>
                    <w:keepNext w:val="0"/>
                    <w:keepLines w:val="0"/>
                    <w:suppressLineNumbers w:val="0"/>
                    <w:snapToGrid w:val="0"/>
                    <w:spacing w:before="0" w:beforeAutospacing="0" w:after="0" w:afterAutospacing="0"/>
                    <w:ind w:left="0" w:right="0"/>
                    <w:jc w:val="center"/>
                    <w:rPr>
                      <w:rFonts w:hint="default" w:cs="Times New Roman" w:eastAsiaTheme="minorEastAsia"/>
                      <w:color w:val="000000" w:themeColor="text1"/>
                      <w:sz w:val="21"/>
                      <w:szCs w:val="21"/>
                      <w:highlight w:val="none"/>
                      <w:lang w:val="en-US" w:eastAsia="zh-CN"/>
                      <w14:textFill>
                        <w14:solidFill>
                          <w14:schemeClr w14:val="tx1"/>
                        </w14:solidFill>
                      </w14:textFill>
                    </w:rPr>
                  </w:pPr>
                  <w:r>
                    <w:rPr>
                      <w:rFonts w:hint="eastAsia" w:cs="Times New Roman" w:eastAsiaTheme="minorEastAsia"/>
                      <w:color w:val="000000" w:themeColor="text1"/>
                      <w:sz w:val="21"/>
                      <w:szCs w:val="21"/>
                      <w:highlight w:val="none"/>
                      <w:lang w:val="en-US" w:eastAsia="zh-CN"/>
                      <w14:textFill>
                        <w14:solidFill>
                          <w14:schemeClr w14:val="tx1"/>
                        </w14:solidFill>
                      </w14:textFill>
                    </w:rPr>
                    <w:t>经厂区化粪池处理后由污水管网排至新乡县综合污水处理厂进一步处理</w:t>
                  </w:r>
                </w:p>
              </w:tc>
              <w:tc>
                <w:tcPr>
                  <w:tcW w:w="1445" w:type="dxa"/>
                  <w:gridSpan w:val="2"/>
                  <w:tcBorders>
                    <w:top w:val="single" w:color="auto" w:sz="4" w:space="0"/>
                    <w:left w:val="single" w:color="auto" w:sz="4" w:space="0"/>
                    <w:bottom w:val="single" w:color="auto" w:sz="4" w:space="0"/>
                  </w:tcBorders>
                  <w:noWrap w:val="0"/>
                  <w:vAlign w:val="center"/>
                </w:tcPr>
                <w:p w14:paraId="32B6ABA2">
                  <w:pPr>
                    <w:keepNext w:val="0"/>
                    <w:keepLines w:val="0"/>
                    <w:widowControl/>
                    <w:suppressLineNumbers w:val="0"/>
                    <w:snapToGrid w:val="0"/>
                    <w:spacing w:before="0" w:beforeAutospacing="0" w:after="0" w:afterAutospacing="0"/>
                    <w:ind w:left="0" w:right="0"/>
                    <w:jc w:val="center"/>
                    <w:rPr>
                      <w:rFonts w:hint="default" w:hAnsi="宋体"/>
                      <w:color w:val="000000"/>
                      <w:sz w:val="21"/>
                      <w:szCs w:val="21"/>
                      <w:highlight w:val="none"/>
                      <w:lang w:val="en-US" w:eastAsia="zh-CN"/>
                    </w:rPr>
                  </w:pPr>
                  <w:r>
                    <w:rPr>
                      <w:rFonts w:hint="eastAsia" w:hAnsi="宋体"/>
                      <w:color w:val="000000"/>
                      <w:sz w:val="21"/>
                      <w:szCs w:val="21"/>
                      <w:highlight w:val="none"/>
                      <w:lang w:val="en-US" w:eastAsia="zh-CN"/>
                    </w:rPr>
                    <w:t>依托现有</w:t>
                  </w:r>
                </w:p>
              </w:tc>
            </w:tr>
            <w:tr w14:paraId="7BDAA0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continue"/>
                  <w:tcBorders>
                    <w:top w:val="single" w:color="auto" w:sz="4" w:space="0"/>
                    <w:bottom w:val="single" w:color="auto" w:sz="4" w:space="0"/>
                    <w:right w:val="single" w:color="auto" w:sz="4" w:space="0"/>
                  </w:tcBorders>
                  <w:noWrap w:val="0"/>
                  <w:vAlign w:val="center"/>
                </w:tcPr>
                <w:p w14:paraId="6996BBDA">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z w:val="21"/>
                      <w:szCs w:val="21"/>
                      <w:highlight w:val="none"/>
                      <w14:textFill>
                        <w14:solidFill>
                          <w14:schemeClr w14:val="tx1"/>
                        </w14:solidFill>
                      </w14:textFill>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14:paraId="7C59BE99">
                  <w:pPr>
                    <w:keepNext w:val="0"/>
                    <w:keepLines w:val="0"/>
                    <w:suppressLineNumbers w:val="0"/>
                    <w:snapToGrid w:val="0"/>
                    <w:spacing w:before="0" w:beforeAutospacing="0" w:after="0" w:afterAutospacing="0" w:line="240" w:lineRule="auto"/>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噪声治理</w:t>
                  </w:r>
                </w:p>
              </w:tc>
              <w:tc>
                <w:tcPr>
                  <w:tcW w:w="5220" w:type="dxa"/>
                  <w:tcBorders>
                    <w:top w:val="single" w:color="auto" w:sz="4" w:space="0"/>
                    <w:left w:val="single" w:color="auto" w:sz="4" w:space="0"/>
                    <w:bottom w:val="single" w:color="auto" w:sz="4" w:space="0"/>
                    <w:right w:val="single" w:color="auto" w:sz="4" w:space="0"/>
                  </w:tcBorders>
                  <w:noWrap w:val="0"/>
                  <w:vAlign w:val="center"/>
                </w:tcPr>
                <w:p w14:paraId="0182582E">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距离衰减、厂房隔声等</w:t>
                  </w:r>
                </w:p>
              </w:tc>
              <w:tc>
                <w:tcPr>
                  <w:tcW w:w="1445" w:type="dxa"/>
                  <w:gridSpan w:val="2"/>
                  <w:tcBorders>
                    <w:top w:val="single" w:color="auto" w:sz="4" w:space="0"/>
                    <w:left w:val="single" w:color="auto" w:sz="4" w:space="0"/>
                    <w:bottom w:val="single" w:color="auto" w:sz="4" w:space="0"/>
                  </w:tcBorders>
                  <w:noWrap w:val="0"/>
                  <w:vAlign w:val="center"/>
                </w:tcPr>
                <w:p w14:paraId="31D79139">
                  <w:pPr>
                    <w:keepNext w:val="0"/>
                    <w:keepLines w:val="0"/>
                    <w:widowControl/>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新建</w:t>
                  </w:r>
                </w:p>
              </w:tc>
            </w:tr>
            <w:tr w14:paraId="44EABA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continue"/>
                  <w:tcBorders>
                    <w:top w:val="single" w:color="auto" w:sz="4" w:space="0"/>
                    <w:bottom w:val="single" w:color="auto" w:sz="8" w:space="0"/>
                    <w:right w:val="single" w:color="auto" w:sz="4" w:space="0"/>
                  </w:tcBorders>
                  <w:noWrap w:val="0"/>
                  <w:vAlign w:val="center"/>
                </w:tcPr>
                <w:p w14:paraId="2E7580CE">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z w:val="21"/>
                      <w:szCs w:val="21"/>
                      <w:highlight w:val="none"/>
                      <w14:textFill>
                        <w14:solidFill>
                          <w14:schemeClr w14:val="tx1"/>
                        </w14:solidFill>
                      </w14:textFill>
                    </w:rPr>
                  </w:pPr>
                </w:p>
              </w:tc>
              <w:tc>
                <w:tcPr>
                  <w:tcW w:w="1080" w:type="dxa"/>
                  <w:tcBorders>
                    <w:top w:val="single" w:color="auto" w:sz="4" w:space="0"/>
                    <w:left w:val="single" w:color="auto" w:sz="4" w:space="0"/>
                    <w:bottom w:val="single" w:color="auto" w:sz="8" w:space="0"/>
                    <w:right w:val="single" w:color="auto" w:sz="4" w:space="0"/>
                  </w:tcBorders>
                  <w:noWrap w:val="0"/>
                  <w:vAlign w:val="center"/>
                </w:tcPr>
                <w:p w14:paraId="74FC4B07">
                  <w:pPr>
                    <w:keepNext w:val="0"/>
                    <w:keepLines w:val="0"/>
                    <w:suppressLineNumbers w:val="0"/>
                    <w:snapToGrid w:val="0"/>
                    <w:spacing w:before="0" w:beforeAutospacing="0" w:after="0" w:afterAutospacing="0" w:line="240" w:lineRule="auto"/>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固废</w:t>
                  </w:r>
                </w:p>
              </w:tc>
              <w:tc>
                <w:tcPr>
                  <w:tcW w:w="5220" w:type="dxa"/>
                  <w:tcBorders>
                    <w:top w:val="single" w:color="auto" w:sz="4" w:space="0"/>
                    <w:left w:val="single" w:color="auto" w:sz="4" w:space="0"/>
                    <w:bottom w:val="single" w:color="auto" w:sz="8" w:space="0"/>
                    <w:right w:val="single" w:color="auto" w:sz="4" w:space="0"/>
                  </w:tcBorders>
                  <w:noWrap w:val="0"/>
                  <w:vAlign w:val="center"/>
                </w:tcPr>
                <w:p w14:paraId="6A06A5C3">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一般固废暂存间</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一座</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面积</w:t>
                  </w:r>
                  <w:r>
                    <w:rPr>
                      <w:rFonts w:hint="eastAsia" w:cs="Times New Roman"/>
                      <w:color w:val="000000" w:themeColor="text1"/>
                      <w:sz w:val="21"/>
                      <w:szCs w:val="21"/>
                      <w:highlight w:val="none"/>
                      <w:u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m²</w:t>
                  </w:r>
                </w:p>
              </w:tc>
              <w:tc>
                <w:tcPr>
                  <w:tcW w:w="1445" w:type="dxa"/>
                  <w:gridSpan w:val="2"/>
                  <w:tcBorders>
                    <w:top w:val="single" w:color="auto" w:sz="4" w:space="0"/>
                    <w:left w:val="single" w:color="auto" w:sz="4" w:space="0"/>
                    <w:bottom w:val="single" w:color="auto" w:sz="8" w:space="0"/>
                  </w:tcBorders>
                  <w:noWrap w:val="0"/>
                  <w:vAlign w:val="center"/>
                </w:tcPr>
                <w:p w14:paraId="3D6C9234">
                  <w:pPr>
                    <w:keepNext w:val="0"/>
                    <w:keepLines w:val="0"/>
                    <w:widowControl/>
                    <w:suppressLineNumbers w:val="0"/>
                    <w:snapToGrid w:val="0"/>
                    <w:spacing w:before="0" w:beforeAutospacing="0" w:after="0" w:afterAutospacing="0"/>
                    <w:ind w:left="0" w:leftChars="0" w:right="0" w:rightChars="0"/>
                    <w:jc w:val="center"/>
                    <w:rPr>
                      <w:rFonts w:hint="eastAsia" w:hAnsiTheme="minorEastAsia" w:eastAsiaTheme="minorEastAsia"/>
                      <w:color w:val="000000" w:themeColor="text1"/>
                      <w:sz w:val="21"/>
                      <w:szCs w:val="21"/>
                      <w:highlight w:val="none"/>
                      <w:lang w:val="en-US" w:eastAsia="zh-CN"/>
                      <w14:textFill>
                        <w14:solidFill>
                          <w14:schemeClr w14:val="tx1"/>
                        </w14:solidFill>
                      </w14:textFill>
                    </w:rPr>
                  </w:pPr>
                  <w:r>
                    <w:rPr>
                      <w:rFonts w:hint="eastAsia" w:hAnsi="宋体"/>
                      <w:color w:val="000000"/>
                      <w:sz w:val="21"/>
                      <w:szCs w:val="21"/>
                      <w:highlight w:val="none"/>
                      <w:lang w:val="en-US" w:eastAsia="zh-CN"/>
                    </w:rPr>
                    <w:t>新建</w:t>
                  </w:r>
                </w:p>
              </w:tc>
            </w:tr>
          </w:tbl>
          <w:p w14:paraId="56A20F63">
            <w:pPr>
              <w:keepNext w:val="0"/>
              <w:keepLines w:val="0"/>
              <w:suppressLineNumbers w:val="0"/>
              <w:spacing w:before="0" w:beforeAutospacing="0" w:after="0" w:afterAutospacing="0" w:line="440" w:lineRule="exact"/>
              <w:ind w:left="0" w:right="0" w:firstLine="482" w:firstLineChars="200"/>
              <w:rPr>
                <w:rFonts w:hint="default"/>
                <w:b/>
                <w:sz w:val="24"/>
                <w:lang w:val="en-US"/>
              </w:rPr>
            </w:pPr>
            <w:r>
              <w:rPr>
                <w:rFonts w:hint="eastAsia"/>
                <w:b/>
                <w:sz w:val="24"/>
              </w:rPr>
              <w:t>3、</w:t>
            </w:r>
            <w:r>
              <w:rPr>
                <w:rFonts w:hint="eastAsia" w:cs="Times New Roman"/>
                <w:b/>
                <w:bCs/>
                <w:color w:val="000000"/>
                <w:sz w:val="24"/>
                <w:szCs w:val="24"/>
                <w:lang w:val="en-US" w:eastAsia="zh-CN"/>
              </w:rPr>
              <w:t>本项目产品方案</w:t>
            </w:r>
          </w:p>
          <w:p w14:paraId="77EFC8F0">
            <w:pPr>
              <w:keepNext w:val="0"/>
              <w:keepLines w:val="0"/>
              <w:suppressLineNumbers w:val="0"/>
              <w:spacing w:before="0" w:beforeAutospacing="0" w:after="0" w:afterAutospacing="0" w:line="440" w:lineRule="exact"/>
              <w:ind w:left="0" w:right="0" w:firstLine="480" w:firstLineChars="200"/>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企业具体产品方案见下表。</w:t>
            </w:r>
          </w:p>
          <w:p w14:paraId="7171B9E5">
            <w:pPr>
              <w:pStyle w:val="55"/>
              <w:keepNext w:val="0"/>
              <w:keepLines w:val="0"/>
              <w:suppressLineNumbers w:val="0"/>
              <w:spacing w:before="0" w:beforeAutospacing="0" w:after="0" w:afterAutospacing="0" w:line="440" w:lineRule="exact"/>
              <w:ind w:left="0" w:right="0" w:firstLine="0"/>
              <w:jc w:val="center"/>
              <w:rPr>
                <w:rFonts w:hint="default"/>
                <w:sz w:val="24"/>
              </w:rPr>
            </w:pPr>
            <w:r>
              <w:rPr>
                <w:rFonts w:hint="eastAsia" w:ascii="Times New Roman" w:hAnsi="Times New Roman" w:cs="Times New Roman"/>
                <w:b/>
                <w:bCs/>
                <w:color w:val="auto"/>
                <w:sz w:val="24"/>
                <w:szCs w:val="24"/>
                <w:lang w:val="en-US" w:eastAsia="zh-CN"/>
              </w:rPr>
              <w:t>表13</w:t>
            </w:r>
            <w:r>
              <w:rPr>
                <w:rFonts w:hint="eastAsia" w:hAnsi="宋体" w:cs="Times New Roman"/>
                <w:b/>
                <w:bCs/>
                <w:color w:val="auto"/>
                <w:sz w:val="24"/>
                <w:szCs w:val="24"/>
                <w:lang w:val="en-US" w:eastAsia="zh-CN"/>
              </w:rPr>
              <w:t xml:space="preserve"> </w:t>
            </w:r>
            <w:r>
              <w:rPr>
                <w:rFonts w:hint="eastAsia" w:hAnsi="宋体" w:cs="Times New Roman"/>
                <w:b/>
                <w:bCs/>
                <w:color w:val="000000"/>
                <w:sz w:val="24"/>
                <w:szCs w:val="24"/>
                <w:lang w:val="en-US" w:eastAsia="zh-CN"/>
              </w:rPr>
              <w:t xml:space="preserve"> 企业产品</w:t>
            </w:r>
            <w:r>
              <w:rPr>
                <w:rFonts w:hint="default" w:hAnsi="宋体" w:cs="Times New Roman"/>
                <w:b/>
                <w:bCs/>
                <w:color w:val="000000"/>
                <w:sz w:val="24"/>
                <w:szCs w:val="24"/>
              </w:rPr>
              <w:t>方案</w:t>
            </w:r>
            <w:r>
              <w:rPr>
                <w:rFonts w:hint="eastAsia" w:hAnsi="宋体" w:cs="Times New Roman"/>
                <w:b/>
                <w:bCs/>
                <w:color w:val="000000"/>
                <w:sz w:val="24"/>
                <w:szCs w:val="24"/>
                <w:lang w:val="en-US" w:eastAsia="zh-CN"/>
              </w:rPr>
              <w:t>一览表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682"/>
              <w:gridCol w:w="1110"/>
              <w:gridCol w:w="1080"/>
              <w:gridCol w:w="5933"/>
            </w:tblGrid>
            <w:tr w14:paraId="1F1AAFAE">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82" w:type="dxa"/>
                  <w:tcBorders>
                    <w:left w:val="nil"/>
                    <w:bottom w:val="single" w:color="auto" w:sz="8" w:space="0"/>
                    <w:right w:val="single" w:color="auto" w:sz="4" w:space="0"/>
                  </w:tcBorders>
                  <w:noWrap w:val="0"/>
                  <w:vAlign w:val="center"/>
                </w:tcPr>
                <w:p w14:paraId="78DAF6D7">
                  <w:pPr>
                    <w:keepNext w:val="0"/>
                    <w:keepLines w:val="0"/>
                    <w:suppressLineNumbers w:val="0"/>
                    <w:adjustRightInd w:val="0"/>
                    <w:snapToGrid w:val="0"/>
                    <w:spacing w:before="0" w:beforeAutospacing="0" w:after="0" w:afterAutospacing="0"/>
                    <w:ind w:left="0" w:right="0"/>
                    <w:jc w:val="center"/>
                    <w:rPr>
                      <w:rFonts w:hint="eastAsia" w:eastAsia="宋体"/>
                      <w:b/>
                      <w:sz w:val="21"/>
                      <w:szCs w:val="21"/>
                      <w:lang w:eastAsia="zh-CN"/>
                    </w:rPr>
                  </w:pPr>
                  <w:r>
                    <w:rPr>
                      <w:rFonts w:hint="eastAsia"/>
                      <w:b/>
                      <w:sz w:val="21"/>
                      <w:szCs w:val="21"/>
                      <w:lang w:val="en-US" w:eastAsia="zh-CN"/>
                    </w:rPr>
                    <w:t>序号</w:t>
                  </w:r>
                </w:p>
              </w:tc>
              <w:tc>
                <w:tcPr>
                  <w:tcW w:w="1110" w:type="dxa"/>
                  <w:tcBorders>
                    <w:left w:val="single" w:color="auto" w:sz="4" w:space="0"/>
                    <w:bottom w:val="single" w:color="auto" w:sz="8" w:space="0"/>
                    <w:right w:val="single" w:color="auto" w:sz="4" w:space="0"/>
                  </w:tcBorders>
                  <w:noWrap w:val="0"/>
                  <w:vAlign w:val="center"/>
                </w:tcPr>
                <w:p w14:paraId="40916033">
                  <w:pPr>
                    <w:keepNext w:val="0"/>
                    <w:keepLines w:val="0"/>
                    <w:suppressLineNumbers w:val="0"/>
                    <w:adjustRightInd w:val="0"/>
                    <w:snapToGrid w:val="0"/>
                    <w:spacing w:before="0" w:beforeAutospacing="0" w:after="0" w:afterAutospacing="0"/>
                    <w:ind w:left="0" w:right="0"/>
                    <w:jc w:val="center"/>
                    <w:rPr>
                      <w:rFonts w:hint="default" w:eastAsia="宋体"/>
                      <w:b/>
                      <w:sz w:val="21"/>
                      <w:szCs w:val="21"/>
                      <w:lang w:val="en-US" w:eastAsia="zh-CN"/>
                    </w:rPr>
                  </w:pPr>
                  <w:r>
                    <w:rPr>
                      <w:rFonts w:hint="eastAsia"/>
                      <w:b/>
                      <w:sz w:val="21"/>
                      <w:szCs w:val="21"/>
                      <w:lang w:val="en-US" w:eastAsia="zh-CN"/>
                    </w:rPr>
                    <w:t>名称</w:t>
                  </w:r>
                </w:p>
              </w:tc>
              <w:tc>
                <w:tcPr>
                  <w:tcW w:w="1080" w:type="dxa"/>
                  <w:tcBorders>
                    <w:left w:val="single" w:color="auto" w:sz="4" w:space="0"/>
                    <w:bottom w:val="single" w:color="auto" w:sz="8" w:space="0"/>
                    <w:right w:val="single" w:color="auto" w:sz="4" w:space="0"/>
                  </w:tcBorders>
                  <w:noWrap w:val="0"/>
                  <w:vAlign w:val="center"/>
                </w:tcPr>
                <w:p w14:paraId="0B5F6C5F">
                  <w:pPr>
                    <w:keepNext w:val="0"/>
                    <w:keepLines w:val="0"/>
                    <w:suppressLineNumbers w:val="0"/>
                    <w:adjustRightInd w:val="0"/>
                    <w:snapToGrid w:val="0"/>
                    <w:spacing w:before="0" w:beforeAutospacing="0" w:after="0" w:afterAutospacing="0"/>
                    <w:ind w:left="0" w:right="0"/>
                    <w:jc w:val="center"/>
                    <w:rPr>
                      <w:rFonts w:hint="default"/>
                      <w:b/>
                      <w:sz w:val="21"/>
                      <w:szCs w:val="21"/>
                      <w:lang w:val="en-US" w:eastAsia="zh-CN"/>
                    </w:rPr>
                  </w:pPr>
                  <w:r>
                    <w:rPr>
                      <w:rFonts w:hint="eastAsia"/>
                      <w:b/>
                      <w:sz w:val="21"/>
                      <w:szCs w:val="21"/>
                      <w:lang w:val="en-US" w:eastAsia="zh-CN"/>
                    </w:rPr>
                    <w:t>产品方案</w:t>
                  </w:r>
                </w:p>
              </w:tc>
              <w:tc>
                <w:tcPr>
                  <w:tcW w:w="5933" w:type="dxa"/>
                  <w:tcBorders>
                    <w:left w:val="single" w:color="auto" w:sz="4" w:space="0"/>
                    <w:bottom w:val="single" w:color="auto" w:sz="8" w:space="0"/>
                  </w:tcBorders>
                  <w:noWrap w:val="0"/>
                  <w:vAlign w:val="center"/>
                </w:tcPr>
                <w:p w14:paraId="3FFCCCFC">
                  <w:pPr>
                    <w:keepNext w:val="0"/>
                    <w:keepLines w:val="0"/>
                    <w:suppressLineNumbers w:val="0"/>
                    <w:adjustRightInd w:val="0"/>
                    <w:snapToGrid w:val="0"/>
                    <w:spacing w:before="0" w:beforeAutospacing="0" w:after="0" w:afterAutospacing="0"/>
                    <w:ind w:left="0" w:right="0"/>
                    <w:jc w:val="center"/>
                    <w:rPr>
                      <w:rFonts w:hint="default"/>
                      <w:b/>
                      <w:sz w:val="21"/>
                      <w:szCs w:val="21"/>
                      <w:lang w:val="en-US" w:eastAsia="zh-CN"/>
                    </w:rPr>
                  </w:pPr>
                  <w:r>
                    <w:rPr>
                      <w:rFonts w:hint="eastAsia"/>
                      <w:b/>
                      <w:sz w:val="21"/>
                      <w:szCs w:val="21"/>
                      <w:lang w:val="en-US" w:eastAsia="zh-CN"/>
                    </w:rPr>
                    <w:t>备注</w:t>
                  </w:r>
                </w:p>
              </w:tc>
            </w:tr>
            <w:tr w14:paraId="2CC2F822">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82" w:type="dxa"/>
                  <w:tcBorders>
                    <w:top w:val="single" w:color="auto" w:sz="8" w:space="0"/>
                    <w:left w:val="nil"/>
                    <w:right w:val="single" w:color="auto" w:sz="4" w:space="0"/>
                  </w:tcBorders>
                  <w:shd w:val="clear" w:color="auto" w:fill="auto"/>
                  <w:noWrap w:val="0"/>
                  <w:vAlign w:val="center"/>
                </w:tcPr>
                <w:p w14:paraId="66558E8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1</w:t>
                  </w:r>
                </w:p>
              </w:tc>
              <w:tc>
                <w:tcPr>
                  <w:tcW w:w="1110" w:type="dxa"/>
                  <w:tcBorders>
                    <w:top w:val="single" w:color="auto" w:sz="8" w:space="0"/>
                    <w:left w:val="single" w:color="auto" w:sz="4" w:space="0"/>
                    <w:right w:val="single" w:color="auto" w:sz="4" w:space="0"/>
                  </w:tcBorders>
                  <w:shd w:val="clear" w:color="auto" w:fill="auto"/>
                  <w:noWrap w:val="0"/>
                  <w:vAlign w:val="center"/>
                </w:tcPr>
                <w:p w14:paraId="52F8D940">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lang w:val="en-US" w:eastAsia="zh-CN"/>
                    </w:rPr>
                  </w:pPr>
                  <w:r>
                    <w:rPr>
                      <w:rFonts w:hint="eastAsia"/>
                      <w:color w:val="auto"/>
                      <w:sz w:val="21"/>
                      <w:szCs w:val="21"/>
                      <w:lang w:val="en-US" w:eastAsia="zh-CN"/>
                    </w:rPr>
                    <w:t>变幅杆</w:t>
                  </w:r>
                </w:p>
              </w:tc>
              <w:tc>
                <w:tcPr>
                  <w:tcW w:w="1080" w:type="dxa"/>
                  <w:tcBorders>
                    <w:top w:val="single" w:color="auto" w:sz="8" w:space="0"/>
                    <w:left w:val="single" w:color="auto" w:sz="4" w:space="0"/>
                    <w:right w:val="single" w:color="auto" w:sz="4" w:space="0"/>
                  </w:tcBorders>
                  <w:shd w:val="clear" w:color="auto" w:fill="auto"/>
                  <w:noWrap w:val="0"/>
                  <w:vAlign w:val="center"/>
                </w:tcPr>
                <w:p w14:paraId="1757BC1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1.2万件</w:t>
                  </w:r>
                </w:p>
              </w:tc>
              <w:tc>
                <w:tcPr>
                  <w:tcW w:w="5933" w:type="dxa"/>
                  <w:tcBorders>
                    <w:top w:val="single" w:color="auto" w:sz="8" w:space="0"/>
                    <w:left w:val="single" w:color="auto" w:sz="4" w:space="0"/>
                  </w:tcBorders>
                  <w:shd w:val="clear" w:color="auto" w:fill="auto"/>
                  <w:noWrap w:val="0"/>
                  <w:vAlign w:val="center"/>
                </w:tcPr>
                <w:p w14:paraId="3EE1AD64">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000000"/>
                      <w:sz w:val="21"/>
                      <w:szCs w:val="21"/>
                      <w:lang w:val="en-US" w:eastAsia="zh-CN"/>
                    </w:rPr>
                    <w:t>根据客户需求生产不同规格产品，产品主要规格</w:t>
                  </w:r>
                  <w:r>
                    <w:rPr>
                      <w:rFonts w:hint="eastAsia"/>
                      <w:color w:val="000000" w:themeColor="text1"/>
                      <w:sz w:val="21"/>
                      <w:szCs w:val="21"/>
                      <w:lang w:val="en-US" w:eastAsia="zh-CN"/>
                      <w14:textFill>
                        <w14:solidFill>
                          <w14:schemeClr w14:val="tx1"/>
                        </w14:solidFill>
                      </w14:textFill>
                    </w:rPr>
                    <w:t>为：</w:t>
                  </w:r>
                </w:p>
                <w:p w14:paraId="39D8F8D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sz w:val="21"/>
                      <w:szCs w:val="21"/>
                      <w:lang w:val="en-US" w:eastAsia="zh-CN"/>
                    </w:rPr>
                  </w:pPr>
                  <w:r>
                    <w:rPr>
                      <w:rFonts w:hint="eastAsia"/>
                      <w:color w:val="000000" w:themeColor="text1"/>
                      <w:sz w:val="21"/>
                      <w:szCs w:val="21"/>
                      <w:lang w:val="en-US" w:eastAsia="zh-CN"/>
                      <w14:textFill>
                        <w14:solidFill>
                          <w14:schemeClr w14:val="tx1"/>
                        </w14:solidFill>
                      </w14:textFill>
                    </w:rPr>
                    <w:t>15K</w:t>
                  </w:r>
                  <w:r>
                    <w:rPr>
                      <w:rFonts w:hint="eastAsia"/>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20K、28K、35K，单个变幅杆均重约17kg</w:t>
                  </w:r>
                </w:p>
              </w:tc>
            </w:tr>
          </w:tbl>
          <w:p w14:paraId="663AE7E4">
            <w:pPr>
              <w:keepNext w:val="0"/>
              <w:keepLines w:val="0"/>
              <w:suppressLineNumbers w:val="0"/>
              <w:snapToGrid w:val="0"/>
              <w:spacing w:before="0" w:beforeAutospacing="0" w:after="0" w:afterAutospacing="0" w:line="440" w:lineRule="exact"/>
              <w:ind w:left="0" w:right="0" w:firstLine="482" w:firstLineChars="200"/>
              <w:rPr>
                <w:rFonts w:hint="default"/>
                <w:b/>
                <w:sz w:val="24"/>
              </w:rPr>
            </w:pPr>
            <w:r>
              <w:rPr>
                <w:rFonts w:hint="eastAsia" w:cs="Times New Roman"/>
                <w:b/>
                <w:sz w:val="24"/>
                <w:lang w:val="en-US" w:eastAsia="zh-CN"/>
              </w:rPr>
              <w:t>4、</w:t>
            </w:r>
            <w:r>
              <w:rPr>
                <w:rFonts w:hint="eastAsia"/>
                <w:b/>
                <w:sz w:val="24"/>
              </w:rPr>
              <w:t>项目主要生产设备</w:t>
            </w:r>
          </w:p>
          <w:p w14:paraId="72287F44">
            <w:pPr>
              <w:keepNext w:val="0"/>
              <w:keepLines w:val="0"/>
              <w:suppressLineNumbers w:val="0"/>
              <w:adjustRightInd w:val="0"/>
              <w:snapToGrid w:val="0"/>
              <w:spacing w:before="0" w:beforeAutospacing="0" w:after="0" w:afterAutospacing="0" w:line="440" w:lineRule="exact"/>
              <w:ind w:left="0" w:right="0" w:firstLine="508" w:firstLineChars="212"/>
              <w:textAlignment w:val="baseline"/>
              <w:rPr>
                <w:rFonts w:hint="default" w:cs="Times New Roman"/>
                <w:b/>
                <w:sz w:val="24"/>
                <w:lang w:val="en-US" w:eastAsia="zh-CN"/>
              </w:rPr>
            </w:pPr>
            <w:r>
              <w:rPr>
                <w:rFonts w:hint="eastAsia"/>
                <w:sz w:val="24"/>
              </w:rPr>
              <w:t>本</w:t>
            </w:r>
            <w:r>
              <w:rPr>
                <w:rFonts w:hint="default"/>
                <w:sz w:val="24"/>
              </w:rPr>
              <w:t>项目</w:t>
            </w:r>
            <w:r>
              <w:rPr>
                <w:rFonts w:hint="eastAsia"/>
                <w:sz w:val="24"/>
              </w:rPr>
              <w:t>主要生产设备</w:t>
            </w:r>
            <w:r>
              <w:rPr>
                <w:rFonts w:hint="default"/>
                <w:sz w:val="24"/>
              </w:rPr>
              <w:t>见</w:t>
            </w:r>
            <w:r>
              <w:rPr>
                <w:rFonts w:hint="eastAsia"/>
                <w:sz w:val="24"/>
                <w:lang w:val="en-US" w:eastAsia="zh-CN"/>
              </w:rPr>
              <w:t>表14。</w:t>
            </w:r>
          </w:p>
          <w:p w14:paraId="27CAB751">
            <w:pPr>
              <w:pStyle w:val="55"/>
              <w:keepNext w:val="0"/>
              <w:keepLines w:val="0"/>
              <w:suppressLineNumbers w:val="0"/>
              <w:spacing w:before="0" w:beforeAutospacing="0" w:after="0" w:afterAutospacing="0" w:line="440" w:lineRule="exact"/>
              <w:ind w:left="0" w:right="0" w:firstLine="0"/>
              <w:jc w:val="center"/>
              <w:rPr>
                <w:rFonts w:hint="default"/>
                <w:sz w:val="24"/>
                <w:lang w:val="en-US"/>
              </w:rPr>
            </w:pPr>
            <w:r>
              <w:rPr>
                <w:rFonts w:hint="eastAsia" w:ascii="Times New Roman" w:hAnsi="Times New Roman" w:cs="Times New Roman"/>
                <w:b/>
                <w:bCs/>
                <w:color w:val="auto"/>
                <w:sz w:val="24"/>
                <w:szCs w:val="24"/>
                <w:lang w:val="en-US" w:eastAsia="zh-CN"/>
              </w:rPr>
              <w:t>表14</w:t>
            </w:r>
            <w:r>
              <w:rPr>
                <w:rFonts w:hint="eastAsia" w:hAnsi="宋体" w:cs="Times New Roman"/>
                <w:b/>
                <w:bCs/>
                <w:color w:val="auto"/>
                <w:sz w:val="24"/>
                <w:szCs w:val="24"/>
                <w:lang w:val="en-US" w:eastAsia="zh-CN"/>
              </w:rPr>
              <w:t xml:space="preserve"> </w:t>
            </w:r>
            <w:r>
              <w:rPr>
                <w:rFonts w:hint="eastAsia" w:hAnsi="宋体" w:cs="Times New Roman"/>
                <w:b/>
                <w:bCs/>
                <w:color w:val="000000"/>
                <w:sz w:val="24"/>
                <w:szCs w:val="24"/>
                <w:lang w:val="en-US" w:eastAsia="zh-CN"/>
              </w:rPr>
              <w:t xml:space="preserve"> 本项目主要生产设备一览表</w:t>
            </w:r>
          </w:p>
          <w:tbl>
            <w:tblPr>
              <w:tblStyle w:val="22"/>
              <w:tblW w:w="4997"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778"/>
              <w:gridCol w:w="2446"/>
              <w:gridCol w:w="3488"/>
              <w:gridCol w:w="2088"/>
            </w:tblGrid>
            <w:tr w14:paraId="253C5156">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tcBorders>
                    <w:left w:val="nil"/>
                    <w:bottom w:val="single" w:color="auto" w:sz="8" w:space="0"/>
                    <w:right w:val="single" w:color="auto" w:sz="4" w:space="0"/>
                  </w:tcBorders>
                  <w:noWrap w:val="0"/>
                  <w:vAlign w:val="center"/>
                </w:tcPr>
                <w:p w14:paraId="63A6B0CB">
                  <w:pPr>
                    <w:keepNext w:val="0"/>
                    <w:keepLines w:val="0"/>
                    <w:suppressLineNumbers w:val="0"/>
                    <w:adjustRightInd w:val="0"/>
                    <w:snapToGrid w:val="0"/>
                    <w:spacing w:before="0" w:beforeAutospacing="0" w:after="0" w:afterAutospacing="0"/>
                    <w:ind w:left="0" w:right="0"/>
                    <w:jc w:val="center"/>
                    <w:rPr>
                      <w:rFonts w:hint="eastAsia" w:eastAsia="宋体"/>
                      <w:b/>
                      <w:sz w:val="21"/>
                      <w:szCs w:val="21"/>
                      <w:lang w:eastAsia="zh-CN"/>
                    </w:rPr>
                  </w:pPr>
                  <w:r>
                    <w:rPr>
                      <w:rFonts w:hint="eastAsia"/>
                      <w:b/>
                      <w:sz w:val="21"/>
                      <w:szCs w:val="21"/>
                      <w:lang w:val="en-US" w:eastAsia="zh-CN"/>
                    </w:rPr>
                    <w:t>序号</w:t>
                  </w:r>
                </w:p>
              </w:tc>
              <w:tc>
                <w:tcPr>
                  <w:tcW w:w="1389" w:type="pct"/>
                  <w:tcBorders>
                    <w:left w:val="single" w:color="auto" w:sz="4" w:space="0"/>
                    <w:bottom w:val="single" w:color="auto" w:sz="8" w:space="0"/>
                    <w:right w:val="single" w:color="auto" w:sz="4" w:space="0"/>
                  </w:tcBorders>
                  <w:noWrap w:val="0"/>
                  <w:vAlign w:val="center"/>
                </w:tcPr>
                <w:p w14:paraId="5B1B74A3">
                  <w:pPr>
                    <w:keepNext w:val="0"/>
                    <w:keepLines w:val="0"/>
                    <w:suppressLineNumbers w:val="0"/>
                    <w:adjustRightInd w:val="0"/>
                    <w:snapToGrid w:val="0"/>
                    <w:spacing w:before="0" w:beforeAutospacing="0" w:after="0" w:afterAutospacing="0"/>
                    <w:ind w:left="0" w:right="0"/>
                    <w:jc w:val="center"/>
                    <w:rPr>
                      <w:rFonts w:hint="eastAsia"/>
                      <w:b/>
                      <w:sz w:val="21"/>
                      <w:szCs w:val="21"/>
                      <w:lang w:val="en-US" w:eastAsia="zh-CN"/>
                    </w:rPr>
                  </w:pPr>
                  <w:r>
                    <w:rPr>
                      <w:rFonts w:hint="eastAsia"/>
                      <w:b/>
                      <w:sz w:val="21"/>
                      <w:szCs w:val="21"/>
                      <w:lang w:val="en-US" w:eastAsia="zh-CN"/>
                    </w:rPr>
                    <w:t>名称</w:t>
                  </w:r>
                </w:p>
              </w:tc>
              <w:tc>
                <w:tcPr>
                  <w:tcW w:w="1981" w:type="pct"/>
                  <w:tcBorders>
                    <w:left w:val="single" w:color="auto" w:sz="4" w:space="0"/>
                    <w:bottom w:val="single" w:color="auto" w:sz="8" w:space="0"/>
                    <w:right w:val="single" w:color="auto" w:sz="4" w:space="0"/>
                  </w:tcBorders>
                  <w:noWrap w:val="0"/>
                  <w:vAlign w:val="center"/>
                </w:tcPr>
                <w:p w14:paraId="11C9145E">
                  <w:pPr>
                    <w:keepNext w:val="0"/>
                    <w:keepLines w:val="0"/>
                    <w:suppressLineNumbers w:val="0"/>
                    <w:adjustRightInd w:val="0"/>
                    <w:snapToGrid w:val="0"/>
                    <w:spacing w:before="0" w:beforeAutospacing="0" w:after="0" w:afterAutospacing="0"/>
                    <w:ind w:left="0" w:right="0"/>
                    <w:jc w:val="center"/>
                    <w:rPr>
                      <w:rFonts w:hint="default"/>
                      <w:b/>
                      <w:sz w:val="21"/>
                      <w:szCs w:val="21"/>
                      <w:lang w:val="en-US" w:eastAsia="zh-CN"/>
                    </w:rPr>
                  </w:pPr>
                  <w:r>
                    <w:rPr>
                      <w:rFonts w:hint="eastAsia"/>
                      <w:b/>
                      <w:sz w:val="21"/>
                      <w:szCs w:val="21"/>
                      <w:lang w:val="en-US" w:eastAsia="zh-CN"/>
                    </w:rPr>
                    <w:t>规格/型号</w:t>
                  </w:r>
                </w:p>
              </w:tc>
              <w:tc>
                <w:tcPr>
                  <w:tcW w:w="1186" w:type="pct"/>
                  <w:tcBorders>
                    <w:left w:val="single" w:color="auto" w:sz="4" w:space="0"/>
                    <w:bottom w:val="single" w:color="auto" w:sz="8" w:space="0"/>
                  </w:tcBorders>
                  <w:noWrap w:val="0"/>
                  <w:vAlign w:val="center"/>
                </w:tcPr>
                <w:p w14:paraId="3E807793">
                  <w:pPr>
                    <w:keepNext w:val="0"/>
                    <w:keepLines w:val="0"/>
                    <w:suppressLineNumbers w:val="0"/>
                    <w:adjustRightInd w:val="0"/>
                    <w:snapToGrid w:val="0"/>
                    <w:spacing w:before="0" w:beforeAutospacing="0" w:after="0" w:afterAutospacing="0"/>
                    <w:ind w:left="0" w:right="0"/>
                    <w:jc w:val="center"/>
                    <w:rPr>
                      <w:rFonts w:hint="default" w:eastAsia="宋体"/>
                      <w:b/>
                      <w:sz w:val="21"/>
                      <w:szCs w:val="21"/>
                      <w:lang w:val="en-US" w:eastAsia="zh-CN"/>
                    </w:rPr>
                  </w:pPr>
                  <w:r>
                    <w:rPr>
                      <w:rFonts w:hint="eastAsia" w:eastAsia="宋体"/>
                      <w:b/>
                      <w:sz w:val="21"/>
                      <w:szCs w:val="21"/>
                      <w:lang w:val="en-US" w:eastAsia="zh-CN"/>
                    </w:rPr>
                    <w:t>数量</w:t>
                  </w:r>
                </w:p>
              </w:tc>
            </w:tr>
            <w:tr w14:paraId="48842AC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vMerge w:val="restart"/>
                  <w:tcBorders>
                    <w:top w:val="single" w:color="auto" w:sz="8" w:space="0"/>
                    <w:left w:val="nil"/>
                    <w:bottom w:val="single" w:color="auto" w:sz="4" w:space="0"/>
                    <w:right w:val="single" w:color="auto" w:sz="4" w:space="0"/>
                  </w:tcBorders>
                  <w:shd w:val="clear" w:color="auto" w:fill="auto"/>
                  <w:noWrap w:val="0"/>
                  <w:vAlign w:val="center"/>
                </w:tcPr>
                <w:p w14:paraId="1E33628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1</w:t>
                  </w:r>
                </w:p>
              </w:tc>
              <w:tc>
                <w:tcPr>
                  <w:tcW w:w="1389" w:type="pct"/>
                  <w:vMerge w:val="restart"/>
                  <w:tcBorders>
                    <w:top w:val="single" w:color="auto" w:sz="8" w:space="0"/>
                    <w:left w:val="single" w:color="auto" w:sz="4" w:space="0"/>
                    <w:bottom w:val="single" w:color="auto" w:sz="4" w:space="0"/>
                    <w:right w:val="single" w:color="auto" w:sz="4" w:space="0"/>
                  </w:tcBorders>
                  <w:shd w:val="clear" w:color="auto" w:fill="auto"/>
                  <w:noWrap w:val="0"/>
                  <w:vAlign w:val="center"/>
                </w:tcPr>
                <w:p w14:paraId="01BD7E7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hAnsi="宋体"/>
                      <w:color w:val="000000"/>
                      <w:sz w:val="21"/>
                      <w:szCs w:val="21"/>
                      <w:lang w:val="en-US" w:eastAsia="zh-CN"/>
                    </w:rPr>
                  </w:pPr>
                  <w:r>
                    <w:rPr>
                      <w:rFonts w:hint="eastAsia" w:hAnsi="宋体"/>
                      <w:color w:val="000000"/>
                      <w:sz w:val="21"/>
                      <w:szCs w:val="21"/>
                      <w:lang w:val="en-US" w:eastAsia="zh-CN"/>
                    </w:rPr>
                    <w:t>加工中心</w:t>
                  </w:r>
                </w:p>
              </w:tc>
              <w:tc>
                <w:tcPr>
                  <w:tcW w:w="1981" w:type="pct"/>
                  <w:tcBorders>
                    <w:top w:val="single" w:color="auto" w:sz="8" w:space="0"/>
                    <w:left w:val="single" w:color="auto" w:sz="4" w:space="0"/>
                    <w:bottom w:val="single" w:color="auto" w:sz="4" w:space="0"/>
                    <w:right w:val="single" w:color="auto" w:sz="4" w:space="0"/>
                  </w:tcBorders>
                  <w:shd w:val="clear" w:color="auto" w:fill="auto"/>
                  <w:noWrap w:val="0"/>
                  <w:vAlign w:val="center"/>
                </w:tcPr>
                <w:p w14:paraId="36E5492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sz w:val="21"/>
                      <w:szCs w:val="21"/>
                      <w:lang w:val="en-US" w:eastAsia="zh-CN"/>
                    </w:rPr>
                  </w:pPr>
                  <w:r>
                    <w:rPr>
                      <w:rFonts w:hint="eastAsia" w:cs="Times New Roman"/>
                      <w:sz w:val="21"/>
                      <w:szCs w:val="21"/>
                      <w:lang w:val="en-US" w:eastAsia="zh-CN"/>
                    </w:rPr>
                    <w:t>850型，50KW</w:t>
                  </w:r>
                </w:p>
              </w:tc>
              <w:tc>
                <w:tcPr>
                  <w:tcW w:w="1186" w:type="pct"/>
                  <w:tcBorders>
                    <w:top w:val="single" w:color="auto" w:sz="8" w:space="0"/>
                    <w:left w:val="single" w:color="auto" w:sz="4" w:space="0"/>
                    <w:bottom w:val="single" w:color="auto" w:sz="4" w:space="0"/>
                  </w:tcBorders>
                  <w:shd w:val="clear" w:color="auto" w:fill="auto"/>
                  <w:noWrap w:val="0"/>
                  <w:vAlign w:val="center"/>
                </w:tcPr>
                <w:p w14:paraId="5AB9915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3台</w:t>
                  </w:r>
                </w:p>
              </w:tc>
            </w:tr>
            <w:tr w14:paraId="518F7FB2">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vMerge w:val="continue"/>
                  <w:tcBorders>
                    <w:top w:val="single" w:color="auto" w:sz="4" w:space="0"/>
                    <w:left w:val="nil"/>
                    <w:bottom w:val="single" w:color="auto" w:sz="4" w:space="0"/>
                    <w:right w:val="single" w:color="auto" w:sz="4" w:space="0"/>
                  </w:tcBorders>
                  <w:shd w:val="clear" w:color="auto" w:fill="auto"/>
                  <w:noWrap w:val="0"/>
                  <w:vAlign w:val="center"/>
                </w:tcPr>
                <w:p w14:paraId="7053BE8E">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lang w:val="en-US" w:eastAsia="zh-CN"/>
                    </w:rPr>
                  </w:pPr>
                </w:p>
              </w:tc>
              <w:tc>
                <w:tcPr>
                  <w:tcW w:w="138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14:paraId="1F0F75B7">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hAnsi="宋体"/>
                      <w:color w:val="000000"/>
                      <w:sz w:val="21"/>
                      <w:szCs w:val="21"/>
                      <w:lang w:val="en-US" w:eastAsia="zh-CN"/>
                    </w:rPr>
                  </w:pPr>
                </w:p>
              </w:tc>
              <w:tc>
                <w:tcPr>
                  <w:tcW w:w="198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FB0042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sz w:val="21"/>
                      <w:szCs w:val="21"/>
                      <w:lang w:val="en-US" w:eastAsia="zh-CN"/>
                    </w:rPr>
                  </w:pPr>
                  <w:r>
                    <w:rPr>
                      <w:rFonts w:hint="eastAsia" w:cs="Times New Roman"/>
                      <w:sz w:val="21"/>
                      <w:szCs w:val="21"/>
                      <w:lang w:val="en-US" w:eastAsia="zh-CN"/>
                    </w:rPr>
                    <w:t>1160型，50KW</w:t>
                  </w:r>
                </w:p>
              </w:tc>
              <w:tc>
                <w:tcPr>
                  <w:tcW w:w="1186" w:type="pct"/>
                  <w:tcBorders>
                    <w:top w:val="single" w:color="auto" w:sz="4" w:space="0"/>
                    <w:left w:val="single" w:color="auto" w:sz="4" w:space="0"/>
                    <w:bottom w:val="single" w:color="auto" w:sz="4" w:space="0"/>
                  </w:tcBorders>
                  <w:shd w:val="clear" w:color="auto" w:fill="auto"/>
                  <w:noWrap w:val="0"/>
                  <w:vAlign w:val="center"/>
                </w:tcPr>
                <w:p w14:paraId="0AC5825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lang w:val="en-US" w:eastAsia="zh-CN"/>
                    </w:rPr>
                  </w:pPr>
                  <w:r>
                    <w:rPr>
                      <w:rFonts w:hint="eastAsia"/>
                      <w:color w:val="auto"/>
                      <w:sz w:val="21"/>
                      <w:szCs w:val="21"/>
                      <w:lang w:val="en-US" w:eastAsia="zh-CN"/>
                    </w:rPr>
                    <w:t>3台</w:t>
                  </w:r>
                </w:p>
              </w:tc>
            </w:tr>
            <w:tr w14:paraId="6712A5B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vMerge w:val="restart"/>
                  <w:tcBorders>
                    <w:top w:val="single" w:color="auto" w:sz="4" w:space="0"/>
                    <w:left w:val="nil"/>
                    <w:bottom w:val="single" w:color="auto" w:sz="4" w:space="0"/>
                    <w:right w:val="single" w:color="auto" w:sz="4" w:space="0"/>
                  </w:tcBorders>
                  <w:shd w:val="clear" w:color="auto" w:fill="auto"/>
                  <w:noWrap w:val="0"/>
                  <w:vAlign w:val="center"/>
                </w:tcPr>
                <w:p w14:paraId="4E6A90C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2</w:t>
                  </w:r>
                </w:p>
              </w:tc>
              <w:tc>
                <w:tcPr>
                  <w:tcW w:w="1389"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14:paraId="19DAC57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color w:val="auto"/>
                      <w:sz w:val="21"/>
                      <w:szCs w:val="21"/>
                      <w:lang w:val="en-US" w:eastAsia="zh-CN"/>
                    </w:rPr>
                  </w:pPr>
                  <w:r>
                    <w:rPr>
                      <w:rFonts w:hint="eastAsia" w:hAnsi="宋体"/>
                      <w:color w:val="000000"/>
                      <w:sz w:val="21"/>
                      <w:szCs w:val="21"/>
                      <w:lang w:val="en-US" w:eastAsia="zh-CN"/>
                    </w:rPr>
                    <w:t>数控车床</w:t>
                  </w:r>
                </w:p>
              </w:tc>
              <w:tc>
                <w:tcPr>
                  <w:tcW w:w="198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73FB72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s="Times New Roman"/>
                      <w:sz w:val="21"/>
                      <w:szCs w:val="21"/>
                      <w:lang w:val="en-US" w:eastAsia="zh-CN"/>
                    </w:rPr>
                    <w:t>6140型，50KW</w:t>
                  </w:r>
                </w:p>
              </w:tc>
              <w:tc>
                <w:tcPr>
                  <w:tcW w:w="1186" w:type="pct"/>
                  <w:tcBorders>
                    <w:top w:val="single" w:color="auto" w:sz="4" w:space="0"/>
                    <w:left w:val="single" w:color="auto" w:sz="4" w:space="0"/>
                    <w:bottom w:val="single" w:color="auto" w:sz="4" w:space="0"/>
                  </w:tcBorders>
                  <w:shd w:val="clear" w:color="auto" w:fill="auto"/>
                  <w:noWrap w:val="0"/>
                  <w:vAlign w:val="center"/>
                </w:tcPr>
                <w:p w14:paraId="6F7B7CA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5台</w:t>
                  </w:r>
                </w:p>
              </w:tc>
            </w:tr>
            <w:tr w14:paraId="12786D49">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vMerge w:val="continue"/>
                  <w:tcBorders>
                    <w:top w:val="single" w:color="auto" w:sz="4" w:space="0"/>
                    <w:left w:val="nil"/>
                    <w:bottom w:val="single" w:color="auto" w:sz="4" w:space="0"/>
                    <w:right w:val="single" w:color="auto" w:sz="4" w:space="0"/>
                  </w:tcBorders>
                  <w:shd w:val="clear" w:color="auto" w:fill="auto"/>
                  <w:noWrap w:val="0"/>
                  <w:vAlign w:val="center"/>
                </w:tcPr>
                <w:p w14:paraId="18344BA8">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lang w:val="en-US" w:eastAsia="zh-CN"/>
                    </w:rPr>
                  </w:pPr>
                </w:p>
              </w:tc>
              <w:tc>
                <w:tcPr>
                  <w:tcW w:w="138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14:paraId="7E43B35E">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hAnsi="宋体"/>
                      <w:color w:val="000000"/>
                      <w:sz w:val="21"/>
                      <w:szCs w:val="21"/>
                      <w:lang w:val="en-US" w:eastAsia="zh-CN"/>
                    </w:rPr>
                  </w:pPr>
                </w:p>
              </w:tc>
              <w:tc>
                <w:tcPr>
                  <w:tcW w:w="198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B05ADC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sz w:val="21"/>
                      <w:szCs w:val="21"/>
                      <w:lang w:val="en-US" w:eastAsia="zh-CN"/>
                    </w:rPr>
                  </w:pPr>
                  <w:r>
                    <w:rPr>
                      <w:rFonts w:hint="eastAsia" w:cs="Times New Roman"/>
                      <w:sz w:val="21"/>
                      <w:szCs w:val="21"/>
                      <w:lang w:val="en-US" w:eastAsia="zh-CN"/>
                    </w:rPr>
                    <w:t>6150型，50KW</w:t>
                  </w:r>
                </w:p>
              </w:tc>
              <w:tc>
                <w:tcPr>
                  <w:tcW w:w="1186" w:type="pct"/>
                  <w:tcBorders>
                    <w:top w:val="single" w:color="auto" w:sz="4" w:space="0"/>
                    <w:left w:val="single" w:color="auto" w:sz="4" w:space="0"/>
                    <w:bottom w:val="single" w:color="auto" w:sz="4" w:space="0"/>
                  </w:tcBorders>
                  <w:shd w:val="clear" w:color="auto" w:fill="auto"/>
                  <w:noWrap w:val="0"/>
                  <w:vAlign w:val="center"/>
                </w:tcPr>
                <w:p w14:paraId="6941C6F0">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lang w:val="en-US" w:eastAsia="zh-CN"/>
                    </w:rPr>
                  </w:pPr>
                  <w:r>
                    <w:rPr>
                      <w:rFonts w:hint="eastAsia"/>
                      <w:color w:val="auto"/>
                      <w:sz w:val="21"/>
                      <w:szCs w:val="21"/>
                      <w:lang w:val="en-US" w:eastAsia="zh-CN"/>
                    </w:rPr>
                    <w:t>5台</w:t>
                  </w:r>
                </w:p>
              </w:tc>
            </w:tr>
            <w:tr w14:paraId="1ADCD93C">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tcBorders>
                    <w:top w:val="single" w:color="auto" w:sz="4" w:space="0"/>
                    <w:left w:val="nil"/>
                    <w:bottom w:val="single" w:color="auto" w:sz="4" w:space="0"/>
                    <w:right w:val="single" w:color="auto" w:sz="4" w:space="0"/>
                  </w:tcBorders>
                  <w:shd w:val="clear" w:color="auto" w:fill="auto"/>
                  <w:noWrap w:val="0"/>
                  <w:vAlign w:val="center"/>
                </w:tcPr>
                <w:p w14:paraId="781898EE">
                  <w:pPr>
                    <w:pStyle w:val="5"/>
                    <w:keepNext w:val="0"/>
                    <w:keepLines w:val="0"/>
                    <w:suppressLineNumbers w:val="0"/>
                    <w:adjustRightInd w:val="0"/>
                    <w:snapToGrid w:val="0"/>
                    <w:spacing w:before="0" w:beforeAutospacing="0" w:after="0" w:afterAutospacing="0"/>
                    <w:ind w:left="0" w:right="0"/>
                    <w:jc w:val="center"/>
                    <w:rPr>
                      <w:rFonts w:hint="eastAsia"/>
                      <w:color w:val="auto"/>
                      <w:sz w:val="21"/>
                      <w:szCs w:val="21"/>
                      <w:lang w:val="en-US" w:eastAsia="zh-CN"/>
                    </w:rPr>
                  </w:pPr>
                  <w:r>
                    <w:rPr>
                      <w:rFonts w:hint="eastAsia"/>
                      <w:color w:val="000000"/>
                      <w:sz w:val="21"/>
                      <w:szCs w:val="21"/>
                      <w:lang w:val="en-US" w:eastAsia="zh-CN"/>
                    </w:rPr>
                    <w:t>3</w:t>
                  </w:r>
                </w:p>
              </w:tc>
              <w:tc>
                <w:tcPr>
                  <w:tcW w:w="138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F35B28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喷砂机</w:t>
                  </w:r>
                </w:p>
              </w:tc>
              <w:tc>
                <w:tcPr>
                  <w:tcW w:w="198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8D3C6A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6030</w:t>
                  </w:r>
                  <w:r>
                    <w:rPr>
                      <w:rFonts w:hint="eastAsia" w:cs="Times New Roman"/>
                      <w:sz w:val="21"/>
                      <w:szCs w:val="21"/>
                      <w:lang w:val="en-US" w:eastAsia="zh-CN"/>
                    </w:rPr>
                    <w:t>型，50KW</w:t>
                  </w:r>
                </w:p>
              </w:tc>
              <w:tc>
                <w:tcPr>
                  <w:tcW w:w="1186" w:type="pct"/>
                  <w:tcBorders>
                    <w:top w:val="single" w:color="auto" w:sz="4" w:space="0"/>
                    <w:left w:val="single" w:color="auto" w:sz="4" w:space="0"/>
                    <w:bottom w:val="single" w:color="auto" w:sz="4" w:space="0"/>
                  </w:tcBorders>
                  <w:shd w:val="clear" w:color="auto" w:fill="auto"/>
                  <w:noWrap w:val="0"/>
                  <w:vAlign w:val="center"/>
                </w:tcPr>
                <w:p w14:paraId="3801208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2台</w:t>
                  </w:r>
                </w:p>
              </w:tc>
            </w:tr>
            <w:tr w14:paraId="4168804E">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tcBorders>
                    <w:top w:val="single" w:color="auto" w:sz="4" w:space="0"/>
                    <w:left w:val="nil"/>
                    <w:bottom w:val="single" w:color="auto" w:sz="4" w:space="0"/>
                    <w:right w:val="single" w:color="auto" w:sz="4" w:space="0"/>
                  </w:tcBorders>
                  <w:shd w:val="clear" w:color="auto" w:fill="auto"/>
                  <w:noWrap w:val="0"/>
                  <w:vAlign w:val="center"/>
                </w:tcPr>
                <w:p w14:paraId="3B0FCFF8">
                  <w:pPr>
                    <w:pStyle w:val="5"/>
                    <w:keepNext w:val="0"/>
                    <w:keepLines w:val="0"/>
                    <w:suppressLineNumbers w:val="0"/>
                    <w:adjustRightInd w:val="0"/>
                    <w:snapToGrid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4</w:t>
                  </w:r>
                </w:p>
              </w:tc>
              <w:tc>
                <w:tcPr>
                  <w:tcW w:w="138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3DB416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平面磨床</w:t>
                  </w:r>
                </w:p>
              </w:tc>
              <w:tc>
                <w:tcPr>
                  <w:tcW w:w="198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DC288F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7140</w:t>
                  </w:r>
                  <w:r>
                    <w:rPr>
                      <w:rFonts w:hint="eastAsia" w:cs="Times New Roman"/>
                      <w:sz w:val="21"/>
                      <w:szCs w:val="21"/>
                      <w:lang w:val="en-US" w:eastAsia="zh-CN"/>
                    </w:rPr>
                    <w:t>型，50KW</w:t>
                  </w:r>
                </w:p>
              </w:tc>
              <w:tc>
                <w:tcPr>
                  <w:tcW w:w="1186" w:type="pct"/>
                  <w:tcBorders>
                    <w:top w:val="single" w:color="auto" w:sz="4" w:space="0"/>
                    <w:left w:val="single" w:color="auto" w:sz="4" w:space="0"/>
                    <w:bottom w:val="single" w:color="auto" w:sz="4" w:space="0"/>
                  </w:tcBorders>
                  <w:shd w:val="clear" w:color="auto" w:fill="auto"/>
                  <w:noWrap w:val="0"/>
                  <w:vAlign w:val="center"/>
                </w:tcPr>
                <w:p w14:paraId="508EA9F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2台</w:t>
                  </w:r>
                </w:p>
              </w:tc>
            </w:tr>
            <w:tr w14:paraId="79123C3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tcBorders>
                    <w:top w:val="single" w:color="auto" w:sz="4" w:space="0"/>
                    <w:left w:val="nil"/>
                    <w:bottom w:val="single" w:color="auto" w:sz="4" w:space="0"/>
                    <w:right w:val="single" w:color="auto" w:sz="4" w:space="0"/>
                  </w:tcBorders>
                  <w:shd w:val="clear" w:color="auto" w:fill="auto"/>
                  <w:noWrap w:val="0"/>
                  <w:vAlign w:val="center"/>
                </w:tcPr>
                <w:p w14:paraId="07D33294">
                  <w:pPr>
                    <w:pStyle w:val="5"/>
                    <w:keepNext w:val="0"/>
                    <w:keepLines w:val="0"/>
                    <w:suppressLineNumbers w:val="0"/>
                    <w:adjustRightInd w:val="0"/>
                    <w:snapToGrid w:val="0"/>
                    <w:spacing w:before="0" w:beforeAutospacing="0" w:after="0" w:afterAutospacing="0"/>
                    <w:ind w:left="0" w:right="0"/>
                    <w:jc w:val="center"/>
                    <w:rPr>
                      <w:rFonts w:hint="eastAsia"/>
                      <w:color w:val="auto"/>
                      <w:sz w:val="21"/>
                      <w:szCs w:val="21"/>
                      <w:lang w:val="en-US" w:eastAsia="zh-CN"/>
                    </w:rPr>
                  </w:pPr>
                  <w:r>
                    <w:rPr>
                      <w:rFonts w:hint="eastAsia"/>
                      <w:color w:val="000000"/>
                      <w:sz w:val="21"/>
                      <w:szCs w:val="21"/>
                      <w:lang w:val="en-US" w:eastAsia="zh-CN"/>
                    </w:rPr>
                    <w:t>5</w:t>
                  </w:r>
                </w:p>
              </w:tc>
              <w:tc>
                <w:tcPr>
                  <w:tcW w:w="138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DBC4DE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小型电加热炉</w:t>
                  </w:r>
                </w:p>
              </w:tc>
              <w:tc>
                <w:tcPr>
                  <w:tcW w:w="198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634938B">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s="Times New Roman"/>
                      <w:bCs/>
                      <w:color w:val="000000" w:themeColor="text1"/>
                      <w:sz w:val="21"/>
                      <w:szCs w:val="21"/>
                      <w:highlight w:val="none"/>
                      <w:lang w:val="en-US" w:eastAsia="zh-CN"/>
                      <w14:textFill>
                        <w14:solidFill>
                          <w14:schemeClr w14:val="tx1"/>
                        </w14:solidFill>
                      </w14:textFill>
                    </w:rPr>
                    <w:t>长680mm，宽560mm，高560mm</w:t>
                  </w:r>
                </w:p>
              </w:tc>
              <w:tc>
                <w:tcPr>
                  <w:tcW w:w="1186" w:type="pct"/>
                  <w:tcBorders>
                    <w:top w:val="single" w:color="auto" w:sz="4" w:space="0"/>
                    <w:left w:val="single" w:color="auto" w:sz="4" w:space="0"/>
                    <w:bottom w:val="single" w:color="auto" w:sz="4" w:space="0"/>
                  </w:tcBorders>
                  <w:shd w:val="clear" w:color="auto" w:fill="auto"/>
                  <w:noWrap w:val="0"/>
                  <w:vAlign w:val="center"/>
                </w:tcPr>
                <w:p w14:paraId="51A75200">
                  <w:pPr>
                    <w:keepNext w:val="0"/>
                    <w:keepLines w:val="0"/>
                    <w:suppressLineNumbers w:val="0"/>
                    <w:spacing w:before="0" w:beforeAutospacing="0" w:after="0" w:afterAutospacing="0"/>
                    <w:ind w:left="0" w:right="0"/>
                    <w:jc w:val="center"/>
                    <w:rPr>
                      <w:rFonts w:hint="eastAsia"/>
                      <w:color w:val="auto"/>
                      <w:sz w:val="21"/>
                      <w:szCs w:val="21"/>
                      <w:lang w:val="en-US" w:eastAsia="zh-CN"/>
                    </w:rPr>
                  </w:pPr>
                  <w:r>
                    <w:rPr>
                      <w:rFonts w:hint="eastAsia" w:cs="Times New Roman"/>
                      <w:bCs/>
                      <w:sz w:val="21"/>
                      <w:szCs w:val="21"/>
                      <w:lang w:val="en-US" w:eastAsia="zh-CN"/>
                    </w:rPr>
                    <w:t>1台</w:t>
                  </w:r>
                </w:p>
              </w:tc>
            </w:tr>
            <w:tr w14:paraId="6A4C260F">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tcBorders>
                    <w:top w:val="single" w:color="auto" w:sz="4" w:space="0"/>
                    <w:left w:val="nil"/>
                    <w:bottom w:val="single" w:color="auto" w:sz="4" w:space="0"/>
                    <w:right w:val="single" w:color="auto" w:sz="4" w:space="0"/>
                  </w:tcBorders>
                  <w:shd w:val="clear" w:color="auto" w:fill="auto"/>
                  <w:noWrap w:val="0"/>
                  <w:vAlign w:val="center"/>
                </w:tcPr>
                <w:p w14:paraId="5C19D67F">
                  <w:pPr>
                    <w:pStyle w:val="5"/>
                    <w:keepNext w:val="0"/>
                    <w:keepLines w:val="0"/>
                    <w:suppressLineNumbers w:val="0"/>
                    <w:adjustRightInd w:val="0"/>
                    <w:snapToGrid w:val="0"/>
                    <w:spacing w:before="0" w:beforeAutospacing="0" w:after="0" w:afterAutospacing="0"/>
                    <w:ind w:left="0" w:right="0"/>
                    <w:jc w:val="center"/>
                    <w:rPr>
                      <w:rFonts w:hint="default"/>
                      <w:color w:val="000000"/>
                      <w:sz w:val="21"/>
                      <w:szCs w:val="21"/>
                      <w:lang w:val="en-US" w:eastAsia="zh-CN"/>
                    </w:rPr>
                  </w:pPr>
                  <w:r>
                    <w:rPr>
                      <w:rFonts w:hint="eastAsia"/>
                      <w:color w:val="000000"/>
                      <w:sz w:val="21"/>
                      <w:szCs w:val="21"/>
                      <w:lang w:val="en-US" w:eastAsia="zh-CN"/>
                    </w:rPr>
                    <w:t>6</w:t>
                  </w:r>
                </w:p>
              </w:tc>
              <w:tc>
                <w:tcPr>
                  <w:tcW w:w="138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0064D9D">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lang w:val="en-US" w:eastAsia="zh-CN"/>
                    </w:rPr>
                  </w:pPr>
                  <w:r>
                    <w:rPr>
                      <w:rFonts w:hint="eastAsia" w:cs="Times New Roman"/>
                      <w:bCs/>
                      <w:sz w:val="21"/>
                      <w:szCs w:val="21"/>
                      <w:lang w:val="en-US" w:eastAsia="zh-CN"/>
                    </w:rPr>
                    <w:t>淬火池</w:t>
                  </w:r>
                </w:p>
              </w:tc>
              <w:tc>
                <w:tcPr>
                  <w:tcW w:w="198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1DEE701">
                  <w:pPr>
                    <w:keepNext w:val="0"/>
                    <w:keepLines w:val="0"/>
                    <w:suppressLineNumbers w:val="0"/>
                    <w:spacing w:before="0" w:beforeAutospacing="0" w:after="0" w:afterAutospacing="0"/>
                    <w:ind w:left="0" w:right="0"/>
                    <w:jc w:val="center"/>
                    <w:rPr>
                      <w:rFonts w:hint="eastAsia" w:cs="Times New Roman"/>
                      <w:bCs/>
                      <w:sz w:val="21"/>
                      <w:szCs w:val="21"/>
                      <w:lang w:val="en-US" w:eastAsia="zh-CN"/>
                    </w:rPr>
                  </w:pPr>
                  <w:r>
                    <w:rPr>
                      <w:rFonts w:hint="eastAsia" w:cs="Times New Roman"/>
                      <w:bCs/>
                      <w:sz w:val="21"/>
                      <w:szCs w:val="21"/>
                      <w:lang w:val="en-US" w:eastAsia="zh-CN"/>
                    </w:rPr>
                    <w:t>直径1.58米，深度3米</w:t>
                  </w:r>
                </w:p>
              </w:tc>
              <w:tc>
                <w:tcPr>
                  <w:tcW w:w="1186" w:type="pct"/>
                  <w:tcBorders>
                    <w:top w:val="single" w:color="auto" w:sz="4" w:space="0"/>
                    <w:left w:val="single" w:color="auto" w:sz="4" w:space="0"/>
                    <w:bottom w:val="single" w:color="auto" w:sz="4" w:space="0"/>
                  </w:tcBorders>
                  <w:shd w:val="clear" w:color="auto" w:fill="auto"/>
                  <w:noWrap w:val="0"/>
                  <w:vAlign w:val="center"/>
                </w:tcPr>
                <w:p w14:paraId="41B049C3">
                  <w:pPr>
                    <w:keepNext w:val="0"/>
                    <w:keepLines w:val="0"/>
                    <w:suppressLineNumbers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1台</w:t>
                  </w:r>
                </w:p>
              </w:tc>
            </w:tr>
            <w:tr w14:paraId="423D5B89">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42" w:type="pct"/>
                  <w:tcBorders>
                    <w:top w:val="single" w:color="auto" w:sz="4" w:space="0"/>
                    <w:left w:val="nil"/>
                    <w:bottom w:val="single" w:color="auto" w:sz="8" w:space="0"/>
                    <w:right w:val="single" w:color="auto" w:sz="4" w:space="0"/>
                  </w:tcBorders>
                  <w:shd w:val="clear" w:color="auto" w:fill="auto"/>
                  <w:noWrap w:val="0"/>
                  <w:vAlign w:val="center"/>
                </w:tcPr>
                <w:p w14:paraId="6E7B1F1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7</w:t>
                  </w:r>
                </w:p>
              </w:tc>
              <w:tc>
                <w:tcPr>
                  <w:tcW w:w="1389" w:type="pct"/>
                  <w:tcBorders>
                    <w:top w:val="single" w:color="auto" w:sz="4" w:space="0"/>
                    <w:left w:val="single" w:color="auto" w:sz="4" w:space="0"/>
                    <w:bottom w:val="single" w:color="auto" w:sz="8" w:space="0"/>
                    <w:right w:val="single" w:color="auto" w:sz="4" w:space="0"/>
                  </w:tcBorders>
                  <w:shd w:val="clear" w:color="auto" w:fill="auto"/>
                  <w:noWrap w:val="0"/>
                  <w:vAlign w:val="center"/>
                </w:tcPr>
                <w:p w14:paraId="4670F7F8">
                  <w:pPr>
                    <w:keepNext w:val="0"/>
                    <w:keepLines w:val="0"/>
                    <w:suppressLineNumbers w:val="0"/>
                    <w:spacing w:before="0" w:beforeAutospacing="0" w:after="0" w:afterAutospacing="0"/>
                    <w:ind w:left="0" w:leftChars="0" w:right="0" w:rightChars="0"/>
                    <w:jc w:val="center"/>
                    <w:rPr>
                      <w:rFonts w:hint="eastAsia" w:cs="Times New Roman"/>
                      <w:bCs/>
                      <w:sz w:val="21"/>
                      <w:szCs w:val="21"/>
                      <w:lang w:val="en-US" w:eastAsia="zh-CN"/>
                    </w:rPr>
                  </w:pPr>
                  <w:r>
                    <w:rPr>
                      <w:rFonts w:hint="eastAsia" w:cs="Times New Roman"/>
                      <w:bCs/>
                      <w:sz w:val="21"/>
                      <w:szCs w:val="21"/>
                      <w:lang w:val="en-US" w:eastAsia="zh-CN"/>
                    </w:rPr>
                    <w:t>空压机</w:t>
                  </w:r>
                </w:p>
              </w:tc>
              <w:tc>
                <w:tcPr>
                  <w:tcW w:w="1981" w:type="pct"/>
                  <w:tcBorders>
                    <w:top w:val="single" w:color="auto" w:sz="4" w:space="0"/>
                    <w:left w:val="single" w:color="auto" w:sz="4" w:space="0"/>
                    <w:bottom w:val="single" w:color="auto" w:sz="8" w:space="0"/>
                    <w:right w:val="single" w:color="auto" w:sz="4" w:space="0"/>
                  </w:tcBorders>
                  <w:shd w:val="clear" w:color="auto" w:fill="auto"/>
                  <w:noWrap w:val="0"/>
                  <w:vAlign w:val="center"/>
                </w:tcPr>
                <w:p w14:paraId="48C702E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w:t>
                  </w:r>
                </w:p>
              </w:tc>
              <w:tc>
                <w:tcPr>
                  <w:tcW w:w="1186" w:type="pct"/>
                  <w:tcBorders>
                    <w:top w:val="single" w:color="auto" w:sz="4" w:space="0"/>
                    <w:left w:val="single" w:color="auto" w:sz="4" w:space="0"/>
                    <w:bottom w:val="single" w:color="auto" w:sz="8" w:space="0"/>
                  </w:tcBorders>
                  <w:shd w:val="clear" w:color="auto" w:fill="auto"/>
                  <w:noWrap w:val="0"/>
                  <w:vAlign w:val="center"/>
                </w:tcPr>
                <w:p w14:paraId="5840542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1台</w:t>
                  </w:r>
                </w:p>
              </w:tc>
            </w:tr>
          </w:tbl>
          <w:p w14:paraId="7276B5D7">
            <w:pPr>
              <w:keepNext w:val="0"/>
              <w:keepLines w:val="0"/>
              <w:suppressLineNumbers w:val="0"/>
              <w:adjustRightInd w:val="0"/>
              <w:snapToGrid w:val="0"/>
              <w:spacing w:before="0" w:beforeAutospacing="0" w:after="0" w:afterAutospacing="0" w:line="440" w:lineRule="exact"/>
              <w:ind w:left="0" w:right="0" w:firstLine="511" w:firstLineChars="212"/>
              <w:textAlignment w:val="baseline"/>
              <w:rPr>
                <w:rFonts w:hint="default" w:ascii="宋体" w:hAnsi="宋体"/>
                <w:b/>
                <w:sz w:val="24"/>
              </w:rPr>
            </w:pPr>
            <w:r>
              <w:rPr>
                <w:rFonts w:hint="eastAsia" w:cs="Times New Roman"/>
                <w:b/>
                <w:sz w:val="24"/>
                <w:lang w:val="en-US" w:eastAsia="zh-CN"/>
              </w:rPr>
              <w:t>5</w:t>
            </w:r>
            <w:r>
              <w:rPr>
                <w:rFonts w:hint="default" w:ascii="宋体" w:hAnsi="宋体"/>
                <w:b/>
                <w:sz w:val="24"/>
              </w:rPr>
              <w:t>、</w:t>
            </w:r>
            <w:r>
              <w:rPr>
                <w:rFonts w:hint="eastAsia" w:ascii="宋体" w:hAnsi="宋体"/>
                <w:b/>
                <w:sz w:val="24"/>
              </w:rPr>
              <w:t>本项目主要原辅材料消耗量</w:t>
            </w:r>
          </w:p>
          <w:p w14:paraId="221511BC">
            <w:pPr>
              <w:pStyle w:val="56"/>
              <w:keepNext w:val="0"/>
              <w:keepLines w:val="0"/>
              <w:suppressLineNumbers w:val="0"/>
              <w:spacing w:before="0" w:beforeAutospacing="0" w:after="0" w:afterAutospacing="0" w:line="440" w:lineRule="exact"/>
              <w:ind w:left="0" w:leftChars="0" w:right="0" w:firstLine="480" w:firstLineChars="200"/>
              <w:rPr>
                <w:rFonts w:hint="eastAsia"/>
                <w:color w:val="auto"/>
                <w:sz w:val="24"/>
                <w:szCs w:val="24"/>
                <w:highlight w:val="none"/>
              </w:rPr>
            </w:pPr>
            <w:r>
              <w:rPr>
                <w:rFonts w:hint="eastAsia"/>
                <w:color w:val="auto"/>
                <w:sz w:val="24"/>
                <w:szCs w:val="24"/>
                <w:highlight w:val="none"/>
                <w:lang w:val="en-US" w:eastAsia="zh-CN"/>
              </w:rPr>
              <w:t>本项目原辅材料消耗见下表</w:t>
            </w:r>
            <w:r>
              <w:rPr>
                <w:rFonts w:hint="eastAsia"/>
                <w:color w:val="auto"/>
                <w:sz w:val="24"/>
                <w:szCs w:val="24"/>
                <w:highlight w:val="none"/>
              </w:rPr>
              <w:t>。</w:t>
            </w:r>
          </w:p>
          <w:p w14:paraId="04937601">
            <w:pPr>
              <w:pStyle w:val="56"/>
              <w:keepNext w:val="0"/>
              <w:keepLines w:val="0"/>
              <w:suppressLineNumbers w:val="0"/>
              <w:spacing w:before="0" w:beforeAutospacing="0" w:after="0" w:afterAutospacing="0" w:line="440" w:lineRule="exact"/>
              <w:ind w:left="0" w:leftChars="0" w:right="0" w:firstLine="482" w:firstLineChars="200"/>
              <w:jc w:val="center"/>
              <w:rPr>
                <w:rFonts w:hint="eastAsia"/>
                <w:color w:val="auto"/>
                <w:sz w:val="24"/>
                <w:szCs w:val="24"/>
                <w:highlight w:val="none"/>
              </w:rPr>
            </w:pPr>
            <w:r>
              <w:rPr>
                <w:rFonts w:hint="eastAsia" w:ascii="Times New Roman" w:hAnsi="Times New Roman" w:cs="Times New Roman"/>
                <w:b/>
                <w:bCs/>
                <w:color w:val="auto"/>
                <w:sz w:val="24"/>
                <w:szCs w:val="24"/>
                <w:lang w:val="en-US" w:eastAsia="zh-CN"/>
              </w:rPr>
              <w:t>表</w:t>
            </w:r>
            <w:r>
              <w:rPr>
                <w:rFonts w:hint="eastAsia" w:cs="Times New Roman"/>
                <w:b/>
                <w:bCs/>
                <w:color w:val="auto"/>
                <w:sz w:val="24"/>
                <w:szCs w:val="24"/>
                <w:lang w:val="en-US" w:eastAsia="zh-CN"/>
              </w:rPr>
              <w:t>15</w:t>
            </w:r>
            <w:r>
              <w:rPr>
                <w:rFonts w:hint="eastAsia" w:hAnsi="宋体" w:cs="Times New Roman"/>
                <w:b/>
                <w:bCs/>
                <w:color w:val="auto"/>
                <w:sz w:val="24"/>
                <w:szCs w:val="24"/>
                <w:lang w:val="en-US" w:eastAsia="zh-CN"/>
              </w:rPr>
              <w:t xml:space="preserve"> </w:t>
            </w:r>
            <w:r>
              <w:rPr>
                <w:rFonts w:hint="eastAsia" w:hAnsi="宋体" w:cs="Times New Roman"/>
                <w:b/>
                <w:bCs/>
                <w:color w:val="000000"/>
                <w:sz w:val="24"/>
                <w:szCs w:val="24"/>
                <w:lang w:val="en-US" w:eastAsia="zh-CN"/>
              </w:rPr>
              <w:t xml:space="preserve"> 本项目原辅料消耗一览表</w:t>
            </w:r>
          </w:p>
          <w:tbl>
            <w:tblPr>
              <w:tblStyle w:val="22"/>
              <w:tblW w:w="5000" w:type="pct"/>
              <w:jc w:val="center"/>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651"/>
              <w:gridCol w:w="2854"/>
              <w:gridCol w:w="825"/>
              <w:gridCol w:w="1508"/>
              <w:gridCol w:w="2967"/>
            </w:tblGrid>
            <w:tr w14:paraId="29461154">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1" w:type="dxa"/>
                  <w:tcBorders>
                    <w:top w:val="single" w:color="000000" w:sz="8" w:space="0"/>
                    <w:bottom w:val="single" w:color="000000" w:sz="8" w:space="0"/>
                    <w:right w:val="single" w:color="000000" w:sz="4" w:space="0"/>
                  </w:tcBorders>
                  <w:noWrap w:val="0"/>
                  <w:vAlign w:val="center"/>
                </w:tcPr>
                <w:p w14:paraId="1F4519F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b/>
                      <w:bCs/>
                      <w:color w:val="auto"/>
                      <w:sz w:val="21"/>
                      <w:szCs w:val="21"/>
                      <w:highlight w:val="none"/>
                      <w:lang w:val="en-US" w:eastAsia="zh-CN"/>
                    </w:rPr>
                    <w:t>序号</w:t>
                  </w:r>
                </w:p>
              </w:tc>
              <w:tc>
                <w:tcPr>
                  <w:tcW w:w="2854" w:type="dxa"/>
                  <w:tcBorders>
                    <w:top w:val="single" w:color="000000" w:sz="8" w:space="0"/>
                    <w:left w:val="single" w:color="000000" w:sz="4" w:space="0"/>
                    <w:bottom w:val="single" w:color="000000" w:sz="8" w:space="0"/>
                    <w:right w:val="single" w:color="000000" w:sz="4" w:space="0"/>
                  </w:tcBorders>
                  <w:noWrap w:val="0"/>
                  <w:vAlign w:val="center"/>
                </w:tcPr>
                <w:p w14:paraId="682D7F04">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b/>
                      <w:bCs/>
                      <w:color w:val="auto"/>
                      <w:sz w:val="21"/>
                      <w:szCs w:val="21"/>
                      <w:highlight w:val="none"/>
                    </w:rPr>
                    <w:t>名称</w:t>
                  </w:r>
                </w:p>
              </w:tc>
              <w:tc>
                <w:tcPr>
                  <w:tcW w:w="825" w:type="dxa"/>
                  <w:tcBorders>
                    <w:top w:val="single" w:color="000000" w:sz="8" w:space="0"/>
                    <w:left w:val="single" w:color="000000" w:sz="4" w:space="0"/>
                    <w:bottom w:val="single" w:color="000000" w:sz="8" w:space="0"/>
                    <w:right w:val="single" w:color="000000" w:sz="4" w:space="0"/>
                  </w:tcBorders>
                  <w:noWrap w:val="0"/>
                  <w:vAlign w:val="center"/>
                </w:tcPr>
                <w:p w14:paraId="351C261A">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s="Times New Roman"/>
                      <w:b/>
                      <w:bCs/>
                      <w:color w:val="auto"/>
                      <w:kern w:val="2"/>
                      <w:sz w:val="21"/>
                      <w:szCs w:val="21"/>
                      <w:highlight w:val="none"/>
                      <w:lang w:val="en-US" w:eastAsia="zh-CN" w:bidi="ar-SA"/>
                    </w:rPr>
                    <w:t>单位</w:t>
                  </w:r>
                </w:p>
              </w:tc>
              <w:tc>
                <w:tcPr>
                  <w:tcW w:w="1508" w:type="dxa"/>
                  <w:tcBorders>
                    <w:top w:val="single" w:color="000000" w:sz="8" w:space="0"/>
                    <w:left w:val="single" w:color="000000" w:sz="4" w:space="0"/>
                    <w:bottom w:val="single" w:color="000000" w:sz="8" w:space="0"/>
                    <w:right w:val="single" w:color="000000" w:sz="4" w:space="0"/>
                  </w:tcBorders>
                  <w:noWrap w:val="0"/>
                  <w:vAlign w:val="center"/>
                </w:tcPr>
                <w:p w14:paraId="13CB18B7">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b/>
                      <w:bCs/>
                      <w:color w:val="auto"/>
                      <w:sz w:val="21"/>
                      <w:szCs w:val="21"/>
                      <w:highlight w:val="none"/>
                    </w:rPr>
                    <w:t>年</w:t>
                  </w:r>
                  <w:r>
                    <w:rPr>
                      <w:rFonts w:hint="eastAsia"/>
                      <w:b/>
                      <w:bCs/>
                      <w:color w:val="auto"/>
                      <w:sz w:val="21"/>
                      <w:szCs w:val="21"/>
                      <w:highlight w:val="none"/>
                      <w:lang w:val="en-US" w:eastAsia="zh-CN"/>
                    </w:rPr>
                    <w:t>消耗量</w:t>
                  </w:r>
                </w:p>
              </w:tc>
              <w:tc>
                <w:tcPr>
                  <w:tcW w:w="2967" w:type="dxa"/>
                  <w:tcBorders>
                    <w:top w:val="single" w:color="000000" w:sz="8" w:space="0"/>
                    <w:left w:val="single" w:color="000000" w:sz="4" w:space="0"/>
                    <w:bottom w:val="single" w:color="000000" w:sz="8" w:space="0"/>
                  </w:tcBorders>
                  <w:noWrap w:val="0"/>
                  <w:vAlign w:val="center"/>
                </w:tcPr>
                <w:p w14:paraId="42194CE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kern w:val="36"/>
                      <w:sz w:val="21"/>
                      <w:szCs w:val="21"/>
                      <w:highlight w:val="none"/>
                      <w14:textFill>
                        <w14:solidFill>
                          <w14:schemeClr w14:val="tx1"/>
                        </w14:solidFill>
                      </w14:textFill>
                    </w:rPr>
                  </w:pPr>
                  <w:r>
                    <w:rPr>
                      <w:rFonts w:hint="eastAsia"/>
                      <w:b/>
                      <w:bCs/>
                      <w:color w:val="auto"/>
                      <w:sz w:val="21"/>
                      <w:szCs w:val="21"/>
                      <w:highlight w:val="none"/>
                    </w:rPr>
                    <w:t>备注</w:t>
                  </w:r>
                </w:p>
              </w:tc>
            </w:tr>
            <w:tr w14:paraId="6C389274">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1" w:type="dxa"/>
                  <w:tcBorders>
                    <w:top w:val="single" w:color="000000" w:sz="8" w:space="0"/>
                    <w:bottom w:val="single" w:color="000000" w:sz="4" w:space="0"/>
                    <w:right w:val="single" w:color="000000" w:sz="4" w:space="0"/>
                  </w:tcBorders>
                  <w:noWrap w:val="0"/>
                  <w:vAlign w:val="center"/>
                </w:tcPr>
                <w:p w14:paraId="1F2A380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w:t>
                  </w:r>
                </w:p>
              </w:tc>
              <w:tc>
                <w:tcPr>
                  <w:tcW w:w="2854" w:type="dxa"/>
                  <w:tcBorders>
                    <w:top w:val="single" w:color="000000" w:sz="8" w:space="0"/>
                    <w:left w:val="single" w:color="000000" w:sz="4" w:space="0"/>
                    <w:bottom w:val="single" w:color="000000" w:sz="4" w:space="0"/>
                    <w:right w:val="single" w:color="000000" w:sz="4" w:space="0"/>
                  </w:tcBorders>
                  <w:noWrap w:val="0"/>
                  <w:vAlign w:val="center"/>
                </w:tcPr>
                <w:p w14:paraId="37A44E02">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圆钢</w:t>
                  </w:r>
                </w:p>
              </w:tc>
              <w:tc>
                <w:tcPr>
                  <w:tcW w:w="825" w:type="dxa"/>
                  <w:tcBorders>
                    <w:top w:val="single" w:color="000000" w:sz="8" w:space="0"/>
                    <w:left w:val="single" w:color="000000" w:sz="4" w:space="0"/>
                    <w:bottom w:val="single" w:color="000000" w:sz="4" w:space="0"/>
                    <w:right w:val="single" w:color="000000" w:sz="4" w:space="0"/>
                  </w:tcBorders>
                  <w:noWrap w:val="0"/>
                  <w:vAlign w:val="center"/>
                </w:tcPr>
                <w:p w14:paraId="2EC625E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根</w:t>
                  </w:r>
                </w:p>
              </w:tc>
              <w:tc>
                <w:tcPr>
                  <w:tcW w:w="1508" w:type="dxa"/>
                  <w:tcBorders>
                    <w:top w:val="single" w:color="000000" w:sz="8" w:space="0"/>
                    <w:left w:val="single" w:color="000000" w:sz="4" w:space="0"/>
                    <w:bottom w:val="single" w:color="000000" w:sz="4" w:space="0"/>
                    <w:right w:val="single" w:color="000000" w:sz="4" w:space="0"/>
                  </w:tcBorders>
                  <w:noWrap w:val="0"/>
                  <w:vAlign w:val="center"/>
                </w:tcPr>
                <w:p w14:paraId="5344EF6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400（249.94t/a）</w:t>
                  </w:r>
                </w:p>
              </w:tc>
              <w:tc>
                <w:tcPr>
                  <w:tcW w:w="2967" w:type="dxa"/>
                  <w:tcBorders>
                    <w:top w:val="single" w:color="000000" w:sz="8" w:space="0"/>
                    <w:left w:val="single" w:color="000000" w:sz="4" w:space="0"/>
                    <w:bottom w:val="single" w:color="000000" w:sz="4" w:space="0"/>
                  </w:tcBorders>
                  <w:noWrap w:val="0"/>
                  <w:vAlign w:val="center"/>
                </w:tcPr>
                <w:p w14:paraId="7EEE04FF">
                  <w:pPr>
                    <w:keepNext w:val="0"/>
                    <w:keepLines w:val="0"/>
                    <w:suppressLineNumbers w:val="0"/>
                    <w:spacing w:before="0" w:beforeAutospacing="0" w:after="0" w:afterAutospacing="0"/>
                    <w:ind w:left="0" w:leftChars="0" w:right="0" w:rightChars="0"/>
                    <w:jc w:val="center"/>
                    <w:rPr>
                      <w:rFonts w:hint="eastAsia"/>
                      <w:color w:val="000000"/>
                      <w:sz w:val="21"/>
                      <w:szCs w:val="21"/>
                      <w:highlight w:val="none"/>
                      <w:lang w:val="en-US" w:eastAsia="zh-CN"/>
                    </w:rPr>
                  </w:pPr>
                  <w:r>
                    <w:rPr>
                      <w:rFonts w:hint="eastAsia"/>
                      <w:color w:val="000000"/>
                      <w:kern w:val="36"/>
                      <w:sz w:val="21"/>
                      <w:szCs w:val="21"/>
                      <w:highlight w:val="none"/>
                      <w:lang w:val="en-US" w:eastAsia="zh-CN"/>
                    </w:rPr>
                    <w:t>规格：</w:t>
                  </w:r>
                  <w:r>
                    <w:rPr>
                      <w:rFonts w:hint="eastAsia"/>
                      <w:color w:val="000000"/>
                      <w:sz w:val="21"/>
                      <w:szCs w:val="21"/>
                      <w:lang w:val="en-US" w:eastAsia="zh-CN"/>
                    </w:rPr>
                    <w:t>Φ</w:t>
                  </w:r>
                  <w:r>
                    <w:rPr>
                      <w:rFonts w:hint="eastAsia"/>
                      <w:color w:val="000000"/>
                      <w:sz w:val="21"/>
                      <w:szCs w:val="21"/>
                      <w:highlight w:val="none"/>
                      <w:lang w:val="en-US" w:eastAsia="zh-CN"/>
                    </w:rPr>
                    <w:t>65*6000mm、</w:t>
                  </w:r>
                </w:p>
                <w:p w14:paraId="439A91A8">
                  <w:pPr>
                    <w:keepNext w:val="0"/>
                    <w:keepLines w:val="0"/>
                    <w:suppressLineNumbers w:val="0"/>
                    <w:spacing w:before="0" w:beforeAutospacing="0" w:after="0" w:afterAutospacing="0"/>
                    <w:ind w:left="0" w:leftChars="0" w:right="0" w:rightChars="0"/>
                    <w:jc w:val="center"/>
                    <w:rPr>
                      <w:rFonts w:hint="eastAsia"/>
                      <w:color w:val="000000"/>
                      <w:kern w:val="36"/>
                      <w:sz w:val="21"/>
                      <w:szCs w:val="21"/>
                      <w:highlight w:val="none"/>
                    </w:rPr>
                  </w:pPr>
                  <w:r>
                    <w:rPr>
                      <w:rFonts w:hint="eastAsia"/>
                      <w:color w:val="000000"/>
                      <w:sz w:val="21"/>
                      <w:szCs w:val="21"/>
                      <w:lang w:val="en-US" w:eastAsia="zh-CN"/>
                    </w:rPr>
                    <w:t>Φ85*6000mm、Φ130*6000mm</w:t>
                  </w:r>
                </w:p>
              </w:tc>
            </w:tr>
            <w:tr w14:paraId="430F4CA9">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1" w:type="dxa"/>
                  <w:tcBorders>
                    <w:top w:val="single" w:color="000000" w:sz="4" w:space="0"/>
                    <w:bottom w:val="single" w:color="000000" w:sz="4" w:space="0"/>
                    <w:right w:val="single" w:color="000000" w:sz="4" w:space="0"/>
                  </w:tcBorders>
                  <w:noWrap w:val="0"/>
                  <w:vAlign w:val="center"/>
                </w:tcPr>
                <w:p w14:paraId="38B4DF6D">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2</w:t>
                  </w:r>
                </w:p>
              </w:tc>
              <w:tc>
                <w:tcPr>
                  <w:tcW w:w="2854" w:type="dxa"/>
                  <w:tcBorders>
                    <w:left w:val="single" w:color="000000" w:sz="4" w:space="0"/>
                    <w:right w:val="single" w:color="000000" w:sz="4" w:space="0"/>
                  </w:tcBorders>
                  <w:noWrap w:val="0"/>
                  <w:vAlign w:val="center"/>
                </w:tcPr>
                <w:p w14:paraId="5136A53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水性切削液</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1C1364A9">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t/a</w:t>
                  </w:r>
                </w:p>
              </w:tc>
              <w:tc>
                <w:tcPr>
                  <w:tcW w:w="1508" w:type="dxa"/>
                  <w:tcBorders>
                    <w:top w:val="single" w:color="000000" w:sz="4" w:space="0"/>
                    <w:left w:val="single" w:color="000000" w:sz="4" w:space="0"/>
                    <w:bottom w:val="single" w:color="000000" w:sz="4" w:space="0"/>
                    <w:right w:val="single" w:color="000000" w:sz="4" w:space="0"/>
                  </w:tcBorders>
                  <w:noWrap w:val="0"/>
                  <w:vAlign w:val="center"/>
                </w:tcPr>
                <w:p w14:paraId="0BF670E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0.1</w:t>
                  </w:r>
                </w:p>
              </w:tc>
              <w:tc>
                <w:tcPr>
                  <w:tcW w:w="2967" w:type="dxa"/>
                  <w:tcBorders>
                    <w:top w:val="single" w:color="000000" w:sz="4" w:space="0"/>
                    <w:left w:val="single" w:color="000000" w:sz="4" w:space="0"/>
                    <w:bottom w:val="single" w:color="000000" w:sz="4" w:space="0"/>
                  </w:tcBorders>
                  <w:noWrap w:val="0"/>
                  <w:vAlign w:val="center"/>
                </w:tcPr>
                <w:p w14:paraId="07067BF4">
                  <w:pPr>
                    <w:keepNext w:val="0"/>
                    <w:keepLines w:val="0"/>
                    <w:suppressLineNumbers w:val="0"/>
                    <w:spacing w:before="0" w:beforeAutospacing="0" w:after="0" w:afterAutospacing="0"/>
                    <w:ind w:left="0" w:leftChars="0" w:right="0" w:rightChars="0"/>
                    <w:jc w:val="center"/>
                    <w:rPr>
                      <w:rFonts w:hint="default"/>
                      <w:color w:val="000000" w:themeColor="text1"/>
                      <w:kern w:val="36"/>
                      <w:sz w:val="21"/>
                      <w:szCs w:val="21"/>
                      <w:highlight w:val="none"/>
                      <w:lang w:val="en-US" w:eastAsia="zh-CN"/>
                      <w14:textFill>
                        <w14:solidFill>
                          <w14:schemeClr w14:val="tx1"/>
                        </w14:solidFill>
                      </w14:textFill>
                    </w:rPr>
                  </w:pPr>
                  <w:r>
                    <w:rPr>
                      <w:rFonts w:hint="eastAsia"/>
                      <w:color w:val="000000" w:themeColor="text1"/>
                      <w:kern w:val="36"/>
                      <w:sz w:val="21"/>
                      <w:szCs w:val="21"/>
                      <w:highlight w:val="none"/>
                      <w:lang w:val="en-US" w:eastAsia="zh-CN"/>
                      <w14:textFill>
                        <w14:solidFill>
                          <w14:schemeClr w14:val="tx1"/>
                        </w14:solidFill>
                      </w14:textFill>
                    </w:rPr>
                    <w:t>25kg/桶，配比：切削液：水=1:45</w:t>
                  </w:r>
                </w:p>
              </w:tc>
            </w:tr>
            <w:tr w14:paraId="770702B9">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1" w:type="dxa"/>
                  <w:tcBorders>
                    <w:top w:val="single" w:color="000000" w:sz="4" w:space="0"/>
                    <w:bottom w:val="single" w:color="000000" w:sz="4" w:space="0"/>
                    <w:right w:val="single" w:color="000000" w:sz="4" w:space="0"/>
                  </w:tcBorders>
                  <w:noWrap w:val="0"/>
                  <w:vAlign w:val="center"/>
                </w:tcPr>
                <w:p w14:paraId="12976CD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w:t>
                  </w:r>
                </w:p>
              </w:tc>
              <w:tc>
                <w:tcPr>
                  <w:tcW w:w="2854" w:type="dxa"/>
                  <w:tcBorders>
                    <w:top w:val="single" w:color="000000" w:sz="4" w:space="0"/>
                    <w:left w:val="single" w:color="000000" w:sz="4" w:space="0"/>
                    <w:bottom w:val="single" w:color="000000" w:sz="4" w:space="0"/>
                    <w:right w:val="single" w:color="000000" w:sz="4" w:space="0"/>
                  </w:tcBorders>
                  <w:noWrap w:val="0"/>
                  <w:vAlign w:val="center"/>
                </w:tcPr>
                <w:p w14:paraId="6DCAC44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水性淬火液</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7A79D2C4">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t/a</w:t>
                  </w:r>
                </w:p>
              </w:tc>
              <w:tc>
                <w:tcPr>
                  <w:tcW w:w="1508" w:type="dxa"/>
                  <w:tcBorders>
                    <w:top w:val="single" w:color="000000" w:sz="4" w:space="0"/>
                    <w:left w:val="single" w:color="000000" w:sz="4" w:space="0"/>
                    <w:bottom w:val="single" w:color="000000" w:sz="4" w:space="0"/>
                    <w:right w:val="single" w:color="000000" w:sz="4" w:space="0"/>
                  </w:tcBorders>
                  <w:noWrap w:val="0"/>
                  <w:vAlign w:val="center"/>
                </w:tcPr>
                <w:p w14:paraId="5DB972F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0.25</w:t>
                  </w:r>
                </w:p>
              </w:tc>
              <w:tc>
                <w:tcPr>
                  <w:tcW w:w="2967" w:type="dxa"/>
                  <w:tcBorders>
                    <w:top w:val="single" w:color="000000" w:sz="4" w:space="0"/>
                    <w:left w:val="single" w:color="000000" w:sz="4" w:space="0"/>
                    <w:bottom w:val="single" w:color="000000" w:sz="4" w:space="0"/>
                  </w:tcBorders>
                  <w:noWrap w:val="0"/>
                  <w:vAlign w:val="center"/>
                </w:tcPr>
                <w:p w14:paraId="2EC1ED35">
                  <w:pPr>
                    <w:keepNext w:val="0"/>
                    <w:keepLines w:val="0"/>
                    <w:suppressLineNumbers w:val="0"/>
                    <w:spacing w:before="0" w:beforeAutospacing="0" w:after="0" w:afterAutospacing="0"/>
                    <w:ind w:left="0" w:leftChars="0" w:right="0" w:rightChars="0"/>
                    <w:jc w:val="center"/>
                    <w:rPr>
                      <w:rFonts w:hint="default" w:eastAsia="宋体"/>
                      <w:color w:val="000000" w:themeColor="text1"/>
                      <w:kern w:val="36"/>
                      <w:sz w:val="21"/>
                      <w:szCs w:val="21"/>
                      <w:highlight w:val="none"/>
                      <w:lang w:val="en-US" w:eastAsia="zh-CN"/>
                      <w14:textFill>
                        <w14:solidFill>
                          <w14:schemeClr w14:val="tx1"/>
                        </w14:solidFill>
                      </w14:textFill>
                    </w:rPr>
                  </w:pPr>
                  <w:r>
                    <w:rPr>
                      <w:rFonts w:hint="eastAsia"/>
                      <w:color w:val="000000" w:themeColor="text1"/>
                      <w:kern w:val="36"/>
                      <w:sz w:val="21"/>
                      <w:szCs w:val="21"/>
                      <w:highlight w:val="none"/>
                      <w:lang w:val="en-US" w:eastAsia="zh-CN"/>
                      <w14:textFill>
                        <w14:solidFill>
                          <w14:schemeClr w14:val="tx1"/>
                        </w14:solidFill>
                      </w14:textFill>
                    </w:rPr>
                    <w:t>200kg/桶，配比：淬火液：水=1:45，定期补充</w:t>
                  </w:r>
                </w:p>
              </w:tc>
            </w:tr>
            <w:tr w14:paraId="7CCEFBC4">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1" w:type="dxa"/>
                  <w:tcBorders>
                    <w:top w:val="single" w:color="000000" w:sz="4" w:space="0"/>
                    <w:bottom w:val="single" w:color="000000" w:sz="8" w:space="0"/>
                    <w:right w:val="single" w:color="000000" w:sz="4" w:space="0"/>
                  </w:tcBorders>
                  <w:noWrap w:val="0"/>
                  <w:vAlign w:val="center"/>
                </w:tcPr>
                <w:p w14:paraId="196C677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4</w:t>
                  </w:r>
                </w:p>
              </w:tc>
              <w:tc>
                <w:tcPr>
                  <w:tcW w:w="2854" w:type="dxa"/>
                  <w:tcBorders>
                    <w:top w:val="single" w:color="000000" w:sz="4" w:space="0"/>
                    <w:left w:val="single" w:color="000000" w:sz="4" w:space="0"/>
                    <w:bottom w:val="single" w:color="000000" w:sz="8" w:space="0"/>
                    <w:right w:val="single" w:color="000000" w:sz="4" w:space="0"/>
                  </w:tcBorders>
                  <w:noWrap w:val="0"/>
                  <w:vAlign w:val="center"/>
                </w:tcPr>
                <w:p w14:paraId="14D5A47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机油</w:t>
                  </w:r>
                </w:p>
              </w:tc>
              <w:tc>
                <w:tcPr>
                  <w:tcW w:w="825" w:type="dxa"/>
                  <w:tcBorders>
                    <w:top w:val="single" w:color="000000" w:sz="4" w:space="0"/>
                    <w:left w:val="single" w:color="000000" w:sz="4" w:space="0"/>
                    <w:bottom w:val="single" w:color="000000" w:sz="8" w:space="0"/>
                    <w:right w:val="single" w:color="000000" w:sz="4" w:space="0"/>
                  </w:tcBorders>
                  <w:noWrap w:val="0"/>
                  <w:vAlign w:val="center"/>
                </w:tcPr>
                <w:p w14:paraId="7CE3B24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t/a</w:t>
                  </w:r>
                </w:p>
              </w:tc>
              <w:tc>
                <w:tcPr>
                  <w:tcW w:w="1508" w:type="dxa"/>
                  <w:tcBorders>
                    <w:top w:val="single" w:color="000000" w:sz="4" w:space="0"/>
                    <w:left w:val="single" w:color="000000" w:sz="4" w:space="0"/>
                    <w:bottom w:val="single" w:color="000000" w:sz="8" w:space="0"/>
                    <w:right w:val="single" w:color="000000" w:sz="4" w:space="0"/>
                  </w:tcBorders>
                  <w:noWrap w:val="0"/>
                  <w:vAlign w:val="center"/>
                </w:tcPr>
                <w:p w14:paraId="65DB2CE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0.2</w:t>
                  </w:r>
                </w:p>
              </w:tc>
              <w:tc>
                <w:tcPr>
                  <w:tcW w:w="2967" w:type="dxa"/>
                  <w:tcBorders>
                    <w:top w:val="single" w:color="000000" w:sz="4" w:space="0"/>
                    <w:left w:val="single" w:color="000000" w:sz="4" w:space="0"/>
                    <w:bottom w:val="single" w:color="000000" w:sz="8" w:space="0"/>
                  </w:tcBorders>
                  <w:noWrap w:val="0"/>
                  <w:vAlign w:val="center"/>
                </w:tcPr>
                <w:p w14:paraId="4D109BB3">
                  <w:pPr>
                    <w:keepNext w:val="0"/>
                    <w:keepLines w:val="0"/>
                    <w:suppressLineNumbers w:val="0"/>
                    <w:spacing w:before="0" w:beforeAutospacing="0" w:after="0" w:afterAutospacing="0"/>
                    <w:ind w:left="0" w:leftChars="0" w:right="0" w:rightChars="0"/>
                    <w:jc w:val="center"/>
                    <w:rPr>
                      <w:rFonts w:hint="default"/>
                      <w:color w:val="000000" w:themeColor="text1"/>
                      <w:kern w:val="36"/>
                      <w:sz w:val="21"/>
                      <w:szCs w:val="21"/>
                      <w:highlight w:val="none"/>
                      <w:lang w:val="en-US" w:eastAsia="zh-CN"/>
                      <w14:textFill>
                        <w14:solidFill>
                          <w14:schemeClr w14:val="tx1"/>
                        </w14:solidFill>
                      </w14:textFill>
                    </w:rPr>
                  </w:pPr>
                  <w:r>
                    <w:rPr>
                      <w:rFonts w:hint="eastAsia"/>
                      <w:color w:val="000000" w:themeColor="text1"/>
                      <w:kern w:val="36"/>
                      <w:sz w:val="21"/>
                      <w:szCs w:val="21"/>
                      <w:highlight w:val="none"/>
                      <w:lang w:val="en-US" w:eastAsia="zh-CN"/>
                      <w14:textFill>
                        <w14:solidFill>
                          <w14:schemeClr w14:val="tx1"/>
                        </w14:solidFill>
                      </w14:textFill>
                    </w:rPr>
                    <w:t>200kg/桶</w:t>
                  </w:r>
                </w:p>
              </w:tc>
            </w:tr>
          </w:tbl>
          <w:p w14:paraId="72E4E2B8">
            <w:pPr>
              <w:keepNext w:val="0"/>
              <w:keepLines w:val="0"/>
              <w:suppressLineNumbers w:val="0"/>
              <w:spacing w:before="0" w:beforeAutospacing="0" w:after="0" w:afterAutospacing="0" w:line="440" w:lineRule="exact"/>
              <w:ind w:left="0" w:right="0" w:firstLine="480" w:firstLineChars="200"/>
              <w:rPr>
                <w:rFonts w:hint="eastAsia"/>
                <w:b w:val="0"/>
                <w:bCs/>
                <w:color w:val="auto"/>
                <w:sz w:val="24"/>
                <w:lang w:val="en-US" w:eastAsia="zh-CN"/>
              </w:rPr>
            </w:pPr>
            <w:r>
              <w:rPr>
                <w:rFonts w:hint="eastAsia"/>
                <w:b w:val="0"/>
                <w:bCs/>
                <w:color w:val="auto"/>
                <w:sz w:val="24"/>
                <w:lang w:val="en-US" w:eastAsia="zh-CN"/>
              </w:rPr>
              <w:t>理化性质：</w:t>
            </w:r>
          </w:p>
          <w:p w14:paraId="0CF7118F">
            <w:pPr>
              <w:keepNext w:val="0"/>
              <w:keepLines w:val="0"/>
              <w:suppressLineNumbers w:val="0"/>
              <w:spacing w:before="0" w:beforeAutospacing="0" w:after="0" w:afterAutospacing="0" w:line="440" w:lineRule="exact"/>
              <w:ind w:left="0" w:right="0" w:firstLine="480" w:firstLineChars="200"/>
              <w:jc w:val="both"/>
              <w:rPr>
                <w:rFonts w:hint="eastAsia"/>
                <w:b w:val="0"/>
                <w:bCs/>
                <w:color w:val="auto"/>
                <w:sz w:val="24"/>
                <w:highlight w:val="yellow"/>
                <w:lang w:val="en-US" w:eastAsia="zh-CN"/>
              </w:rPr>
            </w:pPr>
            <w:r>
              <w:rPr>
                <w:rFonts w:hint="eastAsia"/>
                <w:b w:val="0"/>
                <w:bCs/>
                <w:color w:val="auto"/>
                <w:sz w:val="24"/>
                <w:lang w:val="en-US" w:eastAsia="zh-CN"/>
              </w:rPr>
              <w:t>水性切削液：全合成切削液，由二元酸、多元酸、润滑剂的水溶液组成，为淡黄色液体，沸点100</w:t>
            </w:r>
            <w:r>
              <w:rPr>
                <w:rFonts w:hint="eastAsia" w:ascii="宋体" w:hAnsi="宋体" w:eastAsia="宋体" w:cs="宋体"/>
                <w:b w:val="0"/>
                <w:bCs/>
                <w:color w:val="auto"/>
                <w:sz w:val="24"/>
                <w:lang w:val="en-US" w:eastAsia="zh-CN"/>
              </w:rPr>
              <w:t>℃</w:t>
            </w:r>
            <w:r>
              <w:rPr>
                <w:rFonts w:hint="eastAsia"/>
                <w:b w:val="0"/>
                <w:bCs/>
                <w:color w:val="auto"/>
                <w:sz w:val="24"/>
                <w:lang w:val="en-US" w:eastAsia="zh-CN"/>
              </w:rPr>
              <w:t>，与水无限互溶，</w:t>
            </w:r>
            <w:r>
              <w:rPr>
                <w:rFonts w:hint="eastAsia"/>
                <w:bCs/>
                <w:sz w:val="24"/>
                <w:highlight w:val="none"/>
                <w:lang w:eastAsia="zh-CN"/>
              </w:rPr>
              <w:t>具有良好的防锈、冷却、润滑作用</w:t>
            </w:r>
            <w:r>
              <w:rPr>
                <w:rFonts w:hint="eastAsia"/>
                <w:bCs/>
                <w:sz w:val="24"/>
                <w:highlight w:val="none"/>
              </w:rPr>
              <w:t>。</w:t>
            </w:r>
          </w:p>
          <w:p w14:paraId="3ADB0C50">
            <w:pPr>
              <w:keepNext w:val="0"/>
              <w:keepLines w:val="0"/>
              <w:suppressLineNumbers w:val="0"/>
              <w:spacing w:before="0" w:beforeAutospacing="0" w:after="0" w:afterAutospacing="0" w:line="440" w:lineRule="exact"/>
              <w:ind w:left="0" w:right="0" w:firstLine="480" w:firstLineChars="200"/>
              <w:rPr>
                <w:rFonts w:hint="eastAsia"/>
                <w:color w:val="auto"/>
                <w:sz w:val="24"/>
                <w:szCs w:val="24"/>
                <w:highlight w:val="none"/>
                <w:lang w:val="en-US" w:eastAsia="zh-CN"/>
              </w:rPr>
            </w:pPr>
            <w:r>
              <w:rPr>
                <w:rFonts w:hint="eastAsia"/>
                <w:color w:val="auto"/>
                <w:sz w:val="24"/>
                <w:szCs w:val="24"/>
                <w:highlight w:val="none"/>
                <w:lang w:val="en-US" w:eastAsia="zh-CN"/>
              </w:rPr>
              <w:t>水性淬火液：为无色半透明液体，主要成分为90%无机盐（钠盐）和水，不含重金属、无毒、无污染。可根据需要灵活调整溶液的浓度及温度，可适用于各种不同类型的淬火工艺。</w:t>
            </w:r>
          </w:p>
          <w:p w14:paraId="735C1938">
            <w:pPr>
              <w:keepNext w:val="0"/>
              <w:keepLines w:val="0"/>
              <w:suppressLineNumbers w:val="0"/>
              <w:spacing w:before="0" w:beforeAutospacing="0" w:after="0" w:afterAutospacing="0" w:line="440" w:lineRule="exact"/>
              <w:ind w:left="0" w:right="0" w:firstLine="482" w:firstLineChars="200"/>
              <w:rPr>
                <w:rFonts w:hint="default"/>
                <w:b/>
                <w:color w:val="auto"/>
                <w:sz w:val="24"/>
              </w:rPr>
            </w:pPr>
            <w:r>
              <w:rPr>
                <w:rFonts w:hint="eastAsia"/>
                <w:b/>
                <w:color w:val="auto"/>
                <w:sz w:val="24"/>
                <w:lang w:val="en-US" w:eastAsia="zh-CN"/>
              </w:rPr>
              <w:t>6</w:t>
            </w:r>
            <w:r>
              <w:rPr>
                <w:rFonts w:hint="default"/>
                <w:b/>
                <w:color w:val="auto"/>
                <w:sz w:val="24"/>
              </w:rPr>
              <w:t>、</w:t>
            </w:r>
            <w:r>
              <w:rPr>
                <w:rFonts w:hint="default"/>
                <w:b/>
                <w:color w:val="auto"/>
                <w:sz w:val="24"/>
                <w:lang w:val="pt-BR"/>
              </w:rPr>
              <w:t>劳动定员与制度</w:t>
            </w:r>
          </w:p>
          <w:p w14:paraId="3F0ACBAA">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
                <w:color w:val="auto"/>
                <w:sz w:val="24"/>
                <w:highlight w:val="none"/>
                <w:lang w:val="en-US" w:eastAsia="zh-CN"/>
              </w:rPr>
            </w:pPr>
            <w:r>
              <w:rPr>
                <w:rFonts w:hint="eastAsia"/>
                <w:bCs/>
                <w:color w:val="auto"/>
                <w:sz w:val="24"/>
                <w:highlight w:val="none"/>
              </w:rPr>
              <w:t>本项目</w:t>
            </w:r>
            <w:r>
              <w:rPr>
                <w:rFonts w:hint="eastAsia"/>
                <w:bCs/>
                <w:color w:val="auto"/>
                <w:sz w:val="24"/>
                <w:highlight w:val="none"/>
                <w:lang w:eastAsia="zh-CN"/>
              </w:rPr>
              <w:t>劳动定员</w:t>
            </w:r>
            <w:r>
              <w:rPr>
                <w:rFonts w:hint="eastAsia"/>
                <w:bCs/>
                <w:color w:val="auto"/>
                <w:sz w:val="24"/>
                <w:highlight w:val="none"/>
                <w:lang w:val="en-US" w:eastAsia="zh-CN"/>
              </w:rPr>
              <w:t>10人，企业单班生产，</w:t>
            </w:r>
            <w:r>
              <w:rPr>
                <w:rFonts w:hint="eastAsia"/>
                <w:bCs/>
                <w:color w:val="auto"/>
                <w:sz w:val="24"/>
                <w:highlight w:val="none"/>
              </w:rPr>
              <w:t>8小时工作制</w:t>
            </w:r>
            <w:r>
              <w:rPr>
                <w:rFonts w:hint="eastAsia"/>
                <w:color w:val="auto"/>
                <w:sz w:val="24"/>
                <w:highlight w:val="none"/>
              </w:rPr>
              <w:t>，</w:t>
            </w:r>
            <w:r>
              <w:rPr>
                <w:rFonts w:hint="eastAsia"/>
                <w:bCs/>
                <w:color w:val="auto"/>
                <w:sz w:val="24"/>
                <w:highlight w:val="none"/>
              </w:rPr>
              <w:t>年工作300天</w:t>
            </w:r>
            <w:r>
              <w:rPr>
                <w:rFonts w:hint="default"/>
                <w:color w:val="auto"/>
                <w:sz w:val="24"/>
                <w:highlight w:val="none"/>
              </w:rPr>
              <w:t>。</w:t>
            </w:r>
          </w:p>
          <w:p w14:paraId="7E3F0BB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511" w:firstLineChars="212"/>
              <w:textAlignment w:val="baseline"/>
              <w:rPr>
                <w:rFonts w:hint="default" w:ascii="宋体" w:hAnsi="宋体" w:eastAsia="宋体"/>
                <w:b/>
                <w:color w:val="auto"/>
                <w:sz w:val="24"/>
                <w:highlight w:val="none"/>
                <w:lang w:val="en-US" w:eastAsia="zh-CN"/>
              </w:rPr>
            </w:pPr>
            <w:r>
              <w:rPr>
                <w:rFonts w:hint="eastAsia" w:cs="Times New Roman"/>
                <w:b/>
                <w:color w:val="auto"/>
                <w:sz w:val="24"/>
                <w:highlight w:val="none"/>
                <w:lang w:val="en-US" w:eastAsia="zh-CN"/>
              </w:rPr>
              <w:t>7</w:t>
            </w:r>
            <w:r>
              <w:rPr>
                <w:rFonts w:hint="eastAsia" w:ascii="宋体" w:hAnsi="宋体"/>
                <w:b/>
                <w:color w:val="auto"/>
                <w:sz w:val="24"/>
                <w:highlight w:val="none"/>
              </w:rPr>
              <w:t>、</w:t>
            </w:r>
            <w:r>
              <w:rPr>
                <w:rFonts w:hint="eastAsia" w:ascii="宋体" w:hAnsi="宋体"/>
                <w:b/>
                <w:color w:val="auto"/>
                <w:sz w:val="24"/>
                <w:highlight w:val="none"/>
                <w:lang w:val="en-US" w:eastAsia="zh-CN"/>
              </w:rPr>
              <w:t>公用工程</w:t>
            </w:r>
          </w:p>
          <w:p w14:paraId="07D854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baseline"/>
              <w:rPr>
                <w:rFonts w:hint="default" w:cs="Times New Roman"/>
                <w:b w:val="0"/>
                <w:bCs/>
                <w:color w:val="auto"/>
                <w:sz w:val="24"/>
                <w:highlight w:val="none"/>
                <w:lang w:val="en-US" w:eastAsia="zh-CN"/>
              </w:rPr>
            </w:pPr>
            <w:r>
              <w:rPr>
                <w:rFonts w:hint="eastAsia" w:cs="Times New Roman"/>
                <w:b w:val="0"/>
                <w:bCs/>
                <w:color w:val="auto"/>
                <w:sz w:val="24"/>
                <w:highlight w:val="none"/>
                <w:lang w:val="en-US" w:eastAsia="zh-CN"/>
              </w:rPr>
              <w:t>（1）供水</w:t>
            </w:r>
          </w:p>
          <w:p w14:paraId="56006D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baseline"/>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本项目用水主要为生产用水和生活用水。本项目新增员工10人，则生活用水量为0.3t/d（90t/a）。生活废水产生量为0.24t/d（72t/a），生活污水经化粪池处理后经污水管网排至新乡县综合污水处理厂进一步处理。</w:t>
            </w:r>
          </w:p>
          <w:p w14:paraId="08C4B4A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440" w:lineRule="exact"/>
              <w:ind w:left="0" w:right="0" w:rightChars="0" w:firstLine="480" w:firstLineChars="200"/>
              <w:jc w:val="both"/>
              <w:textAlignment w:val="baseline"/>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项目生产用水为水性切削液和水性淬火液配制用水。在生产使用过程中淬火液挥发，需及时补充淬火剂和水，全年需淬火剂0.25吨，水11.25吨。切削液使用过程中因沾到废金属屑上产生损失，需及时补充切削液和水，全年需切削液0.1吨，水4.5吨。</w:t>
            </w:r>
          </w:p>
          <w:p w14:paraId="35678A4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440" w:lineRule="exact"/>
              <w:ind w:left="0" w:right="0" w:rightChars="0" w:firstLine="480" w:firstLineChars="200"/>
              <w:jc w:val="both"/>
              <w:textAlignment w:val="baseline"/>
              <w:rPr>
                <w:rFonts w:hint="eastAsia"/>
                <w:vertAlign w:val="baseline"/>
                <w:lang w:val="en-US" w:eastAsia="zh-CN"/>
              </w:rPr>
            </w:pPr>
            <w:r>
              <w:rPr>
                <w:rFonts w:hint="eastAsia"/>
                <w:vertAlign w:val="baseline"/>
                <w:lang w:val="en-US" w:eastAsia="zh-CN"/>
              </w:rPr>
              <w:t>本项目水平衡图见下图。</w:t>
            </w:r>
          </w:p>
          <w:p w14:paraId="36392B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baseline"/>
              <w:rPr>
                <w:rFonts w:hint="default" w:cs="Times New Roman"/>
                <w:b w:val="0"/>
                <w:bCs/>
                <w:color w:val="auto"/>
                <w:sz w:val="24"/>
                <w:highlight w:val="none"/>
                <w:lang w:val="en-US" w:eastAsia="zh-CN"/>
              </w:rPr>
            </w:pPr>
            <w:r>
              <w:rPr>
                <w:rFonts w:hint="default" w:cs="Times New Roman"/>
                <w:b w:val="0"/>
                <w:bCs/>
                <w:color w:val="auto"/>
                <w:sz w:val="24"/>
                <w:highlight w:val="none"/>
                <w:lang w:val="en-US" w:eastAsia="zh-CN"/>
              </w:rPr>
              <w:object>
                <v:shape id="_x0000_i1025" o:spt="75" type="#_x0000_t75" style="height:161.55pt;width:419.55pt;" o:ole="t" filled="f" o:preferrelative="t" stroked="f" coordsize="21600,21600">
                  <v:path/>
                  <v:fill on="f" focussize="0,0"/>
                  <v:stroke on="f"/>
                  <v:imagedata r:id="rId18" o:title=""/>
                  <o:lock v:ext="edit" aspectratio="f"/>
                  <w10:wrap type="none"/>
                  <w10:anchorlock/>
                </v:shape>
                <o:OLEObject Type="Embed" ProgID="Visio.Drawing.15" ShapeID="_x0000_i1025" DrawAspect="Content" ObjectID="_1468075725" r:id="rId17">
                  <o:LockedField>false</o:LockedField>
                </o:OLEObject>
              </w:object>
            </w:r>
          </w:p>
          <w:p w14:paraId="727ABE31">
            <w:pPr>
              <w:keepNext w:val="0"/>
              <w:keepLines w:val="0"/>
              <w:suppressLineNumbers w:val="0"/>
              <w:tabs>
                <w:tab w:val="center" w:pos="4709"/>
              </w:tabs>
              <w:adjustRightInd w:val="0"/>
              <w:snapToGrid w:val="0"/>
              <w:spacing w:before="0" w:beforeAutospacing="0" w:after="0" w:afterAutospacing="0" w:line="440" w:lineRule="exact"/>
              <w:ind w:left="0" w:right="0"/>
              <w:jc w:val="center"/>
              <w:rPr>
                <w:rFonts w:hint="default" w:cs="Times New Roman"/>
                <w:b/>
                <w:color w:val="auto"/>
                <w:sz w:val="24"/>
                <w:highlight w:val="none"/>
                <w:lang w:val="en-US" w:eastAsia="zh-CN"/>
              </w:rPr>
            </w:pPr>
            <w:r>
              <w:rPr>
                <w:rFonts w:hint="eastAsia"/>
                <w:b/>
                <w:bCs/>
                <w:color w:val="000000"/>
                <w:sz w:val="24"/>
                <w:lang w:val="en-US" w:eastAsia="zh-CN"/>
              </w:rPr>
              <w:t>图4  本项目水平衡图  t/d</w:t>
            </w:r>
          </w:p>
          <w:p w14:paraId="6CA9FFE3">
            <w:pPr>
              <w:keepNext w:val="0"/>
              <w:keepLines w:val="0"/>
              <w:pageBreakBefore w:val="0"/>
              <w:widowControl w:val="0"/>
              <w:numPr>
                <w:ilvl w:val="0"/>
                <w:numId w:val="2"/>
              </w:numPr>
              <w:suppressLineNumbers w:val="0"/>
              <w:kinsoku/>
              <w:wordWrap/>
              <w:overflowPunct/>
              <w:topLinePunct w:val="0"/>
              <w:bidi w:val="0"/>
              <w:adjustRightInd w:val="0"/>
              <w:snapToGrid w:val="0"/>
              <w:spacing w:before="0" w:beforeAutospacing="0" w:after="0" w:afterAutospacing="0" w:line="440" w:lineRule="exact"/>
              <w:ind w:left="0" w:right="0" w:firstLine="508" w:firstLineChars="212"/>
              <w:textAlignment w:val="baseline"/>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供电</w:t>
            </w:r>
          </w:p>
          <w:p w14:paraId="20A2FE9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508" w:firstLineChars="212"/>
              <w:textAlignment w:val="baseline"/>
              <w:rPr>
                <w:rFonts w:hint="eastAsia"/>
                <w:lang w:val="en-US" w:eastAsia="zh-CN"/>
              </w:rPr>
            </w:pPr>
            <w:r>
              <w:rPr>
                <w:rFonts w:hint="eastAsia"/>
                <w:lang w:val="en-US" w:eastAsia="zh-CN"/>
              </w:rPr>
              <w:t>本项目用电量约为50万KW·h/a，由国家电网供给，主要用于项目设备运转、日常办公等，可满足项目需求。本项目应按照《新乡市生态环境局关于部署安装工业企业用电量监控系统的通知》（新环[2019]154号）文件及环保部门要求在总用电量控制位置、主要生产设施和污染治理设施位置处安装用电量监控系统。</w:t>
            </w:r>
          </w:p>
          <w:p w14:paraId="0B789CBC">
            <w:pPr>
              <w:keepNext w:val="0"/>
              <w:keepLines w:val="0"/>
              <w:pageBreakBefore w:val="0"/>
              <w:widowControl w:val="0"/>
              <w:numPr>
                <w:ilvl w:val="0"/>
                <w:numId w:val="0"/>
              </w:numPr>
              <w:suppressLineNumbers w:val="0"/>
              <w:kinsoku/>
              <w:wordWrap/>
              <w:overflowPunct/>
              <w:topLinePunct w:val="0"/>
              <w:bidi w:val="0"/>
              <w:adjustRightInd w:val="0"/>
              <w:snapToGrid w:val="0"/>
              <w:spacing w:before="0" w:beforeAutospacing="0" w:after="0" w:afterAutospacing="0" w:line="440" w:lineRule="exact"/>
              <w:ind w:left="509" w:leftChars="212" w:right="0" w:rightChars="0"/>
              <w:textAlignment w:val="baseline"/>
              <w:rPr>
                <w:rFonts w:hint="default" w:ascii="宋体" w:hAnsi="宋体" w:eastAsia="宋体"/>
                <w:b/>
                <w:color w:val="auto"/>
                <w:sz w:val="24"/>
                <w:highlight w:val="none"/>
                <w:lang w:val="en-US" w:eastAsia="zh-CN"/>
              </w:rPr>
            </w:pPr>
            <w:r>
              <w:rPr>
                <w:rFonts w:hint="eastAsia" w:cs="Times New Roman"/>
                <w:b/>
                <w:color w:val="auto"/>
                <w:sz w:val="24"/>
                <w:highlight w:val="none"/>
                <w:lang w:val="en-US" w:eastAsia="zh-CN"/>
              </w:rPr>
              <w:t>8</w:t>
            </w:r>
            <w:r>
              <w:rPr>
                <w:rFonts w:hint="eastAsia" w:ascii="宋体" w:hAnsi="宋体"/>
                <w:b/>
                <w:color w:val="auto"/>
                <w:sz w:val="24"/>
                <w:highlight w:val="none"/>
              </w:rPr>
              <w:t>、</w:t>
            </w:r>
            <w:r>
              <w:rPr>
                <w:rFonts w:hint="eastAsia" w:ascii="宋体" w:hAnsi="宋体"/>
                <w:b/>
                <w:color w:val="auto"/>
                <w:sz w:val="24"/>
                <w:highlight w:val="none"/>
                <w:lang w:val="en-US" w:eastAsia="zh-CN"/>
              </w:rPr>
              <w:t>项目选址与厂区平面布置</w:t>
            </w:r>
          </w:p>
          <w:p w14:paraId="59F8354E">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本项目位于</w:t>
            </w:r>
            <w:r>
              <w:rPr>
                <w:rFonts w:hint="eastAsia" w:ascii="宋体" w:hAnsi="宋体" w:cs="宋体"/>
                <w:color w:val="auto"/>
                <w:sz w:val="24"/>
                <w:szCs w:val="24"/>
                <w:highlight w:val="none"/>
                <w:lang w:val="en-US" w:eastAsia="zh-CN"/>
              </w:rPr>
              <w:t>河南省新乡市新乡县中央大道兴隆路交叉路口西南角处，根据《新乡县智能制造产业园区总体发展规划</w:t>
            </w:r>
            <w:r>
              <w:rPr>
                <w:rFonts w:hint="default" w:ascii="Times New Roman" w:hAnsi="Times New Roman" w:cs="Times New Roman"/>
                <w:color w:val="auto"/>
                <w:sz w:val="24"/>
                <w:szCs w:val="24"/>
                <w:highlight w:val="none"/>
                <w:lang w:val="en-US" w:eastAsia="zh-CN"/>
              </w:rPr>
              <w:t>（2021-2035</w:t>
            </w:r>
            <w:r>
              <w:rPr>
                <w:rFonts w:hint="eastAsia" w:ascii="宋体" w:hAnsi="宋体" w:cs="宋体"/>
                <w:color w:val="auto"/>
                <w:sz w:val="24"/>
                <w:szCs w:val="24"/>
                <w:highlight w:val="none"/>
                <w:lang w:val="en-US" w:eastAsia="zh-CN"/>
              </w:rPr>
              <w:t>年）-土地利用规划图》，本项目所在地为二类工业用地。</w:t>
            </w:r>
            <w:r>
              <w:rPr>
                <w:rFonts w:hint="eastAsia" w:cs="Times New Roman"/>
                <w:color w:val="auto"/>
                <w:sz w:val="24"/>
                <w:highlight w:val="none"/>
                <w:lang w:val="en-US" w:eastAsia="zh-CN"/>
              </w:rPr>
              <w:t>项目建设单位</w:t>
            </w:r>
            <w:r>
              <w:rPr>
                <w:rFonts w:hint="default" w:ascii="Times New Roman" w:hAnsi="Times New Roman" w:eastAsia="宋体" w:cs="Times New Roman"/>
                <w:color w:val="auto"/>
                <w:sz w:val="24"/>
                <w:highlight w:val="none"/>
              </w:rPr>
              <w:t>所在地四周环境为：</w:t>
            </w:r>
            <w:r>
              <w:rPr>
                <w:rFonts w:hint="eastAsia" w:cs="Times New Roman"/>
                <w:color w:val="auto"/>
                <w:sz w:val="24"/>
                <w:highlight w:val="none"/>
                <w:lang w:val="en-US" w:eastAsia="zh-CN"/>
              </w:rPr>
              <w:t>西</w:t>
            </w:r>
            <w:r>
              <w:rPr>
                <w:rFonts w:hint="default" w:ascii="Times New Roman" w:hAnsi="Times New Roman" w:eastAsia="宋体" w:cs="Times New Roman"/>
                <w:color w:val="auto"/>
                <w:sz w:val="24"/>
                <w:highlight w:val="none"/>
                <w:lang w:eastAsia="zh-CN"/>
              </w:rPr>
              <w:t>侧</w:t>
            </w:r>
            <w:r>
              <w:rPr>
                <w:rFonts w:hint="eastAsia" w:cs="Times New Roman"/>
                <w:color w:val="auto"/>
                <w:sz w:val="24"/>
                <w:highlight w:val="none"/>
                <w:lang w:val="en-US" w:eastAsia="zh-CN"/>
              </w:rPr>
              <w:t>为杭州明闻纸张有限公司新乡第一分公司</w:t>
            </w:r>
            <w:r>
              <w:rPr>
                <w:rFonts w:hint="eastAsia" w:cs="Times New Roman"/>
                <w:color w:val="auto"/>
                <w:sz w:val="24"/>
                <w:highlight w:val="none"/>
                <w:lang w:eastAsia="zh-CN"/>
              </w:rPr>
              <w:t>；</w:t>
            </w:r>
            <w:r>
              <w:rPr>
                <w:rFonts w:hint="eastAsia" w:cs="Times New Roman"/>
                <w:color w:val="auto"/>
                <w:sz w:val="24"/>
                <w:highlight w:val="none"/>
                <w:lang w:val="en-US" w:eastAsia="zh-CN"/>
              </w:rPr>
              <w:t>南侧为新乡市恒星传动机械有限公司；北侧为新乡市福泉泵业有限公司</w:t>
            </w:r>
            <w:r>
              <w:rPr>
                <w:rFonts w:hint="eastAsia" w:cs="Times New Roman"/>
                <w:color w:val="auto"/>
                <w:sz w:val="24"/>
                <w:highlight w:val="none"/>
                <w:lang w:eastAsia="zh-CN"/>
              </w:rPr>
              <w:t>；</w:t>
            </w:r>
            <w:r>
              <w:rPr>
                <w:rFonts w:hint="eastAsia" w:cs="Times New Roman"/>
                <w:color w:val="auto"/>
                <w:sz w:val="24"/>
                <w:highlight w:val="none"/>
                <w:lang w:val="en-US" w:eastAsia="zh-CN"/>
              </w:rPr>
              <w:t>东侧为中央大道。</w:t>
            </w:r>
            <w:r>
              <w:rPr>
                <w:rFonts w:hint="eastAsia" w:ascii="宋体" w:hAnsi="宋体" w:cs="宋体"/>
                <w:color w:val="auto"/>
                <w:sz w:val="24"/>
                <w:szCs w:val="24"/>
                <w:highlight w:val="none"/>
                <w:lang w:val="en-US" w:eastAsia="zh-CN"/>
              </w:rPr>
              <w:t>本项目最近的敏感点为东南侧距</w:t>
            </w:r>
            <w:r>
              <w:rPr>
                <w:rFonts w:hint="default" w:ascii="Times New Roman" w:hAnsi="Times New Roman" w:cs="Times New Roman"/>
                <w:color w:val="auto"/>
                <w:sz w:val="24"/>
                <w:szCs w:val="24"/>
                <w:highlight w:val="none"/>
                <w:lang w:val="en-US" w:eastAsia="zh-CN"/>
              </w:rPr>
              <w:t>离</w:t>
            </w:r>
            <w:r>
              <w:rPr>
                <w:rFonts w:hint="eastAsia" w:cs="Times New Roman"/>
                <w:color w:val="auto"/>
                <w:sz w:val="24"/>
                <w:szCs w:val="24"/>
                <w:highlight w:val="none"/>
                <w:lang w:val="en-US" w:eastAsia="zh-CN"/>
              </w:rPr>
              <w:t>225</w:t>
            </w:r>
            <w:r>
              <w:rPr>
                <w:rFonts w:hint="default" w:ascii="Times New Roman" w:hAnsi="Times New Roman" w:cs="Times New Roman"/>
                <w:color w:val="auto"/>
                <w:sz w:val="24"/>
                <w:szCs w:val="24"/>
                <w:highlight w:val="none"/>
                <w:lang w:val="en-US" w:eastAsia="zh-CN"/>
              </w:rPr>
              <w:t>米处的</w:t>
            </w:r>
            <w:r>
              <w:rPr>
                <w:rFonts w:hint="eastAsia" w:cs="Times New Roman"/>
                <w:color w:val="auto"/>
                <w:sz w:val="24"/>
                <w:szCs w:val="24"/>
                <w:highlight w:val="none"/>
                <w:lang w:val="en-US" w:eastAsia="zh-CN"/>
              </w:rPr>
              <w:t>娄</w:t>
            </w:r>
            <w:r>
              <w:rPr>
                <w:rFonts w:hint="default" w:ascii="Times New Roman" w:hAnsi="Times New Roman" w:cs="Times New Roman"/>
                <w:color w:val="auto"/>
                <w:sz w:val="24"/>
                <w:szCs w:val="24"/>
                <w:highlight w:val="none"/>
                <w:lang w:val="en-US" w:eastAsia="zh-CN"/>
              </w:rPr>
              <w:t>村</w:t>
            </w:r>
            <w:r>
              <w:rPr>
                <w:rFonts w:hint="eastAsia" w:ascii="宋体" w:hAnsi="宋体" w:cs="宋体"/>
                <w:color w:val="auto"/>
                <w:sz w:val="24"/>
                <w:szCs w:val="24"/>
                <w:highlight w:val="none"/>
                <w:lang w:val="en-US" w:eastAsia="zh-CN"/>
              </w:rPr>
              <w:t>。</w:t>
            </w:r>
            <w:r>
              <w:rPr>
                <w:rFonts w:hint="eastAsia" w:cs="Times New Roman"/>
                <w:color w:val="auto"/>
                <w:sz w:val="24"/>
                <w:highlight w:val="none"/>
                <w:lang w:val="en-US" w:eastAsia="zh-CN"/>
              </w:rPr>
              <w:t>本项目选址较为合理，不会对周边环境造成不利影响。</w:t>
            </w:r>
          </w:p>
          <w:p w14:paraId="17C8C7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厂区为东西狭长形布置，原料库、成品库、生产设备均位于同一生产车间内，</w:t>
            </w:r>
            <w:r>
              <w:rPr>
                <w:rFonts w:hint="eastAsia" w:ascii="宋体" w:hAnsi="宋体" w:cs="宋体"/>
                <w:color w:val="000000"/>
                <w:kern w:val="0"/>
                <w:sz w:val="24"/>
                <w:szCs w:val="24"/>
                <w:highlight w:val="none"/>
                <w:lang w:val="en-US" w:eastAsia="zh-CN" w:bidi="ar"/>
              </w:rPr>
              <w:t>原料区和成品区</w:t>
            </w:r>
            <w:r>
              <w:rPr>
                <w:rFonts w:hint="eastAsia" w:ascii="宋体" w:hAnsi="宋体" w:eastAsia="宋体" w:cs="宋体"/>
                <w:color w:val="000000"/>
                <w:kern w:val="0"/>
                <w:sz w:val="24"/>
                <w:szCs w:val="24"/>
                <w:highlight w:val="none"/>
                <w:lang w:val="en-US" w:eastAsia="zh-CN" w:bidi="ar"/>
              </w:rPr>
              <w:t>位于生产车间</w:t>
            </w:r>
            <w:r>
              <w:rPr>
                <w:rFonts w:hint="eastAsia" w:ascii="宋体" w:hAnsi="宋体" w:cs="宋体"/>
                <w:color w:val="000000"/>
                <w:kern w:val="0"/>
                <w:sz w:val="24"/>
                <w:szCs w:val="24"/>
                <w:highlight w:val="none"/>
                <w:lang w:val="en-US" w:eastAsia="zh-CN" w:bidi="ar"/>
              </w:rPr>
              <w:t>东</w:t>
            </w:r>
            <w:r>
              <w:rPr>
                <w:rFonts w:hint="eastAsia" w:ascii="宋体" w:hAnsi="宋体" w:eastAsia="宋体" w:cs="宋体"/>
                <w:color w:val="000000"/>
                <w:kern w:val="0"/>
                <w:sz w:val="24"/>
                <w:szCs w:val="24"/>
                <w:highlight w:val="none"/>
                <w:lang w:val="en-US" w:eastAsia="zh-CN" w:bidi="ar"/>
              </w:rPr>
              <w:t>南角处。生产设备分区由</w:t>
            </w:r>
            <w:r>
              <w:rPr>
                <w:rFonts w:hint="eastAsia" w:ascii="宋体" w:hAnsi="宋体" w:cs="宋体"/>
                <w:color w:val="000000"/>
                <w:kern w:val="0"/>
                <w:sz w:val="24"/>
                <w:szCs w:val="24"/>
                <w:highlight w:val="none"/>
                <w:lang w:val="en-US" w:eastAsia="zh-CN" w:bidi="ar"/>
              </w:rPr>
              <w:t>东</w:t>
            </w:r>
            <w:r>
              <w:rPr>
                <w:rFonts w:hint="eastAsia" w:ascii="宋体" w:hAnsi="宋体" w:eastAsia="宋体" w:cs="宋体"/>
                <w:color w:val="000000"/>
                <w:kern w:val="0"/>
                <w:sz w:val="24"/>
                <w:szCs w:val="24"/>
                <w:highlight w:val="none"/>
                <w:lang w:val="en-US" w:eastAsia="zh-CN" w:bidi="ar"/>
              </w:rPr>
              <w:t>向</w:t>
            </w:r>
            <w:r>
              <w:rPr>
                <w:rFonts w:hint="eastAsia" w:ascii="宋体" w:hAnsi="宋体" w:cs="宋体"/>
                <w:color w:val="000000"/>
                <w:kern w:val="0"/>
                <w:sz w:val="24"/>
                <w:szCs w:val="24"/>
                <w:highlight w:val="none"/>
                <w:lang w:val="en-US" w:eastAsia="zh-CN" w:bidi="ar"/>
              </w:rPr>
              <w:t>西</w:t>
            </w:r>
            <w:r>
              <w:rPr>
                <w:rFonts w:hint="eastAsia" w:ascii="宋体" w:hAnsi="宋体" w:eastAsia="宋体" w:cs="宋体"/>
                <w:color w:val="000000"/>
                <w:kern w:val="0"/>
                <w:sz w:val="24"/>
                <w:szCs w:val="24"/>
                <w:highlight w:val="none"/>
                <w:lang w:val="en-US" w:eastAsia="zh-CN" w:bidi="ar"/>
              </w:rPr>
              <w:t>依次分布，分为</w:t>
            </w:r>
            <w:r>
              <w:rPr>
                <w:rFonts w:hint="eastAsia" w:ascii="宋体" w:hAnsi="宋体" w:cs="宋体"/>
                <w:color w:val="000000"/>
                <w:kern w:val="0"/>
                <w:sz w:val="24"/>
                <w:szCs w:val="24"/>
                <w:highlight w:val="none"/>
                <w:lang w:val="en-US" w:eastAsia="zh-CN" w:bidi="ar"/>
              </w:rPr>
              <w:t>下料区域</w:t>
            </w:r>
            <w:r>
              <w:rPr>
                <w:rFonts w:hint="eastAsia" w:ascii="宋体" w:hAnsi="宋体" w:eastAsia="宋体" w:cs="宋体"/>
                <w:color w:val="000000"/>
                <w:kern w:val="0"/>
                <w:sz w:val="24"/>
                <w:szCs w:val="24"/>
                <w:highlight w:val="none"/>
                <w:lang w:val="en-US" w:eastAsia="zh-CN" w:bidi="ar"/>
              </w:rPr>
              <w:t>、</w:t>
            </w:r>
            <w:r>
              <w:rPr>
                <w:rFonts w:hint="eastAsia" w:ascii="宋体" w:hAnsi="宋体" w:cs="宋体"/>
                <w:color w:val="000000"/>
                <w:kern w:val="0"/>
                <w:sz w:val="24"/>
                <w:szCs w:val="24"/>
                <w:highlight w:val="none"/>
                <w:lang w:val="en-US" w:eastAsia="zh-CN" w:bidi="ar"/>
              </w:rPr>
              <w:t>粗车、精车</w:t>
            </w:r>
            <w:r>
              <w:rPr>
                <w:rFonts w:hint="eastAsia" w:ascii="宋体" w:hAnsi="宋体" w:eastAsia="宋体" w:cs="宋体"/>
                <w:color w:val="000000"/>
                <w:kern w:val="0"/>
                <w:sz w:val="24"/>
                <w:szCs w:val="24"/>
                <w:highlight w:val="none"/>
                <w:lang w:val="en-US" w:eastAsia="zh-CN" w:bidi="ar"/>
              </w:rPr>
              <w:t>区域、</w:t>
            </w:r>
            <w:r>
              <w:rPr>
                <w:rFonts w:hint="eastAsia" w:ascii="宋体" w:hAnsi="宋体" w:cs="宋体"/>
                <w:color w:val="000000"/>
                <w:kern w:val="0"/>
                <w:sz w:val="24"/>
                <w:szCs w:val="24"/>
                <w:highlight w:val="none"/>
                <w:lang w:val="en-US" w:eastAsia="zh-CN" w:bidi="ar"/>
              </w:rPr>
              <w:t>打毛</w:t>
            </w:r>
            <w:r>
              <w:rPr>
                <w:rFonts w:hint="eastAsia" w:ascii="宋体" w:hAnsi="宋体" w:eastAsia="宋体" w:cs="宋体"/>
                <w:color w:val="000000"/>
                <w:kern w:val="0"/>
                <w:sz w:val="24"/>
                <w:szCs w:val="24"/>
                <w:highlight w:val="none"/>
                <w:lang w:val="en-US" w:eastAsia="zh-CN" w:bidi="ar"/>
              </w:rPr>
              <w:t>区域、</w:t>
            </w:r>
            <w:r>
              <w:rPr>
                <w:rFonts w:hint="eastAsia" w:ascii="宋体" w:hAnsi="宋体" w:cs="宋体"/>
                <w:color w:val="000000"/>
                <w:kern w:val="0"/>
                <w:sz w:val="24"/>
                <w:szCs w:val="24"/>
                <w:highlight w:val="none"/>
                <w:lang w:val="en-US" w:eastAsia="zh-CN" w:bidi="ar"/>
              </w:rPr>
              <w:t>淬火</w:t>
            </w:r>
            <w:r>
              <w:rPr>
                <w:rFonts w:hint="eastAsia" w:ascii="宋体" w:hAnsi="宋体" w:eastAsia="宋体" w:cs="宋体"/>
                <w:color w:val="000000"/>
                <w:kern w:val="0"/>
                <w:sz w:val="24"/>
                <w:szCs w:val="24"/>
                <w:highlight w:val="none"/>
                <w:lang w:val="en-US" w:eastAsia="zh-CN" w:bidi="ar"/>
              </w:rPr>
              <w:t>区域、</w:t>
            </w:r>
            <w:r>
              <w:rPr>
                <w:rFonts w:hint="eastAsia" w:ascii="宋体" w:hAnsi="宋体" w:cs="宋体"/>
                <w:color w:val="000000"/>
                <w:kern w:val="0"/>
                <w:sz w:val="24"/>
                <w:szCs w:val="24"/>
                <w:highlight w:val="none"/>
                <w:lang w:val="en-US" w:eastAsia="zh-CN" w:bidi="ar"/>
              </w:rPr>
              <w:t>机加工区</w:t>
            </w:r>
            <w:r>
              <w:rPr>
                <w:rFonts w:hint="eastAsia" w:ascii="宋体" w:hAnsi="宋体" w:eastAsia="宋体" w:cs="宋体"/>
                <w:color w:val="000000"/>
                <w:kern w:val="0"/>
                <w:sz w:val="24"/>
                <w:szCs w:val="24"/>
                <w:highlight w:val="none"/>
                <w:lang w:val="en-US" w:eastAsia="zh-CN" w:bidi="ar"/>
              </w:rPr>
              <w:t>域、</w:t>
            </w:r>
            <w:r>
              <w:rPr>
                <w:rFonts w:hint="eastAsia" w:ascii="宋体" w:hAnsi="宋体" w:cs="宋体"/>
                <w:color w:val="000000"/>
                <w:kern w:val="0"/>
                <w:sz w:val="24"/>
                <w:szCs w:val="24"/>
                <w:highlight w:val="none"/>
                <w:lang w:val="en-US" w:eastAsia="zh-CN" w:bidi="ar"/>
              </w:rPr>
              <w:t>平磨</w:t>
            </w:r>
            <w:r>
              <w:rPr>
                <w:rFonts w:hint="eastAsia" w:ascii="宋体" w:hAnsi="宋体" w:eastAsia="宋体" w:cs="宋体"/>
                <w:color w:val="000000"/>
                <w:kern w:val="0"/>
                <w:sz w:val="24"/>
                <w:szCs w:val="24"/>
                <w:highlight w:val="none"/>
                <w:lang w:val="en-US" w:eastAsia="zh-CN" w:bidi="ar"/>
              </w:rPr>
              <w:t>区域、</w:t>
            </w:r>
            <w:r>
              <w:rPr>
                <w:rFonts w:hint="eastAsia" w:ascii="宋体" w:hAnsi="宋体" w:cs="宋体"/>
                <w:color w:val="000000"/>
                <w:kern w:val="0"/>
                <w:sz w:val="24"/>
                <w:szCs w:val="24"/>
                <w:highlight w:val="none"/>
                <w:lang w:val="en-US" w:eastAsia="zh-CN" w:bidi="ar"/>
              </w:rPr>
              <w:t>包装</w:t>
            </w:r>
            <w:r>
              <w:rPr>
                <w:rFonts w:hint="eastAsia" w:ascii="宋体" w:hAnsi="宋体" w:eastAsia="宋体" w:cs="宋体"/>
                <w:color w:val="000000"/>
                <w:kern w:val="0"/>
                <w:sz w:val="24"/>
                <w:szCs w:val="24"/>
                <w:highlight w:val="none"/>
                <w:lang w:val="en-US" w:eastAsia="zh-CN" w:bidi="ar"/>
              </w:rPr>
              <w:t>区域。一般固废暂存间与危废暂存间位于厂房外。厂区平面布置图见</w:t>
            </w:r>
            <w:r>
              <w:rPr>
                <w:rFonts w:hint="eastAsia" w:ascii="宋体" w:hAnsi="宋体" w:cs="宋体"/>
                <w:color w:val="000000"/>
                <w:kern w:val="0"/>
                <w:sz w:val="24"/>
                <w:szCs w:val="24"/>
                <w:highlight w:val="none"/>
                <w:lang w:val="en-US" w:eastAsia="zh-CN" w:bidi="ar"/>
              </w:rPr>
              <w:t>附</w:t>
            </w:r>
            <w:r>
              <w:rPr>
                <w:rFonts w:hint="eastAsia" w:ascii="宋体" w:hAnsi="宋体" w:eastAsia="宋体" w:cs="宋体"/>
                <w:color w:val="000000"/>
                <w:kern w:val="0"/>
                <w:sz w:val="24"/>
                <w:szCs w:val="24"/>
                <w:highlight w:val="none"/>
                <w:lang w:val="en-US" w:eastAsia="zh-CN" w:bidi="ar"/>
              </w:rPr>
              <w:t>图。</w:t>
            </w:r>
          </w:p>
          <w:p w14:paraId="21C3C8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lang w:val="en-US" w:eastAsia="zh-CN"/>
              </w:rPr>
            </w:pPr>
            <w:r>
              <w:rPr>
                <w:rFonts w:hint="eastAsia"/>
                <w:b w:val="0"/>
                <w:bCs/>
                <w:color w:val="auto"/>
                <w:sz w:val="24"/>
                <w:highlight w:val="none"/>
                <w:lang w:val="en-US" w:eastAsia="zh-CN"/>
              </w:rPr>
              <w:t>本项目厂房布置符合设计规范，污染源、治污设施与排污口等布局合理，对环境敏感点距离较远，不会对敏感点产生影响。厂房布局等能够满足项目生产要求和相关环保要求。</w:t>
            </w:r>
          </w:p>
        </w:tc>
      </w:tr>
      <w:tr w14:paraId="733BC8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731" w:type="dxa"/>
            <w:noWrap w:val="0"/>
            <w:vAlign w:val="center"/>
          </w:tcPr>
          <w:p w14:paraId="131A4C5F">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ascii="Times New Roman" w:hAnsi="Times New Roman"/>
                <w:sz w:val="21"/>
                <w:szCs w:val="21"/>
                <w:lang w:val="en-US" w:eastAsia="zh-CN"/>
              </w:rPr>
            </w:pPr>
            <w:r>
              <w:rPr>
                <w:rFonts w:hint="default" w:ascii="Times New Roman"/>
                <w:sz w:val="24"/>
                <w:szCs w:val="24"/>
                <w:lang w:val="en-US" w:eastAsia="zh-CN"/>
              </w:rPr>
              <w:t>工艺流程和产排污环节</w:t>
            </w:r>
          </w:p>
        </w:tc>
        <w:tc>
          <w:tcPr>
            <w:tcW w:w="9021" w:type="dxa"/>
            <w:noWrap w:val="0"/>
            <w:vAlign w:val="top"/>
          </w:tcPr>
          <w:p w14:paraId="53D50DE6">
            <w:pPr>
              <w:keepNext w:val="0"/>
              <w:keepLines w:val="0"/>
              <w:suppressLineNumbers w:val="0"/>
              <w:spacing w:before="0" w:beforeAutospacing="0" w:after="0" w:afterAutospacing="0" w:line="440" w:lineRule="exact"/>
              <w:ind w:left="0" w:right="0"/>
              <w:jc w:val="left"/>
              <w:rPr>
                <w:rFonts w:hint="eastAsia" w:hAnsi="宋体"/>
                <w:b/>
                <w:color w:val="auto"/>
                <w:spacing w:val="-4"/>
                <w:sz w:val="24"/>
                <w:szCs w:val="24"/>
                <w:lang w:val="en-US" w:eastAsia="zh-CN"/>
              </w:rPr>
            </w:pPr>
            <w:r>
              <w:rPr>
                <w:rFonts w:hint="eastAsia" w:ascii="宋体" w:hAnsi="宋体"/>
                <w:b/>
                <w:bCs/>
                <w:sz w:val="24"/>
              </w:rPr>
              <w:t>工艺流程简述（图示）：</w:t>
            </w:r>
          </w:p>
          <w:p w14:paraId="6BE09C05">
            <w:pPr>
              <w:keepNext w:val="0"/>
              <w:keepLines w:val="0"/>
              <w:numPr>
                <w:ilvl w:val="0"/>
                <w:numId w:val="3"/>
              </w:numPr>
              <w:suppressLineNumbers w:val="0"/>
              <w:spacing w:before="0" w:beforeAutospacing="0" w:after="0" w:afterAutospacing="0" w:line="440" w:lineRule="exact"/>
              <w:ind w:left="0" w:right="0" w:firstLine="466" w:firstLineChars="200"/>
              <w:jc w:val="left"/>
              <w:rPr>
                <w:rFonts w:hint="eastAsia" w:hAnsi="宋体"/>
                <w:b/>
                <w:bCs w:val="0"/>
                <w:color w:val="auto"/>
                <w:spacing w:val="-4"/>
                <w:sz w:val="24"/>
                <w:szCs w:val="24"/>
                <w:lang w:val="en-US" w:eastAsia="zh-CN"/>
              </w:rPr>
            </w:pPr>
            <w:r>
              <w:rPr>
                <w:rFonts w:hint="eastAsia" w:hAnsi="宋体"/>
                <w:b/>
                <w:bCs w:val="0"/>
                <w:color w:val="auto"/>
                <w:spacing w:val="-4"/>
                <w:sz w:val="24"/>
                <w:szCs w:val="24"/>
                <w:lang w:val="en-US" w:eastAsia="zh-CN"/>
              </w:rPr>
              <w:t>变幅杆生产工艺如下：</w:t>
            </w:r>
          </w:p>
          <w:p w14:paraId="4C94A9A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hAnsi="宋体"/>
                <w:b/>
                <w:bCs w:val="0"/>
                <w:color w:val="auto"/>
                <w:spacing w:val="-4"/>
                <w:sz w:val="24"/>
                <w:szCs w:val="24"/>
                <w:lang w:val="en-US" w:eastAsia="zh-CN"/>
              </w:rPr>
            </w:pPr>
            <w:r>
              <w:rPr>
                <w:rFonts w:hint="eastAsia" w:hAnsi="宋体"/>
                <w:b/>
                <w:bCs w:val="0"/>
                <w:color w:val="auto"/>
                <w:spacing w:val="-4"/>
                <w:sz w:val="24"/>
                <w:szCs w:val="24"/>
                <w:lang w:val="en-US" w:eastAsia="zh-CN"/>
              </w:rPr>
              <w:object>
                <v:shape id="_x0000_i1026" o:spt="75" type="#_x0000_t75" style="height:502.5pt;width:291.75pt;" o:ole="t" filled="f" o:preferrelative="t" stroked="f" coordsize="21600,21600">
                  <v:path/>
                  <v:fill on="f" focussize="0,0"/>
                  <v:stroke on="f"/>
                  <v:imagedata r:id="rId20" o:title=""/>
                  <o:lock v:ext="edit" aspectratio="f"/>
                  <w10:wrap type="none"/>
                  <w10:anchorlock/>
                </v:shape>
                <o:OLEObject Type="Embed" ProgID="Visio.Drawing.15" ShapeID="_x0000_i1026" DrawAspect="Content" ObjectID="_1468075726" r:id="rId19">
                  <o:LockedField>false</o:LockedField>
                </o:OLEObject>
              </w:object>
            </w:r>
          </w:p>
          <w:p w14:paraId="3B59B5E1">
            <w:pPr>
              <w:keepNext w:val="0"/>
              <w:keepLines w:val="0"/>
              <w:widowControl w:val="0"/>
              <w:numPr>
                <w:ilvl w:val="0"/>
                <w:numId w:val="0"/>
              </w:numPr>
              <w:suppressLineNumbers w:val="0"/>
              <w:spacing w:before="0" w:beforeAutospacing="0" w:after="0" w:afterAutospacing="0" w:line="440" w:lineRule="exact"/>
              <w:ind w:left="0" w:right="0" w:rightChars="0"/>
              <w:jc w:val="center"/>
              <w:rPr>
                <w:rFonts w:hint="default" w:hAnsi="宋体"/>
                <w:b/>
                <w:color w:val="000000" w:themeColor="text1"/>
                <w:sz w:val="24"/>
                <w14:textFill>
                  <w14:solidFill>
                    <w14:schemeClr w14:val="tx1"/>
                  </w14:solidFill>
                </w14:textFill>
              </w:rPr>
            </w:pPr>
            <w:r>
              <w:rPr>
                <w:rFonts w:hint="default" w:ascii="宋体" w:hAnsi="宋体"/>
                <w:b/>
                <w:szCs w:val="21"/>
              </w:rPr>
              <w:t>图</w:t>
            </w:r>
            <w:r>
              <w:rPr>
                <w:rFonts w:hint="eastAsia" w:cs="Times New Roman"/>
                <w:b/>
                <w:szCs w:val="21"/>
                <w:lang w:val="en-US" w:eastAsia="zh-CN"/>
              </w:rPr>
              <w:t>5</w:t>
            </w:r>
            <w:r>
              <w:rPr>
                <w:rFonts w:hint="default" w:ascii="宋体" w:hAnsi="宋体"/>
                <w:b/>
                <w:szCs w:val="21"/>
              </w:rPr>
              <w:t xml:space="preserve"> </w:t>
            </w:r>
            <w:r>
              <w:rPr>
                <w:rFonts w:hint="eastAsia" w:ascii="宋体" w:hAnsi="宋体"/>
                <w:b/>
                <w:szCs w:val="21"/>
                <w:lang w:val="en-US" w:eastAsia="zh-CN"/>
              </w:rPr>
              <w:t xml:space="preserve"> </w:t>
            </w:r>
            <w:r>
              <w:rPr>
                <w:rFonts w:hint="default" w:ascii="宋体" w:hAnsi="宋体"/>
                <w:b/>
                <w:szCs w:val="21"/>
              </w:rPr>
              <w:t xml:space="preserve"> </w:t>
            </w:r>
            <w:r>
              <w:rPr>
                <w:rFonts w:hint="eastAsia" w:ascii="宋体" w:hAnsi="宋体"/>
                <w:b/>
                <w:color w:val="000000"/>
                <w:spacing w:val="-4"/>
                <w:szCs w:val="21"/>
              </w:rPr>
              <w:t>本项目</w:t>
            </w:r>
            <w:r>
              <w:rPr>
                <w:rFonts w:hint="default" w:ascii="宋体" w:hAnsi="宋体"/>
                <w:b/>
                <w:szCs w:val="21"/>
              </w:rPr>
              <w:t>生</w:t>
            </w:r>
            <w:r>
              <w:rPr>
                <w:rFonts w:hint="default" w:ascii="宋体" w:hAnsi="宋体"/>
                <w:b/>
                <w:color w:val="000000" w:themeColor="text1"/>
                <w:szCs w:val="21"/>
                <w14:textFill>
                  <w14:solidFill>
                    <w14:schemeClr w14:val="tx1"/>
                  </w14:solidFill>
                </w14:textFill>
              </w:rPr>
              <w:t>产工艺流程及产污环节图</w:t>
            </w:r>
          </w:p>
          <w:p w14:paraId="5EFF1A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b/>
                <w:sz w:val="24"/>
              </w:rPr>
            </w:pPr>
            <w:r>
              <w:rPr>
                <w:rFonts w:hint="default" w:hAnsi="宋体"/>
                <w:b/>
                <w:sz w:val="24"/>
              </w:rPr>
              <w:t>工艺流程说明：</w:t>
            </w:r>
          </w:p>
          <w:p w14:paraId="2149BA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b w:val="0"/>
                <w:bCs/>
                <w:color w:val="auto"/>
                <w:sz w:val="24"/>
                <w:szCs w:val="24"/>
                <w:u w:val="none"/>
                <w:lang w:val="en-US" w:eastAsia="zh-CN"/>
              </w:rPr>
            </w:pPr>
            <w:r>
              <w:rPr>
                <w:rFonts w:hint="eastAsia"/>
                <w:b w:val="0"/>
                <w:bCs/>
                <w:color w:val="auto"/>
                <w:sz w:val="24"/>
                <w:szCs w:val="24"/>
                <w:u w:val="none"/>
                <w:lang w:val="en-US" w:eastAsia="zh-CN"/>
              </w:rPr>
              <w:t>1、下料：根据产品需要，利用数控车床将圆钢加工成所需要的尺寸，下料过程使用配制好的水性切削液，切削液与水比例为1:45。水性切削液需定期补充。此过程产生噪声及废边角料；</w:t>
            </w:r>
          </w:p>
          <w:p w14:paraId="4EFBF3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b w:val="0"/>
                <w:bCs/>
                <w:color w:val="000000" w:themeColor="text1"/>
                <w:sz w:val="24"/>
                <w:szCs w:val="24"/>
                <w:u w:val="none"/>
                <w:lang w:val="en-US" w:eastAsia="zh-CN"/>
                <w14:textFill>
                  <w14:solidFill>
                    <w14:schemeClr w14:val="tx1"/>
                  </w14:solidFill>
                </w14:textFill>
              </w:rPr>
            </w:pPr>
            <w:r>
              <w:rPr>
                <w:rFonts w:hint="eastAsia"/>
                <w:b w:val="0"/>
                <w:bCs/>
                <w:color w:val="auto"/>
                <w:sz w:val="24"/>
                <w:szCs w:val="24"/>
                <w:u w:val="none"/>
                <w:lang w:val="en-US" w:eastAsia="zh-CN"/>
              </w:rPr>
              <w:t>2、粗车：使用数控车床对加工成合适尺寸的圆钢进行粗加工，该过程需使用水性切削液，切削液与水比例为1:45。水性切削液需</w:t>
            </w:r>
            <w:r>
              <w:rPr>
                <w:rFonts w:hint="eastAsia"/>
                <w:b w:val="0"/>
                <w:bCs/>
                <w:color w:val="000000" w:themeColor="text1"/>
                <w:sz w:val="24"/>
                <w:szCs w:val="24"/>
                <w:u w:val="none"/>
                <w:lang w:val="en-US" w:eastAsia="zh-CN"/>
                <w14:textFill>
                  <w14:solidFill>
                    <w14:schemeClr w14:val="tx1"/>
                  </w14:solidFill>
                </w14:textFill>
              </w:rPr>
              <w:t>定期补充。水性切削液使用时用水稀释，切削液含量较低，且切削液内不含挥发性有机物，切削过程中无废气产生。此过程产生噪声及废边角料；</w:t>
            </w:r>
          </w:p>
          <w:p w14:paraId="2EF31F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b w:val="0"/>
                <w:bCs/>
                <w:color w:val="000000" w:themeColor="text1"/>
                <w:sz w:val="24"/>
                <w:szCs w:val="24"/>
                <w:highlight w:val="none"/>
                <w:u w:val="none"/>
                <w:lang w:val="en-US" w:eastAsia="zh-CN"/>
                <w14:textFill>
                  <w14:solidFill>
                    <w14:schemeClr w14:val="tx1"/>
                  </w14:solidFill>
                </w14:textFill>
              </w:rPr>
            </w:pPr>
            <w:r>
              <w:rPr>
                <w:rFonts w:hint="eastAsia"/>
                <w:b w:val="0"/>
                <w:bCs/>
                <w:color w:val="000000" w:themeColor="text1"/>
                <w:sz w:val="24"/>
                <w:szCs w:val="24"/>
                <w:highlight w:val="none"/>
                <w:u w:val="none"/>
                <w:lang w:val="en-US" w:eastAsia="zh-CN"/>
                <w14:textFill>
                  <w14:solidFill>
                    <w14:schemeClr w14:val="tx1"/>
                  </w14:solidFill>
                </w14:textFill>
              </w:rPr>
              <w:t>3、电加热：使用小型电加热炉对粗车后的工件进行加热，加热温度约800-840</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w:t>
            </w:r>
            <w:r>
              <w:rPr>
                <w:rFonts w:hint="eastAsia" w:cs="Times New Roman"/>
                <w:b w:val="0"/>
                <w:bCs/>
                <w:color w:val="000000" w:themeColor="text1"/>
                <w:sz w:val="24"/>
                <w:szCs w:val="24"/>
                <w:highlight w:val="none"/>
                <w:u w:val="none"/>
                <w:lang w:val="en-US" w:eastAsia="zh-CN"/>
                <w14:textFill>
                  <w14:solidFill>
                    <w14:schemeClr w14:val="tx1"/>
                  </w14:solidFill>
                </w14:textFill>
              </w:rPr>
              <w:t>。</w:t>
            </w:r>
          </w:p>
          <w:p w14:paraId="05A0D06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440" w:lineRule="exact"/>
              <w:ind w:left="0" w:right="0" w:rightChars="0" w:firstLine="480" w:firstLineChars="200"/>
              <w:jc w:val="both"/>
              <w:textAlignment w:val="baseline"/>
              <w:rPr>
                <w:rFonts w:hint="default" w:hAnsi="宋体"/>
                <w:bCs/>
                <w:color w:val="000000"/>
                <w:sz w:val="24"/>
                <w:lang w:val="en-US" w:eastAsia="zh-CN"/>
              </w:rPr>
            </w:pPr>
            <w:r>
              <w:rPr>
                <w:rFonts w:hint="eastAsia"/>
                <w:b w:val="0"/>
                <w:bCs/>
                <w:color w:val="000000" w:themeColor="text1"/>
                <w:sz w:val="24"/>
                <w:szCs w:val="24"/>
                <w:highlight w:val="none"/>
                <w:u w:val="none"/>
                <w:lang w:val="en-US" w:eastAsia="zh-CN"/>
                <w14:textFill>
                  <w14:solidFill>
                    <w14:schemeClr w14:val="tx1"/>
                  </w14:solidFill>
                </w14:textFill>
              </w:rPr>
              <w:t>4、淬火：将工件</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进入淬火池</w:t>
            </w:r>
            <w:r>
              <w:rPr>
                <w:rFonts w:hint="eastAsia"/>
                <w:b w:val="0"/>
                <w:bCs/>
                <w:color w:val="000000" w:themeColor="text1"/>
                <w:sz w:val="24"/>
                <w:szCs w:val="24"/>
                <w:highlight w:val="none"/>
                <w:u w:val="none"/>
                <w:lang w:val="en-US" w:eastAsia="zh-CN"/>
                <w14:textFill>
                  <w14:solidFill>
                    <w14:schemeClr w14:val="tx1"/>
                  </w14:solidFill>
                </w14:textFill>
              </w:rPr>
              <w:t>进行淬火，</w:t>
            </w:r>
            <w:r>
              <w:rPr>
                <w:rFonts w:hint="eastAsia" w:ascii="宋体" w:hAnsi="宋体" w:eastAsia="宋体" w:cs="宋体"/>
                <w:bCs/>
                <w:color w:val="000000"/>
                <w:sz w:val="24"/>
                <w:lang w:val="en-US" w:eastAsia="zh-CN"/>
              </w:rPr>
              <w:t>本项目采用</w:t>
            </w:r>
            <w:r>
              <w:rPr>
                <w:rFonts w:hint="eastAsia" w:ascii="宋体" w:hAnsi="宋体" w:cs="宋体"/>
                <w:bCs/>
                <w:color w:val="000000"/>
                <w:sz w:val="24"/>
                <w:lang w:val="en-US" w:eastAsia="zh-CN"/>
              </w:rPr>
              <w:t>水溶性</w:t>
            </w:r>
            <w:r>
              <w:rPr>
                <w:rFonts w:hint="eastAsia" w:ascii="宋体" w:hAnsi="宋体" w:eastAsia="宋体" w:cs="宋体"/>
                <w:bCs/>
                <w:color w:val="000000"/>
                <w:sz w:val="24"/>
                <w:lang w:val="en-US" w:eastAsia="zh-CN"/>
              </w:rPr>
              <w:t>淬火液作为淬火介质，使用时</w:t>
            </w:r>
            <w:r>
              <w:rPr>
                <w:rFonts w:hint="eastAsia" w:ascii="宋体" w:hAnsi="宋体" w:cs="宋体"/>
                <w:bCs/>
                <w:color w:val="000000"/>
                <w:sz w:val="24"/>
                <w:lang w:val="en-US" w:eastAsia="zh-CN"/>
              </w:rPr>
              <w:t>水溶性</w:t>
            </w:r>
            <w:r>
              <w:rPr>
                <w:rFonts w:hint="eastAsia" w:ascii="宋体" w:hAnsi="宋体" w:eastAsia="宋体" w:cs="宋体"/>
                <w:bCs/>
                <w:color w:val="000000"/>
                <w:sz w:val="24"/>
                <w:lang w:val="en-US" w:eastAsia="zh-CN"/>
              </w:rPr>
              <w:t>淬火液与水比例为</w:t>
            </w:r>
            <w:r>
              <w:rPr>
                <w:rFonts w:hint="default" w:ascii="Times New Roman" w:hAnsi="Times New Roman" w:eastAsia="宋体" w:cs="Times New Roman"/>
                <w:bCs/>
                <w:color w:val="000000"/>
                <w:sz w:val="24"/>
                <w:lang w:val="en-US" w:eastAsia="zh-CN"/>
              </w:rPr>
              <w:t>1:</w:t>
            </w:r>
            <w:r>
              <w:rPr>
                <w:rFonts w:hint="eastAsia" w:ascii="Times New Roman" w:hAnsi="Times New Roman" w:eastAsia="宋体" w:cs="Times New Roman"/>
                <w:bCs/>
                <w:color w:val="000000"/>
                <w:sz w:val="24"/>
                <w:lang w:val="en-US" w:eastAsia="zh-CN"/>
              </w:rPr>
              <w:t>45</w:t>
            </w:r>
            <w:r>
              <w:rPr>
                <w:rFonts w:hint="eastAsia" w:ascii="宋体" w:hAnsi="宋体" w:eastAsia="宋体" w:cs="宋体"/>
                <w:bCs/>
                <w:color w:val="000000"/>
                <w:sz w:val="24"/>
                <w:lang w:val="en-US" w:eastAsia="zh-CN"/>
              </w:rPr>
              <w:t>，暂存于淬火</w:t>
            </w:r>
            <w:r>
              <w:rPr>
                <w:rFonts w:hint="eastAsia" w:ascii="宋体" w:hAnsi="宋体" w:cs="宋体"/>
                <w:bCs/>
                <w:color w:val="000000"/>
                <w:sz w:val="24"/>
                <w:lang w:val="en-US" w:eastAsia="zh-CN"/>
              </w:rPr>
              <w:t>池</w:t>
            </w:r>
            <w:r>
              <w:rPr>
                <w:rFonts w:hint="eastAsia" w:ascii="宋体" w:hAnsi="宋体" w:eastAsia="宋体" w:cs="宋体"/>
                <w:bCs/>
                <w:color w:val="000000"/>
                <w:sz w:val="24"/>
                <w:lang w:val="en-US" w:eastAsia="zh-CN"/>
              </w:rPr>
              <w:t>中</w:t>
            </w:r>
            <w:r>
              <w:rPr>
                <w:rFonts w:hint="eastAsia" w:hAnsi="宋体"/>
                <w:bCs/>
                <w:color w:val="000000"/>
                <w:sz w:val="24"/>
                <w:lang w:val="en-US" w:eastAsia="zh-CN"/>
              </w:rPr>
              <w:t>。</w:t>
            </w:r>
            <w:r>
              <w:rPr>
                <w:rFonts w:hint="eastAsia" w:cs="Times New Roman"/>
                <w:b w:val="0"/>
                <w:bCs/>
                <w:color w:val="auto"/>
                <w:sz w:val="24"/>
                <w:highlight w:val="none"/>
                <w:lang w:val="en-US" w:eastAsia="zh-CN"/>
              </w:rPr>
              <w:t>本项目淬火池容积为0.79✕0.79✕3.14✕3=5.879立方米，水性淬火液约占淬火池三分之二容积算，则首次配淬火液约4吨，则需要淬火剂4/46=0.0869565吨，约0.1吨；水4✕45/46=约3.9吨。在生产使用过程中淬火液挥发，需及时补充淬火剂和水，全年需淬火剂0.25吨，水11.25吨。</w:t>
            </w:r>
            <w:r>
              <w:rPr>
                <w:rFonts w:hint="eastAsia" w:hAnsi="宋体"/>
                <w:bCs/>
                <w:color w:val="000000"/>
                <w:sz w:val="24"/>
                <w:lang w:val="en-US" w:eastAsia="zh-CN"/>
              </w:rPr>
              <w:t>该过程不产生有机废气。</w:t>
            </w:r>
          </w:p>
          <w:p w14:paraId="68D408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b w:val="0"/>
                <w:bCs/>
                <w:color w:val="000000" w:themeColor="text1"/>
                <w:sz w:val="24"/>
                <w:szCs w:val="24"/>
                <w:u w:val="none"/>
                <w:lang w:val="en-US" w:eastAsia="zh-CN"/>
                <w14:textFill>
                  <w14:solidFill>
                    <w14:schemeClr w14:val="tx1"/>
                  </w14:solidFill>
                </w14:textFill>
              </w:rPr>
            </w:pPr>
            <w:r>
              <w:rPr>
                <w:rFonts w:hint="eastAsia"/>
                <w:b w:val="0"/>
                <w:bCs/>
                <w:color w:val="000000" w:themeColor="text1"/>
                <w:sz w:val="24"/>
                <w:szCs w:val="24"/>
                <w:u w:val="none"/>
                <w:lang w:val="en-US" w:eastAsia="zh-CN"/>
                <w14:textFill>
                  <w14:solidFill>
                    <w14:schemeClr w14:val="tx1"/>
                  </w14:solidFill>
                </w14:textFill>
              </w:rPr>
              <w:t>5、机加工：使用加工中心对淬火后的工件进一步加工，该过程需使用水性切削液，切削液与水比例为1:45。水性切削液循需定期补充。水性切削液使用时用水稀释，切削液含量较低，且切削液内不含挥发性有机物，切削过程中无废气产生。此过程产生噪声及废边角料；</w:t>
            </w:r>
          </w:p>
          <w:p w14:paraId="4CFB90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b w:val="0"/>
                <w:bCs/>
                <w:color w:val="auto"/>
                <w:sz w:val="24"/>
                <w:szCs w:val="24"/>
                <w:u w:val="none"/>
                <w:lang w:val="en-US" w:eastAsia="zh-CN"/>
              </w:rPr>
            </w:pPr>
            <w:r>
              <w:rPr>
                <w:rFonts w:hint="eastAsia"/>
                <w:b w:val="0"/>
                <w:bCs/>
                <w:color w:val="000000" w:themeColor="text1"/>
                <w:sz w:val="24"/>
                <w:szCs w:val="24"/>
                <w:u w:val="none"/>
                <w:lang w:val="en-US" w:eastAsia="zh-CN"/>
                <w14:textFill>
                  <w14:solidFill>
                    <w14:schemeClr w14:val="tx1"/>
                  </w14:solidFill>
                </w14:textFill>
              </w:rPr>
              <w:t>6、精车：使用数控车床对加工好的工件进行精加工，该过程需使用水性切削液，切削液与水比例为1:45。水性切削液需定期补充。水性切削液使用时用水稀释，切削液含量较低，且切削液内不含挥发性有机物，切削过程中无废气产生。</w:t>
            </w:r>
            <w:r>
              <w:rPr>
                <w:rFonts w:hint="eastAsia"/>
                <w:b w:val="0"/>
                <w:bCs/>
                <w:color w:val="auto"/>
                <w:sz w:val="24"/>
                <w:szCs w:val="24"/>
                <w:u w:val="none"/>
                <w:lang w:val="en-US" w:eastAsia="zh-CN"/>
              </w:rPr>
              <w:t>此过程产生噪声及废边角料；</w:t>
            </w:r>
          </w:p>
          <w:p w14:paraId="5DF437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b w:val="0"/>
                <w:bCs/>
                <w:color w:val="auto"/>
                <w:sz w:val="24"/>
                <w:szCs w:val="24"/>
                <w:u w:val="none"/>
                <w:lang w:val="en-US" w:eastAsia="zh-CN"/>
              </w:rPr>
            </w:pPr>
            <w:r>
              <w:rPr>
                <w:rFonts w:hint="eastAsia"/>
                <w:b w:val="0"/>
                <w:bCs/>
                <w:color w:val="auto"/>
                <w:sz w:val="24"/>
                <w:szCs w:val="24"/>
                <w:u w:val="none"/>
                <w:lang w:val="en-US" w:eastAsia="zh-CN"/>
              </w:rPr>
              <w:t>7、打毛：使用喷砂机对精加工后的工件进行去毛刺处理，设备运行时产生废气和噪声。</w:t>
            </w:r>
          </w:p>
          <w:p w14:paraId="625DC5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b w:val="0"/>
                <w:bCs/>
                <w:color w:val="auto"/>
                <w:sz w:val="24"/>
                <w:szCs w:val="24"/>
                <w:u w:val="none"/>
                <w:lang w:val="en-US" w:eastAsia="zh-CN"/>
              </w:rPr>
            </w:pPr>
            <w:r>
              <w:rPr>
                <w:rFonts w:hint="eastAsia"/>
                <w:b w:val="0"/>
                <w:bCs/>
                <w:color w:val="auto"/>
                <w:sz w:val="24"/>
                <w:szCs w:val="24"/>
                <w:u w:val="none"/>
                <w:lang w:val="en-US" w:eastAsia="zh-CN"/>
              </w:rPr>
              <w:t>8、电镀：本项目电镀工序外协。</w:t>
            </w:r>
          </w:p>
          <w:p w14:paraId="120870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b w:val="0"/>
                <w:bCs/>
                <w:color w:val="000000" w:themeColor="text1"/>
                <w:sz w:val="24"/>
                <w:szCs w:val="24"/>
                <w:u w:val="none"/>
                <w:lang w:val="en-US" w:eastAsia="zh-CN"/>
                <w14:textFill>
                  <w14:solidFill>
                    <w14:schemeClr w14:val="tx1"/>
                  </w14:solidFill>
                </w14:textFill>
              </w:rPr>
            </w:pPr>
            <w:r>
              <w:rPr>
                <w:rFonts w:hint="eastAsia"/>
                <w:b w:val="0"/>
                <w:bCs/>
                <w:color w:val="auto"/>
                <w:sz w:val="24"/>
                <w:szCs w:val="24"/>
                <w:u w:val="none"/>
                <w:lang w:val="en-US" w:eastAsia="zh-CN"/>
              </w:rPr>
              <w:t>9、平磨：使用平面磨床对电镀（外协）好的工件进行平磨，该过程需使用水性切削液，切削液与水比例为1:45。水性切削液循需定期补充。水性切削液使用时用水稀释，切削液含量较低，且切削液内不含挥发性有机物，</w:t>
            </w:r>
            <w:r>
              <w:rPr>
                <w:rFonts w:hint="eastAsia"/>
                <w:b w:val="0"/>
                <w:bCs/>
                <w:color w:val="000000" w:themeColor="text1"/>
                <w:sz w:val="24"/>
                <w:szCs w:val="24"/>
                <w:u w:val="none"/>
                <w:lang w:val="en-US" w:eastAsia="zh-CN"/>
                <w14:textFill>
                  <w14:solidFill>
                    <w14:schemeClr w14:val="tx1"/>
                  </w14:solidFill>
                </w14:textFill>
              </w:rPr>
              <w:t>切削过程中无废气产生。此过程产生噪声及废边角料；</w:t>
            </w:r>
          </w:p>
          <w:p w14:paraId="6A07C0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b w:val="0"/>
                <w:bCs/>
                <w:color w:val="auto"/>
                <w:sz w:val="24"/>
                <w:szCs w:val="24"/>
                <w:u w:val="none"/>
                <w:lang w:val="en-US" w:eastAsia="zh-CN"/>
              </w:rPr>
            </w:pPr>
            <w:r>
              <w:rPr>
                <w:rFonts w:hint="eastAsia"/>
                <w:b w:val="0"/>
                <w:bCs/>
                <w:color w:val="auto"/>
                <w:sz w:val="24"/>
                <w:szCs w:val="24"/>
                <w:u w:val="none"/>
                <w:lang w:val="en-US" w:eastAsia="zh-CN"/>
              </w:rPr>
              <w:t>10、包装：将平磨后的工件进行包装出售。</w:t>
            </w:r>
          </w:p>
          <w:p w14:paraId="42A02D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ascii="宋体" w:hAnsi="宋体"/>
                <w:b/>
                <w:bCs/>
                <w:color w:val="000000"/>
                <w:sz w:val="24"/>
              </w:rPr>
            </w:pPr>
            <w:r>
              <w:rPr>
                <w:rFonts w:hint="eastAsia" w:ascii="宋体" w:hAnsi="宋体"/>
                <w:b/>
                <w:bCs/>
                <w:color w:val="000000"/>
                <w:sz w:val="24"/>
              </w:rPr>
              <w:t>主要污染工序：</w:t>
            </w:r>
          </w:p>
          <w:p w14:paraId="6CEFB4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宋体" w:hAnsi="宋体"/>
                <w:b/>
                <w:color w:val="000000"/>
                <w:sz w:val="24"/>
              </w:rPr>
            </w:pPr>
            <w:r>
              <w:rPr>
                <w:rFonts w:hint="eastAsia"/>
                <w:color w:val="000000"/>
                <w:sz w:val="24"/>
              </w:rPr>
              <w:t>通过工艺流程分析，该项目</w:t>
            </w:r>
            <w:r>
              <w:rPr>
                <w:rFonts w:hint="default"/>
                <w:color w:val="000000"/>
                <w:sz w:val="24"/>
              </w:rPr>
              <w:t>营运期主要产污环节见</w:t>
            </w:r>
            <w:r>
              <w:rPr>
                <w:rFonts w:hint="eastAsia"/>
                <w:color w:val="000000"/>
                <w:sz w:val="24"/>
              </w:rPr>
              <w:t>下表</w:t>
            </w:r>
            <w:r>
              <w:rPr>
                <w:rFonts w:hint="eastAsia" w:ascii="宋体" w:hAnsi="宋体"/>
                <w:color w:val="000000"/>
                <w:sz w:val="24"/>
              </w:rPr>
              <w:t>。</w:t>
            </w:r>
          </w:p>
          <w:p w14:paraId="53907413">
            <w:pPr>
              <w:keepNext w:val="0"/>
              <w:keepLines w:val="0"/>
              <w:suppressLineNumbers w:val="0"/>
              <w:spacing w:before="0" w:beforeAutospacing="0" w:after="0" w:afterAutospacing="0" w:line="440" w:lineRule="exact"/>
              <w:ind w:left="0" w:right="0"/>
              <w:jc w:val="center"/>
              <w:rPr>
                <w:rFonts w:hint="default" w:ascii="宋体" w:hAnsi="宋体"/>
                <w:b/>
                <w:color w:val="000000"/>
                <w:sz w:val="24"/>
                <w:highlight w:val="none"/>
              </w:rPr>
            </w:pPr>
            <w:r>
              <w:rPr>
                <w:rFonts w:hint="eastAsia" w:ascii="宋体" w:hAnsi="宋体"/>
                <w:b/>
                <w:color w:val="000000"/>
                <w:sz w:val="24"/>
                <w:highlight w:val="none"/>
              </w:rPr>
              <w:t>表</w:t>
            </w:r>
            <w:r>
              <w:rPr>
                <w:rFonts w:hint="eastAsia" w:cs="Times New Roman"/>
                <w:b/>
                <w:color w:val="auto"/>
                <w:sz w:val="24"/>
                <w:highlight w:val="none"/>
                <w:lang w:val="en-US" w:eastAsia="zh-CN"/>
              </w:rPr>
              <w:t>16</w:t>
            </w:r>
            <w:r>
              <w:rPr>
                <w:rFonts w:hint="eastAsia" w:ascii="宋体" w:hAnsi="宋体"/>
                <w:b/>
                <w:color w:val="auto"/>
                <w:sz w:val="24"/>
                <w:highlight w:val="none"/>
                <w:lang w:val="en-US" w:eastAsia="zh-CN"/>
              </w:rPr>
              <w:t xml:space="preserve">  </w:t>
            </w:r>
            <w:r>
              <w:rPr>
                <w:rFonts w:hint="eastAsia" w:ascii="宋体" w:hAnsi="宋体"/>
                <w:b/>
                <w:color w:val="auto"/>
                <w:sz w:val="24"/>
                <w:highlight w:val="none"/>
              </w:rPr>
              <w:t>项</w:t>
            </w:r>
            <w:r>
              <w:rPr>
                <w:rFonts w:hint="eastAsia" w:ascii="宋体" w:hAnsi="宋体"/>
                <w:b/>
                <w:color w:val="000000"/>
                <w:sz w:val="24"/>
                <w:highlight w:val="none"/>
              </w:rPr>
              <w:t>目产污环节一览表</w:t>
            </w:r>
          </w:p>
          <w:tbl>
            <w:tblPr>
              <w:tblStyle w:val="22"/>
              <w:tblW w:w="5000" w:type="pct"/>
              <w:jc w:val="center"/>
              <w:tblLayout w:type="autofit"/>
              <w:tblCellMar>
                <w:top w:w="0" w:type="dxa"/>
                <w:left w:w="108" w:type="dxa"/>
                <w:bottom w:w="0" w:type="dxa"/>
                <w:right w:w="108" w:type="dxa"/>
              </w:tblCellMar>
            </w:tblPr>
            <w:tblGrid>
              <w:gridCol w:w="1071"/>
              <w:gridCol w:w="1766"/>
              <w:gridCol w:w="1441"/>
              <w:gridCol w:w="4527"/>
            </w:tblGrid>
            <w:tr w14:paraId="27B729B1">
              <w:tblPrEx>
                <w:tblCellMar>
                  <w:top w:w="0" w:type="dxa"/>
                  <w:left w:w="108" w:type="dxa"/>
                  <w:bottom w:w="0" w:type="dxa"/>
                  <w:right w:w="108" w:type="dxa"/>
                </w:tblCellMar>
              </w:tblPrEx>
              <w:trPr>
                <w:trHeight w:val="397" w:hRule="atLeast"/>
                <w:jc w:val="center"/>
              </w:trPr>
              <w:tc>
                <w:tcPr>
                  <w:tcW w:w="1071" w:type="dxa"/>
                  <w:tcBorders>
                    <w:top w:val="single" w:color="auto" w:sz="8" w:space="0"/>
                    <w:left w:val="nil"/>
                    <w:bottom w:val="single" w:color="auto" w:sz="8" w:space="0"/>
                    <w:right w:val="single" w:color="auto" w:sz="4" w:space="0"/>
                  </w:tcBorders>
                  <w:noWrap w:val="0"/>
                  <w:vAlign w:val="center"/>
                </w:tcPr>
                <w:p w14:paraId="4AC4A251">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污染因素</w:t>
                  </w:r>
                </w:p>
              </w:tc>
              <w:tc>
                <w:tcPr>
                  <w:tcW w:w="1766" w:type="dxa"/>
                  <w:tcBorders>
                    <w:top w:val="single" w:color="auto" w:sz="8" w:space="0"/>
                    <w:left w:val="single" w:color="auto" w:sz="4" w:space="0"/>
                    <w:bottom w:val="single" w:color="auto" w:sz="8" w:space="0"/>
                    <w:right w:val="single" w:color="auto" w:sz="4" w:space="0"/>
                  </w:tcBorders>
                  <w:noWrap w:val="0"/>
                  <w:vAlign w:val="center"/>
                </w:tcPr>
                <w:p w14:paraId="06459AEB">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产污环节</w:t>
                  </w:r>
                </w:p>
              </w:tc>
              <w:tc>
                <w:tcPr>
                  <w:tcW w:w="1441" w:type="dxa"/>
                  <w:tcBorders>
                    <w:top w:val="single" w:color="auto" w:sz="8" w:space="0"/>
                    <w:left w:val="single" w:color="auto" w:sz="4" w:space="0"/>
                    <w:bottom w:val="single" w:color="auto" w:sz="8" w:space="0"/>
                    <w:right w:val="single" w:color="auto" w:sz="4" w:space="0"/>
                  </w:tcBorders>
                  <w:noWrap w:val="0"/>
                  <w:vAlign w:val="center"/>
                </w:tcPr>
                <w:p w14:paraId="3D65291D">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污染物</w:t>
                  </w:r>
                </w:p>
              </w:tc>
              <w:tc>
                <w:tcPr>
                  <w:tcW w:w="4527" w:type="dxa"/>
                  <w:tcBorders>
                    <w:top w:val="single" w:color="auto" w:sz="8" w:space="0"/>
                    <w:left w:val="single" w:color="auto" w:sz="4" w:space="0"/>
                    <w:bottom w:val="single" w:color="auto" w:sz="8" w:space="0"/>
                    <w:right w:val="nil"/>
                  </w:tcBorders>
                  <w:noWrap w:val="0"/>
                  <w:vAlign w:val="center"/>
                </w:tcPr>
                <w:p w14:paraId="0F3D33D5">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污染防治措施</w:t>
                  </w:r>
                </w:p>
              </w:tc>
            </w:tr>
            <w:tr w14:paraId="039C3CA5">
              <w:tblPrEx>
                <w:tblCellMar>
                  <w:top w:w="0" w:type="dxa"/>
                  <w:left w:w="108" w:type="dxa"/>
                  <w:bottom w:w="0" w:type="dxa"/>
                  <w:right w:w="108" w:type="dxa"/>
                </w:tblCellMar>
              </w:tblPrEx>
              <w:trPr>
                <w:trHeight w:val="397" w:hRule="atLeast"/>
                <w:jc w:val="center"/>
              </w:trPr>
              <w:tc>
                <w:tcPr>
                  <w:tcW w:w="1071" w:type="dxa"/>
                  <w:tcBorders>
                    <w:top w:val="single" w:color="auto" w:sz="8" w:space="0"/>
                    <w:left w:val="nil"/>
                    <w:right w:val="single" w:color="auto" w:sz="4" w:space="0"/>
                  </w:tcBorders>
                  <w:noWrap w:val="0"/>
                  <w:vAlign w:val="center"/>
                </w:tcPr>
                <w:p w14:paraId="442984A2">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1"/>
                      <w:szCs w:val="21"/>
                      <w:highlight w:val="none"/>
                    </w:rPr>
                  </w:pPr>
                  <w:r>
                    <w:rPr>
                      <w:rFonts w:hint="eastAsia" w:ascii="宋体" w:hAnsi="宋体"/>
                      <w:color w:val="auto"/>
                      <w:sz w:val="21"/>
                      <w:szCs w:val="21"/>
                      <w:highlight w:val="none"/>
                    </w:rPr>
                    <w:t>废气</w:t>
                  </w:r>
                </w:p>
              </w:tc>
              <w:tc>
                <w:tcPr>
                  <w:tcW w:w="1766" w:type="dxa"/>
                  <w:tcBorders>
                    <w:top w:val="single" w:color="auto" w:sz="8" w:space="0"/>
                    <w:left w:val="single" w:color="auto" w:sz="4" w:space="0"/>
                    <w:bottom w:val="single" w:color="auto" w:sz="4" w:space="0"/>
                    <w:right w:val="single" w:color="auto" w:sz="4" w:space="0"/>
                  </w:tcBorders>
                  <w:noWrap w:val="0"/>
                  <w:vAlign w:val="center"/>
                </w:tcPr>
                <w:p w14:paraId="29D21A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宋体" w:hAnsi="宋体" w:eastAsia="宋体"/>
                      <w:color w:val="auto"/>
                      <w:sz w:val="21"/>
                      <w:szCs w:val="21"/>
                      <w:highlight w:val="none"/>
                      <w:lang w:val="en-US" w:eastAsia="zh-CN"/>
                    </w:rPr>
                  </w:pPr>
                  <w:r>
                    <w:rPr>
                      <w:rFonts w:hint="eastAsia" w:ascii="宋体" w:hAnsi="宋体"/>
                      <w:color w:val="auto"/>
                      <w:sz w:val="21"/>
                      <w:szCs w:val="21"/>
                      <w:highlight w:val="none"/>
                      <w:lang w:val="en-US" w:eastAsia="zh-CN"/>
                    </w:rPr>
                    <w:t>打毛工序</w:t>
                  </w:r>
                </w:p>
              </w:tc>
              <w:tc>
                <w:tcPr>
                  <w:tcW w:w="1441" w:type="dxa"/>
                  <w:tcBorders>
                    <w:top w:val="single" w:color="auto" w:sz="8" w:space="0"/>
                    <w:left w:val="single" w:color="auto" w:sz="4" w:space="0"/>
                    <w:bottom w:val="single" w:color="auto" w:sz="4" w:space="0"/>
                    <w:right w:val="single" w:color="auto" w:sz="4" w:space="0"/>
                  </w:tcBorders>
                  <w:noWrap w:val="0"/>
                  <w:vAlign w:val="center"/>
                </w:tcPr>
                <w:p w14:paraId="6D6AE6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outlineLvl w:val="9"/>
                    <w:rPr>
                      <w:rFonts w:hint="default" w:ascii="宋体" w:hAnsi="宋体"/>
                      <w:color w:val="auto"/>
                      <w:sz w:val="21"/>
                      <w:szCs w:val="21"/>
                      <w:highlight w:val="none"/>
                      <w:vertAlign w:val="baseline"/>
                      <w:lang w:val="en-US" w:eastAsia="zh-CN"/>
                    </w:rPr>
                  </w:pPr>
                  <w:r>
                    <w:rPr>
                      <w:rFonts w:hint="eastAsia" w:cs="Times New Roman"/>
                      <w:color w:val="000000"/>
                      <w:kern w:val="0"/>
                      <w:sz w:val="21"/>
                      <w:szCs w:val="21"/>
                      <w:lang w:val="en-US" w:eastAsia="zh-CN"/>
                    </w:rPr>
                    <w:t>颗粒物</w:t>
                  </w:r>
                </w:p>
              </w:tc>
              <w:tc>
                <w:tcPr>
                  <w:tcW w:w="4527" w:type="dxa"/>
                  <w:tcBorders>
                    <w:top w:val="single" w:color="auto" w:sz="8" w:space="0"/>
                    <w:left w:val="single" w:color="auto" w:sz="4" w:space="0"/>
                    <w:bottom w:val="single" w:color="auto" w:sz="4" w:space="0"/>
                    <w:right w:val="nil"/>
                  </w:tcBorders>
                  <w:noWrap w:val="0"/>
                  <w:vAlign w:val="center"/>
                </w:tcPr>
                <w:p w14:paraId="5237BADF">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ind w:left="0" w:leftChars="0" w:right="0" w:rightChars="0"/>
                    <w:jc w:val="center"/>
                    <w:textAlignment w:val="auto"/>
                    <w:outlineLvl w:val="9"/>
                    <w:rPr>
                      <w:rFonts w:hint="default" w:eastAsia="宋体"/>
                      <w:color w:val="auto"/>
                      <w:sz w:val="21"/>
                      <w:szCs w:val="21"/>
                      <w:highlight w:val="yellow"/>
                      <w:lang w:val="en-US" w:eastAsia="zh-CN"/>
                    </w:rPr>
                  </w:pPr>
                  <w:r>
                    <w:rPr>
                      <w:rFonts w:hint="eastAsia" w:cs="Times New Roman" w:eastAsiaTheme="minorEastAsia"/>
                      <w:color w:val="000000" w:themeColor="text1"/>
                      <w:sz w:val="21"/>
                      <w:szCs w:val="21"/>
                      <w:highlight w:val="none"/>
                      <w:lang w:val="en-US" w:eastAsia="zh-CN"/>
                      <w14:textFill>
                        <w14:solidFill>
                          <w14:schemeClr w14:val="tx1"/>
                        </w14:solidFill>
                      </w14:textFill>
                    </w:rPr>
                    <w:t>废气经设备自带除尘箱（滤筒除尘器）治理，尾气经一根15米高排气筒（DA001）排放。</w:t>
                  </w:r>
                </w:p>
              </w:tc>
            </w:tr>
            <w:tr w14:paraId="2A7EA49E">
              <w:tblPrEx>
                <w:tblCellMar>
                  <w:top w:w="0" w:type="dxa"/>
                  <w:left w:w="108" w:type="dxa"/>
                  <w:bottom w:w="0" w:type="dxa"/>
                  <w:right w:w="108" w:type="dxa"/>
                </w:tblCellMar>
              </w:tblPrEx>
              <w:trPr>
                <w:trHeight w:val="397" w:hRule="atLeast"/>
                <w:jc w:val="center"/>
              </w:trPr>
              <w:tc>
                <w:tcPr>
                  <w:tcW w:w="1071" w:type="dxa"/>
                  <w:tcBorders>
                    <w:top w:val="single" w:color="auto" w:sz="4" w:space="0"/>
                    <w:left w:val="nil"/>
                    <w:right w:val="single" w:color="auto" w:sz="4" w:space="0"/>
                  </w:tcBorders>
                  <w:noWrap w:val="0"/>
                  <w:vAlign w:val="center"/>
                </w:tcPr>
                <w:p w14:paraId="09D92BDC">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eastAsia="宋体"/>
                      <w:color w:val="auto"/>
                      <w:sz w:val="21"/>
                      <w:szCs w:val="21"/>
                      <w:highlight w:val="none"/>
                      <w:lang w:eastAsia="zh-CN"/>
                    </w:rPr>
                  </w:pPr>
                  <w:r>
                    <w:rPr>
                      <w:rFonts w:hint="eastAsia" w:ascii="宋体" w:hAnsi="宋体"/>
                      <w:color w:val="auto"/>
                      <w:sz w:val="21"/>
                      <w:szCs w:val="21"/>
                      <w:highlight w:val="none"/>
                      <w:lang w:eastAsia="zh-CN"/>
                    </w:rPr>
                    <w:t>废水</w:t>
                  </w:r>
                </w:p>
              </w:tc>
              <w:tc>
                <w:tcPr>
                  <w:tcW w:w="1766" w:type="dxa"/>
                  <w:tcBorders>
                    <w:top w:val="single" w:color="auto" w:sz="4" w:space="0"/>
                    <w:left w:val="single" w:color="auto" w:sz="4" w:space="0"/>
                    <w:bottom w:val="single" w:color="auto" w:sz="4" w:space="0"/>
                    <w:right w:val="single" w:color="auto" w:sz="4" w:space="0"/>
                  </w:tcBorders>
                  <w:noWrap w:val="0"/>
                  <w:vAlign w:val="center"/>
                </w:tcPr>
                <w:p w14:paraId="1DD455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宋体" w:hAnsi="宋体"/>
                      <w:color w:val="auto"/>
                      <w:sz w:val="21"/>
                      <w:szCs w:val="21"/>
                      <w:highlight w:val="none"/>
                      <w:lang w:val="en-US" w:eastAsia="zh-CN"/>
                    </w:rPr>
                  </w:pPr>
                  <w:r>
                    <w:rPr>
                      <w:rFonts w:hint="eastAsia" w:ascii="宋体" w:hAnsi="宋体"/>
                      <w:color w:val="auto"/>
                      <w:sz w:val="21"/>
                      <w:szCs w:val="21"/>
                      <w:highlight w:val="none"/>
                      <w:lang w:val="en-US" w:eastAsia="zh-CN"/>
                    </w:rPr>
                    <w:t>生活污水</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108691B7">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000000"/>
                      <w:kern w:val="0"/>
                      <w:sz w:val="21"/>
                      <w:szCs w:val="21"/>
                      <w:highlight w:val="none"/>
                      <w:lang w:val="en-US" w:eastAsia="zh-CN"/>
                    </w:rPr>
                  </w:pPr>
                  <w:r>
                    <w:rPr>
                      <w:rFonts w:hint="eastAsia" w:cs="Times New Roman"/>
                      <w:color w:val="000000"/>
                      <w:kern w:val="0"/>
                      <w:sz w:val="21"/>
                      <w:szCs w:val="21"/>
                      <w:highlight w:val="none"/>
                      <w:lang w:val="en-US" w:eastAsia="zh-CN"/>
                    </w:rPr>
                    <w:t>COD、NH</w:t>
                  </w:r>
                  <w:r>
                    <w:rPr>
                      <w:rFonts w:hint="eastAsia" w:cs="Times New Roman"/>
                      <w:color w:val="000000"/>
                      <w:kern w:val="0"/>
                      <w:sz w:val="21"/>
                      <w:szCs w:val="21"/>
                      <w:highlight w:val="none"/>
                      <w:vertAlign w:val="subscript"/>
                      <w:lang w:val="en-US" w:eastAsia="zh-CN"/>
                    </w:rPr>
                    <w:t>3</w:t>
                  </w:r>
                  <w:r>
                    <w:rPr>
                      <w:rFonts w:hint="eastAsia" w:cs="Times New Roman"/>
                      <w:color w:val="000000"/>
                      <w:kern w:val="0"/>
                      <w:sz w:val="21"/>
                      <w:szCs w:val="21"/>
                      <w:highlight w:val="none"/>
                      <w:lang w:val="en-US" w:eastAsia="zh-CN"/>
                    </w:rPr>
                    <w:t>-N、TP、TN、SS</w:t>
                  </w:r>
                </w:p>
              </w:tc>
              <w:tc>
                <w:tcPr>
                  <w:tcW w:w="4527" w:type="dxa"/>
                  <w:tcBorders>
                    <w:top w:val="single" w:color="auto" w:sz="4" w:space="0"/>
                    <w:left w:val="single" w:color="auto" w:sz="4" w:space="0"/>
                    <w:bottom w:val="single" w:color="auto" w:sz="4" w:space="0"/>
                    <w:right w:val="nil"/>
                  </w:tcBorders>
                  <w:noWrap w:val="0"/>
                  <w:vAlign w:val="center"/>
                </w:tcPr>
                <w:p w14:paraId="32DCA0C8">
                  <w:pPr>
                    <w:keepNext w:val="0"/>
                    <w:keepLines w:val="0"/>
                    <w:suppressLineNumbers w:val="0"/>
                    <w:snapToGrid w:val="0"/>
                    <w:spacing w:before="0" w:beforeAutospacing="0" w:after="0" w:afterAutospacing="0"/>
                    <w:ind w:left="0" w:leftChars="0" w:right="0" w:rightChars="0"/>
                    <w:jc w:val="center"/>
                    <w:rPr>
                      <w:rFonts w:hint="eastAsia" w:cs="Times New Roman" w:eastAsiaTheme="minorEastAsia"/>
                      <w:color w:val="000000" w:themeColor="text1"/>
                      <w:sz w:val="21"/>
                      <w:szCs w:val="21"/>
                      <w:highlight w:val="none"/>
                      <w:lang w:val="en-US" w:eastAsia="zh-CN"/>
                      <w14:textFill>
                        <w14:solidFill>
                          <w14:schemeClr w14:val="tx1"/>
                        </w14:solidFill>
                      </w14:textFill>
                    </w:rPr>
                  </w:pPr>
                  <w:r>
                    <w:rPr>
                      <w:rFonts w:hint="eastAsia" w:cs="Times New Roman" w:eastAsiaTheme="minorEastAsia"/>
                      <w:color w:val="000000" w:themeColor="text1"/>
                      <w:sz w:val="21"/>
                      <w:szCs w:val="21"/>
                      <w:highlight w:val="none"/>
                      <w:lang w:val="en-US" w:eastAsia="zh-CN"/>
                      <w14:textFill>
                        <w14:solidFill>
                          <w14:schemeClr w14:val="tx1"/>
                        </w14:solidFill>
                      </w14:textFill>
                    </w:rPr>
                    <w:t>经化粪池处理后经污水管网排至新乡县综合污水处理厂进一步处理。</w:t>
                  </w:r>
                </w:p>
              </w:tc>
            </w:tr>
            <w:tr w14:paraId="5D0335FD">
              <w:tblPrEx>
                <w:tblCellMar>
                  <w:top w:w="0" w:type="dxa"/>
                  <w:left w:w="108" w:type="dxa"/>
                  <w:bottom w:w="0" w:type="dxa"/>
                  <w:right w:w="108" w:type="dxa"/>
                </w:tblCellMar>
              </w:tblPrEx>
              <w:trPr>
                <w:trHeight w:val="397" w:hRule="atLeast"/>
                <w:jc w:val="center"/>
              </w:trPr>
              <w:tc>
                <w:tcPr>
                  <w:tcW w:w="1071" w:type="dxa"/>
                  <w:tcBorders>
                    <w:top w:val="single" w:color="auto" w:sz="4" w:space="0"/>
                    <w:left w:val="nil"/>
                    <w:bottom w:val="single" w:color="auto" w:sz="4" w:space="0"/>
                    <w:right w:val="single" w:color="auto" w:sz="4" w:space="0"/>
                  </w:tcBorders>
                  <w:noWrap w:val="0"/>
                  <w:vAlign w:val="center"/>
                </w:tcPr>
                <w:p w14:paraId="71056FB3">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lang w:val="en-US" w:eastAsia="zh-CN"/>
                    </w:rPr>
                  </w:pPr>
                  <w:r>
                    <w:rPr>
                      <w:rFonts w:hint="eastAsia" w:ascii="宋体" w:hAnsi="宋体"/>
                      <w:color w:val="auto"/>
                      <w:sz w:val="21"/>
                      <w:szCs w:val="21"/>
                      <w:highlight w:val="none"/>
                    </w:rPr>
                    <w:t>噪声</w:t>
                  </w:r>
                </w:p>
              </w:tc>
              <w:tc>
                <w:tcPr>
                  <w:tcW w:w="1766" w:type="dxa"/>
                  <w:tcBorders>
                    <w:top w:val="single" w:color="auto" w:sz="4" w:space="0"/>
                    <w:left w:val="single" w:color="auto" w:sz="4" w:space="0"/>
                    <w:bottom w:val="single" w:color="auto" w:sz="4" w:space="0"/>
                    <w:right w:val="single" w:color="auto" w:sz="4" w:space="0"/>
                  </w:tcBorders>
                  <w:noWrap w:val="0"/>
                  <w:vAlign w:val="center"/>
                </w:tcPr>
                <w:p w14:paraId="49FFE2F8">
                  <w:pPr>
                    <w:keepNext w:val="0"/>
                    <w:keepLines w:val="0"/>
                    <w:suppressLineNumbers w:val="0"/>
                    <w:adjustRightInd w:val="0"/>
                    <w:snapToGrid w:val="0"/>
                    <w:spacing w:before="0" w:beforeAutospacing="0" w:after="0" w:afterAutospacing="0"/>
                    <w:ind w:left="0" w:leftChars="0" w:right="0" w:rightChars="0"/>
                    <w:jc w:val="center"/>
                    <w:rPr>
                      <w:rFonts w:hint="default"/>
                      <w:b w:val="0"/>
                      <w:bCs/>
                      <w:color w:val="auto"/>
                      <w:sz w:val="21"/>
                      <w:szCs w:val="21"/>
                      <w:lang w:val="en-US" w:eastAsia="zh-CN"/>
                    </w:rPr>
                  </w:pPr>
                  <w:r>
                    <w:rPr>
                      <w:rFonts w:hint="eastAsia" w:cs="Times New Roman" w:eastAsiaTheme="majorEastAsia"/>
                      <w:b w:val="0"/>
                      <w:bCs w:val="0"/>
                      <w:color w:val="auto"/>
                      <w:sz w:val="21"/>
                      <w:szCs w:val="21"/>
                      <w:highlight w:val="none"/>
                      <w:u w:val="none"/>
                      <w:lang w:val="en-US" w:eastAsia="zh-CN"/>
                    </w:rPr>
                    <w:t>生产设备</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074AC6D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eastAsia"/>
                      <w:color w:val="auto"/>
                      <w:sz w:val="21"/>
                      <w:szCs w:val="21"/>
                      <w:highlight w:val="none"/>
                    </w:rPr>
                    <w:t>噪声</w:t>
                  </w:r>
                </w:p>
              </w:tc>
              <w:tc>
                <w:tcPr>
                  <w:tcW w:w="4527" w:type="dxa"/>
                  <w:tcBorders>
                    <w:top w:val="single" w:color="auto" w:sz="4" w:space="0"/>
                    <w:left w:val="single" w:color="auto" w:sz="4" w:space="0"/>
                    <w:bottom w:val="single" w:color="auto" w:sz="4" w:space="0"/>
                    <w:right w:val="nil"/>
                  </w:tcBorders>
                  <w:noWrap w:val="0"/>
                  <w:vAlign w:val="center"/>
                </w:tcPr>
                <w:p w14:paraId="5C75DB56">
                  <w:pPr>
                    <w:keepNext w:val="0"/>
                    <w:keepLines w:val="0"/>
                    <w:suppressLineNumbers w:val="0"/>
                    <w:adjustRightInd w:val="0"/>
                    <w:snapToGrid w:val="0"/>
                    <w:spacing w:before="0" w:beforeAutospacing="0" w:after="0" w:afterAutospacing="0"/>
                    <w:ind w:left="0" w:leftChars="0" w:right="0" w:rightChars="0"/>
                    <w:jc w:val="center"/>
                    <w:rPr>
                      <w:rFonts w:hint="eastAsia" w:eastAsiaTheme="minorEastAsia"/>
                      <w:sz w:val="21"/>
                      <w:szCs w:val="21"/>
                      <w:highlight w:val="none"/>
                    </w:rPr>
                  </w:pPr>
                  <w:r>
                    <w:rPr>
                      <w:rFonts w:hint="eastAsia"/>
                      <w:color w:val="auto"/>
                      <w:sz w:val="21"/>
                      <w:szCs w:val="21"/>
                      <w:highlight w:val="none"/>
                    </w:rPr>
                    <w:t>基础减振、厂房</w:t>
                  </w:r>
                  <w:r>
                    <w:rPr>
                      <w:rFonts w:hint="eastAsia"/>
                      <w:color w:val="auto"/>
                      <w:sz w:val="21"/>
                      <w:szCs w:val="21"/>
                      <w:highlight w:val="none"/>
                      <w:lang w:val="en-US" w:eastAsia="zh-CN"/>
                    </w:rPr>
                    <w:t>封闭</w:t>
                  </w:r>
                  <w:r>
                    <w:rPr>
                      <w:rFonts w:hint="eastAsia"/>
                      <w:color w:val="auto"/>
                      <w:sz w:val="21"/>
                      <w:szCs w:val="21"/>
                      <w:highlight w:val="none"/>
                    </w:rPr>
                    <w:t>隔音等</w:t>
                  </w:r>
                </w:p>
              </w:tc>
            </w:tr>
            <w:tr w14:paraId="3864F42B">
              <w:tblPrEx>
                <w:tblCellMar>
                  <w:top w:w="0" w:type="dxa"/>
                  <w:left w:w="108" w:type="dxa"/>
                  <w:bottom w:w="0" w:type="dxa"/>
                  <w:right w:w="108" w:type="dxa"/>
                </w:tblCellMar>
              </w:tblPrEx>
              <w:trPr>
                <w:trHeight w:val="397" w:hRule="atLeast"/>
                <w:jc w:val="center"/>
              </w:trPr>
              <w:tc>
                <w:tcPr>
                  <w:tcW w:w="1071" w:type="dxa"/>
                  <w:vMerge w:val="restart"/>
                  <w:tcBorders>
                    <w:top w:val="single" w:color="auto" w:sz="4" w:space="0"/>
                    <w:left w:val="nil"/>
                    <w:bottom w:val="single" w:color="auto" w:sz="4" w:space="0"/>
                    <w:right w:val="single" w:color="auto" w:sz="4" w:space="0"/>
                  </w:tcBorders>
                  <w:noWrap w:val="0"/>
                  <w:vAlign w:val="center"/>
                </w:tcPr>
                <w:p w14:paraId="59CFFC46">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r>
                    <w:rPr>
                      <w:rFonts w:hint="eastAsia" w:ascii="宋体" w:hAnsi="宋体"/>
                      <w:color w:val="auto"/>
                      <w:sz w:val="21"/>
                      <w:szCs w:val="21"/>
                      <w:highlight w:val="none"/>
                    </w:rPr>
                    <w:t>固废</w:t>
                  </w:r>
                </w:p>
              </w:tc>
              <w:tc>
                <w:tcPr>
                  <w:tcW w:w="1766" w:type="dxa"/>
                  <w:tcBorders>
                    <w:top w:val="single" w:color="auto" w:sz="4" w:space="0"/>
                    <w:left w:val="single" w:color="auto" w:sz="4" w:space="0"/>
                    <w:bottom w:val="single" w:color="auto" w:sz="4" w:space="0"/>
                    <w:right w:val="single" w:color="auto" w:sz="4" w:space="0"/>
                  </w:tcBorders>
                  <w:noWrap w:val="0"/>
                  <w:vAlign w:val="center"/>
                </w:tcPr>
                <w:p w14:paraId="6692F845">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下料、粗车、机加工、精车</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53083E2C">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hAnsi="宋体"/>
                      <w:color w:val="000000" w:themeColor="text1"/>
                      <w:sz w:val="21"/>
                      <w:szCs w:val="21"/>
                      <w14:textFill>
                        <w14:solidFill>
                          <w14:schemeClr w14:val="tx1"/>
                        </w14:solidFill>
                      </w14:textFill>
                    </w:rPr>
                    <w:t>废边角料</w:t>
                  </w:r>
                </w:p>
              </w:tc>
              <w:tc>
                <w:tcPr>
                  <w:tcW w:w="4527" w:type="dxa"/>
                  <w:vMerge w:val="restart"/>
                  <w:tcBorders>
                    <w:top w:val="single" w:color="auto" w:sz="4" w:space="0"/>
                    <w:left w:val="single" w:color="auto" w:sz="4" w:space="0"/>
                    <w:bottom w:val="single" w:color="auto" w:sz="4" w:space="0"/>
                    <w:right w:val="nil"/>
                  </w:tcBorders>
                  <w:noWrap w:val="0"/>
                  <w:vAlign w:val="center"/>
                </w:tcPr>
                <w:p w14:paraId="32CFE2F6">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集中收集后一般固废间暂存，定期外售</w:t>
                  </w:r>
                </w:p>
              </w:tc>
            </w:tr>
            <w:tr w14:paraId="7F874630">
              <w:tblPrEx>
                <w:tblCellMar>
                  <w:top w:w="0" w:type="dxa"/>
                  <w:left w:w="108" w:type="dxa"/>
                  <w:bottom w:w="0" w:type="dxa"/>
                  <w:right w:w="108" w:type="dxa"/>
                </w:tblCellMar>
              </w:tblPrEx>
              <w:trPr>
                <w:trHeight w:val="397" w:hRule="atLeast"/>
                <w:jc w:val="center"/>
              </w:trPr>
              <w:tc>
                <w:tcPr>
                  <w:tcW w:w="1071" w:type="dxa"/>
                  <w:vMerge w:val="continue"/>
                  <w:tcBorders>
                    <w:top w:val="single" w:color="auto" w:sz="4" w:space="0"/>
                    <w:left w:val="nil"/>
                    <w:bottom w:val="single" w:color="auto" w:sz="4" w:space="0"/>
                    <w:right w:val="single" w:color="auto" w:sz="4" w:space="0"/>
                  </w:tcBorders>
                  <w:noWrap w:val="0"/>
                  <w:vAlign w:val="center"/>
                </w:tcPr>
                <w:p w14:paraId="0AFA0656">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766" w:type="dxa"/>
                  <w:vMerge w:val="restart"/>
                  <w:tcBorders>
                    <w:top w:val="single" w:color="auto" w:sz="4" w:space="0"/>
                    <w:left w:val="single" w:color="auto" w:sz="4" w:space="0"/>
                    <w:bottom w:val="single" w:color="auto" w:sz="4" w:space="0"/>
                    <w:right w:val="single" w:color="auto" w:sz="4" w:space="0"/>
                  </w:tcBorders>
                  <w:noWrap w:val="0"/>
                  <w:vAlign w:val="center"/>
                </w:tcPr>
                <w:p w14:paraId="267F6FA4">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废气治理</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4530A097">
                  <w:pPr>
                    <w:keepNext w:val="0"/>
                    <w:keepLines w:val="0"/>
                    <w:suppressLineNumbers w:val="0"/>
                    <w:adjustRightInd w:val="0"/>
                    <w:snapToGrid w:val="0"/>
                    <w:spacing w:before="0" w:beforeAutospacing="0" w:after="0" w:afterAutospacing="0"/>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除尘器滤芯</w:t>
                  </w:r>
                </w:p>
              </w:tc>
              <w:tc>
                <w:tcPr>
                  <w:tcW w:w="4527" w:type="dxa"/>
                  <w:vMerge w:val="continue"/>
                  <w:tcBorders>
                    <w:top w:val="single" w:color="auto" w:sz="4" w:space="0"/>
                    <w:left w:val="single" w:color="auto" w:sz="4" w:space="0"/>
                    <w:bottom w:val="single" w:color="auto" w:sz="4" w:space="0"/>
                    <w:right w:val="nil"/>
                  </w:tcBorders>
                  <w:noWrap w:val="0"/>
                  <w:vAlign w:val="center"/>
                </w:tcPr>
                <w:p w14:paraId="1CC2BBC8">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49ACCE2B">
              <w:tblPrEx>
                <w:tblCellMar>
                  <w:top w:w="0" w:type="dxa"/>
                  <w:left w:w="108" w:type="dxa"/>
                  <w:bottom w:w="0" w:type="dxa"/>
                  <w:right w:w="108" w:type="dxa"/>
                </w:tblCellMar>
              </w:tblPrEx>
              <w:trPr>
                <w:trHeight w:val="397" w:hRule="atLeast"/>
                <w:jc w:val="center"/>
              </w:trPr>
              <w:tc>
                <w:tcPr>
                  <w:tcW w:w="1071" w:type="dxa"/>
                  <w:vMerge w:val="continue"/>
                  <w:tcBorders>
                    <w:top w:val="single" w:color="auto" w:sz="4" w:space="0"/>
                    <w:left w:val="nil"/>
                    <w:bottom w:val="single" w:color="auto" w:sz="4" w:space="0"/>
                    <w:right w:val="single" w:color="auto" w:sz="4" w:space="0"/>
                  </w:tcBorders>
                  <w:noWrap w:val="0"/>
                  <w:vAlign w:val="center"/>
                </w:tcPr>
                <w:p w14:paraId="59788C48">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766" w:type="dxa"/>
                  <w:vMerge w:val="continue"/>
                  <w:tcBorders>
                    <w:top w:val="single" w:color="auto" w:sz="4" w:space="0"/>
                    <w:left w:val="single" w:color="auto" w:sz="4" w:space="0"/>
                    <w:bottom w:val="single" w:color="auto" w:sz="4" w:space="0"/>
                    <w:right w:val="single" w:color="auto" w:sz="4" w:space="0"/>
                  </w:tcBorders>
                  <w:noWrap w:val="0"/>
                  <w:vAlign w:val="center"/>
                </w:tcPr>
                <w:p w14:paraId="485780A1">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p>
              </w:tc>
              <w:tc>
                <w:tcPr>
                  <w:tcW w:w="1441" w:type="dxa"/>
                  <w:tcBorders>
                    <w:top w:val="single" w:color="auto" w:sz="4" w:space="0"/>
                    <w:left w:val="single" w:color="auto" w:sz="4" w:space="0"/>
                    <w:bottom w:val="single" w:color="auto" w:sz="4" w:space="0"/>
                    <w:right w:val="single" w:color="auto" w:sz="4" w:space="0"/>
                  </w:tcBorders>
                  <w:noWrap w:val="0"/>
                  <w:vAlign w:val="center"/>
                </w:tcPr>
                <w:p w14:paraId="312969B0">
                  <w:pPr>
                    <w:keepNext w:val="0"/>
                    <w:keepLines w:val="0"/>
                    <w:suppressLineNumbers w:val="0"/>
                    <w:adjustRightInd w:val="0"/>
                    <w:snapToGrid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除尘器收集尘</w:t>
                  </w:r>
                </w:p>
              </w:tc>
              <w:tc>
                <w:tcPr>
                  <w:tcW w:w="4527" w:type="dxa"/>
                  <w:vMerge w:val="continue"/>
                  <w:tcBorders>
                    <w:top w:val="single" w:color="auto" w:sz="4" w:space="0"/>
                    <w:left w:val="single" w:color="auto" w:sz="4" w:space="0"/>
                    <w:bottom w:val="single" w:color="auto" w:sz="4" w:space="0"/>
                    <w:right w:val="nil"/>
                  </w:tcBorders>
                  <w:noWrap w:val="0"/>
                  <w:vAlign w:val="center"/>
                </w:tcPr>
                <w:p w14:paraId="69C9E769">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4CE8A149">
              <w:tblPrEx>
                <w:tblCellMar>
                  <w:top w:w="0" w:type="dxa"/>
                  <w:left w:w="108" w:type="dxa"/>
                  <w:bottom w:w="0" w:type="dxa"/>
                  <w:right w:w="108" w:type="dxa"/>
                </w:tblCellMar>
              </w:tblPrEx>
              <w:trPr>
                <w:trHeight w:val="397" w:hRule="atLeast"/>
                <w:jc w:val="center"/>
              </w:trPr>
              <w:tc>
                <w:tcPr>
                  <w:tcW w:w="1071" w:type="dxa"/>
                  <w:vMerge w:val="continue"/>
                  <w:tcBorders>
                    <w:top w:val="single" w:color="auto" w:sz="4" w:space="0"/>
                    <w:left w:val="nil"/>
                    <w:bottom w:val="single" w:color="auto" w:sz="4" w:space="0"/>
                    <w:right w:val="single" w:color="auto" w:sz="4" w:space="0"/>
                  </w:tcBorders>
                  <w:noWrap w:val="0"/>
                  <w:vAlign w:val="center"/>
                </w:tcPr>
                <w:p w14:paraId="3ED73DF9">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766" w:type="dxa"/>
                  <w:vMerge w:val="restart"/>
                  <w:tcBorders>
                    <w:top w:val="single" w:color="auto" w:sz="4" w:space="0"/>
                    <w:left w:val="single" w:color="auto" w:sz="4" w:space="0"/>
                    <w:bottom w:val="single" w:color="auto" w:sz="4" w:space="0"/>
                    <w:right w:val="single" w:color="auto" w:sz="4" w:space="0"/>
                  </w:tcBorders>
                  <w:noWrap w:val="0"/>
                  <w:vAlign w:val="center"/>
                </w:tcPr>
                <w:p w14:paraId="22DC9C99">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设备运行</w:t>
                  </w:r>
                </w:p>
              </w:tc>
              <w:tc>
                <w:tcPr>
                  <w:tcW w:w="1441" w:type="dxa"/>
                  <w:tcBorders>
                    <w:top w:val="single" w:color="auto" w:sz="4" w:space="0"/>
                    <w:left w:val="single" w:color="auto" w:sz="4" w:space="0"/>
                    <w:bottom w:val="single" w:color="auto" w:sz="4" w:space="0"/>
                    <w:right w:val="single" w:color="auto" w:sz="4" w:space="0"/>
                  </w:tcBorders>
                  <w:noWrap w:val="0"/>
                  <w:vAlign w:val="center"/>
                </w:tcPr>
                <w:p w14:paraId="67AF5DA8">
                  <w:pPr>
                    <w:keepNext w:val="0"/>
                    <w:keepLines w:val="0"/>
                    <w:suppressLineNumbers w:val="0"/>
                    <w:adjustRightInd w:val="0"/>
                    <w:snapToGrid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废包装桶</w:t>
                  </w:r>
                </w:p>
              </w:tc>
              <w:tc>
                <w:tcPr>
                  <w:tcW w:w="4527" w:type="dxa"/>
                  <w:vMerge w:val="restart"/>
                  <w:tcBorders>
                    <w:top w:val="single" w:color="auto" w:sz="4" w:space="0"/>
                    <w:left w:val="single" w:color="auto" w:sz="4" w:space="0"/>
                    <w:bottom w:val="single" w:color="auto" w:sz="8" w:space="0"/>
                    <w:right w:val="nil"/>
                  </w:tcBorders>
                  <w:noWrap w:val="0"/>
                  <w:vAlign w:val="center"/>
                </w:tcPr>
                <w:p w14:paraId="1E55394A">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集中收集后危废暂存间暂存，定期交由有资质单位处置</w:t>
                  </w:r>
                </w:p>
              </w:tc>
            </w:tr>
            <w:tr w14:paraId="28C26F69">
              <w:tblPrEx>
                <w:tblCellMar>
                  <w:top w:w="0" w:type="dxa"/>
                  <w:left w:w="108" w:type="dxa"/>
                  <w:bottom w:w="0" w:type="dxa"/>
                  <w:right w:w="108" w:type="dxa"/>
                </w:tblCellMar>
              </w:tblPrEx>
              <w:trPr>
                <w:trHeight w:val="397" w:hRule="atLeast"/>
                <w:jc w:val="center"/>
              </w:trPr>
              <w:tc>
                <w:tcPr>
                  <w:tcW w:w="1071" w:type="dxa"/>
                  <w:vMerge w:val="continue"/>
                  <w:tcBorders>
                    <w:top w:val="single" w:color="auto" w:sz="4" w:space="0"/>
                    <w:left w:val="nil"/>
                    <w:bottom w:val="single" w:color="auto" w:sz="4" w:space="0"/>
                    <w:right w:val="single" w:color="auto" w:sz="4" w:space="0"/>
                  </w:tcBorders>
                  <w:noWrap w:val="0"/>
                  <w:vAlign w:val="center"/>
                </w:tcPr>
                <w:p w14:paraId="0DFC4818">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766" w:type="dxa"/>
                  <w:vMerge w:val="continue"/>
                  <w:tcBorders>
                    <w:top w:val="single" w:color="auto" w:sz="4" w:space="0"/>
                    <w:left w:val="single" w:color="auto" w:sz="4" w:space="0"/>
                    <w:bottom w:val="single" w:color="auto" w:sz="4" w:space="0"/>
                    <w:right w:val="single" w:color="auto" w:sz="4" w:space="0"/>
                  </w:tcBorders>
                  <w:noWrap w:val="0"/>
                  <w:vAlign w:val="center"/>
                </w:tcPr>
                <w:p w14:paraId="5F7FE5B0">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c>
                <w:tcPr>
                  <w:tcW w:w="1441" w:type="dxa"/>
                  <w:tcBorders>
                    <w:top w:val="single" w:color="auto" w:sz="4" w:space="0"/>
                    <w:left w:val="single" w:color="auto" w:sz="4" w:space="0"/>
                    <w:bottom w:val="single" w:color="auto" w:sz="4" w:space="0"/>
                    <w:right w:val="single" w:color="auto" w:sz="4" w:space="0"/>
                  </w:tcBorders>
                  <w:noWrap w:val="0"/>
                  <w:vAlign w:val="center"/>
                </w:tcPr>
                <w:p w14:paraId="76F14089">
                  <w:pPr>
                    <w:keepNext w:val="0"/>
                    <w:keepLines w:val="0"/>
                    <w:suppressLineNumbers w:val="0"/>
                    <w:adjustRightInd w:val="0"/>
                    <w:snapToGrid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废金属屑（含切削液）</w:t>
                  </w:r>
                </w:p>
              </w:tc>
              <w:tc>
                <w:tcPr>
                  <w:tcW w:w="4527" w:type="dxa"/>
                  <w:vMerge w:val="continue"/>
                  <w:tcBorders>
                    <w:top w:val="single" w:color="auto" w:sz="8" w:space="0"/>
                    <w:left w:val="single" w:color="auto" w:sz="4" w:space="0"/>
                    <w:bottom w:val="single" w:color="auto" w:sz="8" w:space="0"/>
                    <w:right w:val="nil"/>
                  </w:tcBorders>
                  <w:noWrap w:val="0"/>
                  <w:vAlign w:val="center"/>
                </w:tcPr>
                <w:p w14:paraId="4C8827C7">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r w14:paraId="060536B5">
              <w:tblPrEx>
                <w:tblCellMar>
                  <w:top w:w="0" w:type="dxa"/>
                  <w:left w:w="108" w:type="dxa"/>
                  <w:bottom w:w="0" w:type="dxa"/>
                  <w:right w:w="108" w:type="dxa"/>
                </w:tblCellMar>
              </w:tblPrEx>
              <w:trPr>
                <w:trHeight w:val="397" w:hRule="atLeast"/>
                <w:jc w:val="center"/>
              </w:trPr>
              <w:tc>
                <w:tcPr>
                  <w:tcW w:w="1071" w:type="dxa"/>
                  <w:vMerge w:val="continue"/>
                  <w:tcBorders>
                    <w:top w:val="single" w:color="auto" w:sz="4" w:space="0"/>
                    <w:left w:val="nil"/>
                    <w:bottom w:val="single" w:color="auto" w:sz="8" w:space="0"/>
                    <w:right w:val="single" w:color="auto" w:sz="4" w:space="0"/>
                  </w:tcBorders>
                  <w:noWrap w:val="0"/>
                  <w:vAlign w:val="center"/>
                </w:tcPr>
                <w:p w14:paraId="762434F5">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766" w:type="dxa"/>
                  <w:vMerge w:val="continue"/>
                  <w:tcBorders>
                    <w:top w:val="single" w:color="auto" w:sz="4" w:space="0"/>
                    <w:left w:val="single" w:color="auto" w:sz="4" w:space="0"/>
                    <w:bottom w:val="single" w:color="auto" w:sz="8" w:space="0"/>
                    <w:right w:val="single" w:color="auto" w:sz="4" w:space="0"/>
                  </w:tcBorders>
                  <w:noWrap w:val="0"/>
                  <w:vAlign w:val="center"/>
                </w:tcPr>
                <w:p w14:paraId="021708B7">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c>
                <w:tcPr>
                  <w:tcW w:w="1441" w:type="dxa"/>
                  <w:tcBorders>
                    <w:top w:val="single" w:color="auto" w:sz="4" w:space="0"/>
                    <w:left w:val="single" w:color="auto" w:sz="4" w:space="0"/>
                    <w:bottom w:val="single" w:color="auto" w:sz="8" w:space="0"/>
                    <w:right w:val="single" w:color="auto" w:sz="4" w:space="0"/>
                  </w:tcBorders>
                  <w:noWrap w:val="0"/>
                  <w:vAlign w:val="center"/>
                </w:tcPr>
                <w:p w14:paraId="42D95FEE">
                  <w:pPr>
                    <w:keepNext w:val="0"/>
                    <w:keepLines w:val="0"/>
                    <w:suppressLineNumbers w:val="0"/>
                    <w:adjustRightInd w:val="0"/>
                    <w:snapToGrid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废机油</w:t>
                  </w:r>
                </w:p>
              </w:tc>
              <w:tc>
                <w:tcPr>
                  <w:tcW w:w="4527" w:type="dxa"/>
                  <w:vMerge w:val="continue"/>
                  <w:tcBorders>
                    <w:top w:val="single" w:color="auto" w:sz="8" w:space="0"/>
                    <w:left w:val="single" w:color="auto" w:sz="4" w:space="0"/>
                    <w:bottom w:val="single" w:color="auto" w:sz="8" w:space="0"/>
                    <w:right w:val="nil"/>
                  </w:tcBorders>
                  <w:noWrap w:val="0"/>
                  <w:vAlign w:val="center"/>
                </w:tcPr>
                <w:p w14:paraId="3393283D">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bl>
          <w:p w14:paraId="201B12BA">
            <w:pPr>
              <w:keepNext w:val="0"/>
              <w:keepLines w:val="0"/>
              <w:suppressLineNumbers w:val="0"/>
              <w:adjustRightInd w:val="0"/>
              <w:snapToGrid w:val="0"/>
              <w:spacing w:before="0" w:beforeAutospacing="0" w:after="0" w:afterAutospacing="0"/>
              <w:ind w:left="0" w:right="0"/>
              <w:rPr>
                <w:rFonts w:hint="default"/>
                <w:bCs/>
                <w:szCs w:val="21"/>
              </w:rPr>
            </w:pPr>
          </w:p>
        </w:tc>
      </w:tr>
      <w:tr w14:paraId="6F1CD8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731" w:type="dxa"/>
            <w:noWrap w:val="0"/>
            <w:vAlign w:val="center"/>
          </w:tcPr>
          <w:p w14:paraId="73CF8451">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ascii="Times New Roman" w:hAnsi="Times New Roman"/>
                <w:color w:val="000000" w:themeColor="text1"/>
                <w:sz w:val="21"/>
                <w:szCs w:val="21"/>
                <w:lang w:val="en-US" w:eastAsia="zh-CN"/>
                <w14:textFill>
                  <w14:solidFill>
                    <w14:schemeClr w14:val="tx1"/>
                  </w14:solidFill>
                </w14:textFill>
              </w:rPr>
            </w:pPr>
            <w:r>
              <w:rPr>
                <w:rFonts w:hint="default" w:ascii="Times New Roman"/>
                <w:bCs/>
                <w:color w:val="auto"/>
                <w:kern w:val="2"/>
                <w:sz w:val="24"/>
                <w:szCs w:val="24"/>
                <w:lang w:val="en-US" w:eastAsia="zh-CN"/>
              </w:rPr>
              <w:t>与项目有关的原有环境污染问题</w:t>
            </w:r>
          </w:p>
        </w:tc>
        <w:tc>
          <w:tcPr>
            <w:tcW w:w="9021" w:type="dxa"/>
            <w:noWrap w:val="0"/>
            <w:vAlign w:val="center"/>
          </w:tcPr>
          <w:p w14:paraId="30B15AB6">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047889B8">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4B4AA0FD">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35A75CAB">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58033079">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2E25B93B">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1C6C0B1A">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17A3FE37">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09AEF454">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18E215B6">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4832D391">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p>
          <w:p w14:paraId="19BA3644">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Cs/>
                <w:color w:val="000000"/>
                <w:sz w:val="24"/>
                <w:szCs w:val="24"/>
                <w:highlight w:val="none"/>
                <w:lang w:val="en-US" w:eastAsia="zh-CN"/>
              </w:rPr>
            </w:pPr>
            <w:r>
              <w:rPr>
                <w:rFonts w:hint="eastAsia" w:cs="Times New Roman"/>
                <w:bCs/>
                <w:color w:val="000000"/>
                <w:sz w:val="24"/>
                <w:szCs w:val="24"/>
                <w:highlight w:val="none"/>
                <w:lang w:val="en-US" w:eastAsia="zh-CN"/>
              </w:rPr>
              <w:t>本项目属于新建项目，不存在原有环境污染问题。</w:t>
            </w:r>
          </w:p>
          <w:p w14:paraId="22885A78">
            <w:pPr>
              <w:keepNext w:val="0"/>
              <w:keepLines w:val="0"/>
              <w:suppressLineNumbers w:val="0"/>
              <w:adjustRightInd w:val="0"/>
              <w:snapToGrid w:val="0"/>
              <w:spacing w:before="0" w:beforeAutospacing="0" w:after="0" w:afterAutospacing="0" w:line="440" w:lineRule="exact"/>
              <w:ind w:left="0" w:right="0"/>
              <w:rPr>
                <w:rFonts w:hint="default" w:eastAsia="宋体"/>
                <w:color w:val="000000" w:themeColor="text1"/>
                <w:lang w:val="en-US" w:eastAsia="zh-CN"/>
                <w14:textFill>
                  <w14:solidFill>
                    <w14:schemeClr w14:val="tx1"/>
                  </w14:solidFill>
                </w14:textFill>
              </w:rPr>
            </w:pPr>
          </w:p>
          <w:p w14:paraId="39649BAA">
            <w:pPr>
              <w:pStyle w:val="2"/>
              <w:keepLines w:val="0"/>
              <w:suppressLineNumbers w:val="0"/>
              <w:spacing w:beforeAutospacing="0" w:afterAutospacing="0"/>
              <w:ind w:right="0"/>
              <w:rPr>
                <w:rFonts w:hint="default" w:eastAsia="宋体"/>
                <w:color w:val="000000" w:themeColor="text1"/>
                <w:lang w:val="en-US" w:eastAsia="zh-CN"/>
                <w14:textFill>
                  <w14:solidFill>
                    <w14:schemeClr w14:val="tx1"/>
                  </w14:solidFill>
                </w14:textFill>
              </w:rPr>
            </w:pPr>
          </w:p>
          <w:p w14:paraId="6C6080B5">
            <w:pPr>
              <w:keepNext w:val="0"/>
              <w:keepLines w:val="0"/>
              <w:suppressLineNumbers w:val="0"/>
              <w:spacing w:before="0" w:beforeAutospacing="0" w:after="0" w:afterAutospacing="0"/>
              <w:ind w:left="0" w:right="0"/>
              <w:rPr>
                <w:rFonts w:hint="default" w:eastAsia="宋体"/>
                <w:color w:val="000000" w:themeColor="text1"/>
                <w:lang w:val="en-US" w:eastAsia="zh-CN"/>
                <w14:textFill>
                  <w14:solidFill>
                    <w14:schemeClr w14:val="tx1"/>
                  </w14:solidFill>
                </w14:textFill>
              </w:rPr>
            </w:pPr>
          </w:p>
          <w:p w14:paraId="19E8F2E5">
            <w:pPr>
              <w:pStyle w:val="2"/>
              <w:keepLines w:val="0"/>
              <w:suppressLineNumbers w:val="0"/>
              <w:spacing w:beforeAutospacing="0" w:afterAutospacing="0"/>
              <w:ind w:right="0"/>
              <w:rPr>
                <w:rFonts w:hint="default" w:eastAsia="宋体"/>
                <w:color w:val="000000" w:themeColor="text1"/>
                <w:lang w:val="en-US" w:eastAsia="zh-CN"/>
                <w14:textFill>
                  <w14:solidFill>
                    <w14:schemeClr w14:val="tx1"/>
                  </w14:solidFill>
                </w14:textFill>
              </w:rPr>
            </w:pPr>
          </w:p>
          <w:p w14:paraId="2AD90B60">
            <w:pPr>
              <w:keepNext w:val="0"/>
              <w:keepLines w:val="0"/>
              <w:suppressLineNumbers w:val="0"/>
              <w:spacing w:before="0" w:beforeAutospacing="0" w:after="0" w:afterAutospacing="0"/>
              <w:ind w:left="0" w:right="0"/>
              <w:rPr>
                <w:rFonts w:hint="default"/>
                <w:lang w:val="en-US" w:eastAsia="zh-CN"/>
              </w:rPr>
            </w:pPr>
          </w:p>
          <w:p w14:paraId="1CC1244E">
            <w:pPr>
              <w:pStyle w:val="2"/>
              <w:keepLines w:val="0"/>
              <w:suppressLineNumbers w:val="0"/>
              <w:spacing w:beforeAutospacing="0" w:afterAutospacing="0"/>
              <w:ind w:right="0"/>
              <w:rPr>
                <w:rFonts w:hint="default" w:eastAsia="宋体"/>
                <w:color w:val="000000" w:themeColor="text1"/>
                <w:lang w:val="en-US" w:eastAsia="zh-CN"/>
                <w14:textFill>
                  <w14:solidFill>
                    <w14:schemeClr w14:val="tx1"/>
                  </w14:solidFill>
                </w14:textFill>
              </w:rPr>
            </w:pPr>
          </w:p>
          <w:p w14:paraId="0073D88E">
            <w:pPr>
              <w:keepNext w:val="0"/>
              <w:keepLines w:val="0"/>
              <w:suppressLineNumbers w:val="0"/>
              <w:spacing w:before="0" w:beforeAutospacing="0" w:after="0" w:afterAutospacing="0"/>
              <w:ind w:left="0" w:right="0"/>
              <w:rPr>
                <w:rFonts w:hint="default"/>
                <w:lang w:val="en-US" w:eastAsia="zh-CN"/>
              </w:rPr>
            </w:pPr>
          </w:p>
          <w:p w14:paraId="6EBBBB33">
            <w:pPr>
              <w:keepNext w:val="0"/>
              <w:keepLines w:val="0"/>
              <w:suppressLineNumbers w:val="0"/>
              <w:spacing w:before="0" w:beforeAutospacing="0" w:after="0" w:afterAutospacing="0"/>
              <w:ind w:left="0" w:right="0"/>
              <w:rPr>
                <w:rFonts w:hint="default"/>
                <w:lang w:val="en-US" w:eastAsia="zh-CN"/>
              </w:rPr>
            </w:pPr>
          </w:p>
          <w:p w14:paraId="0BD038D3">
            <w:pPr>
              <w:keepNext w:val="0"/>
              <w:keepLines w:val="0"/>
              <w:suppressLineNumbers w:val="0"/>
              <w:spacing w:before="0" w:beforeAutospacing="0" w:after="0" w:afterAutospacing="0"/>
              <w:ind w:left="0" w:right="0"/>
              <w:rPr>
                <w:rFonts w:hint="default"/>
                <w:lang w:val="en-US" w:eastAsia="zh-CN"/>
              </w:rPr>
            </w:pPr>
          </w:p>
          <w:p w14:paraId="0F86AF95">
            <w:pPr>
              <w:keepNext w:val="0"/>
              <w:keepLines w:val="0"/>
              <w:suppressLineNumbers w:val="0"/>
              <w:spacing w:before="0" w:beforeAutospacing="0" w:after="0" w:afterAutospacing="0"/>
              <w:ind w:left="0" w:right="0"/>
              <w:rPr>
                <w:rFonts w:hint="default"/>
                <w:lang w:val="en-US" w:eastAsia="zh-CN"/>
              </w:rPr>
            </w:pPr>
          </w:p>
          <w:p w14:paraId="2DE4EB84">
            <w:pPr>
              <w:keepNext w:val="0"/>
              <w:keepLines w:val="0"/>
              <w:suppressLineNumbers w:val="0"/>
              <w:spacing w:before="0" w:beforeAutospacing="0" w:after="0" w:afterAutospacing="0"/>
              <w:ind w:left="0" w:right="0"/>
              <w:rPr>
                <w:rFonts w:hint="default"/>
                <w:lang w:val="en-US" w:eastAsia="zh-CN"/>
              </w:rPr>
            </w:pPr>
          </w:p>
          <w:p w14:paraId="2D49E1D3">
            <w:pPr>
              <w:keepNext w:val="0"/>
              <w:keepLines w:val="0"/>
              <w:suppressLineNumbers w:val="0"/>
              <w:spacing w:before="0" w:beforeAutospacing="0" w:after="0" w:afterAutospacing="0"/>
              <w:ind w:left="0" w:right="0"/>
              <w:rPr>
                <w:rFonts w:hint="default"/>
                <w:lang w:val="en-US" w:eastAsia="zh-CN"/>
              </w:rPr>
            </w:pPr>
          </w:p>
          <w:p w14:paraId="53B4E63F">
            <w:pPr>
              <w:keepNext w:val="0"/>
              <w:keepLines w:val="0"/>
              <w:suppressLineNumbers w:val="0"/>
              <w:spacing w:before="0" w:beforeAutospacing="0" w:after="0" w:afterAutospacing="0"/>
              <w:ind w:left="0" w:right="0"/>
              <w:rPr>
                <w:rFonts w:hint="default"/>
                <w:lang w:val="en-US" w:eastAsia="zh-CN"/>
              </w:rPr>
            </w:pPr>
          </w:p>
          <w:p w14:paraId="31803A62">
            <w:pPr>
              <w:keepNext w:val="0"/>
              <w:keepLines w:val="0"/>
              <w:suppressLineNumbers w:val="0"/>
              <w:spacing w:before="0" w:beforeAutospacing="0" w:after="0" w:afterAutospacing="0"/>
              <w:ind w:left="0" w:right="0"/>
              <w:rPr>
                <w:rFonts w:hint="default"/>
                <w:lang w:val="en-US" w:eastAsia="zh-CN"/>
              </w:rPr>
            </w:pPr>
          </w:p>
        </w:tc>
      </w:tr>
    </w:tbl>
    <w:p w14:paraId="4C55D75E">
      <w:pPr>
        <w:pStyle w:val="18"/>
        <w:rPr>
          <w:rFonts w:hint="eastAsia" w:ascii="黑体" w:hAnsi="黑体" w:eastAsia="黑体"/>
          <w:snapToGrid w:val="0"/>
          <w:sz w:val="36"/>
          <w:szCs w:val="36"/>
          <w:lang w:eastAsia="zh-CN"/>
        </w:rPr>
        <w:sectPr>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7ED9F305">
      <w:pPr>
        <w:pStyle w:val="18"/>
        <w:jc w:val="center"/>
        <w:outlineLvl w:val="0"/>
        <w:rPr>
          <w:rFonts w:hint="eastAsia" w:ascii="黑体" w:hAnsi="黑体" w:eastAsia="黑体" w:cs="黑体"/>
          <w:b w:val="0"/>
          <w:bCs w:val="0"/>
          <w:snapToGrid w:val="0"/>
          <w:sz w:val="30"/>
          <w:szCs w:val="30"/>
        </w:rPr>
      </w:pPr>
      <w:r>
        <w:rPr>
          <w:rFonts w:hint="eastAsia" w:ascii="黑体" w:hAnsi="黑体" w:eastAsia="黑体" w:cs="黑体"/>
          <w:b w:val="0"/>
          <w:bCs w:val="0"/>
          <w:snapToGrid w:val="0"/>
          <w:sz w:val="30"/>
          <w:szCs w:val="30"/>
        </w:rPr>
        <w:t>三、区域环境质量现状、环境保护目标及评价标准</w:t>
      </w:r>
    </w:p>
    <w:tbl>
      <w:tblPr>
        <w:tblStyle w:val="22"/>
        <w:tblW w:w="96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8"/>
        <w:gridCol w:w="8781"/>
      </w:tblGrid>
      <w:tr w14:paraId="72965B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858" w:type="dxa"/>
            <w:noWrap w:val="0"/>
            <w:vAlign w:val="center"/>
          </w:tcPr>
          <w:p w14:paraId="038CBB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Times New Roman" w:hAnsi="宋体" w:eastAsia="宋体" w:cs="Times New Roman"/>
                <w:bCs/>
                <w:kern w:val="2"/>
                <w:sz w:val="24"/>
                <w:szCs w:val="24"/>
                <w:lang w:val="en-US" w:eastAsia="zh-CN" w:bidi="ar-SA"/>
              </w:rPr>
            </w:pPr>
            <w:r>
              <w:rPr>
                <w:rFonts w:hint="eastAsia" w:ascii="Times New Roman" w:hAnsi="宋体" w:eastAsia="宋体" w:cs="Times New Roman"/>
                <w:bCs/>
                <w:kern w:val="2"/>
                <w:sz w:val="24"/>
                <w:szCs w:val="24"/>
                <w:lang w:val="en-US" w:eastAsia="zh-CN" w:bidi="ar-SA"/>
              </w:rPr>
              <w:t>区域</w:t>
            </w:r>
          </w:p>
          <w:p w14:paraId="6A3F57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Times New Roman" w:hAnsi="宋体" w:eastAsia="宋体" w:cs="Times New Roman"/>
                <w:bCs/>
                <w:kern w:val="2"/>
                <w:sz w:val="24"/>
                <w:szCs w:val="24"/>
                <w:lang w:val="en-US" w:eastAsia="zh-CN" w:bidi="ar-SA"/>
              </w:rPr>
            </w:pPr>
            <w:r>
              <w:rPr>
                <w:rFonts w:hint="eastAsia" w:ascii="Times New Roman" w:hAnsi="宋体" w:eastAsia="宋体" w:cs="Times New Roman"/>
                <w:bCs/>
                <w:kern w:val="2"/>
                <w:sz w:val="24"/>
                <w:szCs w:val="24"/>
                <w:lang w:val="en-US" w:eastAsia="zh-CN" w:bidi="ar-SA"/>
              </w:rPr>
              <w:t>环境</w:t>
            </w:r>
          </w:p>
          <w:p w14:paraId="34AE8B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Times New Roman" w:hAnsi="宋体" w:eastAsia="宋体" w:cs="Times New Roman"/>
                <w:bCs/>
                <w:kern w:val="2"/>
                <w:sz w:val="24"/>
                <w:szCs w:val="24"/>
                <w:lang w:val="en-US" w:eastAsia="zh-CN" w:bidi="ar-SA"/>
              </w:rPr>
            </w:pPr>
            <w:r>
              <w:rPr>
                <w:rFonts w:hint="eastAsia" w:ascii="Times New Roman" w:hAnsi="宋体" w:eastAsia="宋体" w:cs="Times New Roman"/>
                <w:bCs/>
                <w:kern w:val="2"/>
                <w:sz w:val="24"/>
                <w:szCs w:val="24"/>
                <w:lang w:val="en-US" w:eastAsia="zh-CN" w:bidi="ar-SA"/>
              </w:rPr>
              <w:t>质量</w:t>
            </w:r>
          </w:p>
          <w:p w14:paraId="670087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Cs w:val="21"/>
              </w:rPr>
            </w:pPr>
            <w:r>
              <w:rPr>
                <w:rFonts w:hint="eastAsia" w:ascii="Times New Roman" w:hAnsi="宋体" w:eastAsia="宋体" w:cs="Times New Roman"/>
                <w:bCs/>
                <w:kern w:val="2"/>
                <w:sz w:val="24"/>
                <w:szCs w:val="24"/>
                <w:lang w:val="en-US" w:eastAsia="zh-CN" w:bidi="ar-SA"/>
              </w:rPr>
              <w:t>现状</w:t>
            </w:r>
          </w:p>
        </w:tc>
        <w:tc>
          <w:tcPr>
            <w:tcW w:w="8781" w:type="dxa"/>
            <w:noWrap w:val="0"/>
            <w:vAlign w:val="center"/>
          </w:tcPr>
          <w:p w14:paraId="101495A7">
            <w:pPr>
              <w:keepNext w:val="0"/>
              <w:keepLines w:val="0"/>
              <w:suppressLineNumbers w:val="0"/>
              <w:spacing w:before="0" w:beforeAutospacing="0" w:after="0" w:afterAutospacing="0" w:line="440" w:lineRule="exact"/>
              <w:ind w:left="0" w:right="0" w:firstLine="482" w:firstLineChars="200"/>
              <w:jc w:val="left"/>
              <w:rPr>
                <w:rFonts w:hint="default"/>
                <w:b/>
                <w:bCs/>
                <w:color w:val="000000"/>
                <w:sz w:val="24"/>
              </w:rPr>
            </w:pPr>
            <w:r>
              <w:rPr>
                <w:rFonts w:hint="default"/>
                <w:b/>
                <w:bCs/>
                <w:color w:val="000000"/>
                <w:sz w:val="24"/>
              </w:rPr>
              <w:t>1</w:t>
            </w:r>
            <w:r>
              <w:rPr>
                <w:rFonts w:hint="eastAsia" w:ascii="宋体" w:hAnsi="宋体"/>
                <w:b/>
                <w:bCs/>
                <w:color w:val="000000"/>
                <w:sz w:val="24"/>
              </w:rPr>
              <w:t>、环境空气</w:t>
            </w:r>
            <w:r>
              <w:rPr>
                <w:rFonts w:hint="default"/>
                <w:b/>
                <w:bCs/>
                <w:color w:val="000000"/>
                <w:sz w:val="24"/>
              </w:rPr>
              <w:t>质量现状</w:t>
            </w:r>
          </w:p>
          <w:p w14:paraId="282F1F37">
            <w:pPr>
              <w:keepNext w:val="0"/>
              <w:keepLines w:val="0"/>
              <w:widowControl/>
              <w:suppressLineNumbers w:val="0"/>
              <w:adjustRightInd w:val="0"/>
              <w:snapToGrid w:val="0"/>
              <w:spacing w:before="0" w:beforeAutospacing="0" w:after="0" w:afterAutospacing="0" w:line="440" w:lineRule="exact"/>
              <w:ind w:left="0" w:right="0" w:firstLine="480" w:firstLineChars="200"/>
              <w:jc w:val="both"/>
              <w:rPr>
                <w:rFonts w:hint="default"/>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t>根据大气功能区划分原则，项目所在区域为二类功能区，环境空气质量应执行《环境空气质量标准》（</w:t>
            </w:r>
            <w:r>
              <w:rPr>
                <w:rFonts w:hint="default"/>
                <w:color w:val="000000" w:themeColor="text1"/>
                <w:sz w:val="24"/>
                <w14:textFill>
                  <w14:solidFill>
                    <w14:schemeClr w14:val="tx1"/>
                  </w14:solidFill>
                </w14:textFill>
              </w:rPr>
              <w:t>GB3095-2012</w:t>
            </w:r>
            <w:r>
              <w:rPr>
                <w:rFonts w:hint="eastAsia" w:ascii="宋体" w:hAnsi="宋体"/>
                <w:color w:val="000000" w:themeColor="text1"/>
                <w:sz w:val="24"/>
                <w14:textFill>
                  <w14:solidFill>
                    <w14:schemeClr w14:val="tx1"/>
                  </w14:solidFill>
                </w14:textFill>
              </w:rPr>
              <w:t>）二级标准。</w:t>
            </w:r>
            <w:r>
              <w:rPr>
                <w:rFonts w:hint="eastAsia" w:ascii="宋体" w:hAnsi="宋体"/>
                <w:color w:val="000000" w:themeColor="text1"/>
                <w:kern w:val="0"/>
                <w:sz w:val="24"/>
                <w14:textFill>
                  <w14:solidFill>
                    <w14:schemeClr w14:val="tx1"/>
                  </w14:solidFill>
                </w14:textFill>
              </w:rPr>
              <w:t>根据新乡市生态环境局发布的《</w:t>
            </w:r>
            <w:r>
              <w:rPr>
                <w:rFonts w:hint="default" w:ascii="宋体" w:hAnsi="宋体"/>
                <w:color w:val="000000" w:themeColor="text1"/>
                <w:kern w:val="0"/>
                <w:sz w:val="24"/>
                <w14:textFill>
                  <w14:solidFill>
                    <w14:schemeClr w14:val="tx1"/>
                  </w14:solidFill>
                </w14:textFill>
              </w:rPr>
              <w:t>新乡市</w:t>
            </w:r>
            <w:r>
              <w:rPr>
                <w:rFonts w:hint="default" w:ascii="Times New Roman" w:hAnsi="Times New Roman" w:cs="Times New Roman"/>
                <w:color w:val="000000" w:themeColor="text1"/>
                <w:kern w:val="0"/>
                <w:sz w:val="24"/>
                <w14:textFill>
                  <w14:solidFill>
                    <w14:schemeClr w14:val="tx1"/>
                  </w14:solidFill>
                </w14:textFill>
              </w:rPr>
              <w:t>202</w:t>
            </w:r>
            <w:r>
              <w:rPr>
                <w:rFonts w:hint="eastAsia" w:cs="Times New Roman"/>
                <w:color w:val="000000" w:themeColor="text1"/>
                <w:kern w:val="0"/>
                <w:sz w:val="24"/>
                <w:lang w:val="en-US" w:eastAsia="zh-CN"/>
                <w14:textFill>
                  <w14:solidFill>
                    <w14:schemeClr w14:val="tx1"/>
                  </w14:solidFill>
                </w14:textFill>
              </w:rPr>
              <w:t>3</w:t>
            </w:r>
            <w:r>
              <w:rPr>
                <w:rFonts w:hint="default" w:ascii="宋体" w:hAnsi="宋体"/>
                <w:color w:val="000000" w:themeColor="text1"/>
                <w:kern w:val="0"/>
                <w:sz w:val="24"/>
                <w14:textFill>
                  <w14:solidFill>
                    <w14:schemeClr w14:val="tx1"/>
                  </w14:solidFill>
                </w14:textFill>
              </w:rPr>
              <w:t>年环境质量年报</w:t>
            </w:r>
            <w:r>
              <w:rPr>
                <w:rFonts w:hint="eastAsia" w:ascii="宋体" w:hAnsi="宋体"/>
                <w:color w:val="000000" w:themeColor="text1"/>
                <w:kern w:val="0"/>
                <w:sz w:val="24"/>
                <w14:textFill>
                  <w14:solidFill>
                    <w14:schemeClr w14:val="tx1"/>
                  </w14:solidFill>
                </w14:textFill>
              </w:rPr>
              <w:t>》，区域空气质量现状数据如下表所示。</w:t>
            </w:r>
          </w:p>
          <w:p w14:paraId="5E767088">
            <w:pPr>
              <w:keepNext w:val="0"/>
              <w:keepLines w:val="0"/>
              <w:suppressLineNumbers w:val="0"/>
              <w:spacing w:before="0" w:beforeAutospacing="0" w:after="0" w:afterAutospacing="0" w:line="440" w:lineRule="exact"/>
              <w:ind w:left="0" w:right="0"/>
              <w:jc w:val="center"/>
              <w:rPr>
                <w:rFonts w:hint="default" w:ascii="宋体" w:hAnsi="宋体"/>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表</w:t>
            </w:r>
            <w:r>
              <w:rPr>
                <w:rFonts w:hint="eastAsia" w:cs="Times New Roman"/>
                <w:b/>
                <w:color w:val="000000" w:themeColor="text1"/>
                <w:sz w:val="24"/>
                <w:lang w:val="en-US" w:eastAsia="zh-CN"/>
                <w14:textFill>
                  <w14:solidFill>
                    <w14:schemeClr w14:val="tx1"/>
                  </w14:solidFill>
                </w14:textFill>
              </w:rPr>
              <w:t>17</w:t>
            </w:r>
            <w:r>
              <w:rPr>
                <w:rFonts w:hint="eastAsia" w:ascii="宋体" w:hAnsi="宋体"/>
                <w:b/>
                <w:color w:val="000000" w:themeColor="text1"/>
                <w:sz w:val="24"/>
                <w:lang w:val="en-US" w:eastAsia="zh-CN"/>
                <w14:textFill>
                  <w14:solidFill>
                    <w14:schemeClr w14:val="tx1"/>
                  </w14:solidFill>
                </w14:textFill>
              </w:rPr>
              <w:t xml:space="preserve">  </w:t>
            </w:r>
            <w:r>
              <w:rPr>
                <w:rFonts w:hint="eastAsia" w:ascii="宋体" w:hAnsi="宋体"/>
                <w:b/>
                <w:color w:val="000000" w:themeColor="text1"/>
                <w:sz w:val="24"/>
                <w14:textFill>
                  <w14:solidFill>
                    <w14:schemeClr w14:val="tx1"/>
                  </w14:solidFill>
                </w14:textFill>
              </w:rPr>
              <w:t>区域空气质量现状评价表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
            <w:tblGrid>
              <w:gridCol w:w="835"/>
              <w:gridCol w:w="1710"/>
              <w:gridCol w:w="1920"/>
              <w:gridCol w:w="1695"/>
              <w:gridCol w:w="1203"/>
              <w:gridCol w:w="1203"/>
            </w:tblGrid>
            <w:tr w14:paraId="3F06FE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8" w:space="0"/>
                    <w:left w:val="nil"/>
                    <w:bottom w:val="single" w:color="auto" w:sz="8" w:space="0"/>
                    <w:right w:val="single" w:color="auto" w:sz="4" w:space="0"/>
                  </w:tcBorders>
                  <w:noWrap w:val="0"/>
                  <w:tcMar>
                    <w:top w:w="57" w:type="dxa"/>
                    <w:left w:w="85" w:type="dxa"/>
                    <w:bottom w:w="57" w:type="dxa"/>
                    <w:right w:w="85" w:type="dxa"/>
                  </w:tcMar>
                  <w:vAlign w:val="center"/>
                </w:tcPr>
                <w:p w14:paraId="0FC725D9">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污染物</w:t>
                  </w:r>
                </w:p>
              </w:tc>
              <w:tc>
                <w:tcPr>
                  <w:tcW w:w="1710"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6711F998">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年评价指标</w:t>
                  </w:r>
                </w:p>
              </w:tc>
              <w:tc>
                <w:tcPr>
                  <w:tcW w:w="1920"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66E3248C">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现状浓度</w:t>
                  </w:r>
                  <w:r>
                    <w:rPr>
                      <w:rFonts w:hint="default"/>
                      <w:b/>
                      <w:bCs/>
                      <w:color w:val="000000" w:themeColor="text1"/>
                      <w:sz w:val="21"/>
                      <w:szCs w:val="21"/>
                      <w14:textFill>
                        <w14:solidFill>
                          <w14:schemeClr w14:val="tx1"/>
                        </w14:solidFill>
                      </w14:textFill>
                    </w:rPr>
                    <w:t>/</w:t>
                  </w:r>
                  <w:r>
                    <w:rPr>
                      <w:rFonts w:hint="eastAsia" w:hAnsi="宋体"/>
                      <w:b/>
                      <w:bCs/>
                      <w:color w:val="000000" w:themeColor="text1"/>
                      <w:sz w:val="21"/>
                      <w:szCs w:val="21"/>
                      <w14:textFill>
                        <w14:solidFill>
                          <w14:schemeClr w14:val="tx1"/>
                        </w14:solidFill>
                      </w14:textFill>
                    </w:rPr>
                    <w:t>（</w:t>
                  </w:r>
                  <w:r>
                    <w:rPr>
                      <w:rFonts w:hint="default" w:ascii="Times New Roman" w:hAnsi="Times New Roman" w:cs="Times New Roman"/>
                      <w:b/>
                      <w:bCs/>
                      <w:color w:val="000000" w:themeColor="text1"/>
                      <w:sz w:val="21"/>
                      <w:szCs w:val="21"/>
                      <w:lang w:val="en-US" w:eastAsia="zh-CN"/>
                      <w14:textFill>
                        <w14:solidFill>
                          <w14:schemeClr w14:val="tx1"/>
                        </w14:solidFill>
                      </w14:textFill>
                    </w:rPr>
                    <w:t>μ</w:t>
                  </w:r>
                  <w:r>
                    <w:rPr>
                      <w:rFonts w:hint="eastAsia"/>
                      <w:b/>
                      <w:bCs/>
                      <w:color w:val="000000" w:themeColor="text1"/>
                      <w:sz w:val="21"/>
                      <w:szCs w:val="21"/>
                      <w:lang w:val="en-US" w:eastAsia="zh-CN"/>
                      <w14:textFill>
                        <w14:solidFill>
                          <w14:schemeClr w14:val="tx1"/>
                        </w14:solidFill>
                      </w14:textFill>
                    </w:rPr>
                    <w:t>g</w:t>
                  </w:r>
                  <w:r>
                    <w:rPr>
                      <w:rFonts w:hint="default"/>
                      <w:b/>
                      <w:bCs/>
                      <w:color w:val="000000" w:themeColor="text1"/>
                      <w:sz w:val="21"/>
                      <w:szCs w:val="21"/>
                      <w14:textFill>
                        <w14:solidFill>
                          <w14:schemeClr w14:val="tx1"/>
                        </w14:solidFill>
                      </w14:textFill>
                    </w:rPr>
                    <w:t>/m</w:t>
                  </w:r>
                  <w:r>
                    <w:rPr>
                      <w:rFonts w:hint="default"/>
                      <w:b/>
                      <w:bCs/>
                      <w:color w:val="000000" w:themeColor="text1"/>
                      <w:sz w:val="21"/>
                      <w:szCs w:val="21"/>
                      <w:vertAlign w:val="superscript"/>
                      <w14:textFill>
                        <w14:solidFill>
                          <w14:schemeClr w14:val="tx1"/>
                        </w14:solidFill>
                      </w14:textFill>
                    </w:rPr>
                    <w:t>3</w:t>
                  </w:r>
                  <w:r>
                    <w:rPr>
                      <w:rFonts w:hint="eastAsia" w:hAnsi="宋体"/>
                      <w:b/>
                      <w:bCs/>
                      <w:color w:val="000000" w:themeColor="text1"/>
                      <w:sz w:val="21"/>
                      <w:szCs w:val="21"/>
                      <w14:textFill>
                        <w14:solidFill>
                          <w14:schemeClr w14:val="tx1"/>
                        </w14:solidFill>
                      </w14:textFill>
                    </w:rPr>
                    <w:t>）</w:t>
                  </w:r>
                </w:p>
              </w:tc>
              <w:tc>
                <w:tcPr>
                  <w:tcW w:w="1695"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24435FB5">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标准值</w:t>
                  </w:r>
                  <w:r>
                    <w:rPr>
                      <w:rFonts w:hint="default"/>
                      <w:b/>
                      <w:bCs/>
                      <w:color w:val="000000" w:themeColor="text1"/>
                      <w:sz w:val="21"/>
                      <w:szCs w:val="21"/>
                      <w14:textFill>
                        <w14:solidFill>
                          <w14:schemeClr w14:val="tx1"/>
                        </w14:solidFill>
                      </w14:textFill>
                    </w:rPr>
                    <w:t>/</w:t>
                  </w:r>
                  <w:r>
                    <w:rPr>
                      <w:rFonts w:hint="eastAsia" w:hAnsi="宋体"/>
                      <w:b/>
                      <w:bCs/>
                      <w:color w:val="000000" w:themeColor="text1"/>
                      <w:sz w:val="21"/>
                      <w:szCs w:val="21"/>
                      <w14:textFill>
                        <w14:solidFill>
                          <w14:schemeClr w14:val="tx1"/>
                        </w14:solidFill>
                      </w14:textFill>
                    </w:rPr>
                    <w:t>（</w:t>
                  </w:r>
                  <w:r>
                    <w:rPr>
                      <w:rFonts w:hint="default"/>
                      <w:b/>
                      <w:bCs/>
                      <w:color w:val="000000" w:themeColor="text1"/>
                      <w:sz w:val="21"/>
                      <w:szCs w:val="21"/>
                      <w14:textFill>
                        <w14:solidFill>
                          <w14:schemeClr w14:val="tx1"/>
                        </w14:solidFill>
                      </w14:textFill>
                    </w:rPr>
                    <w:t>μg/m</w:t>
                  </w:r>
                  <w:r>
                    <w:rPr>
                      <w:rFonts w:hint="default"/>
                      <w:b/>
                      <w:bCs/>
                      <w:color w:val="000000" w:themeColor="text1"/>
                      <w:sz w:val="21"/>
                      <w:szCs w:val="21"/>
                      <w:vertAlign w:val="superscript"/>
                      <w14:textFill>
                        <w14:solidFill>
                          <w14:schemeClr w14:val="tx1"/>
                        </w14:solidFill>
                      </w14:textFill>
                    </w:rPr>
                    <w:t>3</w:t>
                  </w:r>
                  <w:r>
                    <w:rPr>
                      <w:rFonts w:hint="eastAsia" w:hAnsi="宋体"/>
                      <w:b/>
                      <w:bCs/>
                      <w:color w:val="000000" w:themeColor="text1"/>
                      <w:sz w:val="21"/>
                      <w:szCs w:val="21"/>
                      <w14:textFill>
                        <w14:solidFill>
                          <w14:schemeClr w14:val="tx1"/>
                        </w14:solidFill>
                      </w14:textFill>
                    </w:rPr>
                    <w:t>）</w:t>
                  </w:r>
                </w:p>
              </w:tc>
              <w:tc>
                <w:tcPr>
                  <w:tcW w:w="1203"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1BF496DD">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占标率</w:t>
                  </w:r>
                  <w:r>
                    <w:rPr>
                      <w:rFonts w:hint="default"/>
                      <w:b/>
                      <w:bCs/>
                      <w:color w:val="000000" w:themeColor="text1"/>
                      <w:sz w:val="21"/>
                      <w:szCs w:val="21"/>
                      <w14:textFill>
                        <w14:solidFill>
                          <w14:schemeClr w14:val="tx1"/>
                        </w14:solidFill>
                      </w14:textFill>
                    </w:rPr>
                    <w:t>%</w:t>
                  </w:r>
                </w:p>
              </w:tc>
              <w:tc>
                <w:tcPr>
                  <w:tcW w:w="1203" w:type="dxa"/>
                  <w:tcBorders>
                    <w:top w:val="single" w:color="auto" w:sz="8" w:space="0"/>
                    <w:left w:val="single" w:color="auto" w:sz="4" w:space="0"/>
                    <w:bottom w:val="single" w:color="auto" w:sz="8" w:space="0"/>
                    <w:right w:val="nil"/>
                  </w:tcBorders>
                  <w:noWrap w:val="0"/>
                  <w:tcMar>
                    <w:top w:w="57" w:type="dxa"/>
                    <w:left w:w="85" w:type="dxa"/>
                    <w:bottom w:w="57" w:type="dxa"/>
                    <w:right w:w="85" w:type="dxa"/>
                  </w:tcMar>
                  <w:vAlign w:val="center"/>
                </w:tcPr>
                <w:p w14:paraId="012860FB">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达标情况</w:t>
                  </w:r>
                </w:p>
              </w:tc>
            </w:tr>
            <w:tr w14:paraId="0C6ADCC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8" w:space="0"/>
                    <w:left w:val="nil"/>
                    <w:bottom w:val="single" w:color="auto" w:sz="4" w:space="0"/>
                    <w:right w:val="single" w:color="auto" w:sz="4" w:space="0"/>
                  </w:tcBorders>
                  <w:noWrap w:val="0"/>
                  <w:tcMar>
                    <w:top w:w="57" w:type="dxa"/>
                    <w:left w:w="85" w:type="dxa"/>
                    <w:bottom w:w="57" w:type="dxa"/>
                    <w:right w:w="85" w:type="dxa"/>
                  </w:tcMar>
                  <w:vAlign w:val="center"/>
                </w:tcPr>
                <w:p w14:paraId="01AFB9EB">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10</w:t>
                  </w:r>
                </w:p>
              </w:tc>
              <w:tc>
                <w:tcPr>
                  <w:tcW w:w="1710"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D540D1D">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w:t>
                  </w:r>
                  <w:r>
                    <w:rPr>
                      <w:rFonts w:hint="eastAsia"/>
                      <w:color w:val="000000" w:themeColor="text1"/>
                      <w:sz w:val="21"/>
                      <w:szCs w:val="21"/>
                      <w14:textFill>
                        <w14:solidFill>
                          <w14:schemeClr w14:val="tx1"/>
                        </w14:solidFill>
                      </w14:textFill>
                    </w:rPr>
                    <w:t>均质量浓度</w:t>
                  </w:r>
                </w:p>
              </w:tc>
              <w:tc>
                <w:tcPr>
                  <w:tcW w:w="1920"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0D5E8FF">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eastAsia="宋体" w:cs="Times New Roman"/>
                      <w:sz w:val="21"/>
                      <w:szCs w:val="21"/>
                      <w:lang w:val="en-US" w:eastAsia="zh-CN"/>
                    </w:rPr>
                    <w:t>80</w:t>
                  </w:r>
                </w:p>
              </w:tc>
              <w:tc>
                <w:tcPr>
                  <w:tcW w:w="1695"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7E4BEE1F">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70</w:t>
                  </w:r>
                </w:p>
              </w:tc>
              <w:tc>
                <w:tcPr>
                  <w:tcW w:w="1203"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19765FFF">
                  <w:pPr>
                    <w:keepNext w:val="0"/>
                    <w:keepLines w:val="0"/>
                    <w:widowControl/>
                    <w:suppressLineNumbers w:val="0"/>
                    <w:spacing w:before="0" w:beforeAutospacing="0" w:after="0" w:afterAutospacing="0"/>
                    <w:ind w:left="0" w:right="0"/>
                    <w:jc w:val="center"/>
                    <w:textAlignment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114.29 </w:t>
                  </w:r>
                </w:p>
              </w:tc>
              <w:tc>
                <w:tcPr>
                  <w:tcW w:w="1203" w:type="dxa"/>
                  <w:tcBorders>
                    <w:top w:val="single" w:color="auto" w:sz="8" w:space="0"/>
                    <w:left w:val="single" w:color="auto" w:sz="4" w:space="0"/>
                    <w:bottom w:val="single" w:color="auto" w:sz="4" w:space="0"/>
                    <w:right w:val="nil"/>
                  </w:tcBorders>
                  <w:noWrap w:val="0"/>
                  <w:tcMar>
                    <w:top w:w="57" w:type="dxa"/>
                    <w:left w:w="85" w:type="dxa"/>
                    <w:bottom w:w="57" w:type="dxa"/>
                    <w:right w:w="85" w:type="dxa"/>
                  </w:tcMar>
                  <w:vAlign w:val="center"/>
                </w:tcPr>
                <w:p w14:paraId="1B6673E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超标</w:t>
                  </w:r>
                </w:p>
              </w:tc>
            </w:tr>
            <w:tr w14:paraId="55D6425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51EE18E8">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2.5</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5DCF811C">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年平均质量浓度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001958BB">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eastAsia="宋体" w:cs="Times New Roman"/>
                      <w:sz w:val="21"/>
                      <w:szCs w:val="21"/>
                      <w:lang w:val="en-US" w:eastAsia="zh-CN"/>
                    </w:rPr>
                    <w:t>47</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7224F3B">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35</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5A5DDE80">
                  <w:pPr>
                    <w:keepNext w:val="0"/>
                    <w:keepLines w:val="0"/>
                    <w:widowControl/>
                    <w:suppressLineNumbers w:val="0"/>
                    <w:spacing w:before="0" w:beforeAutospacing="0" w:after="0" w:afterAutospacing="0"/>
                    <w:ind w:left="0" w:right="0"/>
                    <w:jc w:val="center"/>
                    <w:textAlignment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134.29 </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5A144D1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超标</w:t>
                  </w:r>
                </w:p>
              </w:tc>
            </w:tr>
            <w:tr w14:paraId="74BF67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4A62B7E1">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SO</w:t>
                  </w:r>
                  <w:r>
                    <w:rPr>
                      <w:rFonts w:hint="default"/>
                      <w:color w:val="000000" w:themeColor="text1"/>
                      <w:sz w:val="21"/>
                      <w:szCs w:val="21"/>
                      <w:vertAlign w:val="subscript"/>
                      <w14:textFill>
                        <w14:solidFill>
                          <w14:schemeClr w14:val="tx1"/>
                        </w14:solidFill>
                      </w14:textFill>
                    </w:rPr>
                    <w:t>2</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06B61E12">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年平均质量浓度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36161AB">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eastAsia="宋体" w:cs="Times New Roman"/>
                      <w:sz w:val="21"/>
                      <w:szCs w:val="21"/>
                      <w:lang w:val="en-US" w:eastAsia="zh-CN"/>
                    </w:rPr>
                    <w:t>9</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7475E0DF">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60</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541340F2">
                  <w:pPr>
                    <w:keepNext w:val="0"/>
                    <w:keepLines w:val="0"/>
                    <w:widowControl/>
                    <w:suppressLineNumbers w:val="0"/>
                    <w:spacing w:before="0" w:beforeAutospacing="0" w:after="0" w:afterAutospacing="0"/>
                    <w:ind w:left="0" w:right="0"/>
                    <w:jc w:val="center"/>
                    <w:textAlignment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15 </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7E414FE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达标</w:t>
                  </w:r>
                </w:p>
              </w:tc>
            </w:tr>
            <w:tr w14:paraId="698B0BB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4FCA0DCB">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NO</w:t>
                  </w:r>
                  <w:r>
                    <w:rPr>
                      <w:rFonts w:hint="default"/>
                      <w:color w:val="000000" w:themeColor="text1"/>
                      <w:sz w:val="21"/>
                      <w:szCs w:val="21"/>
                      <w:vertAlign w:val="subscript"/>
                      <w14:textFill>
                        <w14:solidFill>
                          <w14:schemeClr w14:val="tx1"/>
                        </w14:solidFill>
                      </w14:textFill>
                    </w:rPr>
                    <w:t>2</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D8D329C">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年平均质量浓度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7922FFA3">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lang w:val="en-US" w:eastAsia="zh-CN"/>
                    </w:rPr>
                    <w:t>30</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EE74065">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40</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5FB8E881">
                  <w:pPr>
                    <w:keepNext w:val="0"/>
                    <w:keepLines w:val="0"/>
                    <w:widowControl/>
                    <w:suppressLineNumbers w:val="0"/>
                    <w:spacing w:before="0" w:beforeAutospacing="0" w:after="0" w:afterAutospacing="0"/>
                    <w:ind w:left="0" w:right="0"/>
                    <w:jc w:val="center"/>
                    <w:textAlignment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75 </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1D43097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达</w:t>
                  </w:r>
                  <w:r>
                    <w:rPr>
                      <w:rFonts w:hint="default"/>
                      <w:color w:val="000000" w:themeColor="text1"/>
                      <w:sz w:val="21"/>
                      <w:szCs w:val="21"/>
                      <w14:textFill>
                        <w14:solidFill>
                          <w14:schemeClr w14:val="tx1"/>
                        </w14:solidFill>
                      </w14:textFill>
                    </w:rPr>
                    <w:t>标</w:t>
                  </w:r>
                </w:p>
              </w:tc>
            </w:tr>
            <w:tr w14:paraId="69A4BF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583454B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CO</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7DCE6B2E">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第</w:t>
                  </w:r>
                  <w:r>
                    <w:rPr>
                      <w:rFonts w:hint="default"/>
                      <w:color w:val="000000" w:themeColor="text1"/>
                      <w:sz w:val="21"/>
                      <w:szCs w:val="21"/>
                      <w14:textFill>
                        <w14:solidFill>
                          <w14:schemeClr w14:val="tx1"/>
                        </w14:solidFill>
                      </w14:textFill>
                    </w:rPr>
                    <w:t>95</w:t>
                  </w:r>
                  <w:r>
                    <w:rPr>
                      <w:rFonts w:hint="eastAsia" w:hAnsi="宋体"/>
                      <w:color w:val="000000" w:themeColor="text1"/>
                      <w:sz w:val="21"/>
                      <w:szCs w:val="21"/>
                      <w14:textFill>
                        <w14:solidFill>
                          <w14:schemeClr w14:val="tx1"/>
                        </w14:solidFill>
                      </w14:textFill>
                    </w:rPr>
                    <w:t>百分位浓度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46F0462">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lang w:val="en-US" w:eastAsia="zh-CN"/>
                    </w:rPr>
                    <w:t>1400</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34AF7A4">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4000</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6295EAA">
                  <w:pPr>
                    <w:keepNext w:val="0"/>
                    <w:keepLines w:val="0"/>
                    <w:widowControl/>
                    <w:suppressLineNumbers w:val="0"/>
                    <w:spacing w:before="0" w:beforeAutospacing="0" w:after="0" w:afterAutospacing="0"/>
                    <w:ind w:left="0" w:right="0"/>
                    <w:jc w:val="center"/>
                    <w:textAlignment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35 </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64FEBAB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达标</w:t>
                  </w:r>
                </w:p>
              </w:tc>
            </w:tr>
            <w:tr w14:paraId="2849A73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8" w:space="0"/>
                    <w:right w:val="single" w:color="auto" w:sz="4" w:space="0"/>
                  </w:tcBorders>
                  <w:noWrap w:val="0"/>
                  <w:tcMar>
                    <w:top w:w="57" w:type="dxa"/>
                    <w:left w:w="85" w:type="dxa"/>
                    <w:bottom w:w="57" w:type="dxa"/>
                    <w:right w:w="85" w:type="dxa"/>
                  </w:tcMar>
                  <w:vAlign w:val="center"/>
                </w:tcPr>
                <w:p w14:paraId="3A99AAEE">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O</w:t>
                  </w:r>
                  <w:r>
                    <w:rPr>
                      <w:rFonts w:hint="default"/>
                      <w:color w:val="000000" w:themeColor="text1"/>
                      <w:sz w:val="21"/>
                      <w:szCs w:val="21"/>
                      <w:vertAlign w:val="subscript"/>
                      <w14:textFill>
                        <w14:solidFill>
                          <w14:schemeClr w14:val="tx1"/>
                        </w14:solidFill>
                      </w14:textFill>
                    </w:rPr>
                    <w:t>3</w:t>
                  </w:r>
                </w:p>
              </w:tc>
              <w:tc>
                <w:tcPr>
                  <w:tcW w:w="1710"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07B7B51C">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第</w:t>
                  </w:r>
                  <w:r>
                    <w:rPr>
                      <w:rFonts w:hint="default"/>
                      <w:color w:val="000000" w:themeColor="text1"/>
                      <w:sz w:val="21"/>
                      <w:szCs w:val="21"/>
                      <w14:textFill>
                        <w14:solidFill>
                          <w14:schemeClr w14:val="tx1"/>
                        </w14:solidFill>
                      </w14:textFill>
                    </w:rPr>
                    <w:t>90</w:t>
                  </w:r>
                  <w:r>
                    <w:rPr>
                      <w:rFonts w:hint="eastAsia" w:hAnsi="宋体"/>
                      <w:color w:val="000000" w:themeColor="text1"/>
                      <w:sz w:val="21"/>
                      <w:szCs w:val="21"/>
                      <w14:textFill>
                        <w14:solidFill>
                          <w14:schemeClr w14:val="tx1"/>
                        </w14:solidFill>
                      </w14:textFill>
                    </w:rPr>
                    <w:t>百分位浓度</w:t>
                  </w:r>
                </w:p>
              </w:tc>
              <w:tc>
                <w:tcPr>
                  <w:tcW w:w="1920"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78E90512">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lang w:val="en-US" w:eastAsia="zh-CN"/>
                    </w:rPr>
                    <w:t>18</w:t>
                  </w:r>
                  <w:r>
                    <w:rPr>
                      <w:rFonts w:hint="eastAsia" w:ascii="Times New Roman" w:hAnsi="Times New Roman" w:eastAsia="宋体" w:cs="Times New Roman"/>
                      <w:sz w:val="21"/>
                      <w:szCs w:val="21"/>
                      <w:lang w:val="en-US" w:eastAsia="zh-CN"/>
                    </w:rPr>
                    <w:t>3</w:t>
                  </w:r>
                </w:p>
              </w:tc>
              <w:tc>
                <w:tcPr>
                  <w:tcW w:w="1695"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0ADDCCD3">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ascii="Times New Roman" w:hAnsi="Times New Roman" w:eastAsia="宋体" w:cs="Times New Roman"/>
                      <w:sz w:val="21"/>
                      <w:szCs w:val="21"/>
                    </w:rPr>
                    <w:t>160</w:t>
                  </w:r>
                </w:p>
              </w:tc>
              <w:tc>
                <w:tcPr>
                  <w:tcW w:w="1203"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3D7DE368">
                  <w:pPr>
                    <w:keepNext w:val="0"/>
                    <w:keepLines w:val="0"/>
                    <w:widowControl/>
                    <w:suppressLineNumbers w:val="0"/>
                    <w:spacing w:before="0" w:beforeAutospacing="0" w:after="0" w:afterAutospacing="0"/>
                    <w:ind w:left="0" w:right="0"/>
                    <w:jc w:val="center"/>
                    <w:textAlignment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114.38 </w:t>
                  </w:r>
                </w:p>
              </w:tc>
              <w:tc>
                <w:tcPr>
                  <w:tcW w:w="1203" w:type="dxa"/>
                  <w:tcBorders>
                    <w:top w:val="single" w:color="auto" w:sz="4" w:space="0"/>
                    <w:left w:val="single" w:color="auto" w:sz="4" w:space="0"/>
                    <w:bottom w:val="single" w:color="auto" w:sz="8" w:space="0"/>
                    <w:right w:val="nil"/>
                  </w:tcBorders>
                  <w:noWrap w:val="0"/>
                  <w:tcMar>
                    <w:top w:w="57" w:type="dxa"/>
                    <w:left w:w="85" w:type="dxa"/>
                    <w:bottom w:w="57" w:type="dxa"/>
                    <w:right w:w="85" w:type="dxa"/>
                  </w:tcMar>
                  <w:vAlign w:val="center"/>
                </w:tcPr>
                <w:p w14:paraId="0F252A9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超</w:t>
                  </w:r>
                  <w:r>
                    <w:rPr>
                      <w:rFonts w:hint="default"/>
                      <w:color w:val="000000" w:themeColor="text1"/>
                      <w:sz w:val="21"/>
                      <w:szCs w:val="21"/>
                      <w14:textFill>
                        <w14:solidFill>
                          <w14:schemeClr w14:val="tx1"/>
                        </w14:solidFill>
                      </w14:textFill>
                    </w:rPr>
                    <w:t>标</w:t>
                  </w:r>
                </w:p>
              </w:tc>
            </w:tr>
          </w:tbl>
          <w:p w14:paraId="5FA0F2D5">
            <w:pPr>
              <w:keepNext w:val="0"/>
              <w:keepLines w:val="0"/>
              <w:widowControl/>
              <w:suppressLineNumbers w:val="0"/>
              <w:adjustRightInd w:val="0"/>
              <w:snapToGrid w:val="0"/>
              <w:spacing w:before="0" w:beforeAutospacing="0" w:after="0" w:afterAutospacing="0" w:line="440" w:lineRule="exact"/>
              <w:ind w:left="0" w:right="0" w:firstLine="480" w:firstLineChars="200"/>
              <w:jc w:val="both"/>
              <w:rPr>
                <w:rFonts w:hint="default"/>
                <w:color w:val="000000" w:themeColor="text1"/>
                <w:kern w:val="0"/>
                <w:sz w:val="24"/>
                <w14:textFill>
                  <w14:solidFill>
                    <w14:schemeClr w14:val="tx1"/>
                  </w14:solidFill>
                </w14:textFill>
              </w:rPr>
            </w:pPr>
            <w:r>
              <w:rPr>
                <w:rFonts w:hint="default" w:hAnsi="宋体"/>
                <w:color w:val="000000" w:themeColor="text1"/>
                <w:kern w:val="0"/>
                <w:sz w:val="24"/>
                <w14:textFill>
                  <w14:solidFill>
                    <w14:schemeClr w14:val="tx1"/>
                  </w14:solidFill>
                </w14:textFill>
              </w:rPr>
              <w:t>由上表可知，其中</w:t>
            </w:r>
            <w:r>
              <w:rPr>
                <w:rFonts w:hint="default"/>
                <w:color w:val="000000" w:themeColor="text1"/>
                <w:kern w:val="0"/>
                <w:sz w:val="24"/>
                <w14:textFill>
                  <w14:solidFill>
                    <w14:schemeClr w14:val="tx1"/>
                  </w14:solidFill>
                </w14:textFill>
              </w:rPr>
              <w:t>PM</w:t>
            </w:r>
            <w:r>
              <w:rPr>
                <w:rFonts w:hint="default"/>
                <w:color w:val="000000" w:themeColor="text1"/>
                <w:kern w:val="0"/>
                <w:sz w:val="24"/>
                <w:vertAlign w:val="subscript"/>
                <w14:textFill>
                  <w14:solidFill>
                    <w14:schemeClr w14:val="tx1"/>
                  </w14:solidFill>
                </w14:textFill>
              </w:rPr>
              <w:t>10</w:t>
            </w:r>
            <w:r>
              <w:rPr>
                <w:rFonts w:hint="default" w:hAnsi="宋体"/>
                <w:color w:val="000000" w:themeColor="text1"/>
                <w:kern w:val="0"/>
                <w:sz w:val="24"/>
                <w14:textFill>
                  <w14:solidFill>
                    <w14:schemeClr w14:val="tx1"/>
                  </w14:solidFill>
                </w14:textFill>
              </w:rPr>
              <w:t>、</w:t>
            </w:r>
            <w:r>
              <w:rPr>
                <w:rFonts w:hint="default"/>
                <w:color w:val="000000" w:themeColor="text1"/>
                <w:kern w:val="0"/>
                <w:sz w:val="24"/>
                <w14:textFill>
                  <w14:solidFill>
                    <w14:schemeClr w14:val="tx1"/>
                  </w14:solidFill>
                </w14:textFill>
              </w:rPr>
              <w:t>PM</w:t>
            </w:r>
            <w:r>
              <w:rPr>
                <w:rFonts w:hint="default"/>
                <w:color w:val="000000" w:themeColor="text1"/>
                <w:kern w:val="0"/>
                <w:sz w:val="24"/>
                <w:vertAlign w:val="subscript"/>
                <w14:textFill>
                  <w14:solidFill>
                    <w14:schemeClr w14:val="tx1"/>
                  </w14:solidFill>
                </w14:textFill>
              </w:rPr>
              <w:t>2.5</w:t>
            </w:r>
            <w:r>
              <w:rPr>
                <w:rFonts w:hint="default" w:hAnsi="宋体"/>
                <w:color w:val="000000" w:themeColor="text1"/>
                <w:kern w:val="0"/>
                <w:sz w:val="24"/>
                <w14:textFill>
                  <w14:solidFill>
                    <w14:schemeClr w14:val="tx1"/>
                  </w14:solidFill>
                </w14:textFill>
              </w:rPr>
              <w:t>、</w:t>
            </w:r>
            <w:r>
              <w:rPr>
                <w:rFonts w:hint="default"/>
                <w:color w:val="000000" w:themeColor="text1"/>
                <w:kern w:val="0"/>
                <w:sz w:val="24"/>
                <w14:textFill>
                  <w14:solidFill>
                    <w14:schemeClr w14:val="tx1"/>
                  </w14:solidFill>
                </w14:textFill>
              </w:rPr>
              <w:t>O</w:t>
            </w:r>
            <w:r>
              <w:rPr>
                <w:rFonts w:hint="default"/>
                <w:color w:val="000000" w:themeColor="text1"/>
                <w:kern w:val="0"/>
                <w:sz w:val="24"/>
                <w:vertAlign w:val="subscript"/>
                <w14:textFill>
                  <w14:solidFill>
                    <w14:schemeClr w14:val="tx1"/>
                  </w14:solidFill>
                </w14:textFill>
              </w:rPr>
              <w:t>3</w:t>
            </w:r>
            <w:r>
              <w:rPr>
                <w:rFonts w:hint="default" w:hAnsi="宋体"/>
                <w:color w:val="000000" w:themeColor="text1"/>
                <w:kern w:val="0"/>
                <w:sz w:val="24"/>
                <w14:textFill>
                  <w14:solidFill>
                    <w14:schemeClr w14:val="tx1"/>
                  </w14:solidFill>
                </w14:textFill>
              </w:rPr>
              <w:t>均不能够满足《环境空气质量标准》（</w:t>
            </w:r>
            <w:r>
              <w:rPr>
                <w:rFonts w:hint="default"/>
                <w:color w:val="000000" w:themeColor="text1"/>
                <w:kern w:val="0"/>
                <w:sz w:val="24"/>
                <w14:textFill>
                  <w14:solidFill>
                    <w14:schemeClr w14:val="tx1"/>
                  </w14:solidFill>
                </w14:textFill>
              </w:rPr>
              <w:t>GB3095-2012</w:t>
            </w:r>
            <w:r>
              <w:rPr>
                <w:rFonts w:hint="default" w:hAnsi="宋体"/>
                <w:color w:val="000000" w:themeColor="text1"/>
                <w:kern w:val="0"/>
                <w:sz w:val="24"/>
                <w14:textFill>
                  <w14:solidFill>
                    <w14:schemeClr w14:val="tx1"/>
                  </w14:solidFill>
                </w14:textFill>
              </w:rPr>
              <w:t>）二级标准要求。根据《环境影响评价技术导则</w:t>
            </w:r>
            <w:r>
              <w:rPr>
                <w:rFonts w:hint="default"/>
                <w:color w:val="000000" w:themeColor="text1"/>
                <w:kern w:val="0"/>
                <w:sz w:val="24"/>
                <w14:textFill>
                  <w14:solidFill>
                    <w14:schemeClr w14:val="tx1"/>
                  </w14:solidFill>
                </w14:textFill>
              </w:rPr>
              <w:t xml:space="preserve"> </w:t>
            </w:r>
            <w:r>
              <w:rPr>
                <w:rFonts w:hint="default" w:hAnsi="宋体"/>
                <w:color w:val="000000" w:themeColor="text1"/>
                <w:kern w:val="0"/>
                <w:sz w:val="24"/>
                <w14:textFill>
                  <w14:solidFill>
                    <w14:schemeClr w14:val="tx1"/>
                  </w14:solidFill>
                </w14:textFill>
              </w:rPr>
              <w:t>大气环境》</w:t>
            </w:r>
            <w:r>
              <w:rPr>
                <w:rFonts w:hint="default"/>
                <w:color w:val="000000" w:themeColor="text1"/>
                <w:kern w:val="0"/>
                <w:sz w:val="24"/>
                <w14:textFill>
                  <w14:solidFill>
                    <w14:schemeClr w14:val="tx1"/>
                  </w14:solidFill>
                </w14:textFill>
              </w:rPr>
              <w:t>(HJ2.2-2018)</w:t>
            </w:r>
            <w:r>
              <w:rPr>
                <w:rFonts w:hint="default" w:hAnsi="宋体"/>
                <w:color w:val="000000" w:themeColor="text1"/>
                <w:kern w:val="0"/>
                <w:sz w:val="24"/>
                <w14:textFill>
                  <w14:solidFill>
                    <w14:schemeClr w14:val="tx1"/>
                  </w14:solidFill>
                </w14:textFill>
              </w:rPr>
              <w:t>，本项目所在区域属于不达标区。</w:t>
            </w:r>
          </w:p>
          <w:p w14:paraId="701C62C5">
            <w:pPr>
              <w:keepNext w:val="0"/>
              <w:keepLines w:val="0"/>
              <w:suppressLineNumbers w:val="0"/>
              <w:adjustRightInd w:val="0"/>
              <w:snapToGrid w:val="0"/>
              <w:spacing w:before="0" w:beforeAutospacing="0" w:after="0" w:afterAutospacing="0" w:line="440" w:lineRule="exact"/>
              <w:ind w:left="0" w:right="0" w:firstLine="480" w:firstLineChars="200"/>
              <w:rPr>
                <w:rFonts w:hint="default"/>
                <w:color w:val="000000" w:themeColor="text1"/>
                <w:kern w:val="0"/>
                <w:sz w:val="24"/>
                <w14:textFill>
                  <w14:solidFill>
                    <w14:schemeClr w14:val="tx1"/>
                  </w14:solidFill>
                </w14:textFill>
              </w:rPr>
            </w:pPr>
            <w:r>
              <w:rPr>
                <w:rFonts w:hint="default" w:hAnsi="宋体"/>
                <w:color w:val="000000" w:themeColor="text1"/>
                <w:kern w:val="0"/>
                <w:sz w:val="24"/>
                <w14:textFill>
                  <w14:solidFill>
                    <w14:schemeClr w14:val="tx1"/>
                  </w14:solidFill>
                </w14:textFill>
              </w:rPr>
              <w:t>目前，新乡市正在实施《</w:t>
            </w:r>
            <w:r>
              <w:rPr>
                <w:rFonts w:hint="eastAsia" w:hAnsi="宋体"/>
                <w:color w:val="000000" w:themeColor="text1"/>
                <w:kern w:val="0"/>
                <w:sz w:val="24"/>
                <w:lang w:val="en-US" w:eastAsia="zh-CN"/>
                <w14:textFill>
                  <w14:solidFill>
                    <w14:schemeClr w14:val="tx1"/>
                  </w14:solidFill>
                </w14:textFill>
              </w:rPr>
              <w:t>新乡市2024年蓝天保卫战实施方案</w:t>
            </w:r>
            <w:r>
              <w:rPr>
                <w:rFonts w:hint="default" w:hAnsi="宋体"/>
                <w:color w:val="000000" w:themeColor="text1"/>
                <w:kern w:val="0"/>
                <w:sz w:val="24"/>
                <w14:textFill>
                  <w14:solidFill>
                    <w14:schemeClr w14:val="tx1"/>
                  </w14:solidFill>
                </w14:textFill>
              </w:rPr>
              <w:t>》等一系列措施，将不断改善区域大气环境质量。</w:t>
            </w:r>
          </w:p>
          <w:p w14:paraId="15AB8A1B">
            <w:pPr>
              <w:keepNext w:val="0"/>
              <w:keepLines w:val="0"/>
              <w:suppressLineNumbers w:val="0"/>
              <w:spacing w:before="0" w:beforeAutospacing="0" w:after="0" w:afterAutospacing="0" w:line="440" w:lineRule="exact"/>
              <w:ind w:left="0" w:right="0" w:firstLine="482" w:firstLineChars="200"/>
              <w:jc w:val="left"/>
              <w:rPr>
                <w:rFonts w:hint="default"/>
                <w:b/>
                <w:bCs/>
                <w:sz w:val="24"/>
              </w:rPr>
            </w:pPr>
            <w:r>
              <w:rPr>
                <w:rFonts w:hint="default"/>
                <w:b/>
                <w:bCs/>
                <w:sz w:val="24"/>
              </w:rPr>
              <w:t>2</w:t>
            </w:r>
            <w:r>
              <w:rPr>
                <w:rFonts w:hint="default" w:hAnsi="宋体"/>
                <w:b/>
                <w:bCs/>
                <w:sz w:val="24"/>
              </w:rPr>
              <w:t>、地表水</w:t>
            </w:r>
            <w:r>
              <w:rPr>
                <w:rFonts w:hint="default"/>
                <w:b/>
                <w:bCs/>
                <w:sz w:val="24"/>
              </w:rPr>
              <w:t>质量现状</w:t>
            </w:r>
          </w:p>
          <w:p w14:paraId="6FC2F10E">
            <w:pPr>
              <w:keepNext w:val="0"/>
              <w:keepLines w:val="0"/>
              <w:suppressLineNumbers w:val="0"/>
              <w:spacing w:before="0" w:beforeAutospacing="0" w:after="0" w:afterAutospacing="0" w:line="440" w:lineRule="exact"/>
              <w:ind w:left="0" w:right="0"/>
              <w:jc w:val="both"/>
              <w:rPr>
                <w:rFonts w:hint="eastAsia"/>
                <w:color w:val="auto"/>
                <w:sz w:val="24"/>
                <w:highlight w:val="none"/>
              </w:rPr>
            </w:pPr>
            <w:r>
              <w:rPr>
                <w:rFonts w:hint="eastAsia"/>
                <w:color w:val="auto"/>
                <w:sz w:val="24"/>
                <w:lang w:val="en-US" w:eastAsia="zh-CN"/>
              </w:rPr>
              <w:t xml:space="preserve">   </w:t>
            </w:r>
            <w:r>
              <w:rPr>
                <w:rFonts w:hint="eastAsia"/>
                <w:color w:val="auto"/>
                <w:sz w:val="24"/>
                <w:highlight w:val="none"/>
                <w:lang w:val="en-US" w:eastAsia="zh-CN"/>
              </w:rPr>
              <w:t>本项目劳动定员10人，生活污水经化粪</w:t>
            </w:r>
            <w:r>
              <w:rPr>
                <w:rFonts w:hint="eastAsia"/>
                <w:i w:val="0"/>
                <w:iCs w:val="0"/>
                <w:color w:val="auto"/>
                <w:sz w:val="24"/>
                <w:highlight w:val="none"/>
                <w:lang w:val="en-US" w:eastAsia="zh-CN"/>
              </w:rPr>
              <w:t>池处理后经污水管网排至新乡县综合污水处理厂进一步处理，最终排入东孟姜女河</w:t>
            </w:r>
            <w:r>
              <w:rPr>
                <w:rFonts w:hint="eastAsia"/>
                <w:color w:val="auto"/>
                <w:sz w:val="24"/>
                <w:highlight w:val="none"/>
              </w:rPr>
              <w:t>。依据新乡市生态环境关于</w:t>
            </w:r>
            <w:r>
              <w:rPr>
                <w:rFonts w:hint="eastAsia" w:cs="Times New Roman"/>
                <w:color w:val="auto"/>
                <w:sz w:val="24"/>
                <w:szCs w:val="24"/>
                <w:highlight w:val="none"/>
                <w:lang w:val="en-US" w:eastAsia="zh-CN"/>
              </w:rPr>
              <w:t>下达</w:t>
            </w:r>
            <w:r>
              <w:rPr>
                <w:rFonts w:hint="default"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年地表水环境质量目标》的函</w:t>
            </w:r>
            <w:r>
              <w:rPr>
                <w:rFonts w:hint="eastAsia"/>
                <w:color w:val="auto"/>
                <w:sz w:val="24"/>
                <w:highlight w:val="none"/>
              </w:rPr>
              <w:t>，</w:t>
            </w:r>
            <w:r>
              <w:rPr>
                <w:rFonts w:hint="eastAsia"/>
                <w:color w:val="auto"/>
                <w:sz w:val="24"/>
                <w:highlight w:val="none"/>
                <w:lang w:val="en-US" w:eastAsia="zh-CN"/>
              </w:rPr>
              <w:t>新乡县东孟姜女河高新区入口</w:t>
            </w:r>
            <w:r>
              <w:rPr>
                <w:rFonts w:hint="eastAsia"/>
                <w:color w:val="auto"/>
                <w:sz w:val="24"/>
                <w:highlight w:val="none"/>
              </w:rPr>
              <w:t>断面</w:t>
            </w:r>
            <w:r>
              <w:rPr>
                <w:rFonts w:hint="eastAsia"/>
                <w:color w:val="auto"/>
                <w:sz w:val="24"/>
                <w:highlight w:val="none"/>
                <w:lang w:eastAsia="zh-CN"/>
              </w:rPr>
              <w:t>水体功能类别为</w:t>
            </w:r>
            <w:r>
              <w:rPr>
                <w:rFonts w:hint="default" w:ascii="Times New Roman" w:hAnsi="Times New Roman" w:eastAsia="宋体" w:cs="Times New Roman"/>
                <w:color w:val="auto"/>
                <w:sz w:val="24"/>
                <w:highlight w:val="none"/>
              </w:rPr>
              <w:t>Ⅳ</w:t>
            </w:r>
            <w:r>
              <w:rPr>
                <w:rFonts w:hint="eastAsia"/>
                <w:color w:val="auto"/>
                <w:sz w:val="24"/>
                <w:highlight w:val="none"/>
              </w:rPr>
              <w:t>类。本评价引用新乡市环境监测站对</w:t>
            </w:r>
            <w:r>
              <w:rPr>
                <w:rFonts w:hint="eastAsia"/>
                <w:color w:val="auto"/>
                <w:sz w:val="24"/>
                <w:highlight w:val="none"/>
                <w:lang w:val="en-US" w:eastAsia="zh-CN"/>
              </w:rPr>
              <w:t>新乡县东孟姜女河高新区入口</w:t>
            </w:r>
            <w:r>
              <w:rPr>
                <w:rFonts w:hint="eastAsia"/>
                <w:color w:val="auto"/>
                <w:sz w:val="24"/>
                <w:highlight w:val="none"/>
              </w:rPr>
              <w:t>断面202</w:t>
            </w:r>
            <w:r>
              <w:rPr>
                <w:rFonts w:hint="eastAsia"/>
                <w:color w:val="auto"/>
                <w:sz w:val="24"/>
                <w:highlight w:val="none"/>
                <w:lang w:val="en-US" w:eastAsia="zh-CN"/>
              </w:rPr>
              <w:t>3</w:t>
            </w:r>
            <w:r>
              <w:rPr>
                <w:rFonts w:hint="eastAsia"/>
                <w:color w:val="auto"/>
                <w:sz w:val="24"/>
                <w:highlight w:val="none"/>
              </w:rPr>
              <w:t>年</w:t>
            </w:r>
            <w:r>
              <w:rPr>
                <w:rFonts w:hint="eastAsia"/>
                <w:color w:val="auto"/>
                <w:sz w:val="24"/>
                <w:highlight w:val="none"/>
                <w:lang w:val="en-US" w:eastAsia="zh-CN"/>
              </w:rPr>
              <w:t>1-12</w:t>
            </w:r>
            <w:r>
              <w:rPr>
                <w:rFonts w:hint="eastAsia"/>
                <w:color w:val="auto"/>
                <w:sz w:val="24"/>
                <w:highlight w:val="none"/>
              </w:rPr>
              <w:t>月的监测数据，数据见下表。</w:t>
            </w:r>
          </w:p>
          <w:p w14:paraId="1B0C152C">
            <w:pPr>
              <w:keepNext w:val="0"/>
              <w:keepLines w:val="0"/>
              <w:suppressLineNumbers w:val="0"/>
              <w:spacing w:before="0" w:beforeAutospacing="0" w:after="0" w:afterAutospacing="0" w:line="440" w:lineRule="exact"/>
              <w:ind w:left="0" w:right="0"/>
              <w:jc w:val="center"/>
              <w:rPr>
                <w:rFonts w:hint="default" w:eastAsia="黑体"/>
                <w:color w:val="FF0000"/>
                <w:sz w:val="24"/>
                <w:highlight w:val="none"/>
              </w:rPr>
            </w:pPr>
            <w:r>
              <w:rPr>
                <w:rFonts w:hint="default" w:ascii="宋体" w:hAnsi="宋体"/>
                <w:b/>
                <w:bCs w:val="0"/>
                <w:color w:val="000000" w:themeColor="text1"/>
                <w:sz w:val="24"/>
                <w:highlight w:val="none"/>
                <w14:textFill>
                  <w14:solidFill>
                    <w14:schemeClr w14:val="tx1"/>
                  </w14:solidFill>
                </w14:textFill>
              </w:rPr>
              <w:t>表</w:t>
            </w:r>
            <w:r>
              <w:rPr>
                <w:rFonts w:hint="eastAsia" w:cs="Times New Roman"/>
                <w:b/>
                <w:bCs w:val="0"/>
                <w:color w:val="000000" w:themeColor="text1"/>
                <w:sz w:val="24"/>
                <w:highlight w:val="none"/>
                <w:lang w:val="en-US" w:eastAsia="zh-CN"/>
                <w14:textFill>
                  <w14:solidFill>
                    <w14:schemeClr w14:val="tx1"/>
                  </w14:solidFill>
                </w14:textFill>
              </w:rPr>
              <w:t>18</w:t>
            </w:r>
            <w:r>
              <w:rPr>
                <w:rFonts w:hint="eastAsia" w:ascii="宋体" w:hAnsi="宋体"/>
                <w:b/>
                <w:bCs w:val="0"/>
                <w:color w:val="000000" w:themeColor="text1"/>
                <w:sz w:val="24"/>
                <w:highlight w:val="none"/>
                <w:lang w:val="en-US" w:eastAsia="zh-CN"/>
                <w14:textFill>
                  <w14:solidFill>
                    <w14:schemeClr w14:val="tx1"/>
                  </w14:solidFill>
                </w14:textFill>
              </w:rPr>
              <w:t xml:space="preserve">  </w:t>
            </w:r>
            <w:r>
              <w:rPr>
                <w:rFonts w:hint="eastAsia"/>
                <w:b/>
                <w:bCs w:val="0"/>
                <w:color w:val="auto"/>
                <w:sz w:val="24"/>
                <w:highlight w:val="none"/>
                <w:lang w:val="en-US" w:eastAsia="zh-CN"/>
              </w:rPr>
              <w:t>东孟姜女河高新区入口</w:t>
            </w:r>
            <w:r>
              <w:rPr>
                <w:rFonts w:hint="eastAsia" w:ascii="宋体" w:hAnsi="宋体"/>
                <w:b/>
                <w:bCs w:val="0"/>
                <w:color w:val="auto"/>
                <w:sz w:val="24"/>
                <w:highlight w:val="none"/>
                <w:lang w:val="en-US" w:eastAsia="zh-CN"/>
              </w:rPr>
              <w:t>断面监测</w:t>
            </w:r>
            <w:r>
              <w:rPr>
                <w:rFonts w:hint="eastAsia" w:ascii="宋体" w:hAnsi="宋体"/>
                <w:b/>
                <w:bCs/>
                <w:color w:val="auto"/>
                <w:sz w:val="24"/>
                <w:highlight w:val="none"/>
                <w:lang w:val="en-US" w:eastAsia="zh-CN"/>
              </w:rPr>
              <w:t>数据</w:t>
            </w:r>
            <w:r>
              <w:rPr>
                <w:rFonts w:hint="default" w:ascii="Times New Roman" w:hAnsi="Times New Roman" w:eastAsia="宋体" w:cs="Times New Roman"/>
                <w:b/>
                <w:bCs/>
                <w:color w:val="000000" w:themeColor="text1"/>
                <w:sz w:val="24"/>
                <w:highlight w:val="none"/>
                <w14:textFill>
                  <w14:solidFill>
                    <w14:schemeClr w14:val="tx1"/>
                  </w14:solidFill>
                </w14:textFill>
              </w:rPr>
              <w:t>（202</w:t>
            </w:r>
            <w:r>
              <w:rPr>
                <w:rFonts w:hint="eastAsia" w:cs="Times New Roman"/>
                <w:b/>
                <w:bCs/>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highlight w:val="none"/>
                <w14:textFill>
                  <w14:solidFill>
                    <w14:schemeClr w14:val="tx1"/>
                  </w14:solidFill>
                </w14:textFill>
              </w:rPr>
              <w:t>年</w:t>
            </w:r>
            <w:r>
              <w:rPr>
                <w:rFonts w:hint="eastAsia" w:cs="Times New Roman"/>
                <w:b/>
                <w:bCs/>
                <w:color w:val="000000" w:themeColor="text1"/>
                <w:sz w:val="24"/>
                <w:highlight w:val="none"/>
                <w:lang w:val="en-US" w:eastAsia="zh-CN"/>
                <w14:textFill>
                  <w14:solidFill>
                    <w14:schemeClr w14:val="tx1"/>
                  </w14:solidFill>
                </w14:textFill>
              </w:rPr>
              <w:t>1-12</w:t>
            </w:r>
            <w:r>
              <w:rPr>
                <w:rFonts w:hint="default" w:ascii="Times New Roman" w:hAnsi="Times New Roman" w:eastAsia="宋体" w:cs="Times New Roman"/>
                <w:b/>
                <w:bCs/>
                <w:color w:val="000000" w:themeColor="text1"/>
                <w:sz w:val="24"/>
                <w:highlight w:val="none"/>
                <w14:textFill>
                  <w14:solidFill>
                    <w14:schemeClr w14:val="tx1"/>
                  </w14:solidFill>
                </w14:textFill>
              </w:rPr>
              <w:t>月）  单位（mg/L）</w:t>
            </w:r>
          </w:p>
          <w:tbl>
            <w:tblPr>
              <w:tblStyle w:val="22"/>
              <w:tblW w:w="4994" w:type="pct"/>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6"/>
              <w:gridCol w:w="979"/>
              <w:gridCol w:w="932"/>
              <w:gridCol w:w="1303"/>
              <w:gridCol w:w="1124"/>
              <w:gridCol w:w="1193"/>
              <w:gridCol w:w="1057"/>
              <w:gridCol w:w="1262"/>
            </w:tblGrid>
            <w:tr w14:paraId="2459882C">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restart"/>
                  <w:tcBorders>
                    <w:tl2br w:val="nil"/>
                    <w:tr2bl w:val="nil"/>
                  </w:tcBorders>
                  <w:noWrap w:val="0"/>
                  <w:vAlign w:val="center"/>
                </w:tcPr>
                <w:p w14:paraId="2CAE735E">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监测项目</w:t>
                  </w:r>
                </w:p>
              </w:tc>
              <w:tc>
                <w:tcPr>
                  <w:tcW w:w="572" w:type="pct"/>
                  <w:vMerge w:val="restart"/>
                  <w:tcBorders>
                    <w:tl2br w:val="nil"/>
                    <w:tr2bl w:val="nil"/>
                  </w:tcBorders>
                  <w:noWrap w:val="0"/>
                  <w:vAlign w:val="center"/>
                </w:tcPr>
                <w:p w14:paraId="1C6D9C6A">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监测</w:t>
                  </w:r>
                </w:p>
                <w:p w14:paraId="16AA0119">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时间</w:t>
                  </w:r>
                </w:p>
              </w:tc>
              <w:tc>
                <w:tcPr>
                  <w:tcW w:w="4015" w:type="pct"/>
                  <w:gridSpan w:val="6"/>
                  <w:tcBorders>
                    <w:tl2br w:val="nil"/>
                    <w:tr2bl w:val="nil"/>
                  </w:tcBorders>
                  <w:noWrap w:val="0"/>
                  <w:vAlign w:val="center"/>
                </w:tcPr>
                <w:p w14:paraId="5F825CDF">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监测结果（mg/L）</w:t>
                  </w:r>
                </w:p>
              </w:tc>
            </w:tr>
            <w:tr w14:paraId="6EF7AC02">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42497358">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rPr>
                  </w:pPr>
                </w:p>
              </w:tc>
              <w:tc>
                <w:tcPr>
                  <w:tcW w:w="572" w:type="pct"/>
                  <w:vMerge w:val="continue"/>
                  <w:tcBorders>
                    <w:tl2br w:val="nil"/>
                    <w:tr2bl w:val="nil"/>
                  </w:tcBorders>
                  <w:noWrap w:val="0"/>
                  <w:vAlign w:val="center"/>
                </w:tcPr>
                <w:p w14:paraId="0645D707">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rPr>
                  </w:pPr>
                </w:p>
              </w:tc>
              <w:tc>
                <w:tcPr>
                  <w:tcW w:w="1306" w:type="pct"/>
                  <w:gridSpan w:val="2"/>
                  <w:tcBorders>
                    <w:tl2br w:val="nil"/>
                    <w:tr2bl w:val="nil"/>
                  </w:tcBorders>
                  <w:noWrap w:val="0"/>
                  <w:vAlign w:val="center"/>
                </w:tcPr>
                <w:p w14:paraId="3C8D0077">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COD</w:t>
                  </w:r>
                </w:p>
              </w:tc>
              <w:tc>
                <w:tcPr>
                  <w:tcW w:w="1354" w:type="pct"/>
                  <w:gridSpan w:val="2"/>
                  <w:tcBorders>
                    <w:tl2br w:val="nil"/>
                    <w:tr2bl w:val="nil"/>
                  </w:tcBorders>
                  <w:noWrap w:val="0"/>
                  <w:vAlign w:val="center"/>
                </w:tcPr>
                <w:p w14:paraId="6257630C">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氨氮</w:t>
                  </w:r>
                </w:p>
              </w:tc>
              <w:tc>
                <w:tcPr>
                  <w:tcW w:w="1355" w:type="pct"/>
                  <w:gridSpan w:val="2"/>
                  <w:tcBorders>
                    <w:tl2br w:val="nil"/>
                    <w:tr2bl w:val="nil"/>
                  </w:tcBorders>
                  <w:noWrap w:val="0"/>
                  <w:vAlign w:val="center"/>
                </w:tcPr>
                <w:p w14:paraId="09BE31E5">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总磷</w:t>
                  </w:r>
                </w:p>
              </w:tc>
            </w:tr>
            <w:tr w14:paraId="4542E15D">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2B2546AC">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highlight w:val="none"/>
                      <w:u w:val="none"/>
                    </w:rPr>
                  </w:pPr>
                </w:p>
              </w:tc>
              <w:tc>
                <w:tcPr>
                  <w:tcW w:w="572" w:type="pct"/>
                  <w:vMerge w:val="continue"/>
                  <w:tcBorders>
                    <w:tl2br w:val="nil"/>
                    <w:tr2bl w:val="nil"/>
                  </w:tcBorders>
                  <w:noWrap w:val="0"/>
                  <w:vAlign w:val="center"/>
                </w:tcPr>
                <w:p w14:paraId="70509409">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highlight w:val="none"/>
                      <w:u w:val="none"/>
                    </w:rPr>
                  </w:pPr>
                </w:p>
              </w:tc>
              <w:tc>
                <w:tcPr>
                  <w:tcW w:w="544" w:type="pct"/>
                  <w:tcBorders>
                    <w:tl2br w:val="nil"/>
                    <w:tr2bl w:val="nil"/>
                  </w:tcBorders>
                  <w:noWrap w:val="0"/>
                  <w:vAlign w:val="center"/>
                </w:tcPr>
                <w:p w14:paraId="0728E5A8">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eastAsia="宋体" w:cs="Times New Roman"/>
                      <w:b/>
                      <w:bCs w:val="0"/>
                      <w:color w:val="auto"/>
                      <w:sz w:val="21"/>
                      <w:szCs w:val="21"/>
                      <w:highlight w:val="none"/>
                      <w:u w:val="none"/>
                      <w:lang w:val="en-US" w:eastAsia="zh-CN"/>
                    </w:rPr>
                    <w:t>浓度</w:t>
                  </w:r>
                </w:p>
              </w:tc>
              <w:tc>
                <w:tcPr>
                  <w:tcW w:w="761" w:type="pct"/>
                  <w:tcBorders>
                    <w:tl2br w:val="nil"/>
                    <w:tr2bl w:val="nil"/>
                  </w:tcBorders>
                  <w:noWrap w:val="0"/>
                  <w:vAlign w:val="center"/>
                </w:tcPr>
                <w:p w14:paraId="4A311CEF">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eastAsia="宋体" w:cs="Times New Roman"/>
                      <w:b/>
                      <w:bCs w:val="0"/>
                      <w:color w:val="auto"/>
                      <w:sz w:val="21"/>
                      <w:szCs w:val="21"/>
                      <w:highlight w:val="none"/>
                      <w:u w:val="none"/>
                      <w:lang w:val="en-US" w:eastAsia="zh-CN"/>
                    </w:rPr>
                    <w:t>达标情况</w:t>
                  </w:r>
                </w:p>
              </w:tc>
              <w:tc>
                <w:tcPr>
                  <w:tcW w:w="656" w:type="pct"/>
                  <w:tcBorders>
                    <w:tl2br w:val="nil"/>
                    <w:tr2bl w:val="nil"/>
                  </w:tcBorders>
                  <w:noWrap w:val="0"/>
                  <w:vAlign w:val="center"/>
                </w:tcPr>
                <w:p w14:paraId="05409201">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lang w:val="en-US" w:eastAsia="zh-CN"/>
                    </w:rPr>
                    <w:t>浓度</w:t>
                  </w:r>
                </w:p>
              </w:tc>
              <w:tc>
                <w:tcPr>
                  <w:tcW w:w="697" w:type="pct"/>
                  <w:tcBorders>
                    <w:tl2br w:val="nil"/>
                    <w:tr2bl w:val="nil"/>
                  </w:tcBorders>
                  <w:noWrap w:val="0"/>
                  <w:vAlign w:val="center"/>
                </w:tcPr>
                <w:p w14:paraId="5AD6C9D1">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lang w:val="en-US" w:eastAsia="zh-CN"/>
                    </w:rPr>
                    <w:t>达标情况</w:t>
                  </w:r>
                </w:p>
              </w:tc>
              <w:tc>
                <w:tcPr>
                  <w:tcW w:w="617" w:type="pct"/>
                  <w:tcBorders>
                    <w:tl2br w:val="nil"/>
                    <w:tr2bl w:val="nil"/>
                  </w:tcBorders>
                  <w:noWrap w:val="0"/>
                  <w:vAlign w:val="center"/>
                </w:tcPr>
                <w:p w14:paraId="2473FF57">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lang w:val="en-US" w:eastAsia="zh-CN"/>
                    </w:rPr>
                    <w:t>浓度</w:t>
                  </w:r>
                </w:p>
              </w:tc>
              <w:tc>
                <w:tcPr>
                  <w:tcW w:w="737" w:type="pct"/>
                  <w:tcBorders>
                    <w:tl2br w:val="nil"/>
                    <w:tr2bl w:val="nil"/>
                  </w:tcBorders>
                  <w:noWrap w:val="0"/>
                  <w:vAlign w:val="center"/>
                </w:tcPr>
                <w:p w14:paraId="7BEA6CCF">
                  <w:pPr>
                    <w:pStyle w:val="7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lang w:val="en-US" w:eastAsia="zh-CN"/>
                    </w:rPr>
                    <w:t>达标情况</w:t>
                  </w:r>
                </w:p>
              </w:tc>
            </w:tr>
            <w:tr w14:paraId="7D30B052">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restart"/>
                  <w:tcBorders>
                    <w:tl2br w:val="nil"/>
                    <w:tr2bl w:val="nil"/>
                  </w:tcBorders>
                  <w:noWrap w:val="0"/>
                  <w:vAlign w:val="center"/>
                </w:tcPr>
                <w:p w14:paraId="1EB3C279">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r>
                    <w:rPr>
                      <w:rFonts w:hint="eastAsia" w:cs="Times New Roman"/>
                      <w:b w:val="0"/>
                      <w:bCs/>
                      <w:kern w:val="2"/>
                      <w:sz w:val="21"/>
                      <w:szCs w:val="21"/>
                      <w:highlight w:val="none"/>
                      <w:u w:val="none"/>
                      <w:lang w:val="en-US" w:eastAsia="zh-CN"/>
                    </w:rPr>
                    <w:t>东孟姜女河高新区入口断面</w:t>
                  </w:r>
                </w:p>
              </w:tc>
              <w:tc>
                <w:tcPr>
                  <w:tcW w:w="572" w:type="pct"/>
                  <w:tcBorders>
                    <w:tl2br w:val="nil"/>
                    <w:tr2bl w:val="nil"/>
                  </w:tcBorders>
                  <w:noWrap w:val="0"/>
                  <w:vAlign w:val="center"/>
                </w:tcPr>
                <w:p w14:paraId="0592BA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01</w:t>
                  </w:r>
                </w:p>
              </w:tc>
              <w:tc>
                <w:tcPr>
                  <w:tcW w:w="544" w:type="pct"/>
                  <w:tcBorders>
                    <w:tl2br w:val="nil"/>
                    <w:tr2bl w:val="nil"/>
                  </w:tcBorders>
                  <w:noWrap w:val="0"/>
                  <w:vAlign w:val="center"/>
                </w:tcPr>
                <w:p w14:paraId="3A859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28.28</w:t>
                  </w:r>
                </w:p>
              </w:tc>
              <w:tc>
                <w:tcPr>
                  <w:tcW w:w="761" w:type="pct"/>
                  <w:tcBorders>
                    <w:tl2br w:val="nil"/>
                    <w:tr2bl w:val="nil"/>
                  </w:tcBorders>
                  <w:noWrap w:val="0"/>
                  <w:vAlign w:val="center"/>
                </w:tcPr>
                <w:p w14:paraId="60FDA8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56" w:type="pct"/>
                  <w:tcBorders>
                    <w:tl2br w:val="nil"/>
                    <w:tr2bl w:val="nil"/>
                  </w:tcBorders>
                  <w:noWrap w:val="0"/>
                  <w:vAlign w:val="center"/>
                </w:tcPr>
                <w:p w14:paraId="7D54E3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1.88</w:t>
                  </w:r>
                </w:p>
              </w:tc>
              <w:tc>
                <w:tcPr>
                  <w:tcW w:w="697" w:type="pct"/>
                  <w:tcBorders>
                    <w:tl2br w:val="nil"/>
                    <w:tr2bl w:val="nil"/>
                  </w:tcBorders>
                  <w:noWrap w:val="0"/>
                  <w:vAlign w:val="center"/>
                </w:tcPr>
                <w:p w14:paraId="4EB63F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eastAsia" w:cs="Times New Roman"/>
                      <w:b w:val="0"/>
                      <w:bCs/>
                      <w:color w:val="auto"/>
                      <w:kern w:val="2"/>
                      <w:sz w:val="21"/>
                      <w:szCs w:val="21"/>
                      <w:highlight w:val="none"/>
                      <w:u w:val="none"/>
                      <w:lang w:val="en-US" w:eastAsia="zh-CN"/>
                    </w:rPr>
                    <w:t>超</w:t>
                  </w:r>
                  <w:r>
                    <w:rPr>
                      <w:rFonts w:hint="default" w:ascii="Times New Roman" w:hAnsi="Times New Roman" w:eastAsia="宋体" w:cs="Times New Roman"/>
                      <w:b w:val="0"/>
                      <w:bCs/>
                      <w:color w:val="auto"/>
                      <w:kern w:val="2"/>
                      <w:sz w:val="21"/>
                      <w:szCs w:val="21"/>
                      <w:highlight w:val="none"/>
                      <w:u w:val="none"/>
                      <w:lang w:val="en-US" w:eastAsia="zh-CN"/>
                    </w:rPr>
                    <w:t>标</w:t>
                  </w:r>
                </w:p>
              </w:tc>
              <w:tc>
                <w:tcPr>
                  <w:tcW w:w="617" w:type="pct"/>
                  <w:tcBorders>
                    <w:tl2br w:val="nil"/>
                    <w:tr2bl w:val="nil"/>
                  </w:tcBorders>
                  <w:noWrap w:val="0"/>
                  <w:vAlign w:val="center"/>
                </w:tcPr>
                <w:p w14:paraId="3D2AB8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0.306</w:t>
                  </w:r>
                </w:p>
              </w:tc>
              <w:tc>
                <w:tcPr>
                  <w:tcW w:w="737" w:type="pct"/>
                  <w:tcBorders>
                    <w:tl2br w:val="nil"/>
                    <w:tr2bl w:val="nil"/>
                  </w:tcBorders>
                  <w:noWrap w:val="0"/>
                  <w:vAlign w:val="center"/>
                </w:tcPr>
                <w:p w14:paraId="4C2CEA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bidi="ar-SA"/>
                    </w:rPr>
                  </w:pPr>
                  <w:r>
                    <w:rPr>
                      <w:rFonts w:hint="eastAsia" w:cs="Times New Roman"/>
                      <w:b w:val="0"/>
                      <w:bCs/>
                      <w:color w:val="auto"/>
                      <w:kern w:val="2"/>
                      <w:sz w:val="21"/>
                      <w:szCs w:val="21"/>
                      <w:highlight w:val="none"/>
                      <w:u w:val="none"/>
                      <w:lang w:val="en-US" w:eastAsia="zh-CN"/>
                    </w:rPr>
                    <w:t>超</w:t>
                  </w:r>
                  <w:r>
                    <w:rPr>
                      <w:rFonts w:hint="default" w:ascii="Times New Roman" w:hAnsi="Times New Roman" w:eastAsia="宋体" w:cs="Times New Roman"/>
                      <w:b w:val="0"/>
                      <w:bCs/>
                      <w:color w:val="auto"/>
                      <w:kern w:val="2"/>
                      <w:sz w:val="21"/>
                      <w:szCs w:val="21"/>
                      <w:highlight w:val="none"/>
                      <w:u w:val="none"/>
                      <w:lang w:val="en-US" w:eastAsia="zh-CN"/>
                    </w:rPr>
                    <w:t>标</w:t>
                  </w:r>
                </w:p>
              </w:tc>
            </w:tr>
            <w:tr w14:paraId="1A6FAB26">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74EF5B9B">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2AD0EF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02</w:t>
                  </w:r>
                </w:p>
              </w:tc>
              <w:tc>
                <w:tcPr>
                  <w:tcW w:w="544" w:type="pct"/>
                  <w:tcBorders>
                    <w:tl2br w:val="nil"/>
                    <w:tr2bl w:val="nil"/>
                  </w:tcBorders>
                  <w:noWrap w:val="0"/>
                  <w:vAlign w:val="center"/>
                </w:tcPr>
                <w:p w14:paraId="7E4D9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35.39</w:t>
                  </w:r>
                </w:p>
              </w:tc>
              <w:tc>
                <w:tcPr>
                  <w:tcW w:w="761" w:type="pct"/>
                  <w:tcBorders>
                    <w:tl2br w:val="nil"/>
                    <w:tr2bl w:val="nil"/>
                  </w:tcBorders>
                  <w:noWrap w:val="0"/>
                  <w:vAlign w:val="center"/>
                </w:tcPr>
                <w:p w14:paraId="0E4A46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eastAsia" w:cs="Times New Roman"/>
                      <w:b w:val="0"/>
                      <w:bCs/>
                      <w:color w:val="auto"/>
                      <w:kern w:val="2"/>
                      <w:sz w:val="21"/>
                      <w:szCs w:val="21"/>
                      <w:highlight w:val="none"/>
                      <w:u w:val="none"/>
                      <w:lang w:val="en-US" w:eastAsia="zh-CN"/>
                    </w:rPr>
                    <w:t>超</w:t>
                  </w:r>
                  <w:r>
                    <w:rPr>
                      <w:rFonts w:hint="default" w:ascii="Times New Roman" w:hAnsi="Times New Roman" w:eastAsia="宋体" w:cs="Times New Roman"/>
                      <w:b w:val="0"/>
                      <w:bCs/>
                      <w:color w:val="auto"/>
                      <w:kern w:val="2"/>
                      <w:sz w:val="21"/>
                      <w:szCs w:val="21"/>
                      <w:highlight w:val="none"/>
                      <w:u w:val="none"/>
                      <w:lang w:val="en-US" w:eastAsia="zh-CN"/>
                    </w:rPr>
                    <w:t>标</w:t>
                  </w:r>
                </w:p>
              </w:tc>
              <w:tc>
                <w:tcPr>
                  <w:tcW w:w="656" w:type="pct"/>
                  <w:tcBorders>
                    <w:tl2br w:val="nil"/>
                    <w:tr2bl w:val="nil"/>
                  </w:tcBorders>
                  <w:noWrap w:val="0"/>
                  <w:vAlign w:val="center"/>
                </w:tcPr>
                <w:p w14:paraId="0A585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0.46</w:t>
                  </w:r>
                </w:p>
              </w:tc>
              <w:tc>
                <w:tcPr>
                  <w:tcW w:w="697" w:type="pct"/>
                  <w:tcBorders>
                    <w:tl2br w:val="nil"/>
                    <w:tr2bl w:val="nil"/>
                  </w:tcBorders>
                  <w:noWrap w:val="0"/>
                  <w:vAlign w:val="center"/>
                </w:tcPr>
                <w:p w14:paraId="263BEE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17" w:type="pct"/>
                  <w:tcBorders>
                    <w:tl2br w:val="nil"/>
                    <w:tr2bl w:val="nil"/>
                  </w:tcBorders>
                  <w:noWrap w:val="0"/>
                  <w:vAlign w:val="center"/>
                </w:tcPr>
                <w:p w14:paraId="3A2B64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0.291</w:t>
                  </w:r>
                </w:p>
              </w:tc>
              <w:tc>
                <w:tcPr>
                  <w:tcW w:w="737" w:type="pct"/>
                  <w:tcBorders>
                    <w:tl2br w:val="nil"/>
                    <w:tr2bl w:val="nil"/>
                  </w:tcBorders>
                  <w:noWrap w:val="0"/>
                  <w:vAlign w:val="center"/>
                </w:tcPr>
                <w:p w14:paraId="677D96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bidi="ar-SA"/>
                    </w:rPr>
                  </w:pPr>
                  <w:r>
                    <w:rPr>
                      <w:rFonts w:hint="default" w:ascii="Times New Roman" w:hAnsi="Times New Roman" w:eastAsia="宋体" w:cs="Times New Roman"/>
                      <w:b w:val="0"/>
                      <w:bCs/>
                      <w:color w:val="auto"/>
                      <w:kern w:val="2"/>
                      <w:sz w:val="21"/>
                      <w:szCs w:val="21"/>
                      <w:highlight w:val="none"/>
                      <w:u w:val="none"/>
                      <w:lang w:val="en-US" w:eastAsia="zh-CN"/>
                    </w:rPr>
                    <w:t>达标</w:t>
                  </w:r>
                </w:p>
              </w:tc>
            </w:tr>
            <w:tr w14:paraId="20A3DB7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302A8EA5">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63FA1F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03</w:t>
                  </w:r>
                </w:p>
              </w:tc>
              <w:tc>
                <w:tcPr>
                  <w:tcW w:w="544" w:type="pct"/>
                  <w:tcBorders>
                    <w:tl2br w:val="nil"/>
                    <w:tr2bl w:val="nil"/>
                  </w:tcBorders>
                  <w:noWrap w:val="0"/>
                  <w:vAlign w:val="center"/>
                </w:tcPr>
                <w:p w14:paraId="21A27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21.3</w:t>
                  </w:r>
                </w:p>
              </w:tc>
              <w:tc>
                <w:tcPr>
                  <w:tcW w:w="761" w:type="pct"/>
                  <w:tcBorders>
                    <w:tl2br w:val="nil"/>
                    <w:tr2bl w:val="nil"/>
                  </w:tcBorders>
                  <w:noWrap w:val="0"/>
                  <w:vAlign w:val="center"/>
                </w:tcPr>
                <w:p w14:paraId="663781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56" w:type="pct"/>
                  <w:tcBorders>
                    <w:tl2br w:val="nil"/>
                    <w:tr2bl w:val="nil"/>
                  </w:tcBorders>
                  <w:noWrap w:val="0"/>
                  <w:vAlign w:val="center"/>
                </w:tcPr>
                <w:p w14:paraId="6CD29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1.2</w:t>
                  </w:r>
                </w:p>
              </w:tc>
              <w:tc>
                <w:tcPr>
                  <w:tcW w:w="697" w:type="pct"/>
                  <w:tcBorders>
                    <w:tl2br w:val="nil"/>
                    <w:tr2bl w:val="nil"/>
                  </w:tcBorders>
                  <w:noWrap w:val="0"/>
                  <w:vAlign w:val="center"/>
                </w:tcPr>
                <w:p w14:paraId="73CE7D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17" w:type="pct"/>
                  <w:tcBorders>
                    <w:tl2br w:val="nil"/>
                    <w:tr2bl w:val="nil"/>
                  </w:tcBorders>
                  <w:noWrap w:val="0"/>
                  <w:vAlign w:val="center"/>
                </w:tcPr>
                <w:p w14:paraId="5633D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0.46</w:t>
                  </w:r>
                </w:p>
              </w:tc>
              <w:tc>
                <w:tcPr>
                  <w:tcW w:w="737" w:type="pct"/>
                  <w:tcBorders>
                    <w:tl2br w:val="nil"/>
                    <w:tr2bl w:val="nil"/>
                  </w:tcBorders>
                  <w:noWrap w:val="0"/>
                  <w:vAlign w:val="center"/>
                </w:tcPr>
                <w:p w14:paraId="48D46A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bidi="ar-SA"/>
                    </w:rPr>
                  </w:pPr>
                  <w:r>
                    <w:rPr>
                      <w:rFonts w:hint="eastAsia" w:cs="Times New Roman"/>
                      <w:b w:val="0"/>
                      <w:bCs/>
                      <w:color w:val="auto"/>
                      <w:kern w:val="2"/>
                      <w:sz w:val="21"/>
                      <w:szCs w:val="21"/>
                      <w:highlight w:val="none"/>
                      <w:u w:val="none"/>
                      <w:lang w:val="en-US" w:eastAsia="zh-CN"/>
                    </w:rPr>
                    <w:t>超标</w:t>
                  </w:r>
                </w:p>
              </w:tc>
            </w:tr>
            <w:tr w14:paraId="1FB30EB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4E6731FF">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2589FA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04</w:t>
                  </w:r>
                </w:p>
              </w:tc>
              <w:tc>
                <w:tcPr>
                  <w:tcW w:w="544" w:type="pct"/>
                  <w:tcBorders>
                    <w:tl2br w:val="nil"/>
                    <w:tr2bl w:val="nil"/>
                  </w:tcBorders>
                  <w:noWrap w:val="0"/>
                  <w:vAlign w:val="center"/>
                </w:tcPr>
                <w:p w14:paraId="3A053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19.6</w:t>
                  </w:r>
                </w:p>
              </w:tc>
              <w:tc>
                <w:tcPr>
                  <w:tcW w:w="761" w:type="pct"/>
                  <w:tcBorders>
                    <w:tl2br w:val="nil"/>
                    <w:tr2bl w:val="nil"/>
                  </w:tcBorders>
                  <w:noWrap w:val="0"/>
                  <w:vAlign w:val="center"/>
                </w:tcPr>
                <w:p w14:paraId="046C8E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56" w:type="pct"/>
                  <w:tcBorders>
                    <w:tl2br w:val="nil"/>
                    <w:tr2bl w:val="nil"/>
                  </w:tcBorders>
                  <w:noWrap w:val="0"/>
                  <w:vAlign w:val="center"/>
                </w:tcPr>
                <w:p w14:paraId="4A4B5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0.6</w:t>
                  </w:r>
                </w:p>
              </w:tc>
              <w:tc>
                <w:tcPr>
                  <w:tcW w:w="697" w:type="pct"/>
                  <w:tcBorders>
                    <w:tl2br w:val="nil"/>
                    <w:tr2bl w:val="nil"/>
                  </w:tcBorders>
                  <w:noWrap w:val="0"/>
                  <w:vAlign w:val="center"/>
                </w:tcPr>
                <w:p w14:paraId="02D51A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17" w:type="pct"/>
                  <w:tcBorders>
                    <w:tl2br w:val="nil"/>
                    <w:tr2bl w:val="nil"/>
                  </w:tcBorders>
                  <w:noWrap w:val="0"/>
                  <w:vAlign w:val="center"/>
                </w:tcPr>
                <w:p w14:paraId="2F639C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0.33</w:t>
                  </w:r>
                </w:p>
              </w:tc>
              <w:tc>
                <w:tcPr>
                  <w:tcW w:w="737" w:type="pct"/>
                  <w:tcBorders>
                    <w:tl2br w:val="nil"/>
                    <w:tr2bl w:val="nil"/>
                  </w:tcBorders>
                  <w:noWrap w:val="0"/>
                  <w:vAlign w:val="center"/>
                </w:tcPr>
                <w:p w14:paraId="1CDAB6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eastAsia" w:cs="Times New Roman"/>
                      <w:b w:val="0"/>
                      <w:bCs/>
                      <w:color w:val="auto"/>
                      <w:kern w:val="2"/>
                      <w:sz w:val="21"/>
                      <w:szCs w:val="21"/>
                      <w:highlight w:val="none"/>
                      <w:u w:val="none"/>
                      <w:lang w:val="en-US" w:eastAsia="zh-CN"/>
                    </w:rPr>
                    <w:t>超</w:t>
                  </w:r>
                  <w:r>
                    <w:rPr>
                      <w:rFonts w:hint="default" w:ascii="Times New Roman" w:hAnsi="Times New Roman" w:eastAsia="宋体" w:cs="Times New Roman"/>
                      <w:b w:val="0"/>
                      <w:bCs/>
                      <w:color w:val="auto"/>
                      <w:kern w:val="2"/>
                      <w:sz w:val="21"/>
                      <w:szCs w:val="21"/>
                      <w:highlight w:val="none"/>
                      <w:u w:val="none"/>
                      <w:lang w:val="en-US" w:eastAsia="zh-CN"/>
                    </w:rPr>
                    <w:t>标</w:t>
                  </w:r>
                </w:p>
              </w:tc>
            </w:tr>
            <w:tr w14:paraId="03F202E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1F800CD2">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74692D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05</w:t>
                  </w:r>
                </w:p>
              </w:tc>
              <w:tc>
                <w:tcPr>
                  <w:tcW w:w="544" w:type="pct"/>
                  <w:tcBorders>
                    <w:tl2br w:val="nil"/>
                    <w:tr2bl w:val="nil"/>
                  </w:tcBorders>
                  <w:noWrap w:val="0"/>
                  <w:vAlign w:val="center"/>
                </w:tcPr>
                <w:p w14:paraId="6B16E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21.6</w:t>
                  </w:r>
                </w:p>
              </w:tc>
              <w:tc>
                <w:tcPr>
                  <w:tcW w:w="761" w:type="pct"/>
                  <w:tcBorders>
                    <w:tl2br w:val="nil"/>
                    <w:tr2bl w:val="nil"/>
                  </w:tcBorders>
                  <w:noWrap w:val="0"/>
                  <w:vAlign w:val="center"/>
                </w:tcPr>
                <w:p w14:paraId="3555EA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56" w:type="pct"/>
                  <w:tcBorders>
                    <w:tl2br w:val="nil"/>
                    <w:tr2bl w:val="nil"/>
                  </w:tcBorders>
                  <w:noWrap w:val="0"/>
                  <w:vAlign w:val="center"/>
                </w:tcPr>
                <w:p w14:paraId="719BC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0.6</w:t>
                  </w:r>
                </w:p>
              </w:tc>
              <w:tc>
                <w:tcPr>
                  <w:tcW w:w="697" w:type="pct"/>
                  <w:tcBorders>
                    <w:tl2br w:val="nil"/>
                    <w:tr2bl w:val="nil"/>
                  </w:tcBorders>
                  <w:noWrap w:val="0"/>
                  <w:vAlign w:val="center"/>
                </w:tcPr>
                <w:p w14:paraId="2CBC6A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17" w:type="pct"/>
                  <w:tcBorders>
                    <w:tl2br w:val="nil"/>
                    <w:tr2bl w:val="nil"/>
                  </w:tcBorders>
                  <w:noWrap w:val="0"/>
                  <w:vAlign w:val="center"/>
                </w:tcPr>
                <w:p w14:paraId="1BD40B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0.22</w:t>
                  </w:r>
                </w:p>
              </w:tc>
              <w:tc>
                <w:tcPr>
                  <w:tcW w:w="737" w:type="pct"/>
                  <w:tcBorders>
                    <w:tl2br w:val="nil"/>
                    <w:tr2bl w:val="nil"/>
                  </w:tcBorders>
                  <w:noWrap w:val="0"/>
                  <w:vAlign w:val="center"/>
                </w:tcPr>
                <w:p w14:paraId="3C8FDC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r>
            <w:tr w14:paraId="5E060E7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77552C6B">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0BC252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06</w:t>
                  </w:r>
                </w:p>
              </w:tc>
              <w:tc>
                <w:tcPr>
                  <w:tcW w:w="544" w:type="pct"/>
                  <w:tcBorders>
                    <w:tl2br w:val="nil"/>
                    <w:tr2bl w:val="nil"/>
                  </w:tcBorders>
                  <w:noWrap w:val="0"/>
                  <w:vAlign w:val="center"/>
                </w:tcPr>
                <w:p w14:paraId="12B170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22.8</w:t>
                  </w:r>
                </w:p>
              </w:tc>
              <w:tc>
                <w:tcPr>
                  <w:tcW w:w="761" w:type="pct"/>
                  <w:tcBorders>
                    <w:tl2br w:val="nil"/>
                    <w:tr2bl w:val="nil"/>
                  </w:tcBorders>
                  <w:noWrap w:val="0"/>
                  <w:vAlign w:val="center"/>
                </w:tcPr>
                <w:p w14:paraId="2B4417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56" w:type="pct"/>
                  <w:tcBorders>
                    <w:tl2br w:val="nil"/>
                    <w:tr2bl w:val="nil"/>
                  </w:tcBorders>
                  <w:noWrap w:val="0"/>
                  <w:vAlign w:val="center"/>
                </w:tcPr>
                <w:p w14:paraId="5DE649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w:t>
                  </w:r>
                  <w:r>
                    <w:rPr>
                      <w:rFonts w:hint="eastAsia" w:cs="Times New Roman"/>
                      <w:color w:val="auto"/>
                      <w:kern w:val="0"/>
                      <w:sz w:val="21"/>
                      <w:szCs w:val="21"/>
                      <w:lang w:val="en-US" w:eastAsia="zh-CN" w:bidi="ar-SA"/>
                    </w:rPr>
                    <w:t>8</w:t>
                  </w:r>
                </w:p>
              </w:tc>
              <w:tc>
                <w:tcPr>
                  <w:tcW w:w="697" w:type="pct"/>
                  <w:tcBorders>
                    <w:tl2br w:val="nil"/>
                    <w:tr2bl w:val="nil"/>
                  </w:tcBorders>
                  <w:noWrap w:val="0"/>
                  <w:vAlign w:val="center"/>
                </w:tcPr>
                <w:p w14:paraId="24AF0D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17" w:type="pct"/>
                  <w:tcBorders>
                    <w:tl2br w:val="nil"/>
                    <w:tr2bl w:val="nil"/>
                  </w:tcBorders>
                  <w:noWrap w:val="0"/>
                  <w:vAlign w:val="center"/>
                </w:tcPr>
                <w:p w14:paraId="6D8FD9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0.16</w:t>
                  </w:r>
                </w:p>
              </w:tc>
              <w:tc>
                <w:tcPr>
                  <w:tcW w:w="737" w:type="pct"/>
                  <w:tcBorders>
                    <w:tl2br w:val="nil"/>
                    <w:tr2bl w:val="nil"/>
                  </w:tcBorders>
                  <w:noWrap w:val="0"/>
                  <w:vAlign w:val="center"/>
                </w:tcPr>
                <w:p w14:paraId="388FB8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r>
            <w:tr w14:paraId="157A78F0">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1EACB1BF">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136A73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07</w:t>
                  </w:r>
                </w:p>
              </w:tc>
              <w:tc>
                <w:tcPr>
                  <w:tcW w:w="544" w:type="pct"/>
                  <w:tcBorders>
                    <w:tl2br w:val="nil"/>
                    <w:tr2bl w:val="nil"/>
                  </w:tcBorders>
                  <w:noWrap w:val="0"/>
                  <w:vAlign w:val="center"/>
                </w:tcPr>
                <w:p w14:paraId="2CFD6C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20.2</w:t>
                  </w:r>
                </w:p>
              </w:tc>
              <w:tc>
                <w:tcPr>
                  <w:tcW w:w="761" w:type="pct"/>
                  <w:tcBorders>
                    <w:tl2br w:val="nil"/>
                    <w:tr2bl w:val="nil"/>
                  </w:tcBorders>
                  <w:noWrap w:val="0"/>
                  <w:vAlign w:val="center"/>
                </w:tcPr>
                <w:p w14:paraId="6F437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val="0"/>
                      <w:bCs/>
                      <w:color w:val="auto"/>
                      <w:kern w:val="2"/>
                      <w:sz w:val="21"/>
                      <w:szCs w:val="21"/>
                      <w:highlight w:val="none"/>
                      <w:u w:val="none"/>
                      <w:lang w:val="en-US" w:eastAsia="zh-CN"/>
                    </w:rPr>
                  </w:pPr>
                  <w:r>
                    <w:rPr>
                      <w:rFonts w:hint="eastAsia" w:cs="Times New Roman"/>
                      <w:b w:val="0"/>
                      <w:bCs/>
                      <w:color w:val="auto"/>
                      <w:kern w:val="2"/>
                      <w:sz w:val="21"/>
                      <w:szCs w:val="21"/>
                      <w:highlight w:val="none"/>
                      <w:u w:val="none"/>
                      <w:lang w:val="en-US" w:eastAsia="zh-CN"/>
                    </w:rPr>
                    <w:t>达</w:t>
                  </w:r>
                  <w:r>
                    <w:rPr>
                      <w:rFonts w:hint="default" w:ascii="Times New Roman" w:hAnsi="Times New Roman" w:eastAsia="宋体" w:cs="Times New Roman"/>
                      <w:b w:val="0"/>
                      <w:bCs/>
                      <w:color w:val="auto"/>
                      <w:kern w:val="2"/>
                      <w:sz w:val="21"/>
                      <w:szCs w:val="21"/>
                      <w:highlight w:val="none"/>
                      <w:u w:val="none"/>
                      <w:lang w:val="en-US" w:eastAsia="zh-CN"/>
                    </w:rPr>
                    <w:t>标</w:t>
                  </w:r>
                </w:p>
              </w:tc>
              <w:tc>
                <w:tcPr>
                  <w:tcW w:w="656" w:type="pct"/>
                  <w:tcBorders>
                    <w:tl2br w:val="nil"/>
                    <w:tr2bl w:val="nil"/>
                  </w:tcBorders>
                  <w:noWrap w:val="0"/>
                  <w:vAlign w:val="center"/>
                </w:tcPr>
                <w:p w14:paraId="1A4F15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1.1</w:t>
                  </w:r>
                </w:p>
              </w:tc>
              <w:tc>
                <w:tcPr>
                  <w:tcW w:w="697" w:type="pct"/>
                  <w:tcBorders>
                    <w:tl2br w:val="nil"/>
                    <w:tr2bl w:val="nil"/>
                  </w:tcBorders>
                  <w:noWrap w:val="0"/>
                  <w:vAlign w:val="center"/>
                </w:tcPr>
                <w:p w14:paraId="19E2EF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eastAsia" w:cs="Times New Roman"/>
                      <w:b w:val="0"/>
                      <w:bCs/>
                      <w:color w:val="auto"/>
                      <w:kern w:val="2"/>
                      <w:sz w:val="21"/>
                      <w:szCs w:val="21"/>
                      <w:highlight w:val="none"/>
                      <w:u w:val="none"/>
                      <w:lang w:val="en-US" w:eastAsia="zh-CN"/>
                    </w:rPr>
                    <w:t>达</w:t>
                  </w:r>
                  <w:r>
                    <w:rPr>
                      <w:rFonts w:hint="default" w:ascii="Times New Roman" w:hAnsi="Times New Roman" w:eastAsia="宋体" w:cs="Times New Roman"/>
                      <w:b w:val="0"/>
                      <w:bCs/>
                      <w:color w:val="auto"/>
                      <w:kern w:val="2"/>
                      <w:sz w:val="21"/>
                      <w:szCs w:val="21"/>
                      <w:highlight w:val="none"/>
                      <w:u w:val="none"/>
                      <w:lang w:val="en-US" w:eastAsia="zh-CN"/>
                    </w:rPr>
                    <w:t>标</w:t>
                  </w:r>
                </w:p>
              </w:tc>
              <w:tc>
                <w:tcPr>
                  <w:tcW w:w="617" w:type="pct"/>
                  <w:tcBorders>
                    <w:tl2br w:val="nil"/>
                    <w:tr2bl w:val="nil"/>
                  </w:tcBorders>
                  <w:noWrap w:val="0"/>
                  <w:vAlign w:val="center"/>
                </w:tcPr>
                <w:p w14:paraId="7868D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0.22</w:t>
                  </w:r>
                </w:p>
              </w:tc>
              <w:tc>
                <w:tcPr>
                  <w:tcW w:w="737" w:type="pct"/>
                  <w:tcBorders>
                    <w:tl2br w:val="nil"/>
                    <w:tr2bl w:val="nil"/>
                  </w:tcBorders>
                  <w:noWrap w:val="0"/>
                  <w:vAlign w:val="center"/>
                </w:tcPr>
                <w:p w14:paraId="05AAD6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eastAsia" w:cs="Times New Roman"/>
                      <w:b w:val="0"/>
                      <w:bCs/>
                      <w:color w:val="auto"/>
                      <w:kern w:val="2"/>
                      <w:sz w:val="21"/>
                      <w:szCs w:val="21"/>
                      <w:highlight w:val="none"/>
                      <w:u w:val="none"/>
                      <w:lang w:val="en-US" w:eastAsia="zh-CN"/>
                    </w:rPr>
                    <w:t>达</w:t>
                  </w:r>
                  <w:r>
                    <w:rPr>
                      <w:rFonts w:hint="default" w:ascii="Times New Roman" w:hAnsi="Times New Roman" w:eastAsia="宋体" w:cs="Times New Roman"/>
                      <w:b w:val="0"/>
                      <w:bCs/>
                      <w:color w:val="auto"/>
                      <w:kern w:val="2"/>
                      <w:sz w:val="21"/>
                      <w:szCs w:val="21"/>
                      <w:highlight w:val="none"/>
                      <w:u w:val="none"/>
                      <w:lang w:val="en-US" w:eastAsia="zh-CN"/>
                    </w:rPr>
                    <w:t>标</w:t>
                  </w:r>
                </w:p>
              </w:tc>
            </w:tr>
            <w:tr w14:paraId="13072A95">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19824B1E">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1C7B42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08</w:t>
                  </w:r>
                </w:p>
              </w:tc>
              <w:tc>
                <w:tcPr>
                  <w:tcW w:w="544" w:type="pct"/>
                  <w:tcBorders>
                    <w:tl2br w:val="nil"/>
                    <w:tr2bl w:val="nil"/>
                  </w:tcBorders>
                  <w:noWrap w:val="0"/>
                  <w:vAlign w:val="center"/>
                </w:tcPr>
                <w:p w14:paraId="4F526B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18.6</w:t>
                  </w:r>
                </w:p>
              </w:tc>
              <w:tc>
                <w:tcPr>
                  <w:tcW w:w="761" w:type="pct"/>
                  <w:tcBorders>
                    <w:tl2br w:val="nil"/>
                    <w:tr2bl w:val="nil"/>
                  </w:tcBorders>
                  <w:noWrap w:val="0"/>
                  <w:vAlign w:val="center"/>
                </w:tcPr>
                <w:p w14:paraId="7D05A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val="0"/>
                      <w:bCs/>
                      <w:color w:val="auto"/>
                      <w:kern w:val="2"/>
                      <w:sz w:val="21"/>
                      <w:szCs w:val="21"/>
                      <w:highlight w:val="none"/>
                      <w:u w:val="none"/>
                      <w:lang w:val="en-US" w:eastAsia="zh-CN"/>
                    </w:rPr>
                  </w:pPr>
                  <w:r>
                    <w:rPr>
                      <w:rFonts w:hint="eastAsia" w:cs="Times New Roman"/>
                      <w:b w:val="0"/>
                      <w:bCs/>
                      <w:color w:val="auto"/>
                      <w:kern w:val="2"/>
                      <w:sz w:val="21"/>
                      <w:szCs w:val="21"/>
                      <w:highlight w:val="none"/>
                      <w:u w:val="none"/>
                      <w:lang w:val="en-US" w:eastAsia="zh-CN"/>
                    </w:rPr>
                    <w:t>达</w:t>
                  </w:r>
                  <w:r>
                    <w:rPr>
                      <w:rFonts w:hint="default" w:ascii="Times New Roman" w:hAnsi="Times New Roman" w:eastAsia="宋体" w:cs="Times New Roman"/>
                      <w:b w:val="0"/>
                      <w:bCs/>
                      <w:color w:val="auto"/>
                      <w:kern w:val="2"/>
                      <w:sz w:val="21"/>
                      <w:szCs w:val="21"/>
                      <w:highlight w:val="none"/>
                      <w:u w:val="none"/>
                      <w:lang w:val="en-US" w:eastAsia="zh-CN"/>
                    </w:rPr>
                    <w:t>标</w:t>
                  </w:r>
                </w:p>
              </w:tc>
              <w:tc>
                <w:tcPr>
                  <w:tcW w:w="656" w:type="pct"/>
                  <w:tcBorders>
                    <w:tl2br w:val="nil"/>
                    <w:tr2bl w:val="nil"/>
                  </w:tcBorders>
                  <w:noWrap w:val="0"/>
                  <w:vAlign w:val="center"/>
                </w:tcPr>
                <w:p w14:paraId="7F25C4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0.8</w:t>
                  </w:r>
                </w:p>
              </w:tc>
              <w:tc>
                <w:tcPr>
                  <w:tcW w:w="697" w:type="pct"/>
                  <w:tcBorders>
                    <w:tl2br w:val="nil"/>
                    <w:tr2bl w:val="nil"/>
                  </w:tcBorders>
                  <w:noWrap w:val="0"/>
                  <w:vAlign w:val="center"/>
                </w:tcPr>
                <w:p w14:paraId="719C63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eastAsia" w:cs="Times New Roman"/>
                      <w:b w:val="0"/>
                      <w:bCs/>
                      <w:color w:val="auto"/>
                      <w:kern w:val="2"/>
                      <w:sz w:val="21"/>
                      <w:szCs w:val="21"/>
                      <w:highlight w:val="none"/>
                      <w:u w:val="none"/>
                      <w:lang w:val="en-US" w:eastAsia="zh-CN"/>
                    </w:rPr>
                    <w:t>达</w:t>
                  </w:r>
                  <w:r>
                    <w:rPr>
                      <w:rFonts w:hint="default" w:ascii="Times New Roman" w:hAnsi="Times New Roman" w:eastAsia="宋体" w:cs="Times New Roman"/>
                      <w:b w:val="0"/>
                      <w:bCs/>
                      <w:color w:val="auto"/>
                      <w:kern w:val="2"/>
                      <w:sz w:val="21"/>
                      <w:szCs w:val="21"/>
                      <w:highlight w:val="none"/>
                      <w:u w:val="none"/>
                      <w:lang w:val="en-US" w:eastAsia="zh-CN"/>
                    </w:rPr>
                    <w:t>标</w:t>
                  </w:r>
                </w:p>
              </w:tc>
              <w:tc>
                <w:tcPr>
                  <w:tcW w:w="617" w:type="pct"/>
                  <w:tcBorders>
                    <w:tl2br w:val="nil"/>
                    <w:tr2bl w:val="nil"/>
                  </w:tcBorders>
                  <w:noWrap w:val="0"/>
                  <w:vAlign w:val="center"/>
                </w:tcPr>
                <w:p w14:paraId="2E9461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0.27</w:t>
                  </w:r>
                </w:p>
              </w:tc>
              <w:tc>
                <w:tcPr>
                  <w:tcW w:w="737" w:type="pct"/>
                  <w:tcBorders>
                    <w:tl2br w:val="nil"/>
                    <w:tr2bl w:val="nil"/>
                  </w:tcBorders>
                  <w:noWrap w:val="0"/>
                  <w:vAlign w:val="center"/>
                </w:tcPr>
                <w:p w14:paraId="1FF818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r>
            <w:tr w14:paraId="5925304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0D4141A8">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5CE36E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09</w:t>
                  </w:r>
                </w:p>
              </w:tc>
              <w:tc>
                <w:tcPr>
                  <w:tcW w:w="544" w:type="pct"/>
                  <w:tcBorders>
                    <w:tl2br w:val="nil"/>
                    <w:tr2bl w:val="nil"/>
                  </w:tcBorders>
                  <w:noWrap w:val="0"/>
                  <w:vAlign w:val="center"/>
                </w:tcPr>
                <w:p w14:paraId="12444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24.9</w:t>
                  </w:r>
                </w:p>
              </w:tc>
              <w:tc>
                <w:tcPr>
                  <w:tcW w:w="761" w:type="pct"/>
                  <w:tcBorders>
                    <w:tl2br w:val="nil"/>
                    <w:tr2bl w:val="nil"/>
                  </w:tcBorders>
                  <w:noWrap w:val="0"/>
                  <w:vAlign w:val="center"/>
                </w:tcPr>
                <w:p w14:paraId="48053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56" w:type="pct"/>
                  <w:tcBorders>
                    <w:tl2br w:val="nil"/>
                    <w:tr2bl w:val="nil"/>
                  </w:tcBorders>
                  <w:noWrap w:val="0"/>
                  <w:vAlign w:val="center"/>
                </w:tcPr>
                <w:p w14:paraId="6E7509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0.5</w:t>
                  </w:r>
                </w:p>
              </w:tc>
              <w:tc>
                <w:tcPr>
                  <w:tcW w:w="697" w:type="pct"/>
                  <w:tcBorders>
                    <w:tl2br w:val="nil"/>
                    <w:tr2bl w:val="nil"/>
                  </w:tcBorders>
                  <w:noWrap w:val="0"/>
                  <w:vAlign w:val="center"/>
                </w:tcPr>
                <w:p w14:paraId="2FFB98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eastAsia" w:cs="Times New Roman"/>
                      <w:b w:val="0"/>
                      <w:bCs/>
                      <w:color w:val="auto"/>
                      <w:kern w:val="2"/>
                      <w:sz w:val="21"/>
                      <w:szCs w:val="21"/>
                      <w:highlight w:val="none"/>
                      <w:u w:val="none"/>
                      <w:lang w:val="en-US" w:eastAsia="zh-CN"/>
                    </w:rPr>
                    <w:t>达</w:t>
                  </w:r>
                  <w:r>
                    <w:rPr>
                      <w:rFonts w:hint="default" w:ascii="Times New Roman" w:hAnsi="Times New Roman" w:eastAsia="宋体" w:cs="Times New Roman"/>
                      <w:b w:val="0"/>
                      <w:bCs/>
                      <w:color w:val="auto"/>
                      <w:kern w:val="2"/>
                      <w:sz w:val="21"/>
                      <w:szCs w:val="21"/>
                      <w:highlight w:val="none"/>
                      <w:u w:val="none"/>
                      <w:lang w:val="en-US" w:eastAsia="zh-CN"/>
                    </w:rPr>
                    <w:t>标</w:t>
                  </w:r>
                </w:p>
              </w:tc>
              <w:tc>
                <w:tcPr>
                  <w:tcW w:w="617" w:type="pct"/>
                  <w:tcBorders>
                    <w:tl2br w:val="nil"/>
                    <w:tr2bl w:val="nil"/>
                  </w:tcBorders>
                  <w:noWrap w:val="0"/>
                  <w:vAlign w:val="center"/>
                </w:tcPr>
                <w:p w14:paraId="6C5D55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0.34</w:t>
                  </w:r>
                </w:p>
              </w:tc>
              <w:tc>
                <w:tcPr>
                  <w:tcW w:w="737" w:type="pct"/>
                  <w:tcBorders>
                    <w:tl2br w:val="nil"/>
                    <w:tr2bl w:val="nil"/>
                  </w:tcBorders>
                  <w:noWrap w:val="0"/>
                  <w:vAlign w:val="center"/>
                </w:tcPr>
                <w:p w14:paraId="6F8A84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eastAsia" w:cs="Times New Roman"/>
                      <w:b w:val="0"/>
                      <w:bCs/>
                      <w:color w:val="auto"/>
                      <w:kern w:val="2"/>
                      <w:sz w:val="21"/>
                      <w:szCs w:val="21"/>
                      <w:highlight w:val="none"/>
                      <w:u w:val="none"/>
                      <w:lang w:val="en-US" w:eastAsia="zh-CN"/>
                    </w:rPr>
                    <w:t>超</w:t>
                  </w:r>
                  <w:r>
                    <w:rPr>
                      <w:rFonts w:hint="default" w:ascii="Times New Roman" w:hAnsi="Times New Roman" w:eastAsia="宋体" w:cs="Times New Roman"/>
                      <w:b w:val="0"/>
                      <w:bCs/>
                      <w:color w:val="auto"/>
                      <w:kern w:val="2"/>
                      <w:sz w:val="21"/>
                      <w:szCs w:val="21"/>
                      <w:highlight w:val="none"/>
                      <w:u w:val="none"/>
                      <w:lang w:val="en-US" w:eastAsia="zh-CN"/>
                    </w:rPr>
                    <w:t>标</w:t>
                  </w:r>
                </w:p>
              </w:tc>
            </w:tr>
            <w:tr w14:paraId="655946C8">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3A80B49B">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0681FE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10</w:t>
                  </w:r>
                </w:p>
              </w:tc>
              <w:tc>
                <w:tcPr>
                  <w:tcW w:w="544" w:type="pct"/>
                  <w:tcBorders>
                    <w:tl2br w:val="nil"/>
                    <w:tr2bl w:val="nil"/>
                  </w:tcBorders>
                  <w:noWrap w:val="0"/>
                  <w:vAlign w:val="center"/>
                </w:tcPr>
                <w:p w14:paraId="58242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20.8</w:t>
                  </w:r>
                </w:p>
              </w:tc>
              <w:tc>
                <w:tcPr>
                  <w:tcW w:w="761" w:type="pct"/>
                  <w:tcBorders>
                    <w:tl2br w:val="nil"/>
                    <w:tr2bl w:val="nil"/>
                  </w:tcBorders>
                  <w:noWrap w:val="0"/>
                  <w:vAlign w:val="center"/>
                </w:tcPr>
                <w:p w14:paraId="641703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56" w:type="pct"/>
                  <w:tcBorders>
                    <w:tl2br w:val="nil"/>
                    <w:tr2bl w:val="nil"/>
                  </w:tcBorders>
                  <w:noWrap w:val="0"/>
                  <w:vAlign w:val="center"/>
                </w:tcPr>
                <w:p w14:paraId="6E2AB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r>
                    <w:rPr>
                      <w:rFonts w:hint="eastAsia" w:cs="Times New Roman"/>
                      <w:color w:val="auto"/>
                      <w:kern w:val="2"/>
                      <w:sz w:val="21"/>
                      <w:szCs w:val="21"/>
                      <w:lang w:val="en-US" w:eastAsia="zh-CN" w:bidi="ar-SA"/>
                    </w:rPr>
                    <w:t>5</w:t>
                  </w:r>
                </w:p>
              </w:tc>
              <w:tc>
                <w:tcPr>
                  <w:tcW w:w="697" w:type="pct"/>
                  <w:tcBorders>
                    <w:tl2br w:val="nil"/>
                    <w:tr2bl w:val="nil"/>
                  </w:tcBorders>
                  <w:noWrap w:val="0"/>
                  <w:vAlign w:val="center"/>
                </w:tcPr>
                <w:p w14:paraId="2D0943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17" w:type="pct"/>
                  <w:tcBorders>
                    <w:tl2br w:val="nil"/>
                    <w:tr2bl w:val="nil"/>
                  </w:tcBorders>
                  <w:noWrap w:val="0"/>
                  <w:vAlign w:val="center"/>
                </w:tcPr>
                <w:p w14:paraId="4973B7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0.23</w:t>
                  </w:r>
                </w:p>
              </w:tc>
              <w:tc>
                <w:tcPr>
                  <w:tcW w:w="737" w:type="pct"/>
                  <w:tcBorders>
                    <w:tl2br w:val="nil"/>
                    <w:tr2bl w:val="nil"/>
                  </w:tcBorders>
                  <w:noWrap w:val="0"/>
                  <w:vAlign w:val="center"/>
                </w:tcPr>
                <w:p w14:paraId="2AFD15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r>
            <w:tr w14:paraId="6432A781">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7CB888CD">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4B80D3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11</w:t>
                  </w:r>
                </w:p>
              </w:tc>
              <w:tc>
                <w:tcPr>
                  <w:tcW w:w="544" w:type="pct"/>
                  <w:tcBorders>
                    <w:tl2br w:val="nil"/>
                    <w:tr2bl w:val="nil"/>
                  </w:tcBorders>
                  <w:noWrap w:val="0"/>
                  <w:vAlign w:val="center"/>
                </w:tcPr>
                <w:p w14:paraId="25D80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19.2</w:t>
                  </w:r>
                </w:p>
              </w:tc>
              <w:tc>
                <w:tcPr>
                  <w:tcW w:w="761" w:type="pct"/>
                  <w:tcBorders>
                    <w:tl2br w:val="nil"/>
                    <w:tr2bl w:val="nil"/>
                  </w:tcBorders>
                  <w:noWrap w:val="0"/>
                  <w:vAlign w:val="center"/>
                </w:tcPr>
                <w:p w14:paraId="168C80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56" w:type="pct"/>
                  <w:tcBorders>
                    <w:tl2br w:val="nil"/>
                    <w:tr2bl w:val="nil"/>
                  </w:tcBorders>
                  <w:noWrap w:val="0"/>
                  <w:vAlign w:val="center"/>
                </w:tcPr>
                <w:p w14:paraId="1B329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0.6</w:t>
                  </w:r>
                </w:p>
              </w:tc>
              <w:tc>
                <w:tcPr>
                  <w:tcW w:w="697" w:type="pct"/>
                  <w:tcBorders>
                    <w:tl2br w:val="nil"/>
                    <w:tr2bl w:val="nil"/>
                  </w:tcBorders>
                  <w:noWrap w:val="0"/>
                  <w:vAlign w:val="center"/>
                </w:tcPr>
                <w:p w14:paraId="0F0998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17" w:type="pct"/>
                  <w:tcBorders>
                    <w:tl2br w:val="nil"/>
                    <w:tr2bl w:val="nil"/>
                  </w:tcBorders>
                  <w:noWrap w:val="0"/>
                  <w:vAlign w:val="center"/>
                </w:tcPr>
                <w:p w14:paraId="4175D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0.17</w:t>
                  </w:r>
                </w:p>
              </w:tc>
              <w:tc>
                <w:tcPr>
                  <w:tcW w:w="737" w:type="pct"/>
                  <w:tcBorders>
                    <w:tl2br w:val="nil"/>
                    <w:tr2bl w:val="nil"/>
                  </w:tcBorders>
                  <w:noWrap w:val="0"/>
                  <w:vAlign w:val="center"/>
                </w:tcPr>
                <w:p w14:paraId="0AD374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r>
            <w:tr w14:paraId="3CE3DD6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2" w:type="pct"/>
                  <w:vMerge w:val="continue"/>
                  <w:tcBorders>
                    <w:tl2br w:val="nil"/>
                    <w:tr2bl w:val="nil"/>
                  </w:tcBorders>
                  <w:noWrap w:val="0"/>
                  <w:vAlign w:val="center"/>
                </w:tcPr>
                <w:p w14:paraId="36D9F1C2">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p>
              </w:tc>
              <w:tc>
                <w:tcPr>
                  <w:tcW w:w="572" w:type="pct"/>
                  <w:tcBorders>
                    <w:tl2br w:val="nil"/>
                    <w:tr2bl w:val="nil"/>
                  </w:tcBorders>
                  <w:noWrap w:val="0"/>
                  <w:vAlign w:val="center"/>
                </w:tcPr>
                <w:p w14:paraId="1644EC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rPr>
                  </w:pPr>
                  <w:r>
                    <w:rPr>
                      <w:rFonts w:hint="eastAsia" w:ascii="Times New Roman" w:hAnsi="Times New Roman" w:eastAsia="宋体" w:cs="Times New Roman"/>
                      <w:b w:val="0"/>
                      <w:bCs/>
                      <w:color w:val="auto"/>
                      <w:kern w:val="2"/>
                      <w:sz w:val="21"/>
                      <w:szCs w:val="21"/>
                      <w:highlight w:val="none"/>
                      <w:u w:val="none"/>
                      <w:lang w:eastAsia="zh-CN"/>
                    </w:rPr>
                    <w:t>2023</w:t>
                  </w:r>
                  <w:r>
                    <w:rPr>
                      <w:rFonts w:hint="default" w:ascii="Times New Roman" w:hAnsi="Times New Roman" w:eastAsia="宋体" w:cs="Times New Roman"/>
                      <w:b w:val="0"/>
                      <w:bCs/>
                      <w:color w:val="auto"/>
                      <w:kern w:val="2"/>
                      <w:sz w:val="21"/>
                      <w:szCs w:val="21"/>
                      <w:highlight w:val="none"/>
                      <w:u w:val="none"/>
                    </w:rPr>
                    <w:t>.</w:t>
                  </w:r>
                  <w:r>
                    <w:rPr>
                      <w:rFonts w:hint="eastAsia" w:ascii="Times New Roman" w:hAnsi="Times New Roman" w:eastAsia="宋体" w:cs="Times New Roman"/>
                      <w:b w:val="0"/>
                      <w:bCs/>
                      <w:color w:val="auto"/>
                      <w:kern w:val="2"/>
                      <w:sz w:val="21"/>
                      <w:szCs w:val="21"/>
                      <w:highlight w:val="none"/>
                      <w:u w:val="none"/>
                      <w:lang w:val="en-US" w:eastAsia="zh-CN"/>
                    </w:rPr>
                    <w:t>12</w:t>
                  </w:r>
                </w:p>
              </w:tc>
              <w:tc>
                <w:tcPr>
                  <w:tcW w:w="544" w:type="pct"/>
                  <w:tcBorders>
                    <w:tl2br w:val="nil"/>
                    <w:tr2bl w:val="nil"/>
                  </w:tcBorders>
                  <w:noWrap w:val="0"/>
                  <w:vAlign w:val="center"/>
                </w:tcPr>
                <w:p w14:paraId="50FCC5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27.4</w:t>
                  </w:r>
                </w:p>
              </w:tc>
              <w:tc>
                <w:tcPr>
                  <w:tcW w:w="761" w:type="pct"/>
                  <w:tcBorders>
                    <w:tl2br w:val="nil"/>
                    <w:tr2bl w:val="nil"/>
                  </w:tcBorders>
                  <w:noWrap w:val="0"/>
                  <w:vAlign w:val="center"/>
                </w:tcPr>
                <w:p w14:paraId="112999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56" w:type="pct"/>
                  <w:tcBorders>
                    <w:tl2br w:val="nil"/>
                    <w:tr2bl w:val="nil"/>
                  </w:tcBorders>
                  <w:noWrap w:val="0"/>
                  <w:vAlign w:val="center"/>
                </w:tcPr>
                <w:p w14:paraId="69DB39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w:t>
                  </w:r>
                  <w:r>
                    <w:rPr>
                      <w:rFonts w:hint="eastAsia" w:cs="Times New Roman"/>
                      <w:color w:val="auto"/>
                      <w:kern w:val="0"/>
                      <w:sz w:val="21"/>
                      <w:szCs w:val="21"/>
                      <w:lang w:val="en-US" w:eastAsia="zh-CN" w:bidi="ar-SA"/>
                    </w:rPr>
                    <w:t>6</w:t>
                  </w:r>
                </w:p>
              </w:tc>
              <w:tc>
                <w:tcPr>
                  <w:tcW w:w="697" w:type="pct"/>
                  <w:tcBorders>
                    <w:tl2br w:val="nil"/>
                    <w:tr2bl w:val="nil"/>
                  </w:tcBorders>
                  <w:noWrap w:val="0"/>
                  <w:vAlign w:val="center"/>
                </w:tcPr>
                <w:p w14:paraId="782EA4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c>
                <w:tcPr>
                  <w:tcW w:w="617" w:type="pct"/>
                  <w:tcBorders>
                    <w:tl2br w:val="nil"/>
                    <w:tr2bl w:val="nil"/>
                  </w:tcBorders>
                  <w:noWrap w:val="0"/>
                  <w:vAlign w:val="center"/>
                </w:tcPr>
                <w:p w14:paraId="5E583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0.12</w:t>
                  </w:r>
                </w:p>
              </w:tc>
              <w:tc>
                <w:tcPr>
                  <w:tcW w:w="737" w:type="pct"/>
                  <w:tcBorders>
                    <w:tl2br w:val="nil"/>
                    <w:tr2bl w:val="nil"/>
                  </w:tcBorders>
                  <w:noWrap w:val="0"/>
                  <w:vAlign w:val="center"/>
                </w:tcPr>
                <w:p w14:paraId="59B57E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default" w:ascii="Times New Roman" w:hAnsi="Times New Roman" w:eastAsia="宋体" w:cs="Times New Roman"/>
                      <w:b w:val="0"/>
                      <w:bCs/>
                      <w:color w:val="auto"/>
                      <w:kern w:val="2"/>
                      <w:sz w:val="21"/>
                      <w:szCs w:val="21"/>
                      <w:highlight w:val="none"/>
                      <w:u w:val="none"/>
                      <w:lang w:val="en-US" w:eastAsia="zh-CN"/>
                    </w:rPr>
                    <w:t>达标</w:t>
                  </w:r>
                </w:p>
              </w:tc>
            </w:tr>
            <w:tr w14:paraId="5F7E45E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84" w:type="pct"/>
                  <w:gridSpan w:val="2"/>
                  <w:tcBorders>
                    <w:tl2br w:val="nil"/>
                    <w:tr2bl w:val="nil"/>
                  </w:tcBorders>
                  <w:noWrap w:val="0"/>
                  <w:vAlign w:val="center"/>
                </w:tcPr>
                <w:p w14:paraId="20A744C0">
                  <w:pPr>
                    <w:pStyle w:val="7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kern w:val="2"/>
                      <w:sz w:val="21"/>
                      <w:szCs w:val="21"/>
                      <w:highlight w:val="none"/>
                      <w:u w:val="none"/>
                    </w:rPr>
                  </w:pPr>
                  <w:r>
                    <w:rPr>
                      <w:rFonts w:hint="default" w:ascii="Times New Roman" w:hAnsi="Times New Roman" w:eastAsia="宋体" w:cs="Times New Roman"/>
                      <w:b w:val="0"/>
                      <w:bCs/>
                      <w:kern w:val="2"/>
                      <w:sz w:val="21"/>
                      <w:szCs w:val="21"/>
                      <w:highlight w:val="none"/>
                      <w:u w:val="none"/>
                    </w:rPr>
                    <w:t>《地表水环境质量标准》（GB3838-2002）</w:t>
                  </w:r>
                  <w:r>
                    <w:rPr>
                      <w:rFonts w:hint="eastAsia" w:asciiTheme="minorEastAsia" w:hAnsiTheme="minorEastAsia" w:eastAsiaTheme="minorEastAsia" w:cstheme="minorEastAsia"/>
                      <w:b w:val="0"/>
                      <w:bCs/>
                      <w:kern w:val="2"/>
                      <w:sz w:val="21"/>
                      <w:szCs w:val="21"/>
                      <w:highlight w:val="none"/>
                      <w:u w:val="none"/>
                    </w:rPr>
                    <w:t>Ⅳ</w:t>
                  </w:r>
                  <w:r>
                    <w:rPr>
                      <w:rFonts w:hint="default" w:ascii="Times New Roman" w:hAnsi="Times New Roman" w:eastAsia="宋体" w:cs="Times New Roman"/>
                      <w:b w:val="0"/>
                      <w:bCs/>
                      <w:kern w:val="2"/>
                      <w:sz w:val="21"/>
                      <w:szCs w:val="21"/>
                      <w:highlight w:val="none"/>
                      <w:u w:val="none"/>
                    </w:rPr>
                    <w:t>类</w:t>
                  </w:r>
                </w:p>
              </w:tc>
              <w:tc>
                <w:tcPr>
                  <w:tcW w:w="1306" w:type="pct"/>
                  <w:gridSpan w:val="2"/>
                  <w:tcBorders>
                    <w:tl2br w:val="nil"/>
                    <w:tr2bl w:val="nil"/>
                  </w:tcBorders>
                  <w:noWrap w:val="0"/>
                  <w:vAlign w:val="center"/>
                </w:tcPr>
                <w:p w14:paraId="676D1F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default" w:ascii="Times New Roman" w:hAnsi="Times New Roman" w:eastAsia="宋体" w:cs="Times New Roman"/>
                      <w:b w:val="0"/>
                      <w:bCs/>
                      <w:kern w:val="2"/>
                      <w:sz w:val="21"/>
                      <w:szCs w:val="21"/>
                      <w:highlight w:val="none"/>
                      <w:u w:val="none"/>
                    </w:rPr>
                    <w:t>≤</w:t>
                  </w:r>
                  <w:r>
                    <w:rPr>
                      <w:rFonts w:hint="eastAsia" w:cs="Times New Roman"/>
                      <w:b w:val="0"/>
                      <w:bCs/>
                      <w:kern w:val="2"/>
                      <w:sz w:val="21"/>
                      <w:szCs w:val="21"/>
                      <w:highlight w:val="none"/>
                      <w:u w:val="none"/>
                      <w:lang w:val="en-US" w:eastAsia="zh-CN"/>
                    </w:rPr>
                    <w:t>30</w:t>
                  </w:r>
                </w:p>
              </w:tc>
              <w:tc>
                <w:tcPr>
                  <w:tcW w:w="1354" w:type="pct"/>
                  <w:gridSpan w:val="2"/>
                  <w:tcBorders>
                    <w:tl2br w:val="nil"/>
                    <w:tr2bl w:val="nil"/>
                  </w:tcBorders>
                  <w:noWrap w:val="0"/>
                  <w:vAlign w:val="center"/>
                </w:tcPr>
                <w:p w14:paraId="062382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default" w:ascii="Times New Roman" w:hAnsi="Times New Roman" w:eastAsia="宋体" w:cs="Times New Roman"/>
                      <w:b w:val="0"/>
                      <w:bCs/>
                      <w:kern w:val="2"/>
                      <w:sz w:val="21"/>
                      <w:szCs w:val="21"/>
                      <w:highlight w:val="none"/>
                      <w:u w:val="none"/>
                    </w:rPr>
                    <w:t>≤</w:t>
                  </w:r>
                  <w:r>
                    <w:rPr>
                      <w:rFonts w:hint="default" w:ascii="Times New Roman" w:hAnsi="Times New Roman" w:eastAsia="宋体" w:cs="Times New Roman"/>
                      <w:b w:val="0"/>
                      <w:bCs/>
                      <w:kern w:val="2"/>
                      <w:sz w:val="21"/>
                      <w:szCs w:val="21"/>
                      <w:highlight w:val="none"/>
                      <w:u w:val="none"/>
                      <w:lang w:val="en-US" w:eastAsia="zh-CN"/>
                    </w:rPr>
                    <w:t>1.</w:t>
                  </w:r>
                  <w:r>
                    <w:rPr>
                      <w:rFonts w:hint="eastAsia" w:cs="Times New Roman"/>
                      <w:b w:val="0"/>
                      <w:bCs/>
                      <w:kern w:val="2"/>
                      <w:sz w:val="21"/>
                      <w:szCs w:val="21"/>
                      <w:highlight w:val="none"/>
                      <w:u w:val="none"/>
                      <w:lang w:val="en-US" w:eastAsia="zh-CN"/>
                    </w:rPr>
                    <w:t>5</w:t>
                  </w:r>
                </w:p>
              </w:tc>
              <w:tc>
                <w:tcPr>
                  <w:tcW w:w="1355" w:type="pct"/>
                  <w:gridSpan w:val="2"/>
                  <w:tcBorders>
                    <w:tl2br w:val="nil"/>
                    <w:tr2bl w:val="nil"/>
                  </w:tcBorders>
                  <w:noWrap w:val="0"/>
                  <w:vAlign w:val="center"/>
                </w:tcPr>
                <w:p w14:paraId="3E3987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kern w:val="2"/>
                      <w:sz w:val="21"/>
                      <w:szCs w:val="21"/>
                      <w:highlight w:val="none"/>
                      <w:u w:val="none"/>
                      <w:lang w:val="en-US" w:eastAsia="zh-CN"/>
                    </w:rPr>
                  </w:pPr>
                  <w:r>
                    <w:rPr>
                      <w:rFonts w:hint="default" w:ascii="Times New Roman" w:hAnsi="Times New Roman" w:eastAsia="宋体" w:cs="Times New Roman"/>
                      <w:b w:val="0"/>
                      <w:bCs/>
                      <w:kern w:val="2"/>
                      <w:sz w:val="21"/>
                      <w:szCs w:val="21"/>
                      <w:highlight w:val="none"/>
                      <w:u w:val="none"/>
                    </w:rPr>
                    <w:t>≤0.</w:t>
                  </w:r>
                  <w:r>
                    <w:rPr>
                      <w:rFonts w:hint="eastAsia" w:cs="Times New Roman"/>
                      <w:b w:val="0"/>
                      <w:bCs/>
                      <w:kern w:val="2"/>
                      <w:sz w:val="21"/>
                      <w:szCs w:val="21"/>
                      <w:highlight w:val="none"/>
                      <w:u w:val="none"/>
                      <w:lang w:val="en-US" w:eastAsia="zh-CN"/>
                    </w:rPr>
                    <w:t>3</w:t>
                  </w:r>
                </w:p>
              </w:tc>
            </w:tr>
          </w:tbl>
          <w:p w14:paraId="73529833">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rPr>
              <w:t>由上</w:t>
            </w:r>
            <w:r>
              <w:rPr>
                <w:rFonts w:hint="default" w:ascii="Times New Roman" w:hAnsi="Times New Roman" w:eastAsia="宋体" w:cs="Times New Roman"/>
                <w:color w:val="auto"/>
                <w:sz w:val="24"/>
              </w:rPr>
              <w:t>表可知，202</w:t>
            </w:r>
            <w:r>
              <w:rPr>
                <w:rFonts w:hint="eastAsia" w:cs="Times New Roman"/>
                <w:color w:val="auto"/>
                <w:sz w:val="24"/>
                <w:lang w:val="en-US" w:eastAsia="zh-CN"/>
              </w:rPr>
              <w:t>3</w:t>
            </w:r>
            <w:r>
              <w:rPr>
                <w:rFonts w:hint="default" w:ascii="Times New Roman" w:hAnsi="Times New Roman" w:eastAsia="宋体" w:cs="Times New Roman"/>
                <w:color w:val="auto"/>
                <w:sz w:val="24"/>
              </w:rPr>
              <w:t>年</w:t>
            </w:r>
            <w:r>
              <w:rPr>
                <w:rFonts w:hint="eastAsia" w:cs="Times New Roman"/>
                <w:color w:val="auto"/>
                <w:sz w:val="24"/>
                <w:lang w:val="en-US" w:eastAsia="zh-CN"/>
              </w:rPr>
              <w:t>1-12</w:t>
            </w:r>
            <w:r>
              <w:rPr>
                <w:rFonts w:hint="default" w:ascii="Times New Roman" w:hAnsi="Times New Roman" w:eastAsia="宋体" w:cs="Times New Roman"/>
                <w:color w:val="auto"/>
                <w:sz w:val="24"/>
              </w:rPr>
              <w:t>月</w:t>
            </w:r>
            <w:r>
              <w:rPr>
                <w:rFonts w:hint="eastAsia"/>
                <w:color w:val="auto"/>
                <w:sz w:val="24"/>
                <w:highlight w:val="none"/>
                <w:lang w:val="en-US" w:eastAsia="zh-CN"/>
              </w:rPr>
              <w:t>东孟姜女河高新区入口</w:t>
            </w:r>
            <w:r>
              <w:rPr>
                <w:rFonts w:hint="default" w:ascii="Times New Roman" w:hAnsi="Times New Roman" w:eastAsia="宋体" w:cs="Times New Roman"/>
                <w:color w:val="auto"/>
                <w:sz w:val="24"/>
              </w:rPr>
              <w:t>断面数据COD</w:t>
            </w:r>
            <w:r>
              <w:rPr>
                <w:rFonts w:hint="eastAsia" w:cs="Times New Roman"/>
                <w:color w:val="auto"/>
                <w:sz w:val="24"/>
                <w:lang w:eastAsia="zh-CN"/>
              </w:rPr>
              <w:t>、</w:t>
            </w:r>
            <w:r>
              <w:rPr>
                <w:rFonts w:hint="default" w:ascii="Times New Roman" w:hAnsi="Times New Roman" w:eastAsia="宋体" w:cs="Times New Roman"/>
                <w:color w:val="auto"/>
                <w:sz w:val="24"/>
              </w:rPr>
              <w:t>NH</w:t>
            </w:r>
            <w:r>
              <w:rPr>
                <w:rFonts w:hint="default" w:ascii="Times New Roman" w:hAnsi="Times New Roman" w:eastAsia="宋体" w:cs="Times New Roman"/>
                <w:color w:val="auto"/>
                <w:sz w:val="24"/>
                <w:vertAlign w:val="subscript"/>
              </w:rPr>
              <w:t>3</w:t>
            </w:r>
            <w:r>
              <w:rPr>
                <w:rFonts w:hint="default" w:ascii="Times New Roman" w:hAnsi="Times New Roman" w:eastAsia="宋体" w:cs="Times New Roman"/>
                <w:color w:val="auto"/>
                <w:sz w:val="24"/>
              </w:rPr>
              <w:t>-N、TP均</w:t>
            </w:r>
            <w:r>
              <w:rPr>
                <w:rFonts w:hint="eastAsia" w:cs="Times New Roman"/>
                <w:color w:val="auto"/>
                <w:sz w:val="24"/>
                <w:lang w:eastAsia="zh-CN"/>
              </w:rPr>
              <w:t>存在超</w:t>
            </w:r>
            <w:r>
              <w:rPr>
                <w:rFonts w:hint="eastAsia" w:cs="Times New Roman"/>
                <w:color w:val="auto"/>
                <w:sz w:val="24"/>
                <w:lang w:val="en-US" w:eastAsia="zh-CN"/>
              </w:rPr>
              <w:t>标现象</w:t>
            </w:r>
            <w:r>
              <w:rPr>
                <w:rFonts w:hint="default" w:ascii="Times New Roman" w:hAnsi="Times New Roman" w:eastAsia="宋体" w:cs="Times New Roman"/>
                <w:color w:val="auto"/>
                <w:sz w:val="24"/>
              </w:rPr>
              <w:t>。</w:t>
            </w:r>
            <w:r>
              <w:rPr>
                <w:rFonts w:hint="eastAsia"/>
                <w:color w:val="auto"/>
                <w:sz w:val="24"/>
                <w:highlight w:val="none"/>
              </w:rPr>
              <w:t>依据新乡市生态环境关于</w:t>
            </w:r>
            <w:r>
              <w:rPr>
                <w:rFonts w:hint="eastAsia" w:cs="Times New Roman"/>
                <w:color w:val="auto"/>
                <w:sz w:val="24"/>
                <w:szCs w:val="24"/>
                <w:highlight w:val="none"/>
                <w:lang w:val="en-US" w:eastAsia="zh-CN"/>
              </w:rPr>
              <w:t>下达</w:t>
            </w:r>
            <w:r>
              <w:rPr>
                <w:rFonts w:hint="default"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年地表水环境质量目标》的函</w:t>
            </w:r>
            <w:r>
              <w:rPr>
                <w:rFonts w:hint="eastAsia"/>
                <w:color w:val="auto"/>
                <w:sz w:val="24"/>
                <w:highlight w:val="none"/>
              </w:rPr>
              <w:t>，</w:t>
            </w:r>
            <w:r>
              <w:rPr>
                <w:rFonts w:hint="eastAsia"/>
                <w:color w:val="auto"/>
                <w:sz w:val="24"/>
                <w:highlight w:val="none"/>
                <w:lang w:eastAsia="zh-CN"/>
              </w:rPr>
              <w:t>新乡县东孟姜女河高新区入口断面</w:t>
            </w:r>
            <w:r>
              <w:rPr>
                <w:rFonts w:hint="eastAsia"/>
                <w:color w:val="auto"/>
                <w:sz w:val="24"/>
                <w:highlight w:val="none"/>
                <w:lang w:val="en-US" w:eastAsia="zh-CN"/>
              </w:rPr>
              <w:t>水体功能类别仍为</w:t>
            </w:r>
            <w:r>
              <w:rPr>
                <w:rFonts w:hint="eastAsia" w:asciiTheme="minorEastAsia" w:hAnsiTheme="minorEastAsia" w:eastAsiaTheme="minorEastAsia" w:cstheme="minorEastAsia"/>
                <w:color w:val="auto"/>
                <w:sz w:val="24"/>
                <w:highlight w:val="none"/>
                <w:lang w:val="en-US" w:eastAsia="zh-CN"/>
              </w:rPr>
              <w:t>Ⅳ</w:t>
            </w:r>
            <w:r>
              <w:rPr>
                <w:rFonts w:hint="eastAsia"/>
                <w:color w:val="auto"/>
                <w:sz w:val="24"/>
                <w:highlight w:val="none"/>
              </w:rPr>
              <w:t>类</w:t>
            </w:r>
            <w:r>
              <w:rPr>
                <w:rFonts w:hint="eastAsia"/>
                <w:color w:val="auto"/>
                <w:sz w:val="24"/>
                <w:highlight w:val="none"/>
                <w:lang w:eastAsia="zh-CN"/>
              </w:rPr>
              <w:t>。</w:t>
            </w:r>
            <w:r>
              <w:rPr>
                <w:rFonts w:hint="default" w:ascii="Times New Roman" w:hAnsi="Times New Roman" w:eastAsia="宋体" w:cs="Times New Roman"/>
                <w:color w:val="auto"/>
                <w:sz w:val="24"/>
              </w:rPr>
              <w:t>目前新乡市正在推</w:t>
            </w:r>
            <w:r>
              <w:rPr>
                <w:rFonts w:hint="default" w:ascii="Times New Roman" w:hAnsi="Times New Roman" w:eastAsia="宋体" w:cs="Times New Roman"/>
                <w:color w:val="000000" w:themeColor="text1"/>
                <w:sz w:val="24"/>
                <w14:textFill>
                  <w14:solidFill>
                    <w14:schemeClr w14:val="tx1"/>
                  </w14:solidFill>
                </w14:textFill>
              </w:rPr>
              <w:t>进实施</w:t>
            </w:r>
            <w:r>
              <w:rPr>
                <w:rFonts w:hint="eastAsia" w:cs="Times New Roman"/>
                <w:color w:val="000000" w:themeColor="text1"/>
                <w:sz w:val="24"/>
                <w:lang w:eastAsia="zh-CN"/>
                <w14:textFill>
                  <w14:solidFill>
                    <w14:schemeClr w14:val="tx1"/>
                  </w14:solidFill>
                </w14:textFill>
              </w:rPr>
              <w:t>《新乡市</w:t>
            </w:r>
            <w:r>
              <w:rPr>
                <w:rFonts w:hint="default" w:hAnsi="宋体"/>
                <w:color w:val="000000" w:themeColor="text1"/>
                <w:kern w:val="0"/>
                <w:sz w:val="24"/>
                <w:lang w:val="en-US" w:eastAsia="zh-CN"/>
                <w14:textFill>
                  <w14:solidFill>
                    <w14:schemeClr w14:val="tx1"/>
                  </w14:solidFill>
                </w14:textFill>
              </w:rPr>
              <w:t>2024年碧水保卫战实施方案》</w:t>
            </w:r>
            <w:r>
              <w:rPr>
                <w:rFonts w:hint="default" w:ascii="Times New Roman" w:hAnsi="Times New Roman" w:eastAsia="宋体" w:cs="Times New Roman"/>
                <w:color w:val="000000" w:themeColor="text1"/>
                <w:sz w:val="24"/>
                <w14:textFill>
                  <w14:solidFill>
                    <w14:schemeClr w14:val="tx1"/>
                  </w14:solidFill>
                </w14:textFill>
              </w:rPr>
              <w:t>，将继续改善新乡市水环境质量</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30994AE7">
            <w:pPr>
              <w:keepNext w:val="0"/>
              <w:keepLines w:val="0"/>
              <w:suppressLineNumbers w:val="0"/>
              <w:adjustRightInd w:val="0"/>
              <w:snapToGrid w:val="0"/>
              <w:spacing w:before="0" w:beforeAutospacing="0" w:after="0" w:afterAutospacing="0" w:line="440" w:lineRule="exact"/>
              <w:ind w:left="0" w:right="0" w:firstLine="479" w:firstLineChars="199"/>
              <w:jc w:val="left"/>
              <w:rPr>
                <w:rFonts w:hint="eastAsia" w:ascii="Times New Roman" w:hAnsi="Times New Roman" w:eastAsia="宋体" w:cs="Times New Roman"/>
                <w:color w:val="000000"/>
                <w:sz w:val="24"/>
                <w:highlight w:val="none"/>
                <w:lang w:val="pt-BR" w:eastAsia="zh-CN"/>
              </w:rPr>
            </w:pPr>
            <w:r>
              <w:rPr>
                <w:rFonts w:hint="eastAsia"/>
                <w:b/>
                <w:color w:val="auto"/>
                <w:sz w:val="24"/>
              </w:rPr>
              <w:t>3</w:t>
            </w:r>
            <w:r>
              <w:rPr>
                <w:rFonts w:hint="default"/>
                <w:b/>
                <w:color w:val="auto"/>
                <w:sz w:val="24"/>
              </w:rPr>
              <w:t>、声环境</w:t>
            </w:r>
            <w:r>
              <w:rPr>
                <w:rFonts w:hint="eastAsia"/>
                <w:b/>
                <w:color w:val="auto"/>
                <w:sz w:val="24"/>
                <w:lang w:val="en-US" w:eastAsia="zh-CN"/>
              </w:rPr>
              <w:t>现状</w:t>
            </w:r>
            <w:bookmarkStart w:id="1" w:name="OLE_LINK6"/>
            <w:r>
              <w:rPr>
                <w:rFonts w:hint="eastAsia" w:ascii="Times New Roman" w:hAnsi="Times New Roman" w:eastAsia="宋体" w:cs="Times New Roman"/>
                <w:color w:val="000000"/>
                <w:sz w:val="24"/>
                <w:highlight w:val="none"/>
                <w:lang w:val="pt-BR" w:eastAsia="zh-CN"/>
              </w:rPr>
              <w:t xml:space="preserve">  </w:t>
            </w:r>
          </w:p>
          <w:p w14:paraId="6DB660F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Times New Roman" w:hAnsi="Times New Roman" w:eastAsia="宋体" w:cs="Times New Roman"/>
                <w:color w:val="000000"/>
                <w:sz w:val="24"/>
                <w:highlight w:val="none"/>
                <w:lang w:val="pt-BR"/>
              </w:rPr>
            </w:pPr>
            <w:r>
              <w:rPr>
                <w:rFonts w:hint="eastAsia" w:ascii="Times New Roman" w:hAnsi="Times New Roman" w:eastAsia="宋体" w:cs="Times New Roman"/>
                <w:color w:val="000000"/>
                <w:sz w:val="24"/>
                <w:highlight w:val="none"/>
                <w:lang w:val="pt-BR"/>
              </w:rPr>
              <w:t>根据现场调查，距项目较近的敏感点为项目</w:t>
            </w:r>
            <w:r>
              <w:rPr>
                <w:rFonts w:hint="eastAsia" w:cs="Times New Roman"/>
                <w:color w:val="000000"/>
                <w:sz w:val="24"/>
                <w:highlight w:val="none"/>
                <w:lang w:val="en-US" w:eastAsia="zh-CN"/>
              </w:rPr>
              <w:t>东南</w:t>
            </w:r>
            <w:r>
              <w:rPr>
                <w:rFonts w:hint="eastAsia" w:cs="Times New Roman"/>
                <w:color w:val="000000"/>
                <w:sz w:val="24"/>
                <w:highlight w:val="none"/>
                <w:lang w:val="pt-BR" w:eastAsia="zh-CN"/>
              </w:rPr>
              <w:t>侧</w:t>
            </w:r>
            <w:r>
              <w:rPr>
                <w:rFonts w:hint="eastAsia" w:cs="Times New Roman"/>
                <w:color w:val="000000"/>
                <w:sz w:val="24"/>
                <w:highlight w:val="none"/>
                <w:lang w:val="en-US" w:eastAsia="zh-CN"/>
              </w:rPr>
              <w:t>225</w:t>
            </w:r>
            <w:r>
              <w:rPr>
                <w:rFonts w:hint="eastAsia" w:ascii="Times New Roman" w:hAnsi="Times New Roman" w:eastAsia="宋体" w:cs="Times New Roman"/>
                <w:color w:val="000000"/>
                <w:sz w:val="24"/>
                <w:highlight w:val="none"/>
                <w:lang w:val="pt-BR"/>
              </w:rPr>
              <w:t>m的</w:t>
            </w:r>
            <w:r>
              <w:rPr>
                <w:rFonts w:hint="eastAsia" w:cs="Times New Roman"/>
                <w:color w:val="000000"/>
                <w:sz w:val="24"/>
                <w:highlight w:val="none"/>
                <w:lang w:val="en-US" w:eastAsia="zh-CN"/>
              </w:rPr>
              <w:t>娄</w:t>
            </w:r>
            <w:r>
              <w:rPr>
                <w:rFonts w:hint="eastAsia" w:cs="Times New Roman"/>
                <w:color w:val="000000"/>
                <w:sz w:val="24"/>
                <w:highlight w:val="none"/>
                <w:lang w:val="pt-BR" w:eastAsia="zh-CN"/>
              </w:rPr>
              <w:t>村</w:t>
            </w:r>
            <w:r>
              <w:rPr>
                <w:rFonts w:hint="eastAsia" w:ascii="Times New Roman" w:hAnsi="Times New Roman" w:eastAsia="宋体" w:cs="Times New Roman"/>
                <w:color w:val="000000"/>
                <w:sz w:val="24"/>
                <w:highlight w:val="none"/>
                <w:lang w:val="pt-BR"/>
              </w:rPr>
              <w:t>。</w:t>
            </w:r>
            <w:bookmarkEnd w:id="1"/>
            <w:r>
              <w:rPr>
                <w:rFonts w:hint="eastAsia" w:ascii="Times New Roman" w:hAnsi="Times New Roman" w:eastAsia="宋体" w:cs="Times New Roman"/>
                <w:color w:val="000000"/>
                <w:sz w:val="24"/>
                <w:highlight w:val="none"/>
                <w:lang w:val="pt-BR"/>
              </w:rPr>
              <w:t>项目50米范围内无声环境保护目标，不需要进行声环境现状调查。</w:t>
            </w:r>
          </w:p>
          <w:p w14:paraId="053CE0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eastAsia"/>
                <w:lang w:val="en-US" w:eastAsia="zh-CN"/>
              </w:rPr>
            </w:pPr>
            <w:r>
              <w:rPr>
                <w:rFonts w:hint="default" w:ascii="Times New Roman" w:hAnsi="Times New Roman" w:eastAsia="宋体" w:cs="Times New Roman"/>
                <w:b/>
                <w:bCs/>
                <w:sz w:val="24"/>
                <w:szCs w:val="24"/>
                <w:lang w:val="en-US" w:eastAsia="zh-CN"/>
              </w:rPr>
              <w:t>4</w:t>
            </w:r>
            <w:r>
              <w:rPr>
                <w:rFonts w:hint="eastAsia" w:ascii="宋体" w:hAnsi="宋体" w:eastAsia="宋体" w:cs="宋体"/>
                <w:b/>
                <w:bCs/>
                <w:sz w:val="24"/>
                <w:szCs w:val="24"/>
                <w:lang w:val="en-US" w:eastAsia="zh-CN"/>
              </w:rPr>
              <w:t>、生态环境</w:t>
            </w:r>
          </w:p>
          <w:p w14:paraId="5EBC1415">
            <w:pPr>
              <w:keepNext w:val="0"/>
              <w:keepLines w:val="0"/>
              <w:suppressLineNumbers w:val="0"/>
              <w:spacing w:before="0" w:beforeAutospacing="0" w:after="0" w:afterAutospacing="0" w:line="440" w:lineRule="exact"/>
              <w:ind w:left="0" w:right="0" w:firstLine="480" w:firstLineChars="200"/>
              <w:rPr>
                <w:rFonts w:hint="eastAsia" w:eastAsia="宋体"/>
                <w:color w:val="000000" w:themeColor="text1"/>
                <w:sz w:val="24"/>
                <w:lang w:eastAsia="zh-CN"/>
                <w14:textFill>
                  <w14:solidFill>
                    <w14:schemeClr w14:val="tx1"/>
                  </w14:solidFill>
                </w14:textFill>
              </w:rPr>
            </w:pPr>
            <w:r>
              <w:rPr>
                <w:rFonts w:hint="default"/>
                <w:color w:val="000000" w:themeColor="text1"/>
                <w:sz w:val="24"/>
                <w14:textFill>
                  <w14:solidFill>
                    <w14:schemeClr w14:val="tx1"/>
                  </w14:solidFill>
                </w14:textFill>
              </w:rPr>
              <w:t>根据现场调查，本项目位于</w:t>
            </w:r>
            <w:r>
              <w:rPr>
                <w:rFonts w:hint="eastAsia" w:ascii="宋体" w:hAnsi="宋体" w:cs="宋体"/>
                <w:color w:val="auto"/>
                <w:sz w:val="24"/>
                <w:szCs w:val="24"/>
                <w:lang w:val="en-US" w:eastAsia="zh-CN"/>
              </w:rPr>
              <w:t>河南省新乡市新乡县中央大道兴隆路交叉路口西南角处</w:t>
            </w:r>
            <w:r>
              <w:rPr>
                <w:rFonts w:hint="eastAsia" w:ascii="宋体" w:hAnsi="宋体" w:cs="宋体"/>
                <w:color w:val="000000" w:themeColor="text1"/>
                <w:sz w:val="24"/>
                <w:szCs w:val="24"/>
                <w:lang w:eastAsia="zh-CN"/>
                <w14:textFill>
                  <w14:solidFill>
                    <w14:schemeClr w14:val="tx1"/>
                  </w14:solidFill>
                </w14:textFill>
              </w:rPr>
              <w:t>，项目选址为建设用地。</w:t>
            </w:r>
            <w:r>
              <w:rPr>
                <w:rFonts w:hint="default"/>
                <w:bCs/>
                <w:color w:val="000000" w:themeColor="text1"/>
                <w:sz w:val="24"/>
                <w14:textFill>
                  <w14:solidFill>
                    <w14:schemeClr w14:val="tx1"/>
                  </w14:solidFill>
                </w14:textFill>
              </w:rPr>
              <w:t>本项目区域主要为人工植被，生物量较小，以农村生态系统为主。项目周围500m范围内无重点保护的野生动植物、风景名胜区、自然保护区及文化遗产等特殊保护目标。</w:t>
            </w:r>
          </w:p>
          <w:p w14:paraId="41D44195">
            <w:pPr>
              <w:keepNext w:val="0"/>
              <w:keepLines w:val="0"/>
              <w:suppressLineNumbers w:val="0"/>
              <w:spacing w:before="0" w:beforeAutospacing="0" w:after="0" w:afterAutospacing="0" w:line="440" w:lineRule="exact"/>
              <w:ind w:left="0" w:right="0" w:firstLine="482" w:firstLineChars="200"/>
              <w:rPr>
                <w:rFonts w:hint="eastAsia"/>
                <w:b/>
                <w:bCs/>
                <w:color w:val="auto"/>
                <w:sz w:val="24"/>
                <w:lang w:val="en-US" w:eastAsia="zh-CN"/>
              </w:rPr>
            </w:pPr>
            <w:r>
              <w:rPr>
                <w:rFonts w:hint="eastAsia"/>
                <w:b/>
                <w:bCs/>
                <w:color w:val="auto"/>
                <w:sz w:val="24"/>
                <w:lang w:val="en-US" w:eastAsia="zh-CN"/>
              </w:rPr>
              <w:t>5、地下水、土壤质量现状</w:t>
            </w:r>
          </w:p>
          <w:p w14:paraId="2E2069A6">
            <w:pPr>
              <w:keepNext w:val="0"/>
              <w:keepLines w:val="0"/>
              <w:suppressLineNumbers w:val="0"/>
              <w:spacing w:before="0" w:beforeAutospacing="0" w:after="0" w:afterAutospacing="0" w:line="440" w:lineRule="exact"/>
              <w:ind w:left="0" w:right="0"/>
              <w:rPr>
                <w:rFonts w:hint="default"/>
                <w:lang w:val="en-US" w:eastAsia="zh-CN"/>
              </w:rPr>
            </w:pPr>
            <w:r>
              <w:rPr>
                <w:rFonts w:hint="eastAsia"/>
                <w:lang w:val="en-US" w:eastAsia="zh-CN"/>
              </w:rPr>
              <w:t xml:space="preserve">    </w:t>
            </w:r>
            <w:r>
              <w:rPr>
                <w:rFonts w:hint="default"/>
                <w:color w:val="auto"/>
                <w:sz w:val="24"/>
              </w:rPr>
              <w:t>根据《建设项目环境影响报告表编制技术指南（污染影响类）》（试行）中要求：</w:t>
            </w:r>
            <w:r>
              <w:rPr>
                <w:rFonts w:hint="eastAsia" w:ascii="宋体" w:hAnsi="宋体" w:eastAsia="宋体" w:cs="宋体"/>
                <w:color w:val="auto"/>
                <w:sz w:val="24"/>
              </w:rPr>
              <w:t>“</w:t>
            </w:r>
            <w:r>
              <w:rPr>
                <w:rFonts w:hint="default"/>
                <w:color w:val="auto"/>
                <w:sz w:val="24"/>
              </w:rPr>
              <w:t>原则上不开展地下水、土壤环境质量现状调查</w:t>
            </w:r>
            <w:r>
              <w:rPr>
                <w:rFonts w:hint="eastAsia" w:ascii="宋体" w:hAnsi="宋体" w:eastAsia="宋体" w:cs="宋体"/>
                <w:color w:val="auto"/>
                <w:sz w:val="24"/>
              </w:rPr>
              <w:t>”</w:t>
            </w:r>
            <w:r>
              <w:rPr>
                <w:rFonts w:hint="default"/>
                <w:color w:val="auto"/>
                <w:sz w:val="24"/>
              </w:rPr>
              <w:t>，结合本项目厂址所在区域，经调查周边无饮用水井，且项目用地范围内均进行硬化，不存在土壤污染途径，因此，本次评价不对地下水、土壤环境进行现状调查</w:t>
            </w:r>
            <w:r>
              <w:rPr>
                <w:rFonts w:hint="eastAsia"/>
                <w:lang w:val="en-US" w:eastAsia="zh-CN"/>
              </w:rPr>
              <w:t>。</w:t>
            </w:r>
          </w:p>
        </w:tc>
      </w:tr>
      <w:tr w14:paraId="629813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858" w:type="dxa"/>
            <w:noWrap w:val="0"/>
            <w:vAlign w:val="center"/>
          </w:tcPr>
          <w:p w14:paraId="473412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环境</w:t>
            </w:r>
          </w:p>
          <w:p w14:paraId="77DDD5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保护</w:t>
            </w:r>
          </w:p>
          <w:p w14:paraId="62E61D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目标</w:t>
            </w:r>
          </w:p>
        </w:tc>
        <w:tc>
          <w:tcPr>
            <w:tcW w:w="8781" w:type="dxa"/>
            <w:noWrap w:val="0"/>
            <w:vAlign w:val="top"/>
          </w:tcPr>
          <w:p w14:paraId="428B1874">
            <w:pPr>
              <w:keepNext w:val="0"/>
              <w:keepLines w:val="0"/>
              <w:pageBreakBefore w:val="0"/>
              <w:widowControl w:val="0"/>
              <w:suppressLineNumbers w:val="0"/>
              <w:tabs>
                <w:tab w:val="left" w:pos="3230"/>
              </w:tabs>
              <w:kinsoku/>
              <w:wordWrap/>
              <w:overflowPunct/>
              <w:topLinePunct w:val="0"/>
              <w:autoSpaceDE/>
              <w:autoSpaceDN/>
              <w:bidi w:val="0"/>
              <w:adjustRightInd w:val="0"/>
              <w:snapToGrid w:val="0"/>
              <w:spacing w:before="0" w:beforeAutospacing="0" w:after="0" w:afterAutospacing="0" w:line="320" w:lineRule="exact"/>
              <w:ind w:left="0" w:right="0"/>
              <w:textAlignment w:val="auto"/>
              <w:rPr>
                <w:rFonts w:hint="default"/>
                <w:sz w:val="24"/>
              </w:rPr>
            </w:pPr>
            <w:r>
              <w:rPr>
                <w:rFonts w:hint="eastAsia"/>
                <w:sz w:val="24"/>
              </w:rPr>
              <w:t>本项目周围主要环境保护目标见下表。</w:t>
            </w:r>
          </w:p>
          <w:p w14:paraId="0481428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宋体" w:hAnsi="宋体"/>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表</w:t>
            </w:r>
            <w:r>
              <w:rPr>
                <w:rFonts w:hint="eastAsia" w:cs="Times New Roman"/>
                <w:b/>
                <w:color w:val="000000" w:themeColor="text1"/>
                <w:sz w:val="24"/>
                <w:lang w:val="en-US" w:eastAsia="zh-CN"/>
                <w14:textFill>
                  <w14:solidFill>
                    <w14:schemeClr w14:val="tx1"/>
                  </w14:solidFill>
                </w14:textFill>
              </w:rPr>
              <w:t>19</w:t>
            </w:r>
            <w:r>
              <w:rPr>
                <w:rFonts w:hint="default" w:ascii="Times New Roman" w:hAnsi="Times New Roman" w:cs="Times New Roman"/>
                <w:b/>
                <w:color w:val="000000" w:themeColor="text1"/>
                <w:sz w:val="24"/>
                <w:lang w:val="en-US" w:eastAsia="zh-CN"/>
                <w14:textFill>
                  <w14:solidFill>
                    <w14:schemeClr w14:val="tx1"/>
                  </w14:solidFill>
                </w14:textFill>
              </w:rPr>
              <w:t xml:space="preserve">  </w:t>
            </w:r>
            <w:r>
              <w:rPr>
                <w:rFonts w:hint="default" w:ascii="宋体" w:hAnsi="宋体"/>
                <w:b/>
                <w:color w:val="000000" w:themeColor="text1"/>
                <w:sz w:val="24"/>
                <w14:textFill>
                  <w14:solidFill>
                    <w14:schemeClr w14:val="tx1"/>
                  </w14:solidFill>
                </w14:textFill>
              </w:rPr>
              <w:t>本项目周围环境保护目标概况</w:t>
            </w:r>
          </w:p>
          <w:tbl>
            <w:tblPr>
              <w:tblStyle w:val="22"/>
              <w:tblW w:w="4999"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267"/>
              <w:gridCol w:w="1574"/>
              <w:gridCol w:w="975"/>
              <w:gridCol w:w="2175"/>
              <w:gridCol w:w="2573"/>
            </w:tblGrid>
            <w:tr w14:paraId="0A94160D">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right w:val="single" w:color="auto" w:sz="4" w:space="0"/>
                  </w:tcBorders>
                  <w:noWrap w:val="0"/>
                  <w:vAlign w:val="center"/>
                </w:tcPr>
                <w:p w14:paraId="436DF21A">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环境要素</w:t>
                  </w:r>
                </w:p>
              </w:tc>
              <w:tc>
                <w:tcPr>
                  <w:tcW w:w="1574" w:type="dxa"/>
                  <w:tcBorders>
                    <w:left w:val="single" w:color="auto" w:sz="4" w:space="0"/>
                    <w:right w:val="single" w:color="auto" w:sz="4" w:space="0"/>
                  </w:tcBorders>
                  <w:noWrap w:val="0"/>
                  <w:vAlign w:val="center"/>
                </w:tcPr>
                <w:p w14:paraId="5D4DE2D7">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环境保护目标</w:t>
                  </w:r>
                </w:p>
              </w:tc>
              <w:tc>
                <w:tcPr>
                  <w:tcW w:w="975" w:type="dxa"/>
                  <w:tcBorders>
                    <w:left w:val="single" w:color="auto" w:sz="4" w:space="0"/>
                    <w:right w:val="single" w:color="auto" w:sz="4" w:space="0"/>
                  </w:tcBorders>
                  <w:noWrap w:val="0"/>
                  <w:vAlign w:val="center"/>
                </w:tcPr>
                <w:p w14:paraId="38926135">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方向</w:t>
                  </w:r>
                </w:p>
              </w:tc>
              <w:tc>
                <w:tcPr>
                  <w:tcW w:w="2175" w:type="dxa"/>
                  <w:tcBorders>
                    <w:left w:val="single" w:color="auto" w:sz="4" w:space="0"/>
                    <w:right w:val="single" w:color="auto" w:sz="4" w:space="0"/>
                  </w:tcBorders>
                  <w:noWrap w:val="0"/>
                  <w:vAlign w:val="center"/>
                </w:tcPr>
                <w:p w14:paraId="32242836">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距</w:t>
                  </w:r>
                  <w:r>
                    <w:rPr>
                      <w:rFonts w:hint="default"/>
                      <w:b/>
                      <w:color w:val="000000" w:themeColor="text1"/>
                      <w:sz w:val="21"/>
                      <w:szCs w:val="21"/>
                      <w14:textFill>
                        <w14:solidFill>
                          <w14:schemeClr w14:val="tx1"/>
                        </w14:solidFill>
                      </w14:textFill>
                    </w:rPr>
                    <w:t xml:space="preserve"> </w:t>
                  </w:r>
                  <w:r>
                    <w:rPr>
                      <w:rFonts w:hint="default" w:hAnsi="宋体"/>
                      <w:b/>
                      <w:color w:val="000000" w:themeColor="text1"/>
                      <w:sz w:val="21"/>
                      <w:szCs w:val="21"/>
                      <w14:textFill>
                        <w14:solidFill>
                          <w14:schemeClr w14:val="tx1"/>
                        </w14:solidFill>
                      </w14:textFill>
                    </w:rPr>
                    <w:t>离</w:t>
                  </w:r>
                </w:p>
              </w:tc>
              <w:tc>
                <w:tcPr>
                  <w:tcW w:w="2573" w:type="dxa"/>
                  <w:tcBorders>
                    <w:left w:val="single" w:color="auto" w:sz="4" w:space="0"/>
                  </w:tcBorders>
                  <w:noWrap w:val="0"/>
                  <w:vAlign w:val="center"/>
                </w:tcPr>
                <w:p w14:paraId="73D64498">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保护级别</w:t>
                  </w:r>
                </w:p>
              </w:tc>
            </w:tr>
            <w:tr w14:paraId="278DBDC5">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bottom w:val="single" w:color="auto" w:sz="4" w:space="0"/>
                    <w:right w:val="single" w:color="auto" w:sz="4" w:space="0"/>
                  </w:tcBorders>
                  <w:noWrap w:val="0"/>
                  <w:vAlign w:val="center"/>
                </w:tcPr>
                <w:p w14:paraId="5A5770BE">
                  <w:pPr>
                    <w:keepNext w:val="0"/>
                    <w:keepLines w:val="0"/>
                    <w:suppressLineNumbers w:val="0"/>
                    <w:tabs>
                      <w:tab w:val="left" w:pos="3230"/>
                    </w:tabs>
                    <w:adjustRightInd w:val="0"/>
                    <w:snapToGrid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default" w:hAnsi="宋体"/>
                      <w:color w:val="000000" w:themeColor="text1"/>
                      <w:sz w:val="21"/>
                      <w:szCs w:val="21"/>
                      <w14:textFill>
                        <w14:solidFill>
                          <w14:schemeClr w14:val="tx1"/>
                        </w14:solidFill>
                      </w14:textFill>
                    </w:rPr>
                    <w:t>环境空气</w:t>
                  </w:r>
                </w:p>
              </w:tc>
              <w:tc>
                <w:tcPr>
                  <w:tcW w:w="1574" w:type="dxa"/>
                  <w:tcBorders>
                    <w:left w:val="single" w:color="auto" w:sz="4" w:space="0"/>
                    <w:bottom w:val="single" w:color="auto" w:sz="4" w:space="0"/>
                    <w:right w:val="single" w:color="auto" w:sz="4" w:space="0"/>
                  </w:tcBorders>
                  <w:noWrap w:val="0"/>
                  <w:vAlign w:val="center"/>
                </w:tcPr>
                <w:p w14:paraId="4ACD6C27">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娄村</w:t>
                  </w:r>
                </w:p>
              </w:tc>
              <w:tc>
                <w:tcPr>
                  <w:tcW w:w="975" w:type="dxa"/>
                  <w:tcBorders>
                    <w:left w:val="single" w:color="auto" w:sz="4" w:space="0"/>
                    <w:bottom w:val="single" w:color="auto" w:sz="4" w:space="0"/>
                    <w:right w:val="single" w:color="auto" w:sz="4" w:space="0"/>
                  </w:tcBorders>
                  <w:noWrap w:val="0"/>
                  <w:vAlign w:val="center"/>
                </w:tcPr>
                <w:p w14:paraId="56E0E284">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东南</w:t>
                  </w:r>
                </w:p>
              </w:tc>
              <w:tc>
                <w:tcPr>
                  <w:tcW w:w="2175" w:type="dxa"/>
                  <w:tcBorders>
                    <w:left w:val="single" w:color="auto" w:sz="4" w:space="0"/>
                    <w:bottom w:val="single" w:color="auto" w:sz="4" w:space="0"/>
                    <w:right w:val="single" w:color="auto" w:sz="4" w:space="0"/>
                  </w:tcBorders>
                  <w:noWrap w:val="0"/>
                  <w:vAlign w:val="center"/>
                </w:tcPr>
                <w:p w14:paraId="24F7A666">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225米</w:t>
                  </w:r>
                </w:p>
              </w:tc>
              <w:tc>
                <w:tcPr>
                  <w:tcW w:w="2573" w:type="dxa"/>
                  <w:tcBorders>
                    <w:left w:val="single" w:color="auto" w:sz="4" w:space="0"/>
                    <w:bottom w:val="single" w:color="auto" w:sz="4" w:space="0"/>
                  </w:tcBorders>
                  <w:noWrap w:val="0"/>
                  <w:vAlign w:val="center"/>
                </w:tcPr>
                <w:p w14:paraId="47AC4DAF">
                  <w:pPr>
                    <w:pStyle w:val="7"/>
                    <w:keepNext w:val="0"/>
                    <w:keepLines w:val="0"/>
                    <w:suppressLineNumbers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《环境空气质量标准》（GB3095-2012）二级标准</w:t>
                  </w:r>
                </w:p>
              </w:tc>
            </w:tr>
            <w:tr w14:paraId="5C60324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top w:val="single" w:color="auto" w:sz="4" w:space="0"/>
                    <w:bottom w:val="single" w:color="auto" w:sz="4" w:space="0"/>
                    <w:right w:val="single" w:color="auto" w:sz="4" w:space="0"/>
                  </w:tcBorders>
                  <w:noWrap w:val="0"/>
                  <w:vAlign w:val="center"/>
                </w:tcPr>
                <w:p w14:paraId="0938E99A">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环境噪声</w:t>
                  </w:r>
                </w:p>
              </w:tc>
              <w:tc>
                <w:tcPr>
                  <w:tcW w:w="4724" w:type="dxa"/>
                  <w:gridSpan w:val="3"/>
                  <w:tcBorders>
                    <w:top w:val="single" w:color="auto" w:sz="4" w:space="0"/>
                    <w:left w:val="single" w:color="auto" w:sz="4" w:space="0"/>
                    <w:bottom w:val="single" w:color="auto" w:sz="4" w:space="0"/>
                    <w:right w:val="single" w:color="auto" w:sz="4" w:space="0"/>
                  </w:tcBorders>
                  <w:noWrap w:val="0"/>
                  <w:vAlign w:val="center"/>
                </w:tcPr>
                <w:p w14:paraId="2CDAAC27">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auto"/>
                      <w:sz w:val="21"/>
                      <w:szCs w:val="21"/>
                      <w:lang w:val="en-US" w:eastAsia="zh-CN"/>
                    </w:rPr>
                    <w:t>本项目</w:t>
                  </w:r>
                  <w:r>
                    <w:rPr>
                      <w:rFonts w:hint="eastAsia"/>
                      <w:color w:val="auto"/>
                      <w:sz w:val="21"/>
                      <w:szCs w:val="21"/>
                    </w:rPr>
                    <w:t>周边50米范围内</w:t>
                  </w:r>
                  <w:r>
                    <w:rPr>
                      <w:rFonts w:hint="eastAsia"/>
                      <w:color w:val="auto"/>
                      <w:sz w:val="21"/>
                      <w:szCs w:val="21"/>
                      <w:lang w:val="en-US" w:eastAsia="zh-CN"/>
                    </w:rPr>
                    <w:t>无</w:t>
                  </w:r>
                  <w:r>
                    <w:rPr>
                      <w:rFonts w:hint="eastAsia"/>
                      <w:color w:val="auto"/>
                      <w:sz w:val="21"/>
                      <w:szCs w:val="21"/>
                    </w:rPr>
                    <w:t>声环境保护目标</w:t>
                  </w:r>
                </w:p>
              </w:tc>
              <w:tc>
                <w:tcPr>
                  <w:tcW w:w="2573" w:type="dxa"/>
                  <w:tcBorders>
                    <w:top w:val="single" w:color="auto" w:sz="4" w:space="0"/>
                    <w:left w:val="single" w:color="auto" w:sz="4" w:space="0"/>
                    <w:bottom w:val="single" w:color="auto" w:sz="4" w:space="0"/>
                  </w:tcBorders>
                  <w:noWrap w:val="0"/>
                  <w:vAlign w:val="center"/>
                </w:tcPr>
                <w:p w14:paraId="028EC80F">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auto"/>
                      <w:sz w:val="21"/>
                      <w:szCs w:val="21"/>
                      <w:lang w:val="en-US" w:eastAsia="zh-CN"/>
                    </w:rPr>
                    <w:t>/</w:t>
                  </w:r>
                </w:p>
              </w:tc>
            </w:tr>
            <w:tr w14:paraId="33D62472">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top w:val="single" w:color="auto" w:sz="4" w:space="0"/>
                    <w:bottom w:val="single" w:color="auto" w:sz="4" w:space="0"/>
                    <w:right w:val="single" w:color="auto" w:sz="4" w:space="0"/>
                  </w:tcBorders>
                  <w:noWrap w:val="0"/>
                  <w:vAlign w:val="center"/>
                </w:tcPr>
                <w:p w14:paraId="17C45061">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hAnsi="宋体"/>
                      <w:color w:val="000000" w:themeColor="text1"/>
                      <w:sz w:val="21"/>
                      <w:szCs w:val="21"/>
                      <w14:textFill>
                        <w14:solidFill>
                          <w14:schemeClr w14:val="tx1"/>
                        </w14:solidFill>
                      </w14:textFill>
                    </w:rPr>
                    <w:t>生态环境</w:t>
                  </w:r>
                </w:p>
              </w:tc>
              <w:tc>
                <w:tcPr>
                  <w:tcW w:w="4724" w:type="dxa"/>
                  <w:gridSpan w:val="3"/>
                  <w:tcBorders>
                    <w:top w:val="single" w:color="auto" w:sz="4" w:space="0"/>
                    <w:left w:val="single" w:color="auto" w:sz="4" w:space="0"/>
                    <w:bottom w:val="single" w:color="auto" w:sz="4" w:space="0"/>
                    <w:right w:val="single" w:color="auto" w:sz="4" w:space="0"/>
                  </w:tcBorders>
                  <w:noWrap w:val="0"/>
                  <w:vAlign w:val="center"/>
                </w:tcPr>
                <w:p w14:paraId="0F917EF3">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本项目</w:t>
                  </w:r>
                  <w:r>
                    <w:rPr>
                      <w:rFonts w:hint="eastAsia"/>
                      <w:color w:val="000000" w:themeColor="text1"/>
                      <w:sz w:val="21"/>
                      <w:szCs w:val="21"/>
                      <w14:textFill>
                        <w14:solidFill>
                          <w14:schemeClr w14:val="tx1"/>
                        </w14:solidFill>
                      </w14:textFill>
                    </w:rPr>
                    <w:t>周边50</w:t>
                  </w:r>
                  <w:r>
                    <w:rPr>
                      <w:rFonts w:hint="eastAsia"/>
                      <w:color w:val="000000" w:themeColor="text1"/>
                      <w:sz w:val="21"/>
                      <w:szCs w:val="21"/>
                      <w:lang w:val="en-US" w:eastAsia="zh-CN"/>
                      <w14:textFill>
                        <w14:solidFill>
                          <w14:schemeClr w14:val="tx1"/>
                        </w14:solidFill>
                      </w14:textFill>
                    </w:rPr>
                    <w:t>0</w:t>
                  </w:r>
                  <w:r>
                    <w:rPr>
                      <w:rFonts w:hint="eastAsia"/>
                      <w:color w:val="000000" w:themeColor="text1"/>
                      <w:sz w:val="21"/>
                      <w:szCs w:val="21"/>
                      <w14:textFill>
                        <w14:solidFill>
                          <w14:schemeClr w14:val="tx1"/>
                        </w14:solidFill>
                      </w14:textFill>
                    </w:rPr>
                    <w:t>米范围内</w:t>
                  </w:r>
                  <w:r>
                    <w:rPr>
                      <w:rFonts w:hint="eastAsia"/>
                      <w:color w:val="000000" w:themeColor="text1"/>
                      <w:sz w:val="21"/>
                      <w:szCs w:val="21"/>
                      <w:lang w:val="en-US" w:eastAsia="zh-CN"/>
                      <w14:textFill>
                        <w14:solidFill>
                          <w14:schemeClr w14:val="tx1"/>
                        </w14:solidFill>
                      </w14:textFill>
                    </w:rPr>
                    <w:t>无生态</w:t>
                  </w:r>
                  <w:r>
                    <w:rPr>
                      <w:rFonts w:hint="eastAsia"/>
                      <w:color w:val="000000" w:themeColor="text1"/>
                      <w:sz w:val="21"/>
                      <w:szCs w:val="21"/>
                      <w14:textFill>
                        <w14:solidFill>
                          <w14:schemeClr w14:val="tx1"/>
                        </w14:solidFill>
                      </w14:textFill>
                    </w:rPr>
                    <w:t>保护目标</w:t>
                  </w:r>
                </w:p>
              </w:tc>
              <w:tc>
                <w:tcPr>
                  <w:tcW w:w="2573" w:type="dxa"/>
                  <w:tcBorders>
                    <w:top w:val="single" w:color="auto" w:sz="4" w:space="0"/>
                    <w:left w:val="single" w:color="auto" w:sz="4" w:space="0"/>
                    <w:bottom w:val="single" w:color="auto" w:sz="4" w:space="0"/>
                  </w:tcBorders>
                  <w:noWrap w:val="0"/>
                  <w:vAlign w:val="center"/>
                </w:tcPr>
                <w:p w14:paraId="79DE4861">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2BE169C5">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top w:val="single" w:color="auto" w:sz="4" w:space="0"/>
                    <w:bottom w:val="single" w:color="auto" w:sz="8" w:space="0"/>
                    <w:right w:val="single" w:color="auto" w:sz="4" w:space="0"/>
                  </w:tcBorders>
                  <w:noWrap w:val="0"/>
                  <w:vAlign w:val="center"/>
                </w:tcPr>
                <w:p w14:paraId="118FACA9">
                  <w:pPr>
                    <w:keepNext w:val="0"/>
                    <w:keepLines w:val="0"/>
                    <w:suppressLineNumbers w:val="0"/>
                    <w:tabs>
                      <w:tab w:val="left" w:pos="3230"/>
                    </w:tabs>
                    <w:adjustRightInd w:val="0"/>
                    <w:snapToGrid w:val="0"/>
                    <w:spacing w:before="0" w:beforeAutospacing="0" w:after="0" w:afterAutospacing="0"/>
                    <w:ind w:left="0" w:leftChars="0" w:right="0" w:rightChars="0"/>
                    <w:jc w:val="center"/>
                    <w:rPr>
                      <w:rFonts w:hint="default" w:hAnsi="宋体"/>
                      <w:color w:val="000000" w:themeColor="text1"/>
                      <w:sz w:val="21"/>
                      <w:szCs w:val="21"/>
                      <w14:textFill>
                        <w14:solidFill>
                          <w14:schemeClr w14:val="tx1"/>
                        </w14:solidFill>
                      </w14:textFill>
                    </w:rPr>
                  </w:pPr>
                  <w:r>
                    <w:rPr>
                      <w:rFonts w:hint="eastAsia" w:hAnsi="宋体"/>
                      <w:color w:val="auto"/>
                      <w:sz w:val="21"/>
                      <w:szCs w:val="21"/>
                      <w:lang w:val="en-US" w:eastAsia="zh-CN"/>
                    </w:rPr>
                    <w:t>地下水环境</w:t>
                  </w:r>
                </w:p>
              </w:tc>
              <w:tc>
                <w:tcPr>
                  <w:tcW w:w="4724" w:type="dxa"/>
                  <w:gridSpan w:val="3"/>
                  <w:tcBorders>
                    <w:top w:val="single" w:color="auto" w:sz="4" w:space="0"/>
                    <w:left w:val="single" w:color="auto" w:sz="4" w:space="0"/>
                    <w:bottom w:val="single" w:color="auto" w:sz="8" w:space="0"/>
                    <w:right w:val="single" w:color="auto" w:sz="4" w:space="0"/>
                  </w:tcBorders>
                  <w:noWrap w:val="0"/>
                  <w:vAlign w:val="center"/>
                </w:tcPr>
                <w:p w14:paraId="0F176B29">
                  <w:pPr>
                    <w:keepNext w:val="0"/>
                    <w:keepLines w:val="0"/>
                    <w:suppressLineNumbers w:val="0"/>
                    <w:tabs>
                      <w:tab w:val="left" w:pos="3230"/>
                    </w:tabs>
                    <w:adjustRightInd w:val="0"/>
                    <w:snapToGrid w:val="0"/>
                    <w:spacing w:before="0" w:beforeAutospacing="0" w:after="0" w:afterAutospacing="0"/>
                    <w:ind w:left="0" w:right="0"/>
                    <w:jc w:val="center"/>
                    <w:rPr>
                      <w:rFonts w:hint="eastAsia"/>
                      <w:sz w:val="21"/>
                      <w:szCs w:val="21"/>
                      <w:lang w:val="en-US" w:eastAsia="zh-CN"/>
                    </w:rPr>
                  </w:pPr>
                  <w:r>
                    <w:rPr>
                      <w:rFonts w:hint="eastAsia"/>
                      <w:sz w:val="21"/>
                      <w:szCs w:val="21"/>
                      <w:lang w:val="en-US" w:eastAsia="zh-CN"/>
                    </w:rPr>
                    <w:t>本项目周边500米范围内无地下水集中式饮用水</w:t>
                  </w:r>
                </w:p>
                <w:p w14:paraId="463E3EE0">
                  <w:pPr>
                    <w:keepNext w:val="0"/>
                    <w:keepLines w:val="0"/>
                    <w:suppressLineNumbers w:val="0"/>
                    <w:tabs>
                      <w:tab w:val="left" w:pos="3230"/>
                    </w:tabs>
                    <w:adjustRightInd w:val="0"/>
                    <w:snapToGrid w:val="0"/>
                    <w:spacing w:before="0" w:beforeAutospacing="0" w:after="0" w:afterAutospacing="0"/>
                    <w:ind w:left="0" w:right="0"/>
                    <w:jc w:val="center"/>
                    <w:rPr>
                      <w:rFonts w:hint="eastAsia"/>
                      <w:color w:val="000000" w:themeColor="text1"/>
                      <w:sz w:val="21"/>
                      <w:szCs w:val="21"/>
                      <w:lang w:val="en-US" w:eastAsia="zh-CN"/>
                      <w14:textFill>
                        <w14:solidFill>
                          <w14:schemeClr w14:val="tx1"/>
                        </w14:solidFill>
                      </w14:textFill>
                    </w:rPr>
                  </w:pPr>
                  <w:r>
                    <w:rPr>
                      <w:rFonts w:hint="eastAsia"/>
                      <w:sz w:val="21"/>
                      <w:szCs w:val="21"/>
                      <w:lang w:val="en-US" w:eastAsia="zh-CN"/>
                    </w:rPr>
                    <w:t>水源和热水、矿泉水、温泉等特殊地下水资源</w:t>
                  </w:r>
                </w:p>
              </w:tc>
              <w:tc>
                <w:tcPr>
                  <w:tcW w:w="2573" w:type="dxa"/>
                  <w:tcBorders>
                    <w:top w:val="single" w:color="auto" w:sz="4" w:space="0"/>
                    <w:left w:val="single" w:color="auto" w:sz="4" w:space="0"/>
                    <w:bottom w:val="single" w:color="auto" w:sz="8" w:space="0"/>
                  </w:tcBorders>
                  <w:noWrap w:val="0"/>
                  <w:vAlign w:val="center"/>
                </w:tcPr>
                <w:p w14:paraId="4F57B3B0">
                  <w:pPr>
                    <w:keepNext w:val="0"/>
                    <w:keepLines w:val="0"/>
                    <w:suppressLineNumbers w:val="0"/>
                    <w:tabs>
                      <w:tab w:val="left" w:pos="3230"/>
                    </w:tabs>
                    <w:adjustRightInd w:val="0"/>
                    <w:snapToGrid w:val="0"/>
                    <w:spacing w:before="0" w:beforeAutospacing="0" w:after="0" w:afterAutospacing="0"/>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auto"/>
                      <w:sz w:val="21"/>
                      <w:szCs w:val="21"/>
                      <w:lang w:val="en-US" w:eastAsia="zh-CN"/>
                    </w:rPr>
                    <w:t>/</w:t>
                  </w:r>
                </w:p>
              </w:tc>
            </w:tr>
          </w:tbl>
          <w:p w14:paraId="30EBCEAF">
            <w:pPr>
              <w:keepNext w:val="0"/>
              <w:keepLines w:val="0"/>
              <w:suppressLineNumbers w:val="0"/>
              <w:tabs>
                <w:tab w:val="left" w:pos="3230"/>
              </w:tabs>
              <w:adjustRightInd w:val="0"/>
              <w:snapToGrid w:val="0"/>
              <w:spacing w:before="0" w:beforeAutospacing="0" w:after="0" w:afterAutospacing="0" w:line="440" w:lineRule="exact"/>
              <w:ind w:left="0" w:right="0"/>
              <w:rPr>
                <w:rFonts w:hint="eastAsia" w:eastAsia="宋体"/>
                <w:sz w:val="24"/>
                <w:lang w:val="en-US" w:eastAsia="zh-CN"/>
              </w:rPr>
            </w:pPr>
          </w:p>
        </w:tc>
      </w:tr>
      <w:tr w14:paraId="5B856D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858" w:type="dxa"/>
            <w:noWrap w:val="0"/>
            <w:vAlign w:val="center"/>
          </w:tcPr>
          <w:p w14:paraId="4816B1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污染</w:t>
            </w:r>
          </w:p>
          <w:p w14:paraId="5A4A2A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物排</w:t>
            </w:r>
          </w:p>
          <w:p w14:paraId="7EFC6D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放控</w:t>
            </w:r>
          </w:p>
          <w:p w14:paraId="3C6B8C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制标</w:t>
            </w:r>
          </w:p>
          <w:p w14:paraId="64B285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hAnsi="宋体"/>
                <w:kern w:val="0"/>
                <w:sz w:val="24"/>
                <w:szCs w:val="24"/>
              </w:rPr>
            </w:pPr>
            <w:r>
              <w:rPr>
                <w:rFonts w:hint="default" w:hAnsi="宋体"/>
                <w:kern w:val="0"/>
                <w:sz w:val="24"/>
                <w:szCs w:val="24"/>
              </w:rPr>
              <w:t>准</w:t>
            </w:r>
          </w:p>
        </w:tc>
        <w:tc>
          <w:tcPr>
            <w:tcW w:w="8781" w:type="dxa"/>
            <w:noWrap w:val="0"/>
            <w:vAlign w:val="top"/>
          </w:tcPr>
          <w:p w14:paraId="0374FEC7">
            <w:pPr>
              <w:keepNext w:val="0"/>
              <w:keepLines w:val="0"/>
              <w:suppressLineNumbers w:val="0"/>
              <w:adjustRightInd w:val="0"/>
              <w:snapToGrid w:val="0"/>
              <w:spacing w:before="0" w:beforeAutospacing="0" w:after="0" w:afterAutospacing="0" w:line="440" w:lineRule="exact"/>
              <w:ind w:left="0" w:right="0" w:firstLine="482" w:firstLineChars="200"/>
              <w:textAlignment w:val="baseline"/>
              <w:rPr>
                <w:rFonts w:hint="default"/>
                <w:b/>
                <w:color w:val="000000" w:themeColor="text1"/>
                <w:sz w:val="24"/>
                <w:highlight w:val="none"/>
                <w14:textFill>
                  <w14:solidFill>
                    <w14:schemeClr w14:val="tx1"/>
                  </w14:solidFill>
                </w14:textFill>
              </w:rPr>
            </w:pPr>
            <w:r>
              <w:rPr>
                <w:rFonts w:hint="eastAsia"/>
                <w:b/>
                <w:color w:val="000000" w:themeColor="text1"/>
                <w:sz w:val="24"/>
                <w14:textFill>
                  <w14:solidFill>
                    <w14:schemeClr w14:val="tx1"/>
                  </w14:solidFill>
                </w14:textFill>
              </w:rPr>
              <w:t>1、废气</w:t>
            </w:r>
          </w:p>
          <w:p w14:paraId="1B33A2E7">
            <w:pPr>
              <w:keepNext w:val="0"/>
              <w:keepLines w:val="0"/>
              <w:suppressLineNumbers w:val="0"/>
              <w:spacing w:before="0" w:beforeAutospacing="0" w:after="0" w:afterAutospacing="0" w:line="440" w:lineRule="exact"/>
              <w:ind w:left="0" w:right="0"/>
              <w:jc w:val="center"/>
              <w:rPr>
                <w:rFonts w:hint="default" w:ascii="宋体" w:hAnsi="宋体"/>
                <w:b/>
                <w:color w:val="FF0000"/>
                <w:sz w:val="24"/>
                <w:highlight w:val="none"/>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20</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default" w:ascii="宋体" w:hAnsi="宋体"/>
                <w:b/>
                <w:color w:val="000000" w:themeColor="text1"/>
                <w:sz w:val="24"/>
                <w:highlight w:val="none"/>
                <w14:textFill>
                  <w14:solidFill>
                    <w14:schemeClr w14:val="tx1"/>
                  </w14:solidFill>
                </w14:textFill>
              </w:rPr>
              <w:t>废气排放限值一览表</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1"/>
              <w:gridCol w:w="2768"/>
              <w:gridCol w:w="1290"/>
              <w:gridCol w:w="3826"/>
            </w:tblGrid>
            <w:tr w14:paraId="6C47D8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tcBorders>
                    <w:top w:val="single" w:color="auto" w:sz="8" w:space="0"/>
                    <w:bottom w:val="single" w:color="auto" w:sz="8" w:space="0"/>
                    <w:right w:val="single" w:color="auto" w:sz="4" w:space="0"/>
                  </w:tcBorders>
                  <w:noWrap w:val="0"/>
                  <w:vAlign w:val="center"/>
                </w:tcPr>
                <w:p w14:paraId="4A18037B">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污染类别</w:t>
                  </w:r>
                </w:p>
              </w:tc>
              <w:tc>
                <w:tcPr>
                  <w:tcW w:w="2768" w:type="dxa"/>
                  <w:tcBorders>
                    <w:top w:val="single" w:color="auto" w:sz="8" w:space="0"/>
                    <w:left w:val="single" w:color="auto" w:sz="4" w:space="0"/>
                    <w:bottom w:val="single" w:color="auto" w:sz="8" w:space="0"/>
                    <w:right w:val="single" w:color="auto" w:sz="4" w:space="0"/>
                  </w:tcBorders>
                  <w:noWrap w:val="0"/>
                  <w:vAlign w:val="center"/>
                </w:tcPr>
                <w:p w14:paraId="12DB7917">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标准名称及级（类）别</w:t>
                  </w:r>
                </w:p>
              </w:tc>
              <w:tc>
                <w:tcPr>
                  <w:tcW w:w="1290" w:type="dxa"/>
                  <w:tcBorders>
                    <w:top w:val="single" w:color="auto" w:sz="8" w:space="0"/>
                    <w:left w:val="single" w:color="auto" w:sz="4" w:space="0"/>
                    <w:bottom w:val="single" w:color="auto" w:sz="8" w:space="0"/>
                    <w:right w:val="single" w:color="auto" w:sz="4" w:space="0"/>
                  </w:tcBorders>
                  <w:noWrap w:val="0"/>
                  <w:vAlign w:val="center"/>
                </w:tcPr>
                <w:p w14:paraId="32F8DCE7">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污染因子</w:t>
                  </w:r>
                </w:p>
              </w:tc>
              <w:tc>
                <w:tcPr>
                  <w:tcW w:w="3826" w:type="dxa"/>
                  <w:tcBorders>
                    <w:top w:val="single" w:color="auto" w:sz="8" w:space="0"/>
                    <w:left w:val="single" w:color="auto" w:sz="4" w:space="0"/>
                    <w:bottom w:val="single" w:color="auto" w:sz="8" w:space="0"/>
                  </w:tcBorders>
                  <w:noWrap w:val="0"/>
                  <w:vAlign w:val="center"/>
                </w:tcPr>
                <w:p w14:paraId="0C4C96F4">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标准限值</w:t>
                  </w:r>
                </w:p>
              </w:tc>
            </w:tr>
            <w:tr w14:paraId="064563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restart"/>
                  <w:tcBorders>
                    <w:top w:val="single" w:color="auto" w:sz="8" w:space="0"/>
                  </w:tcBorders>
                  <w:noWrap w:val="0"/>
                  <w:vAlign w:val="center"/>
                </w:tcPr>
                <w:p w14:paraId="5B7974AE">
                  <w:pPr>
                    <w:keepNext w:val="0"/>
                    <w:keepLines w:val="0"/>
                    <w:suppressLineNumbers w:val="0"/>
                    <w:adjustRightInd w:val="0"/>
                    <w:snapToGrid w:val="0"/>
                    <w:spacing w:before="0" w:beforeAutospacing="0" w:after="0" w:afterAutospacing="0"/>
                    <w:ind w:left="0" w:right="0"/>
                    <w:jc w:val="center"/>
                    <w:rPr>
                      <w:rFonts w:hint="default" w:hAnsi="宋体" w:eastAsia="宋体"/>
                      <w:color w:val="auto"/>
                      <w:sz w:val="21"/>
                      <w:szCs w:val="21"/>
                      <w:highlight w:val="none"/>
                      <w:lang w:val="en-US" w:eastAsia="zh-CN"/>
                    </w:rPr>
                  </w:pPr>
                  <w:r>
                    <w:rPr>
                      <w:rFonts w:hint="eastAsia" w:hAnsi="宋体"/>
                      <w:color w:val="auto"/>
                      <w:sz w:val="21"/>
                      <w:szCs w:val="21"/>
                      <w:highlight w:val="none"/>
                      <w:lang w:val="en-US" w:eastAsia="zh-CN"/>
                    </w:rPr>
                    <w:t>废气</w:t>
                  </w:r>
                </w:p>
              </w:tc>
              <w:tc>
                <w:tcPr>
                  <w:tcW w:w="2768" w:type="dxa"/>
                  <w:tcBorders>
                    <w:top w:val="single" w:color="auto" w:sz="8" w:space="0"/>
                  </w:tcBorders>
                  <w:noWrap w:val="0"/>
                  <w:vAlign w:val="center"/>
                </w:tcPr>
                <w:p w14:paraId="5EB781B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《大气污染物综合排放标准》（GB16297-1996）表2二级</w:t>
                  </w:r>
                </w:p>
              </w:tc>
              <w:tc>
                <w:tcPr>
                  <w:tcW w:w="1290" w:type="dxa"/>
                  <w:tcBorders>
                    <w:top w:val="single" w:color="auto" w:sz="8" w:space="0"/>
                  </w:tcBorders>
                  <w:noWrap w:val="0"/>
                  <w:vAlign w:val="center"/>
                </w:tcPr>
                <w:p w14:paraId="60911053">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shd w:val="clear" w:color="auto" w:fill="FFFFFF"/>
                      <w:lang w:val="en-US" w:eastAsia="zh-CN"/>
                    </w:rPr>
                  </w:pPr>
                  <w:r>
                    <w:rPr>
                      <w:rFonts w:hint="eastAsia"/>
                      <w:color w:val="auto"/>
                      <w:sz w:val="21"/>
                      <w:szCs w:val="21"/>
                      <w:highlight w:val="none"/>
                      <w:shd w:val="clear" w:color="auto" w:fill="FFFFFF"/>
                      <w:lang w:val="en-US" w:eastAsia="zh-CN"/>
                    </w:rPr>
                    <w:t>颗粒物</w:t>
                  </w:r>
                </w:p>
              </w:tc>
              <w:tc>
                <w:tcPr>
                  <w:tcW w:w="3826" w:type="dxa"/>
                  <w:tcBorders>
                    <w:top w:val="single" w:color="auto" w:sz="8" w:space="0"/>
                  </w:tcBorders>
                  <w:noWrap w:val="0"/>
                  <w:vAlign w:val="center"/>
                </w:tcPr>
                <w:p w14:paraId="417B20D6">
                  <w:pPr>
                    <w:keepNext w:val="0"/>
                    <w:keepLines w:val="0"/>
                    <w:suppressLineNumbers w:val="0"/>
                    <w:shd w:val="clear" w:color="auto" w:fill="auto"/>
                    <w:adjustRightInd w:val="0"/>
                    <w:snapToGrid w:val="0"/>
                    <w:spacing w:before="0" w:beforeAutospacing="0" w:after="0" w:afterAutospacing="0"/>
                    <w:ind w:left="0" w:right="0"/>
                    <w:jc w:val="center"/>
                    <w:rPr>
                      <w:rFonts w:hint="default" w:ascii="Times New Roman" w:hAnsi="Times New Roman" w:eastAsia="宋体" w:cs="Times New Roman"/>
                      <w:b w:val="0"/>
                      <w:bCs/>
                      <w:color w:val="auto"/>
                      <w:sz w:val="21"/>
                      <w:szCs w:val="21"/>
                      <w:highlight w:val="none"/>
                    </w:rPr>
                  </w:pPr>
                  <w:r>
                    <w:rPr>
                      <w:rFonts w:hint="eastAsia"/>
                      <w:color w:val="000000"/>
                      <w:sz w:val="21"/>
                      <w:szCs w:val="21"/>
                      <w:highlight w:val="none"/>
                      <w:lang w:val="en-US" w:eastAsia="zh-CN"/>
                    </w:rPr>
                    <w:t>有组织</w:t>
                  </w:r>
                  <w:r>
                    <w:rPr>
                      <w:rFonts w:hint="eastAsia"/>
                      <w:color w:val="000000"/>
                      <w:sz w:val="21"/>
                      <w:szCs w:val="21"/>
                      <w:highlight w:val="none"/>
                    </w:rPr>
                    <w:t>排放浓度</w:t>
                  </w:r>
                  <w:r>
                    <w:rPr>
                      <w:rFonts w:hint="default"/>
                      <w:color w:val="000000"/>
                      <w:sz w:val="21"/>
                      <w:szCs w:val="21"/>
                      <w:highlight w:val="none"/>
                    </w:rPr>
                    <w:t>120mg/m</w:t>
                  </w:r>
                  <w:r>
                    <w:rPr>
                      <w:rFonts w:hint="default"/>
                      <w:color w:val="000000"/>
                      <w:sz w:val="21"/>
                      <w:szCs w:val="21"/>
                      <w:highlight w:val="none"/>
                      <w:vertAlign w:val="superscript"/>
                    </w:rPr>
                    <w:t>3</w:t>
                  </w:r>
                  <w:r>
                    <w:rPr>
                      <w:rFonts w:hint="default" w:hAnsi="宋体"/>
                      <w:color w:val="000000"/>
                      <w:sz w:val="21"/>
                      <w:szCs w:val="21"/>
                      <w:highlight w:val="none"/>
                    </w:rPr>
                    <w:t>、</w:t>
                  </w:r>
                  <w:r>
                    <w:rPr>
                      <w:rFonts w:hint="eastAsia" w:hAnsi="宋体"/>
                      <w:color w:val="000000"/>
                      <w:sz w:val="21"/>
                      <w:szCs w:val="21"/>
                      <w:highlight w:val="none"/>
                    </w:rPr>
                    <w:t>排放速率</w:t>
                  </w:r>
                  <w:r>
                    <w:rPr>
                      <w:rFonts w:hint="default"/>
                      <w:color w:val="000000"/>
                      <w:sz w:val="21"/>
                      <w:szCs w:val="21"/>
                      <w:highlight w:val="none"/>
                    </w:rPr>
                    <w:t>3.5kg/h</w:t>
                  </w:r>
                  <w:r>
                    <w:rPr>
                      <w:rFonts w:hint="eastAsia"/>
                      <w:color w:val="000000"/>
                      <w:sz w:val="21"/>
                      <w:szCs w:val="21"/>
                      <w:highlight w:val="none"/>
                    </w:rPr>
                    <w:t>，</w:t>
                  </w:r>
                  <w:r>
                    <w:rPr>
                      <w:rFonts w:hint="default" w:hAnsi="宋体"/>
                      <w:color w:val="000000"/>
                      <w:sz w:val="21"/>
                      <w:szCs w:val="21"/>
                      <w:highlight w:val="none"/>
                    </w:rPr>
                    <w:t>厂界最高浓度</w:t>
                  </w:r>
                  <w:r>
                    <w:rPr>
                      <w:rFonts w:hint="default"/>
                      <w:color w:val="000000"/>
                      <w:sz w:val="21"/>
                      <w:szCs w:val="21"/>
                      <w:highlight w:val="none"/>
                    </w:rPr>
                    <w:t>1.0mg/m</w:t>
                  </w:r>
                  <w:r>
                    <w:rPr>
                      <w:rFonts w:hint="default"/>
                      <w:color w:val="000000"/>
                      <w:sz w:val="21"/>
                      <w:szCs w:val="21"/>
                      <w:highlight w:val="none"/>
                      <w:vertAlign w:val="superscript"/>
                    </w:rPr>
                    <w:t>3</w:t>
                  </w:r>
                </w:p>
              </w:tc>
            </w:tr>
            <w:tr w14:paraId="472AD5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bottom w:val="single" w:color="auto" w:sz="8" w:space="0"/>
                  </w:tcBorders>
                  <w:noWrap w:val="0"/>
                  <w:vAlign w:val="center"/>
                </w:tcPr>
                <w:p w14:paraId="59D06F6C">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highlight w:val="none"/>
                    </w:rPr>
                  </w:pPr>
                </w:p>
              </w:tc>
              <w:tc>
                <w:tcPr>
                  <w:tcW w:w="2768" w:type="dxa"/>
                  <w:tcBorders>
                    <w:bottom w:val="single" w:color="auto" w:sz="8" w:space="0"/>
                  </w:tcBorders>
                  <w:noWrap w:val="0"/>
                  <w:vAlign w:val="center"/>
                </w:tcPr>
                <w:p w14:paraId="3B1A7D0C">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rPr>
                  </w:pPr>
                  <w:r>
                    <w:rPr>
                      <w:rFonts w:hint="eastAsia"/>
                      <w:color w:val="auto"/>
                      <w:sz w:val="21"/>
                      <w:szCs w:val="21"/>
                      <w:highlight w:val="none"/>
                    </w:rPr>
                    <w:t>《新乡市生态环境局关于进一步规范工业企业颗粒物放限值的通知》</w:t>
                  </w:r>
                </w:p>
              </w:tc>
              <w:tc>
                <w:tcPr>
                  <w:tcW w:w="1290" w:type="dxa"/>
                  <w:tcBorders>
                    <w:bottom w:val="single" w:color="auto" w:sz="8" w:space="0"/>
                  </w:tcBorders>
                  <w:noWrap w:val="0"/>
                  <w:vAlign w:val="center"/>
                </w:tcPr>
                <w:p w14:paraId="4942C8E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pacing w:val="5"/>
                      <w:sz w:val="21"/>
                      <w:szCs w:val="21"/>
                      <w:highlight w:val="none"/>
                    </w:rPr>
                  </w:pPr>
                  <w:r>
                    <w:rPr>
                      <w:rFonts w:hint="eastAsia"/>
                      <w:color w:val="auto"/>
                      <w:sz w:val="21"/>
                      <w:szCs w:val="21"/>
                      <w:highlight w:val="none"/>
                      <w:shd w:val="clear" w:color="auto" w:fill="FFFFFF"/>
                      <w:lang w:val="en-US" w:eastAsia="zh-CN"/>
                    </w:rPr>
                    <w:t>颗粒物</w:t>
                  </w:r>
                </w:p>
              </w:tc>
              <w:tc>
                <w:tcPr>
                  <w:tcW w:w="3826" w:type="dxa"/>
                  <w:tcBorders>
                    <w:bottom w:val="single" w:color="auto" w:sz="8" w:space="0"/>
                  </w:tcBorders>
                  <w:noWrap w:val="0"/>
                  <w:vAlign w:val="center"/>
                </w:tcPr>
                <w:p w14:paraId="3D2C4C2B">
                  <w:pPr>
                    <w:pStyle w:val="7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涉气工业企业排放口颗粒物排放浓度不高于10mg/m</w:t>
                  </w:r>
                  <w:r>
                    <w:rPr>
                      <w:rFonts w:hint="default" w:ascii="Times New Roman" w:hAnsi="Times New Roman" w:eastAsia="宋体" w:cs="Times New Roman"/>
                      <w:b w:val="0"/>
                      <w:bCs/>
                      <w:sz w:val="21"/>
                      <w:szCs w:val="21"/>
                      <w:highlight w:val="none"/>
                      <w:vertAlign w:val="superscript"/>
                      <w:lang w:val="en-US" w:eastAsia="zh-CN"/>
                    </w:rPr>
                    <w:t>3</w:t>
                  </w:r>
                  <w:r>
                    <w:rPr>
                      <w:rFonts w:hint="default" w:ascii="Times New Roman" w:hAnsi="Times New Roman" w:eastAsia="宋体" w:cs="Times New Roman"/>
                      <w:b w:val="0"/>
                      <w:bCs/>
                      <w:sz w:val="21"/>
                      <w:szCs w:val="21"/>
                      <w:highlight w:val="none"/>
                      <w:lang w:val="en-US" w:eastAsia="zh-CN"/>
                    </w:rPr>
                    <w:t>，厂界颗粒物排放浓度不高于0.5mg/m</w:t>
                  </w:r>
                  <w:r>
                    <w:rPr>
                      <w:rFonts w:hint="default" w:ascii="Times New Roman" w:hAnsi="Times New Roman" w:eastAsia="宋体" w:cs="Times New Roman"/>
                      <w:b w:val="0"/>
                      <w:bCs/>
                      <w:sz w:val="21"/>
                      <w:szCs w:val="21"/>
                      <w:highlight w:val="none"/>
                      <w:vertAlign w:val="superscript"/>
                      <w:lang w:val="en-US" w:eastAsia="zh-CN"/>
                    </w:rPr>
                    <w:t>3</w:t>
                  </w:r>
                </w:p>
              </w:tc>
            </w:tr>
          </w:tbl>
          <w:p w14:paraId="6A43B121">
            <w:pPr>
              <w:keepNext w:val="0"/>
              <w:keepLines w:val="0"/>
              <w:suppressLineNumbers w:val="0"/>
              <w:adjustRightInd w:val="0"/>
              <w:snapToGrid w:val="0"/>
              <w:spacing w:before="0" w:beforeAutospacing="0" w:after="0" w:afterAutospacing="0" w:line="440" w:lineRule="exact"/>
              <w:ind w:left="0" w:right="0" w:firstLine="482" w:firstLineChars="200"/>
              <w:textAlignment w:val="baseline"/>
              <w:rPr>
                <w:rFonts w:hint="eastAsia"/>
                <w:b/>
                <w:sz w:val="24"/>
                <w:highlight w:val="none"/>
                <w:lang w:val="en-US" w:eastAsia="zh-CN"/>
              </w:rPr>
            </w:pPr>
            <w:r>
              <w:rPr>
                <w:rFonts w:hint="eastAsia"/>
                <w:b/>
                <w:sz w:val="24"/>
                <w:highlight w:val="none"/>
                <w:lang w:val="en-US" w:eastAsia="zh-CN"/>
              </w:rPr>
              <w:t>注:本项目废气执行以上标准文件中的严值。</w:t>
            </w:r>
          </w:p>
          <w:p w14:paraId="3788E82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440" w:lineRule="exact"/>
              <w:ind w:left="480" w:leftChars="200" w:right="0" w:rightChars="0"/>
              <w:jc w:val="both"/>
              <w:textAlignment w:val="baseline"/>
              <w:rPr>
                <w:rFonts w:hint="eastAsia"/>
                <w:b/>
                <w:sz w:val="24"/>
                <w:highlight w:val="none"/>
                <w:lang w:val="en-US" w:eastAsia="zh-CN"/>
              </w:rPr>
            </w:pPr>
            <w:r>
              <w:rPr>
                <w:rFonts w:hint="eastAsia"/>
                <w:b/>
                <w:sz w:val="24"/>
                <w:highlight w:val="none"/>
                <w:lang w:val="en-US" w:eastAsia="zh-CN"/>
              </w:rPr>
              <w:t>2、废水</w:t>
            </w:r>
          </w:p>
          <w:p w14:paraId="6322DC21">
            <w:pPr>
              <w:keepNext w:val="0"/>
              <w:keepLines w:val="0"/>
              <w:numPr>
                <w:ilvl w:val="0"/>
                <w:numId w:val="0"/>
              </w:numPr>
              <w:suppressLineNumbers w:val="0"/>
              <w:adjustRightInd w:val="0"/>
              <w:snapToGrid w:val="0"/>
              <w:spacing w:before="0" w:beforeAutospacing="0" w:after="0" w:afterAutospacing="0" w:line="440" w:lineRule="exact"/>
              <w:ind w:left="0" w:right="0" w:rightChars="0"/>
              <w:jc w:val="center"/>
              <w:textAlignment w:val="baseline"/>
              <w:rPr>
                <w:rFonts w:hint="default"/>
                <w:b/>
                <w:sz w:val="24"/>
                <w:highlight w:val="none"/>
                <w:lang w:val="en-US" w:eastAsia="zh-CN"/>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21</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default" w:ascii="宋体" w:hAnsi="宋体"/>
                <w:b/>
                <w:color w:val="000000" w:themeColor="text1"/>
                <w:sz w:val="24"/>
                <w:highlight w:val="none"/>
                <w14:textFill>
                  <w14:solidFill>
                    <w14:schemeClr w14:val="tx1"/>
                  </w14:solidFill>
                </w14:textFill>
              </w:rPr>
              <w:t>废气排放限值一览表</w:t>
            </w:r>
          </w:p>
          <w:tbl>
            <w:tblPr>
              <w:tblStyle w:val="23"/>
              <w:tblW w:w="856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4"/>
              <w:gridCol w:w="2423"/>
              <w:gridCol w:w="2793"/>
              <w:gridCol w:w="2415"/>
            </w:tblGrid>
            <w:tr w14:paraId="08AF03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tcBorders>
                    <w:top w:val="single" w:color="auto" w:sz="8" w:space="0"/>
                    <w:bottom w:val="single" w:color="auto" w:sz="8" w:space="0"/>
                  </w:tcBorders>
                  <w:vAlign w:val="center"/>
                </w:tcPr>
                <w:p w14:paraId="694274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sz w:val="21"/>
                      <w:szCs w:val="21"/>
                      <w:highlight w:val="none"/>
                      <w:vertAlign w:val="baseline"/>
                      <w:lang w:val="en-US" w:eastAsia="zh-CN"/>
                    </w:rPr>
                  </w:pPr>
                  <w:r>
                    <w:rPr>
                      <w:rFonts w:hint="eastAsia"/>
                      <w:b/>
                      <w:sz w:val="21"/>
                      <w:szCs w:val="21"/>
                      <w:highlight w:val="none"/>
                      <w:vertAlign w:val="baseline"/>
                      <w:lang w:val="en-US" w:eastAsia="zh-CN"/>
                    </w:rPr>
                    <w:t>污染类别</w:t>
                  </w:r>
                </w:p>
              </w:tc>
              <w:tc>
                <w:tcPr>
                  <w:tcW w:w="2423" w:type="dxa"/>
                  <w:tcBorders>
                    <w:top w:val="single" w:color="auto" w:sz="8" w:space="0"/>
                    <w:bottom w:val="single" w:color="auto" w:sz="8" w:space="0"/>
                  </w:tcBorders>
                  <w:vAlign w:val="center"/>
                </w:tcPr>
                <w:p w14:paraId="5C2B63A5">
                  <w:pPr>
                    <w:keepNext w:val="0"/>
                    <w:keepLines w:val="0"/>
                    <w:suppressLineNumbers w:val="0"/>
                    <w:adjustRightInd w:val="0"/>
                    <w:snapToGrid w:val="0"/>
                    <w:spacing w:before="0" w:beforeAutospacing="0" w:after="0" w:afterAutospacing="0"/>
                    <w:ind w:left="0" w:leftChars="0" w:right="0" w:rightChars="0"/>
                    <w:jc w:val="center"/>
                    <w:rPr>
                      <w:rFonts w:hint="eastAsia"/>
                      <w:b/>
                      <w:sz w:val="21"/>
                      <w:szCs w:val="21"/>
                      <w:highlight w:val="none"/>
                      <w:vertAlign w:val="baseline"/>
                      <w:lang w:val="en-US" w:eastAsia="zh-CN"/>
                    </w:rPr>
                  </w:pPr>
                  <w:r>
                    <w:rPr>
                      <w:rFonts w:hint="default" w:hAnsi="宋体"/>
                      <w:b/>
                      <w:color w:val="auto"/>
                      <w:sz w:val="21"/>
                      <w:szCs w:val="21"/>
                      <w:highlight w:val="none"/>
                    </w:rPr>
                    <w:t>标准名称及级（类）别</w:t>
                  </w:r>
                </w:p>
              </w:tc>
              <w:tc>
                <w:tcPr>
                  <w:tcW w:w="2793" w:type="dxa"/>
                  <w:tcBorders>
                    <w:top w:val="single" w:color="auto" w:sz="8" w:space="0"/>
                    <w:bottom w:val="single" w:color="auto" w:sz="8" w:space="0"/>
                  </w:tcBorders>
                  <w:vAlign w:val="center"/>
                </w:tcPr>
                <w:p w14:paraId="5657FB8D">
                  <w:pPr>
                    <w:keepNext w:val="0"/>
                    <w:keepLines w:val="0"/>
                    <w:suppressLineNumbers w:val="0"/>
                    <w:adjustRightInd w:val="0"/>
                    <w:snapToGrid w:val="0"/>
                    <w:spacing w:before="0" w:beforeAutospacing="0" w:after="0" w:afterAutospacing="0"/>
                    <w:ind w:left="0" w:leftChars="0" w:right="0" w:rightChars="0"/>
                    <w:jc w:val="center"/>
                    <w:rPr>
                      <w:rFonts w:hint="eastAsia"/>
                      <w:b/>
                      <w:sz w:val="21"/>
                      <w:szCs w:val="21"/>
                      <w:highlight w:val="none"/>
                      <w:vertAlign w:val="baseline"/>
                      <w:lang w:val="en-US" w:eastAsia="zh-CN"/>
                    </w:rPr>
                  </w:pPr>
                  <w:r>
                    <w:rPr>
                      <w:rFonts w:hint="default" w:hAnsi="宋体"/>
                      <w:b/>
                      <w:color w:val="auto"/>
                      <w:sz w:val="21"/>
                      <w:szCs w:val="21"/>
                      <w:highlight w:val="none"/>
                    </w:rPr>
                    <w:t>污染因子</w:t>
                  </w:r>
                </w:p>
              </w:tc>
              <w:tc>
                <w:tcPr>
                  <w:tcW w:w="2415" w:type="dxa"/>
                  <w:tcBorders>
                    <w:top w:val="single" w:color="auto" w:sz="8" w:space="0"/>
                    <w:bottom w:val="single" w:color="auto" w:sz="8" w:space="0"/>
                  </w:tcBorders>
                  <w:vAlign w:val="center"/>
                </w:tcPr>
                <w:p w14:paraId="1E461854">
                  <w:pPr>
                    <w:keepNext w:val="0"/>
                    <w:keepLines w:val="0"/>
                    <w:suppressLineNumbers w:val="0"/>
                    <w:adjustRightInd w:val="0"/>
                    <w:snapToGrid w:val="0"/>
                    <w:spacing w:before="0" w:beforeAutospacing="0" w:after="0" w:afterAutospacing="0"/>
                    <w:ind w:left="0" w:leftChars="0" w:right="0" w:rightChars="0"/>
                    <w:jc w:val="center"/>
                    <w:rPr>
                      <w:rFonts w:hint="eastAsia"/>
                      <w:b/>
                      <w:sz w:val="21"/>
                      <w:szCs w:val="21"/>
                      <w:highlight w:val="none"/>
                      <w:vertAlign w:val="baseline"/>
                      <w:lang w:val="en-US" w:eastAsia="zh-CN"/>
                    </w:rPr>
                  </w:pPr>
                  <w:r>
                    <w:rPr>
                      <w:rFonts w:hint="default" w:hAnsi="宋体"/>
                      <w:b/>
                      <w:color w:val="auto"/>
                      <w:sz w:val="21"/>
                      <w:szCs w:val="21"/>
                      <w:highlight w:val="none"/>
                    </w:rPr>
                    <w:t>标准限值</w:t>
                  </w:r>
                </w:p>
              </w:tc>
            </w:tr>
            <w:tr w14:paraId="08B631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Merge w:val="restart"/>
                  <w:tcBorders>
                    <w:top w:val="single" w:color="auto" w:sz="8" w:space="0"/>
                  </w:tcBorders>
                  <w:vAlign w:val="center"/>
                </w:tcPr>
                <w:p w14:paraId="100E15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废水</w:t>
                  </w:r>
                </w:p>
              </w:tc>
              <w:tc>
                <w:tcPr>
                  <w:tcW w:w="2423" w:type="dxa"/>
                  <w:vMerge w:val="restart"/>
                  <w:tcBorders>
                    <w:top w:val="single" w:color="auto" w:sz="8" w:space="0"/>
                  </w:tcBorders>
                  <w:vAlign w:val="center"/>
                </w:tcPr>
                <w:p w14:paraId="5646FD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新乡县综合污水处理厂收水标准</w:t>
                  </w:r>
                </w:p>
              </w:tc>
              <w:tc>
                <w:tcPr>
                  <w:tcW w:w="2793" w:type="dxa"/>
                  <w:tcBorders>
                    <w:top w:val="single" w:color="auto" w:sz="8" w:space="0"/>
                  </w:tcBorders>
                  <w:vAlign w:val="center"/>
                </w:tcPr>
                <w:p w14:paraId="097883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COD</w:t>
                  </w:r>
                </w:p>
              </w:tc>
              <w:tc>
                <w:tcPr>
                  <w:tcW w:w="2415" w:type="dxa"/>
                  <w:tcBorders>
                    <w:top w:val="single" w:color="auto" w:sz="8" w:space="0"/>
                  </w:tcBorders>
                  <w:vAlign w:val="center"/>
                </w:tcPr>
                <w:p w14:paraId="5CAF12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400mg/L</w:t>
                  </w:r>
                </w:p>
              </w:tc>
            </w:tr>
            <w:tr w14:paraId="7CBA68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Merge w:val="continue"/>
                  <w:vAlign w:val="center"/>
                </w:tcPr>
                <w:p w14:paraId="3116A0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423" w:type="dxa"/>
                  <w:vMerge w:val="continue"/>
                  <w:vAlign w:val="center"/>
                </w:tcPr>
                <w:p w14:paraId="107ADB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793" w:type="dxa"/>
                  <w:vAlign w:val="center"/>
                </w:tcPr>
                <w:p w14:paraId="3766D4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BOD</w:t>
                  </w:r>
                  <w:r>
                    <w:rPr>
                      <w:rFonts w:hint="eastAsia"/>
                      <w:b w:val="0"/>
                      <w:bCs/>
                      <w:sz w:val="21"/>
                      <w:szCs w:val="21"/>
                      <w:highlight w:val="none"/>
                      <w:vertAlign w:val="subscript"/>
                      <w:lang w:val="en-US" w:eastAsia="zh-CN"/>
                    </w:rPr>
                    <w:t>5</w:t>
                  </w:r>
                </w:p>
              </w:tc>
              <w:tc>
                <w:tcPr>
                  <w:tcW w:w="2415" w:type="dxa"/>
                  <w:vAlign w:val="center"/>
                </w:tcPr>
                <w:p w14:paraId="379044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r>
                    <w:rPr>
                      <w:rFonts w:hint="eastAsia"/>
                      <w:b w:val="0"/>
                      <w:bCs/>
                      <w:sz w:val="21"/>
                      <w:szCs w:val="21"/>
                      <w:highlight w:val="none"/>
                      <w:vertAlign w:val="baseline"/>
                      <w:lang w:val="en-US" w:eastAsia="zh-CN"/>
                    </w:rPr>
                    <w:t>120mg/L</w:t>
                  </w:r>
                </w:p>
              </w:tc>
            </w:tr>
            <w:tr w14:paraId="41A6F4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934" w:type="dxa"/>
                  <w:vMerge w:val="continue"/>
                  <w:vAlign w:val="center"/>
                </w:tcPr>
                <w:p w14:paraId="26111C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423" w:type="dxa"/>
                  <w:vMerge w:val="continue"/>
                  <w:vAlign w:val="center"/>
                </w:tcPr>
                <w:p w14:paraId="3E713D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793" w:type="dxa"/>
                  <w:vAlign w:val="center"/>
                </w:tcPr>
                <w:p w14:paraId="0EF44D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SS</w:t>
                  </w:r>
                </w:p>
              </w:tc>
              <w:tc>
                <w:tcPr>
                  <w:tcW w:w="2415" w:type="dxa"/>
                  <w:vAlign w:val="center"/>
                </w:tcPr>
                <w:p w14:paraId="7B7B90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180mg/L</w:t>
                  </w:r>
                </w:p>
              </w:tc>
            </w:tr>
            <w:tr w14:paraId="63CD20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Merge w:val="continue"/>
                  <w:vAlign w:val="center"/>
                </w:tcPr>
                <w:p w14:paraId="56545F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423" w:type="dxa"/>
                  <w:vMerge w:val="continue"/>
                  <w:vAlign w:val="center"/>
                </w:tcPr>
                <w:p w14:paraId="521BFC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793" w:type="dxa"/>
                  <w:vAlign w:val="center"/>
                </w:tcPr>
                <w:p w14:paraId="70AF32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氨氮</w:t>
                  </w:r>
                </w:p>
              </w:tc>
              <w:tc>
                <w:tcPr>
                  <w:tcW w:w="2415" w:type="dxa"/>
                  <w:vAlign w:val="center"/>
                </w:tcPr>
                <w:p w14:paraId="120057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59mg/L</w:t>
                  </w:r>
                </w:p>
              </w:tc>
            </w:tr>
            <w:tr w14:paraId="1A4D13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Merge w:val="continue"/>
                  <w:vAlign w:val="center"/>
                </w:tcPr>
                <w:p w14:paraId="0C88B8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423" w:type="dxa"/>
                  <w:vMerge w:val="continue"/>
                  <w:vAlign w:val="center"/>
                </w:tcPr>
                <w:p w14:paraId="3EA589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793" w:type="dxa"/>
                  <w:vAlign w:val="center"/>
                </w:tcPr>
                <w:p w14:paraId="0260A3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TP</w:t>
                  </w:r>
                </w:p>
              </w:tc>
              <w:tc>
                <w:tcPr>
                  <w:tcW w:w="2415" w:type="dxa"/>
                  <w:vAlign w:val="center"/>
                </w:tcPr>
                <w:p w14:paraId="60019E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4.0mg/L</w:t>
                  </w:r>
                </w:p>
              </w:tc>
            </w:tr>
            <w:tr w14:paraId="6E423F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Merge w:val="continue"/>
                  <w:vAlign w:val="center"/>
                </w:tcPr>
                <w:p w14:paraId="3A45C6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423" w:type="dxa"/>
                  <w:vMerge w:val="continue"/>
                  <w:vAlign w:val="center"/>
                </w:tcPr>
                <w:p w14:paraId="570DD6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793" w:type="dxa"/>
                  <w:vAlign w:val="center"/>
                </w:tcPr>
                <w:p w14:paraId="615977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TN</w:t>
                  </w:r>
                </w:p>
              </w:tc>
              <w:tc>
                <w:tcPr>
                  <w:tcW w:w="2415" w:type="dxa"/>
                  <w:vAlign w:val="center"/>
                </w:tcPr>
                <w:p w14:paraId="3D3E43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sz w:val="21"/>
                      <w:szCs w:val="21"/>
                      <w:highlight w:val="none"/>
                      <w:vertAlign w:val="baseline"/>
                      <w:lang w:val="en-US" w:eastAsia="zh-CN"/>
                    </w:rPr>
                  </w:pPr>
                  <w:r>
                    <w:rPr>
                      <w:rFonts w:hint="eastAsia"/>
                      <w:b w:val="0"/>
                      <w:bCs/>
                      <w:sz w:val="21"/>
                      <w:szCs w:val="21"/>
                      <w:highlight w:val="none"/>
                      <w:vertAlign w:val="baseline"/>
                      <w:lang w:val="en-US" w:eastAsia="zh-CN"/>
                    </w:rPr>
                    <w:t>70mg/L</w:t>
                  </w:r>
                </w:p>
              </w:tc>
            </w:tr>
            <w:tr w14:paraId="50C313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Merge w:val="continue"/>
                  <w:vAlign w:val="center"/>
                </w:tcPr>
                <w:p w14:paraId="3E6F05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423" w:type="dxa"/>
                  <w:vMerge w:val="restart"/>
                  <w:vAlign w:val="center"/>
                </w:tcPr>
                <w:p w14:paraId="0687E1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color w:val="000000" w:themeColor="text1"/>
                      <w:sz w:val="21"/>
                      <w:szCs w:val="21"/>
                      <w:highlight w:val="none"/>
                      <w:vertAlign w:val="baseline"/>
                      <w:lang w:val="en-US" w:eastAsia="zh-CN"/>
                      <w14:textFill>
                        <w14:solidFill>
                          <w14:schemeClr w14:val="tx1"/>
                        </w14:solidFill>
                      </w14:textFill>
                    </w:rPr>
                  </w:pPr>
                  <w:r>
                    <w:rPr>
                      <w:rFonts w:hint="eastAsia"/>
                      <w:b w:val="0"/>
                      <w:bCs/>
                      <w:color w:val="000000" w:themeColor="text1"/>
                      <w:sz w:val="21"/>
                      <w:szCs w:val="21"/>
                      <w:highlight w:val="none"/>
                      <w:vertAlign w:val="baseline"/>
                      <w:lang w:val="en-US" w:eastAsia="zh-CN"/>
                      <w14:textFill>
                        <w14:solidFill>
                          <w14:schemeClr w14:val="tx1"/>
                        </w14:solidFill>
                      </w14:textFill>
                    </w:rPr>
                    <w:t>《污水排入城镇下水道水质标准》(GB/T31962-2015)C级</w:t>
                  </w:r>
                </w:p>
              </w:tc>
              <w:tc>
                <w:tcPr>
                  <w:tcW w:w="2793" w:type="dxa"/>
                  <w:vAlign w:val="center"/>
                </w:tcPr>
                <w:p w14:paraId="344628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color w:val="000000" w:themeColor="text1"/>
                      <w:sz w:val="21"/>
                      <w:szCs w:val="21"/>
                      <w:highlight w:val="none"/>
                      <w:vertAlign w:val="baseline"/>
                      <w:lang w:val="en-US" w:eastAsia="zh-CN"/>
                      <w14:textFill>
                        <w14:solidFill>
                          <w14:schemeClr w14:val="tx1"/>
                        </w14:solidFill>
                      </w14:textFill>
                    </w:rPr>
                  </w:pPr>
                  <w:r>
                    <w:rPr>
                      <w:rFonts w:hint="eastAsia"/>
                      <w:b w:val="0"/>
                      <w:bCs/>
                      <w:color w:val="000000" w:themeColor="text1"/>
                      <w:sz w:val="21"/>
                      <w:szCs w:val="21"/>
                      <w:highlight w:val="none"/>
                      <w:vertAlign w:val="baseline"/>
                      <w:lang w:val="en-US" w:eastAsia="zh-CN"/>
                      <w14:textFill>
                        <w14:solidFill>
                          <w14:schemeClr w14:val="tx1"/>
                        </w14:solidFill>
                      </w14:textFill>
                    </w:rPr>
                    <w:t>COD</w:t>
                  </w:r>
                </w:p>
              </w:tc>
              <w:tc>
                <w:tcPr>
                  <w:tcW w:w="2415" w:type="dxa"/>
                  <w:vAlign w:val="center"/>
                </w:tcPr>
                <w:p w14:paraId="4B0110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baseline"/>
                    <w:rPr>
                      <w:rFonts w:hint="eastAsia"/>
                      <w:b w:val="0"/>
                      <w:bCs/>
                      <w:color w:val="000000" w:themeColor="text1"/>
                      <w:sz w:val="21"/>
                      <w:szCs w:val="21"/>
                      <w:highlight w:val="none"/>
                      <w:vertAlign w:val="baseline"/>
                      <w:lang w:val="en-US" w:eastAsia="zh-CN"/>
                      <w14:textFill>
                        <w14:solidFill>
                          <w14:schemeClr w14:val="tx1"/>
                        </w14:solidFill>
                      </w14:textFill>
                    </w:rPr>
                  </w:pPr>
                  <w:r>
                    <w:rPr>
                      <w:rFonts w:hint="eastAsia"/>
                      <w:b w:val="0"/>
                      <w:bCs/>
                      <w:color w:val="000000" w:themeColor="text1"/>
                      <w:sz w:val="21"/>
                      <w:szCs w:val="21"/>
                      <w:highlight w:val="none"/>
                      <w:vertAlign w:val="baseline"/>
                      <w:lang w:val="en-US" w:eastAsia="zh-CN"/>
                      <w14:textFill>
                        <w14:solidFill>
                          <w14:schemeClr w14:val="tx1"/>
                        </w14:solidFill>
                      </w14:textFill>
                    </w:rPr>
                    <w:t>300mg/L</w:t>
                  </w:r>
                </w:p>
              </w:tc>
            </w:tr>
            <w:tr w14:paraId="47330B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Merge w:val="continue"/>
                  <w:vAlign w:val="center"/>
                </w:tcPr>
                <w:p w14:paraId="53BF47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423" w:type="dxa"/>
                  <w:vMerge w:val="continue"/>
                  <w:vAlign w:val="center"/>
                </w:tcPr>
                <w:p w14:paraId="12659E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color w:val="000000" w:themeColor="text1"/>
                      <w:sz w:val="21"/>
                      <w:szCs w:val="21"/>
                      <w:highlight w:val="none"/>
                      <w:vertAlign w:val="baseline"/>
                      <w:lang w:val="en-US" w:eastAsia="zh-CN"/>
                      <w14:textFill>
                        <w14:solidFill>
                          <w14:schemeClr w14:val="tx1"/>
                        </w14:solidFill>
                      </w14:textFill>
                    </w:rPr>
                  </w:pPr>
                </w:p>
              </w:tc>
              <w:tc>
                <w:tcPr>
                  <w:tcW w:w="2793" w:type="dxa"/>
                  <w:vAlign w:val="center"/>
                </w:tcPr>
                <w:p w14:paraId="5BD791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color w:val="000000" w:themeColor="text1"/>
                      <w:sz w:val="21"/>
                      <w:szCs w:val="21"/>
                      <w:highlight w:val="none"/>
                      <w:vertAlign w:val="baseline"/>
                      <w:lang w:val="en-US" w:eastAsia="zh-CN"/>
                      <w14:textFill>
                        <w14:solidFill>
                          <w14:schemeClr w14:val="tx1"/>
                        </w14:solidFill>
                      </w14:textFill>
                    </w:rPr>
                  </w:pPr>
                  <w:r>
                    <w:rPr>
                      <w:rFonts w:hint="eastAsia"/>
                      <w:b w:val="0"/>
                      <w:bCs/>
                      <w:color w:val="000000" w:themeColor="text1"/>
                      <w:sz w:val="21"/>
                      <w:szCs w:val="21"/>
                      <w:highlight w:val="none"/>
                      <w:vertAlign w:val="baseline"/>
                      <w:lang w:val="en-US" w:eastAsia="zh-CN"/>
                      <w14:textFill>
                        <w14:solidFill>
                          <w14:schemeClr w14:val="tx1"/>
                        </w14:solidFill>
                      </w14:textFill>
                    </w:rPr>
                    <w:t>NH</w:t>
                  </w:r>
                  <w:r>
                    <w:rPr>
                      <w:rFonts w:hint="eastAsia"/>
                      <w:b w:val="0"/>
                      <w:bCs/>
                      <w:color w:val="000000" w:themeColor="text1"/>
                      <w:sz w:val="21"/>
                      <w:szCs w:val="21"/>
                      <w:highlight w:val="none"/>
                      <w:vertAlign w:val="subscript"/>
                      <w:lang w:val="en-US" w:eastAsia="zh-CN"/>
                      <w14:textFill>
                        <w14:solidFill>
                          <w14:schemeClr w14:val="tx1"/>
                        </w14:solidFill>
                      </w14:textFill>
                    </w:rPr>
                    <w:t>3</w:t>
                  </w:r>
                  <w:r>
                    <w:rPr>
                      <w:rFonts w:hint="eastAsia"/>
                      <w:b w:val="0"/>
                      <w:bCs/>
                      <w:color w:val="000000" w:themeColor="text1"/>
                      <w:sz w:val="21"/>
                      <w:szCs w:val="21"/>
                      <w:highlight w:val="none"/>
                      <w:vertAlign w:val="baseline"/>
                      <w:lang w:val="en-US" w:eastAsia="zh-CN"/>
                      <w14:textFill>
                        <w14:solidFill>
                          <w14:schemeClr w14:val="tx1"/>
                        </w14:solidFill>
                      </w14:textFill>
                    </w:rPr>
                    <w:t>-N</w:t>
                  </w:r>
                </w:p>
              </w:tc>
              <w:tc>
                <w:tcPr>
                  <w:tcW w:w="2415" w:type="dxa"/>
                  <w:vAlign w:val="center"/>
                </w:tcPr>
                <w:p w14:paraId="7D2157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baseline"/>
                    <w:rPr>
                      <w:rFonts w:hint="eastAsia"/>
                      <w:b w:val="0"/>
                      <w:bCs/>
                      <w:color w:val="000000" w:themeColor="text1"/>
                      <w:sz w:val="21"/>
                      <w:szCs w:val="21"/>
                      <w:highlight w:val="none"/>
                      <w:vertAlign w:val="baseline"/>
                      <w:lang w:val="en-US" w:eastAsia="zh-CN"/>
                      <w14:textFill>
                        <w14:solidFill>
                          <w14:schemeClr w14:val="tx1"/>
                        </w14:solidFill>
                      </w14:textFill>
                    </w:rPr>
                  </w:pPr>
                  <w:r>
                    <w:rPr>
                      <w:rFonts w:hint="eastAsia"/>
                      <w:b w:val="0"/>
                      <w:bCs/>
                      <w:color w:val="000000" w:themeColor="text1"/>
                      <w:sz w:val="21"/>
                      <w:szCs w:val="21"/>
                      <w:highlight w:val="none"/>
                      <w:vertAlign w:val="baseline"/>
                      <w:lang w:val="en-US" w:eastAsia="zh-CN"/>
                      <w14:textFill>
                        <w14:solidFill>
                          <w14:schemeClr w14:val="tx1"/>
                        </w14:solidFill>
                      </w14:textFill>
                    </w:rPr>
                    <w:t>25mg/L</w:t>
                  </w:r>
                </w:p>
              </w:tc>
            </w:tr>
            <w:tr w14:paraId="12D712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4" w:type="dxa"/>
                  <w:vMerge w:val="continue"/>
                  <w:tcBorders>
                    <w:bottom w:val="single" w:color="auto" w:sz="8" w:space="0"/>
                  </w:tcBorders>
                  <w:vAlign w:val="center"/>
                </w:tcPr>
                <w:p w14:paraId="26E89E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sz w:val="21"/>
                      <w:szCs w:val="21"/>
                      <w:highlight w:val="none"/>
                      <w:vertAlign w:val="baseline"/>
                      <w:lang w:val="en-US" w:eastAsia="zh-CN"/>
                    </w:rPr>
                  </w:pPr>
                </w:p>
              </w:tc>
              <w:tc>
                <w:tcPr>
                  <w:tcW w:w="2423" w:type="dxa"/>
                  <w:vMerge w:val="continue"/>
                  <w:tcBorders>
                    <w:bottom w:val="single" w:color="auto" w:sz="8" w:space="0"/>
                  </w:tcBorders>
                  <w:vAlign w:val="center"/>
                </w:tcPr>
                <w:p w14:paraId="44EF6C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eastAsia"/>
                      <w:b w:val="0"/>
                      <w:bCs/>
                      <w:color w:val="000000" w:themeColor="text1"/>
                      <w:sz w:val="21"/>
                      <w:szCs w:val="21"/>
                      <w:highlight w:val="none"/>
                      <w:vertAlign w:val="baseline"/>
                      <w:lang w:val="en-US" w:eastAsia="zh-CN"/>
                      <w14:textFill>
                        <w14:solidFill>
                          <w14:schemeClr w14:val="tx1"/>
                        </w14:solidFill>
                      </w14:textFill>
                    </w:rPr>
                  </w:pPr>
                </w:p>
              </w:tc>
              <w:tc>
                <w:tcPr>
                  <w:tcW w:w="2793" w:type="dxa"/>
                  <w:tcBorders>
                    <w:bottom w:val="single" w:color="auto" w:sz="8" w:space="0"/>
                  </w:tcBorders>
                  <w:vAlign w:val="center"/>
                </w:tcPr>
                <w:p w14:paraId="6460E8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b w:val="0"/>
                      <w:bCs/>
                      <w:color w:val="000000" w:themeColor="text1"/>
                      <w:sz w:val="21"/>
                      <w:szCs w:val="21"/>
                      <w:highlight w:val="none"/>
                      <w:vertAlign w:val="baseline"/>
                      <w:lang w:val="en-US" w:eastAsia="zh-CN"/>
                      <w14:textFill>
                        <w14:solidFill>
                          <w14:schemeClr w14:val="tx1"/>
                        </w14:solidFill>
                      </w14:textFill>
                    </w:rPr>
                  </w:pPr>
                  <w:r>
                    <w:rPr>
                      <w:rFonts w:hint="eastAsia"/>
                      <w:b w:val="0"/>
                      <w:bCs/>
                      <w:color w:val="000000" w:themeColor="text1"/>
                      <w:sz w:val="21"/>
                      <w:szCs w:val="21"/>
                      <w:highlight w:val="none"/>
                      <w:vertAlign w:val="baseline"/>
                      <w:lang w:val="en-US" w:eastAsia="zh-CN"/>
                      <w14:textFill>
                        <w14:solidFill>
                          <w14:schemeClr w14:val="tx1"/>
                        </w14:solidFill>
                      </w14:textFill>
                    </w:rPr>
                    <w:t>TN</w:t>
                  </w:r>
                </w:p>
              </w:tc>
              <w:tc>
                <w:tcPr>
                  <w:tcW w:w="2415" w:type="dxa"/>
                  <w:tcBorders>
                    <w:bottom w:val="single" w:color="auto" w:sz="8" w:space="0"/>
                  </w:tcBorders>
                  <w:vAlign w:val="center"/>
                </w:tcPr>
                <w:p w14:paraId="61772A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baseline"/>
                    <w:rPr>
                      <w:rFonts w:hint="eastAsia"/>
                      <w:b w:val="0"/>
                      <w:bCs/>
                      <w:color w:val="000000" w:themeColor="text1"/>
                      <w:sz w:val="21"/>
                      <w:szCs w:val="21"/>
                      <w:highlight w:val="none"/>
                      <w:vertAlign w:val="baseline"/>
                      <w:lang w:val="en-US" w:eastAsia="zh-CN"/>
                      <w14:textFill>
                        <w14:solidFill>
                          <w14:schemeClr w14:val="tx1"/>
                        </w14:solidFill>
                      </w14:textFill>
                    </w:rPr>
                  </w:pPr>
                  <w:r>
                    <w:rPr>
                      <w:rFonts w:hint="eastAsia"/>
                      <w:b w:val="0"/>
                      <w:bCs/>
                      <w:color w:val="000000" w:themeColor="text1"/>
                      <w:sz w:val="21"/>
                      <w:szCs w:val="21"/>
                      <w:highlight w:val="none"/>
                      <w:vertAlign w:val="baseline"/>
                      <w:lang w:val="en-US" w:eastAsia="zh-CN"/>
                      <w14:textFill>
                        <w14:solidFill>
                          <w14:schemeClr w14:val="tx1"/>
                        </w14:solidFill>
                      </w14:textFill>
                    </w:rPr>
                    <w:t>45mg/L</w:t>
                  </w:r>
                </w:p>
              </w:tc>
            </w:tr>
          </w:tbl>
          <w:p w14:paraId="6A004E62">
            <w:pPr>
              <w:keepNext w:val="0"/>
              <w:keepLines w:val="0"/>
              <w:suppressLineNumbers w:val="0"/>
              <w:adjustRightInd w:val="0"/>
              <w:snapToGrid w:val="0"/>
              <w:spacing w:before="0" w:beforeAutospacing="0" w:after="0" w:afterAutospacing="0" w:line="440" w:lineRule="exact"/>
              <w:ind w:left="0" w:right="0" w:firstLine="482" w:firstLineChars="200"/>
              <w:textAlignment w:val="baseline"/>
              <w:rPr>
                <w:rFonts w:hint="eastAsia" w:eastAsia="宋体"/>
                <w:b/>
                <w:sz w:val="24"/>
                <w:highlight w:val="none"/>
                <w:lang w:val="en-US" w:eastAsia="zh-CN"/>
              </w:rPr>
            </w:pPr>
            <w:r>
              <w:rPr>
                <w:rFonts w:hint="eastAsia"/>
                <w:b/>
                <w:sz w:val="24"/>
                <w:highlight w:val="none"/>
                <w:lang w:val="en-US" w:eastAsia="zh-CN"/>
              </w:rPr>
              <w:t>3</w:t>
            </w:r>
            <w:r>
              <w:rPr>
                <w:rFonts w:hint="eastAsia"/>
                <w:b/>
                <w:sz w:val="24"/>
                <w:highlight w:val="none"/>
              </w:rPr>
              <w:t>、</w:t>
            </w:r>
            <w:r>
              <w:rPr>
                <w:rFonts w:hint="default"/>
                <w:b/>
                <w:sz w:val="24"/>
                <w:highlight w:val="none"/>
              </w:rPr>
              <w:t>噪声</w:t>
            </w:r>
          </w:p>
          <w:p w14:paraId="728A7BD0">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宋体" w:hAnsi="宋体"/>
                <w:b/>
                <w:color w:val="auto"/>
                <w:sz w:val="24"/>
                <w:highlight w:val="none"/>
              </w:rPr>
            </w:pPr>
            <w:r>
              <w:rPr>
                <w:rFonts w:hint="eastAsia"/>
                <w:color w:val="auto"/>
                <w:sz w:val="24"/>
                <w:highlight w:val="none"/>
              </w:rPr>
              <w:t>运营期各厂界噪声执行《工业企业厂界环境噪声排放标准》（</w:t>
            </w:r>
            <w:r>
              <w:rPr>
                <w:rFonts w:hint="default"/>
                <w:color w:val="auto"/>
                <w:sz w:val="24"/>
                <w:highlight w:val="none"/>
              </w:rPr>
              <w:t>GB12348-2008</w:t>
            </w:r>
            <w:r>
              <w:rPr>
                <w:rFonts w:hint="eastAsia"/>
                <w:color w:val="auto"/>
                <w:sz w:val="24"/>
                <w:highlight w:val="none"/>
              </w:rPr>
              <w:t>）</w:t>
            </w:r>
            <w:r>
              <w:rPr>
                <w:rFonts w:hint="eastAsia"/>
                <w:color w:val="auto"/>
                <w:sz w:val="24"/>
                <w:highlight w:val="none"/>
                <w:lang w:val="en-US" w:eastAsia="zh-CN"/>
              </w:rPr>
              <w:t>3</w:t>
            </w:r>
            <w:r>
              <w:rPr>
                <w:rFonts w:hint="eastAsia"/>
                <w:color w:val="auto"/>
                <w:sz w:val="24"/>
                <w:highlight w:val="none"/>
              </w:rPr>
              <w:t>类标准</w:t>
            </w:r>
            <w:r>
              <w:rPr>
                <w:rFonts w:hint="eastAsia"/>
                <w:color w:val="auto"/>
                <w:sz w:val="24"/>
                <w:highlight w:val="none"/>
                <w:lang w:eastAsia="zh-CN"/>
              </w:rPr>
              <w:t>昼间</w:t>
            </w:r>
            <w:r>
              <w:rPr>
                <w:rFonts w:hint="default" w:ascii="Arial" w:hAnsi="Arial" w:cs="Arial"/>
                <w:color w:val="auto"/>
                <w:sz w:val="24"/>
                <w:highlight w:val="none"/>
                <w:lang w:eastAsia="zh-CN"/>
              </w:rPr>
              <w:t>≤</w:t>
            </w:r>
            <w:r>
              <w:rPr>
                <w:rFonts w:hint="eastAsia"/>
                <w:color w:val="auto"/>
                <w:sz w:val="24"/>
                <w:highlight w:val="none"/>
                <w:lang w:val="en-US" w:eastAsia="zh-CN"/>
              </w:rPr>
              <w:t>65</w:t>
            </w:r>
            <w:r>
              <w:rPr>
                <w:rFonts w:hint="default" w:ascii="Times New Roman" w:hAnsi="Times New Roman" w:cs="Times New Roman"/>
                <w:b w:val="0"/>
                <w:bCs/>
                <w:color w:val="000000" w:themeColor="text1"/>
                <w:sz w:val="24"/>
                <w:highlight w:val="none"/>
                <w14:textFill>
                  <w14:solidFill>
                    <w14:schemeClr w14:val="tx1"/>
                  </w14:solidFill>
                </w14:textFill>
              </w:rPr>
              <w:t>dB（A</w:t>
            </w:r>
            <w:r>
              <w:rPr>
                <w:rFonts w:hint="default" w:ascii="Times New Roman" w:hAnsi="Times New Roman" w:eastAsia="黑体" w:cs="Times New Roman"/>
                <w:b w:val="0"/>
                <w:bCs/>
                <w:color w:val="000000" w:themeColor="text1"/>
                <w:sz w:val="24"/>
                <w:szCs w:val="20"/>
                <w:highlight w:val="none"/>
                <w14:textFill>
                  <w14:solidFill>
                    <w14:schemeClr w14:val="tx1"/>
                  </w14:solidFill>
                </w14:textFill>
              </w:rPr>
              <w:t>）</w:t>
            </w:r>
            <w:r>
              <w:rPr>
                <w:rFonts w:hint="eastAsia"/>
                <w:color w:val="auto"/>
                <w:sz w:val="24"/>
                <w:highlight w:val="none"/>
                <w:lang w:val="en-US" w:eastAsia="zh-CN"/>
              </w:rPr>
              <w:t>的限值要求</w:t>
            </w:r>
            <w:r>
              <w:rPr>
                <w:rFonts w:hint="eastAsia"/>
                <w:color w:val="auto"/>
                <w:sz w:val="24"/>
                <w:highlight w:val="none"/>
              </w:rPr>
              <w:t>。</w:t>
            </w:r>
            <w:bookmarkStart w:id="2" w:name="_Ref308191224"/>
          </w:p>
          <w:bookmarkEnd w:id="2"/>
          <w:p w14:paraId="71ED4E6B">
            <w:pPr>
              <w:keepNext w:val="0"/>
              <w:keepLines w:val="0"/>
              <w:suppressLineNumbers w:val="0"/>
              <w:adjustRightInd w:val="0"/>
              <w:snapToGrid w:val="0"/>
              <w:spacing w:before="0" w:beforeAutospacing="0" w:after="0" w:afterAutospacing="0" w:line="440" w:lineRule="exact"/>
              <w:ind w:left="0" w:right="0" w:firstLine="482" w:firstLineChars="200"/>
              <w:rPr>
                <w:rFonts w:hint="default"/>
                <w:b/>
                <w:sz w:val="24"/>
                <w:highlight w:val="none"/>
              </w:rPr>
            </w:pPr>
            <w:r>
              <w:rPr>
                <w:rFonts w:hint="eastAsia"/>
                <w:b/>
                <w:sz w:val="24"/>
                <w:highlight w:val="none"/>
                <w:lang w:val="en-US" w:eastAsia="zh-CN"/>
              </w:rPr>
              <w:t>4</w:t>
            </w:r>
            <w:r>
              <w:rPr>
                <w:rFonts w:hint="eastAsia"/>
                <w:b/>
                <w:sz w:val="24"/>
                <w:highlight w:val="none"/>
              </w:rPr>
              <w:t>、固废</w:t>
            </w:r>
          </w:p>
          <w:p w14:paraId="16931A34">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jc w:val="both"/>
              <w:rPr>
                <w:rFonts w:hint="eastAsia"/>
                <w:sz w:val="24"/>
                <w:highlight w:val="none"/>
                <w:lang w:eastAsia="zh-CN"/>
              </w:rPr>
            </w:pPr>
            <w:r>
              <w:rPr>
                <w:rFonts w:hint="default"/>
                <w:sz w:val="24"/>
                <w:highlight w:val="none"/>
              </w:rPr>
              <w:t>一般固体废物贮存、处置按照《</w:t>
            </w:r>
            <w:r>
              <w:rPr>
                <w:rFonts w:hint="eastAsia"/>
                <w:sz w:val="24"/>
                <w:highlight w:val="none"/>
              </w:rPr>
              <w:t>一般工业固体废物贮存和填埋污染控制标准</w:t>
            </w:r>
            <w:r>
              <w:rPr>
                <w:rFonts w:hint="default"/>
                <w:sz w:val="24"/>
                <w:highlight w:val="none"/>
              </w:rPr>
              <w:t>》（GB18599-20</w:t>
            </w:r>
            <w:r>
              <w:rPr>
                <w:rFonts w:hint="eastAsia"/>
                <w:sz w:val="24"/>
                <w:highlight w:val="none"/>
              </w:rPr>
              <w:t>20</w:t>
            </w:r>
            <w:r>
              <w:rPr>
                <w:rFonts w:hint="default"/>
                <w:sz w:val="24"/>
                <w:highlight w:val="none"/>
              </w:rPr>
              <w:t>）</w:t>
            </w:r>
            <w:r>
              <w:rPr>
                <w:rFonts w:hint="eastAsia"/>
                <w:sz w:val="24"/>
                <w:highlight w:val="none"/>
              </w:rPr>
              <w:t>要求执行</w:t>
            </w:r>
            <w:r>
              <w:rPr>
                <w:rFonts w:hint="eastAsia"/>
                <w:sz w:val="24"/>
                <w:highlight w:val="none"/>
                <w:lang w:eastAsia="zh-CN"/>
              </w:rPr>
              <w:t>。</w:t>
            </w:r>
          </w:p>
          <w:p w14:paraId="219EA462">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jc w:val="both"/>
              <w:rPr>
                <w:rFonts w:hint="eastAsia"/>
                <w:sz w:val="24"/>
                <w:highlight w:val="none"/>
                <w:lang w:val="en-US" w:eastAsia="zh-CN"/>
              </w:rPr>
            </w:pPr>
            <w:r>
              <w:rPr>
                <w:rFonts w:hint="default"/>
                <w:sz w:val="24"/>
              </w:rPr>
              <w:t>危险废物贮存、处置执行《危险废物贮存污染控制标准》</w:t>
            </w:r>
            <w:r>
              <w:rPr>
                <w:rFonts w:hint="eastAsia"/>
                <w:sz w:val="24"/>
              </w:rPr>
              <w:t>（</w:t>
            </w:r>
            <w:r>
              <w:rPr>
                <w:rFonts w:hint="default"/>
                <w:sz w:val="24"/>
              </w:rPr>
              <w:t>GB18597-20</w:t>
            </w:r>
            <w:r>
              <w:rPr>
                <w:rFonts w:hint="eastAsia"/>
                <w:sz w:val="24"/>
              </w:rPr>
              <w:t>23）</w:t>
            </w:r>
            <w:r>
              <w:rPr>
                <w:rFonts w:hint="default"/>
                <w:sz w:val="24"/>
              </w:rPr>
              <w:t>中的有关规定</w:t>
            </w:r>
            <w:r>
              <w:rPr>
                <w:rFonts w:hint="eastAsia"/>
                <w:sz w:val="24"/>
                <w:highlight w:val="none"/>
                <w:lang w:eastAsia="zh-CN"/>
              </w:rPr>
              <w:t>。</w:t>
            </w:r>
          </w:p>
        </w:tc>
      </w:tr>
      <w:tr w14:paraId="0B8D40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8" w:type="dxa"/>
            <w:noWrap w:val="0"/>
            <w:vAlign w:val="center"/>
          </w:tcPr>
          <w:p w14:paraId="59602F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总量</w:t>
            </w:r>
          </w:p>
          <w:p w14:paraId="15AD29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控制</w:t>
            </w:r>
          </w:p>
          <w:p w14:paraId="243976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Cs w:val="21"/>
              </w:rPr>
            </w:pPr>
            <w:r>
              <w:rPr>
                <w:rFonts w:hint="default" w:hAnsi="宋体"/>
                <w:kern w:val="0"/>
                <w:sz w:val="24"/>
                <w:szCs w:val="24"/>
              </w:rPr>
              <w:t>指标</w:t>
            </w:r>
          </w:p>
        </w:tc>
        <w:tc>
          <w:tcPr>
            <w:tcW w:w="8781" w:type="dxa"/>
            <w:noWrap w:val="0"/>
            <w:vAlign w:val="center"/>
          </w:tcPr>
          <w:p w14:paraId="18A958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olor w:val="auto"/>
                <w:highlight w:val="none"/>
              </w:rPr>
            </w:pPr>
            <w:r>
              <w:rPr>
                <w:rFonts w:hint="eastAsia"/>
                <w:color w:val="auto"/>
                <w:highlight w:val="none"/>
              </w:rPr>
              <w:t>根据新乡市生态环境局关于转发《河南省生态环境厅关于引印发建设项目主要污染物排放总量指标管理工作内部规程的通知》和《新乡市建设项目新增总量指标替代管理指导意见（试行）》的要求，污染物排放量实施区域内双倍替代。</w:t>
            </w:r>
          </w:p>
          <w:p w14:paraId="788379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r>
              <w:rPr>
                <w:rFonts w:hint="default"/>
                <w:color w:val="auto"/>
                <w:highlight w:val="none"/>
              </w:rPr>
              <w:t>本项目为</w:t>
            </w:r>
            <w:r>
              <w:rPr>
                <w:rFonts w:hint="default"/>
                <w:color w:val="auto"/>
                <w:highlight w:val="none"/>
                <w:lang w:val="en-US" w:eastAsia="zh-CN"/>
              </w:rPr>
              <w:t>新建</w:t>
            </w:r>
            <w:r>
              <w:rPr>
                <w:rFonts w:hint="default"/>
                <w:color w:val="auto"/>
                <w:highlight w:val="none"/>
              </w:rPr>
              <w:t>项目，</w:t>
            </w:r>
            <w:r>
              <w:rPr>
                <w:rFonts w:hint="default"/>
                <w:color w:val="auto"/>
                <w:highlight w:val="none"/>
                <w:lang w:val="en-US" w:eastAsia="zh-CN"/>
              </w:rPr>
              <w:t>项目建成后新增污染物</w:t>
            </w:r>
            <w:r>
              <w:rPr>
                <w:rFonts w:hint="eastAsia"/>
                <w:color w:val="auto"/>
                <w:highlight w:val="none"/>
                <w:lang w:val="en-US" w:eastAsia="zh-CN"/>
              </w:rPr>
              <w:t>总量控制指标</w:t>
            </w:r>
            <w:r>
              <w:rPr>
                <w:rFonts w:hint="default"/>
                <w:color w:val="auto"/>
                <w:highlight w:val="none"/>
                <w:lang w:val="en-US" w:eastAsia="zh-CN"/>
              </w:rPr>
              <w:t>为颗粒物：</w:t>
            </w:r>
            <w:r>
              <w:rPr>
                <w:rFonts w:hint="eastAsia"/>
                <w:color w:val="auto"/>
                <w:highlight w:val="none"/>
                <w:lang w:val="en-US" w:eastAsia="zh-CN"/>
              </w:rPr>
              <w:t>0.0303</w:t>
            </w:r>
            <w:r>
              <w:rPr>
                <w:rFonts w:hint="default"/>
                <w:color w:val="auto"/>
                <w:highlight w:val="none"/>
                <w:lang w:val="en-US" w:eastAsia="zh-CN"/>
              </w:rPr>
              <w:t>t/a</w:t>
            </w:r>
            <w:r>
              <w:rPr>
                <w:rFonts w:hint="eastAsia"/>
                <w:color w:val="auto"/>
                <w:highlight w:val="none"/>
                <w:lang w:val="en-US" w:eastAsia="zh-CN"/>
              </w:rPr>
              <w:t>、COD0.0029t/a</w:t>
            </w:r>
            <w:r>
              <w:rPr>
                <w:rFonts w:hint="eastAsia"/>
                <w:color w:val="000000" w:themeColor="text1"/>
                <w:highlight w:val="none"/>
                <w:lang w:val="en-US" w:eastAsia="zh-CN"/>
                <w14:textFill>
                  <w14:solidFill>
                    <w14:schemeClr w14:val="tx1"/>
                  </w14:solidFill>
                </w14:textFill>
              </w:rPr>
              <w:t>、NH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-N0.0001t/a</w:t>
            </w:r>
            <w:r>
              <w:rPr>
                <w:rFonts w:hint="default"/>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废气</w:t>
            </w:r>
            <w:r>
              <w:rPr>
                <w:rFonts w:hint="default"/>
                <w:color w:val="000000" w:themeColor="text1"/>
                <w:highlight w:val="none"/>
                <w:lang w:val="en-US" w:eastAsia="zh-CN"/>
                <w14:textFill>
                  <w14:solidFill>
                    <w14:schemeClr w14:val="tx1"/>
                  </w14:solidFill>
                </w14:textFill>
              </w:rPr>
              <w:t>重点污染物需进行双倍替代，所需替代量为颗粒物：0</w:t>
            </w:r>
            <w:r>
              <w:rPr>
                <w:rFonts w:hint="eastAsia"/>
                <w:color w:val="000000" w:themeColor="text1"/>
                <w:highlight w:val="none"/>
                <w:lang w:val="en-US" w:eastAsia="zh-CN"/>
                <w14:textFill>
                  <w14:solidFill>
                    <w14:schemeClr w14:val="tx1"/>
                  </w14:solidFill>
                </w14:textFill>
              </w:rPr>
              <w:t>.0606</w:t>
            </w:r>
            <w:r>
              <w:rPr>
                <w:rFonts w:hint="default"/>
                <w:color w:val="000000" w:themeColor="text1"/>
                <w:highlight w:val="none"/>
                <w:lang w:val="en-US" w:eastAsia="zh-CN"/>
                <w14:textFill>
                  <w14:solidFill>
                    <w14:schemeClr w14:val="tx1"/>
                  </w14:solidFill>
                </w14:textFill>
              </w:rPr>
              <w:t>t/a</w:t>
            </w:r>
            <w:r>
              <w:rPr>
                <w:rFonts w:hint="eastAsia"/>
                <w:color w:val="000000" w:themeColor="text1"/>
                <w:highlight w:val="none"/>
                <w:lang w:val="en-US" w:eastAsia="zh-CN"/>
                <w14:textFill>
                  <w14:solidFill>
                    <w14:schemeClr w14:val="tx1"/>
                  </w14:solidFill>
                </w14:textFill>
              </w:rPr>
              <w:t>；废水</w:t>
            </w:r>
            <w:r>
              <w:rPr>
                <w:rFonts w:hint="default"/>
                <w:color w:val="000000" w:themeColor="text1"/>
                <w:highlight w:val="none"/>
                <w:lang w:val="en-US" w:eastAsia="zh-CN"/>
                <w14:textFill>
                  <w14:solidFill>
                    <w14:schemeClr w14:val="tx1"/>
                  </w14:solidFill>
                </w14:textFill>
              </w:rPr>
              <w:t>重点污染物需进行</w:t>
            </w:r>
            <w:r>
              <w:rPr>
                <w:rFonts w:hint="eastAsia"/>
                <w:color w:val="000000" w:themeColor="text1"/>
                <w:highlight w:val="none"/>
                <w:lang w:val="en-US" w:eastAsia="zh-CN"/>
                <w14:textFill>
                  <w14:solidFill>
                    <w14:schemeClr w14:val="tx1"/>
                  </w14:solidFill>
                </w14:textFill>
              </w:rPr>
              <w:t>单</w:t>
            </w:r>
            <w:r>
              <w:rPr>
                <w:rFonts w:hint="default"/>
                <w:color w:val="000000" w:themeColor="text1"/>
                <w:highlight w:val="none"/>
                <w:lang w:val="en-US" w:eastAsia="zh-CN"/>
                <w14:textFill>
                  <w14:solidFill>
                    <w14:schemeClr w14:val="tx1"/>
                  </w14:solidFill>
                </w14:textFill>
              </w:rPr>
              <w:t>倍替代，所需替代量为</w:t>
            </w:r>
            <w:r>
              <w:rPr>
                <w:rFonts w:hint="eastAsia"/>
                <w:color w:val="000000" w:themeColor="text1"/>
                <w:highlight w:val="none"/>
                <w:lang w:val="en-US" w:eastAsia="zh-CN"/>
                <w14:textFill>
                  <w14:solidFill>
                    <w14:schemeClr w14:val="tx1"/>
                  </w14:solidFill>
                </w14:textFill>
              </w:rPr>
              <w:t>COD0.0029t/a、NH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-N0.0001t/a</w:t>
            </w:r>
            <w:r>
              <w:rPr>
                <w:rFonts w:hint="default"/>
                <w:color w:val="000000" w:themeColor="text1"/>
                <w:highlight w:val="none"/>
                <w:lang w:eastAsia="zh-CN"/>
                <w14:textFill>
                  <w14:solidFill>
                    <w14:schemeClr w14:val="tx1"/>
                  </w14:solidFill>
                </w14:textFill>
              </w:rPr>
              <w:t>。COD、氨氮替代总量拟从原阳县产业集聚区污水处理厂2023年进水量增加形成的减排量586.874t/a和39.65t/a扣除。颗粒物来自新乡县2024年集中供热改造新建供热管网产生的43.11吨。</w:t>
            </w:r>
          </w:p>
          <w:p w14:paraId="4AB624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02B205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60CADB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17D577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0C477E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39F980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0FC061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074F53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65C580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548D8C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6DF2EC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21F57E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3CC25E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4F0FFB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highlight w:val="none"/>
                <w:lang w:val="en-US" w:eastAsia="zh-CN"/>
              </w:rPr>
            </w:pPr>
          </w:p>
          <w:p w14:paraId="1F8DE6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eastAsia"/>
                <w:color w:val="auto"/>
                <w:highlight w:val="none"/>
                <w:lang w:val="en-US" w:eastAsia="zh-CN"/>
              </w:rPr>
            </w:pPr>
          </w:p>
        </w:tc>
      </w:tr>
    </w:tbl>
    <w:p w14:paraId="0274D1EB">
      <w:pPr>
        <w:pStyle w:val="18"/>
        <w:jc w:val="center"/>
        <w:outlineLvl w:val="0"/>
        <w:rPr>
          <w:rFonts w:hint="eastAsia" w:ascii="黑体" w:hAnsi="黑体" w:eastAsia="黑体" w:cs="黑体"/>
          <w:b w:val="0"/>
          <w:bCs w:val="0"/>
          <w:snapToGrid w:val="0"/>
          <w:sz w:val="30"/>
          <w:szCs w:val="30"/>
        </w:rPr>
      </w:pPr>
      <w:r>
        <w:rPr>
          <w:rFonts w:ascii="黑体" w:hAnsi="黑体" w:eastAsia="黑体"/>
          <w:snapToGrid w:val="0"/>
          <w:sz w:val="36"/>
          <w:szCs w:val="36"/>
        </w:rPr>
        <w:br w:type="page"/>
      </w:r>
      <w:r>
        <w:rPr>
          <w:rFonts w:hint="eastAsia" w:ascii="黑体" w:hAnsi="黑体" w:eastAsia="黑体" w:cs="黑体"/>
          <w:b w:val="0"/>
          <w:bCs w:val="0"/>
          <w:snapToGrid w:val="0"/>
          <w:sz w:val="30"/>
          <w:szCs w:val="30"/>
        </w:rPr>
        <w:t>四、主要环境影响和保护措施</w:t>
      </w:r>
    </w:p>
    <w:tbl>
      <w:tblPr>
        <w:tblStyle w:val="22"/>
        <w:tblW w:w="96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7"/>
        <w:gridCol w:w="8832"/>
      </w:tblGrid>
      <w:tr w14:paraId="20E4A4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807" w:type="dxa"/>
            <w:noWrap w:val="0"/>
            <w:tcMar>
              <w:left w:w="28" w:type="dxa"/>
              <w:right w:w="28" w:type="dxa"/>
            </w:tcMar>
            <w:vAlign w:val="center"/>
          </w:tcPr>
          <w:p w14:paraId="109764DC">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施工</w:t>
            </w:r>
          </w:p>
          <w:p w14:paraId="12E7556E">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期环</w:t>
            </w:r>
          </w:p>
          <w:p w14:paraId="02472470">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境保</w:t>
            </w:r>
          </w:p>
          <w:p w14:paraId="4DB1090C">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护措</w:t>
            </w:r>
          </w:p>
          <w:p w14:paraId="29C75A33">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bCs/>
                <w:kern w:val="2"/>
                <w:sz w:val="21"/>
                <w:szCs w:val="21"/>
                <w:lang w:val="en-US" w:eastAsia="zh-CN"/>
              </w:rPr>
            </w:pPr>
            <w:r>
              <w:rPr>
                <w:rFonts w:hint="default" w:ascii="Times New Roman" w:hAnsi="Times New Roman"/>
                <w:kern w:val="2"/>
                <w:sz w:val="24"/>
                <w:szCs w:val="24"/>
                <w:lang w:val="en-US" w:eastAsia="zh-CN"/>
              </w:rPr>
              <w:t>施</w:t>
            </w:r>
          </w:p>
        </w:tc>
        <w:tc>
          <w:tcPr>
            <w:tcW w:w="8832" w:type="dxa"/>
            <w:noWrap w:val="0"/>
            <w:vAlign w:val="center"/>
          </w:tcPr>
          <w:p w14:paraId="4ABE7133">
            <w:pPr>
              <w:keepNext w:val="0"/>
              <w:keepLines w:val="0"/>
              <w:suppressLineNumbers w:val="0"/>
              <w:adjustRightInd w:val="0"/>
              <w:snapToGrid w:val="0"/>
              <w:spacing w:before="0" w:beforeAutospacing="0" w:after="0" w:afterAutospacing="0" w:line="440" w:lineRule="exact"/>
              <w:ind w:left="0" w:right="0" w:firstLine="440" w:firstLineChars="200"/>
              <w:rPr>
                <w:rFonts w:hint="eastAsia" w:eastAsia="宋体"/>
                <w:bCs/>
                <w:spacing w:val="-10"/>
                <w:sz w:val="24"/>
                <w:lang w:eastAsia="zh-CN"/>
              </w:rPr>
            </w:pPr>
            <w:r>
              <w:rPr>
                <w:rFonts w:hint="eastAsia" w:eastAsia="宋体"/>
                <w:bCs/>
                <w:spacing w:val="-10"/>
                <w:sz w:val="24"/>
                <w:lang w:eastAsia="zh-CN"/>
              </w:rPr>
              <w:t>本项目</w:t>
            </w:r>
            <w:r>
              <w:rPr>
                <w:rFonts w:hint="eastAsia"/>
                <w:bCs/>
                <w:spacing w:val="-10"/>
                <w:sz w:val="24"/>
                <w:lang w:val="en-US" w:eastAsia="zh-CN"/>
              </w:rPr>
              <w:t>租赁现有空</w:t>
            </w:r>
            <w:r>
              <w:rPr>
                <w:rFonts w:hint="eastAsia" w:eastAsia="宋体"/>
                <w:bCs/>
                <w:spacing w:val="-10"/>
                <w:sz w:val="24"/>
                <w:lang w:eastAsia="zh-CN"/>
              </w:rPr>
              <w:t>厂房内进行建设，不涉及厂房建筑物的施工建设，只需要安装设备，故本次评价不对施工期环境影响进行分析</w:t>
            </w:r>
            <w:r>
              <w:rPr>
                <w:rFonts w:hint="eastAsia"/>
                <w:bCs/>
                <w:spacing w:val="-10"/>
                <w:sz w:val="24"/>
                <w:lang w:eastAsia="zh-CN"/>
              </w:rPr>
              <w:t>。</w:t>
            </w:r>
          </w:p>
        </w:tc>
      </w:tr>
      <w:tr w14:paraId="357DB2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807" w:type="dxa"/>
            <w:noWrap w:val="0"/>
            <w:tcMar>
              <w:left w:w="28" w:type="dxa"/>
              <w:right w:w="28" w:type="dxa"/>
            </w:tcMar>
            <w:vAlign w:val="center"/>
          </w:tcPr>
          <w:p w14:paraId="1C5566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运营</w:t>
            </w:r>
          </w:p>
          <w:p w14:paraId="19C745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期环</w:t>
            </w:r>
          </w:p>
          <w:p w14:paraId="7A1881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境影</w:t>
            </w:r>
          </w:p>
          <w:p w14:paraId="7E64AE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响和</w:t>
            </w:r>
          </w:p>
          <w:p w14:paraId="54088F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保护</w:t>
            </w:r>
          </w:p>
          <w:p w14:paraId="39F62BEC">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bCs/>
                <w:sz w:val="24"/>
                <w:szCs w:val="24"/>
              </w:rPr>
              <w:t>措施</w:t>
            </w:r>
          </w:p>
        </w:tc>
        <w:tc>
          <w:tcPr>
            <w:tcW w:w="8832" w:type="dxa"/>
            <w:noWrap w:val="0"/>
            <w:vAlign w:val="center"/>
          </w:tcPr>
          <w:p w14:paraId="51D6F8D5">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宋体" w:hAnsi="宋体"/>
                <w:color w:val="auto"/>
                <w:sz w:val="24"/>
                <w:highlight w:val="none"/>
              </w:rPr>
            </w:pPr>
            <w:r>
              <w:rPr>
                <w:rFonts w:hint="eastAsia" w:ascii="宋体" w:hAnsi="宋体"/>
                <w:color w:val="auto"/>
                <w:sz w:val="24"/>
                <w:highlight w:val="none"/>
              </w:rPr>
              <w:t>该项目生产过程中主要污染因素为废气、</w:t>
            </w:r>
            <w:r>
              <w:rPr>
                <w:rFonts w:hint="eastAsia" w:ascii="宋体" w:hAnsi="宋体"/>
                <w:color w:val="auto"/>
                <w:sz w:val="24"/>
                <w:highlight w:val="none"/>
                <w:lang w:val="en-US" w:eastAsia="zh-CN"/>
              </w:rPr>
              <w:t>废水、</w:t>
            </w:r>
            <w:r>
              <w:rPr>
                <w:rFonts w:hint="eastAsia" w:ascii="宋体" w:hAnsi="宋体"/>
                <w:color w:val="auto"/>
                <w:sz w:val="24"/>
                <w:highlight w:val="none"/>
              </w:rPr>
              <w:t>噪声和固废。</w:t>
            </w:r>
          </w:p>
          <w:p w14:paraId="7478706E">
            <w:pPr>
              <w:keepNext w:val="0"/>
              <w:keepLines w:val="0"/>
              <w:suppressLineNumbers w:val="0"/>
              <w:adjustRightInd w:val="0"/>
              <w:snapToGrid w:val="0"/>
              <w:spacing w:before="0" w:beforeAutospacing="0" w:after="0" w:afterAutospacing="0" w:line="440" w:lineRule="exact"/>
              <w:ind w:left="0" w:right="0" w:firstLine="482" w:firstLineChars="200"/>
              <w:rPr>
                <w:rFonts w:hint="eastAsia" w:ascii="宋体" w:hAnsi="宋体" w:eastAsia="宋体"/>
                <w:b/>
                <w:color w:val="auto"/>
                <w:sz w:val="24"/>
                <w:lang w:eastAsia="zh-CN"/>
              </w:rPr>
            </w:pPr>
            <w:r>
              <w:rPr>
                <w:rFonts w:hint="eastAsia" w:ascii="宋体" w:hAnsi="宋体"/>
                <w:b/>
                <w:color w:val="auto"/>
                <w:sz w:val="24"/>
              </w:rPr>
              <w:t>一、废气</w:t>
            </w:r>
          </w:p>
          <w:p w14:paraId="0FB66F73">
            <w:pPr>
              <w:keepNext w:val="0"/>
              <w:keepLines w:val="0"/>
              <w:numPr>
                <w:ilvl w:val="0"/>
                <w:numId w:val="4"/>
              </w:numPr>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宋体" w:cs="Times New Roman"/>
                <w:b/>
                <w:bCs/>
                <w:sz w:val="24"/>
                <w:highlight w:val="none"/>
                <w:lang w:val="en-US" w:eastAsia="zh-CN"/>
              </w:rPr>
            </w:pPr>
            <w:r>
              <w:rPr>
                <w:rFonts w:hint="eastAsia" w:hAnsi="宋体"/>
                <w:b w:val="0"/>
                <w:bCs w:val="0"/>
                <w:color w:val="auto"/>
                <w:sz w:val="24"/>
                <w:lang w:val="en-US" w:eastAsia="zh-CN"/>
              </w:rPr>
              <w:t>本项目运营期间主要产生的废气为打毛（喷砂）工序产生的颗粒物。本项目属于通用设备制造业，该行业未发布污染源源强核算技术指南，故依据《污染源源强核算技术指南准则》（HJ884-2018），本次评价主要采用产污系数法进行污染源源强核算。</w:t>
            </w:r>
          </w:p>
          <w:p w14:paraId="5BF9068C">
            <w:pPr>
              <w:keepNext w:val="0"/>
              <w:keepLines w:val="0"/>
              <w:suppressLineNumbers w:val="0"/>
              <w:adjustRightInd w:val="0"/>
              <w:snapToGrid w:val="0"/>
              <w:spacing w:before="0" w:beforeAutospacing="0" w:after="0" w:afterAutospacing="0" w:line="440" w:lineRule="exact"/>
              <w:ind w:left="0" w:right="0" w:firstLine="480" w:firstLineChars="200"/>
              <w:rPr>
                <w:rFonts w:hint="eastAsia" w:cs="Times New Roman"/>
                <w:b w:val="0"/>
                <w:bCs w:val="0"/>
                <w:sz w:val="24"/>
                <w:highlight w:val="none"/>
                <w:lang w:val="en-US" w:eastAsia="zh-CN"/>
              </w:rPr>
            </w:pPr>
            <w:r>
              <w:rPr>
                <w:rFonts w:hint="eastAsia" w:cs="Times New Roman"/>
                <w:b w:val="0"/>
                <w:bCs w:val="0"/>
                <w:sz w:val="24"/>
                <w:highlight w:val="none"/>
                <w:lang w:val="en-US" w:eastAsia="zh-CN"/>
              </w:rPr>
              <w:t>（1）废气源强分析</w:t>
            </w:r>
          </w:p>
          <w:p w14:paraId="071DD0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cs="Times New Roman"/>
                <w:b w:val="0"/>
                <w:bCs w:val="0"/>
                <w:sz w:val="24"/>
                <w:highlight w:val="none"/>
                <w:lang w:val="en-US" w:eastAsia="zh-CN"/>
              </w:rPr>
            </w:pPr>
            <w:r>
              <w:rPr>
                <w:rFonts w:hint="eastAsia" w:cs="Times New Roman"/>
                <w:b w:val="0"/>
                <w:bCs w:val="0"/>
                <w:sz w:val="24"/>
                <w:highlight w:val="none"/>
                <w:lang w:val="en-US" w:eastAsia="zh-CN"/>
              </w:rPr>
              <w:t>根据生态环境部《排放源统计调查产排污核算方法和系数手册》—机械行业系数手册，抛丸、喷砂、打磨、滚筒工艺产污系数为2.19千克/吨-原料。本项目打毛（喷砂）工序产污系数以2.19千克/吨-原料计。本项目进入打毛（喷砂）工序的工件重量约为199.95t/a，则打毛（喷砂）工段颗粒物产生量为0.4379t/a。</w:t>
            </w:r>
          </w:p>
          <w:p w14:paraId="5D16F9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s="Times New Roman"/>
                <w:b w:val="0"/>
                <w:bCs w:val="0"/>
                <w:sz w:val="24"/>
                <w:highlight w:val="none"/>
                <w:lang w:val="en-US" w:eastAsia="zh-CN"/>
              </w:rPr>
            </w:pPr>
            <w:r>
              <w:rPr>
                <w:rFonts w:hint="eastAsia" w:cs="Times New Roman"/>
                <w:b w:val="0"/>
                <w:bCs w:val="0"/>
                <w:sz w:val="24"/>
                <w:highlight w:val="none"/>
                <w:lang w:val="en-US" w:eastAsia="zh-CN"/>
              </w:rPr>
              <w:t>（2）废气收集情况及治理措施</w:t>
            </w:r>
          </w:p>
          <w:p w14:paraId="5065E5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hAnsi="宋体"/>
                <w:b w:val="0"/>
                <w:bCs w:val="0"/>
                <w:color w:val="auto"/>
                <w:sz w:val="24"/>
                <w:highlight w:val="none"/>
                <w:lang w:val="en-US" w:eastAsia="zh-CN"/>
              </w:rPr>
            </w:pPr>
            <w:r>
              <w:rPr>
                <w:rFonts w:hint="eastAsia" w:cs="Times New Roman"/>
                <w:b w:val="0"/>
                <w:bCs w:val="0"/>
                <w:sz w:val="24"/>
                <w:highlight w:val="none"/>
                <w:lang w:val="en-US" w:eastAsia="zh-CN"/>
              </w:rPr>
              <w:t>项目评价提出：废气经密闭管道收集，通至喷砂机自带滤筒除尘器治理，尾气经一根15米高排气筒（DA001）排放。</w:t>
            </w:r>
          </w:p>
          <w:p w14:paraId="30AC8BBB">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440" w:lineRule="exact"/>
              <w:ind w:left="480" w:leftChars="200" w:right="0" w:rightChars="0"/>
              <w:jc w:val="both"/>
              <w:textAlignment w:val="auto"/>
              <w:rPr>
                <w:rFonts w:hint="eastAsia" w:eastAsiaTheme="minorEastAsia"/>
                <w:b w:val="0"/>
                <w:bCs w:val="0"/>
                <w:lang w:eastAsia="zh-CN"/>
              </w:rPr>
            </w:pPr>
            <w:r>
              <w:rPr>
                <w:rFonts w:hint="eastAsia" w:eastAsiaTheme="minorEastAsia"/>
                <w:b w:val="0"/>
                <w:bCs w:val="0"/>
                <w:lang w:eastAsia="zh-CN"/>
              </w:rPr>
              <w:t>（</w:t>
            </w:r>
            <w:r>
              <w:rPr>
                <w:rFonts w:hint="eastAsia" w:eastAsiaTheme="minorEastAsia"/>
                <w:b w:val="0"/>
                <w:bCs w:val="0"/>
                <w:lang w:val="en-US" w:eastAsia="zh-CN"/>
              </w:rPr>
              <w:t>3</w:t>
            </w:r>
            <w:r>
              <w:rPr>
                <w:rFonts w:hint="eastAsia" w:eastAsiaTheme="minorEastAsia"/>
                <w:b w:val="0"/>
                <w:bCs w:val="0"/>
                <w:lang w:eastAsia="zh-CN"/>
              </w:rPr>
              <w:t>）废气产排达标分析</w:t>
            </w:r>
          </w:p>
          <w:p w14:paraId="1376F2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hAnsi="宋体"/>
                <w:b w:val="0"/>
                <w:bCs w:val="0"/>
                <w:color w:val="auto"/>
                <w:sz w:val="24"/>
                <w:highlight w:val="none"/>
                <w:lang w:val="en-US" w:eastAsia="zh-CN"/>
              </w:rPr>
            </w:pPr>
            <w:r>
              <w:rPr>
                <w:rFonts w:hint="eastAsia" w:cs="Times New Roman"/>
                <w:b w:val="0"/>
                <w:bCs w:val="0"/>
                <w:sz w:val="24"/>
                <w:highlight w:val="none"/>
                <w:lang w:val="en-US" w:eastAsia="zh-CN"/>
              </w:rPr>
              <w:t>本项目收尘管道颗粒物综合收集效率为98%，除尘器治理措施为95%，风机风量设置为5000</w:t>
            </w:r>
            <w:r>
              <w:rPr>
                <w:rFonts w:hint="eastAsia" w:hAnsi="宋体"/>
                <w:b w:val="0"/>
                <w:bCs w:val="0"/>
                <w:color w:val="auto"/>
                <w:sz w:val="24"/>
                <w:highlight w:val="none"/>
                <w:lang w:val="en-US" w:eastAsia="zh-CN"/>
              </w:rPr>
              <w:t>m</w:t>
            </w:r>
            <w:r>
              <w:rPr>
                <w:rFonts w:hint="eastAsia" w:hAnsi="宋体"/>
                <w:b w:val="0"/>
                <w:bCs w:val="0"/>
                <w:color w:val="auto"/>
                <w:sz w:val="24"/>
                <w:highlight w:val="none"/>
                <w:vertAlign w:val="superscript"/>
                <w:lang w:val="en-US" w:eastAsia="zh-CN"/>
              </w:rPr>
              <w:t>3</w:t>
            </w:r>
            <w:r>
              <w:rPr>
                <w:rFonts w:hint="eastAsia" w:hAnsi="宋体"/>
                <w:b w:val="0"/>
                <w:bCs w:val="0"/>
                <w:color w:val="auto"/>
                <w:sz w:val="24"/>
                <w:highlight w:val="none"/>
                <w:lang w:val="en-US" w:eastAsia="zh-CN"/>
              </w:rPr>
              <w:t>/h，年工作时间2400小时。项目颗粒物产排情况见下表。</w:t>
            </w:r>
          </w:p>
          <w:p w14:paraId="305582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宋体" w:hAnsi="宋体"/>
                <w:b/>
                <w:color w:val="000000" w:themeColor="text1"/>
                <w:sz w:val="24"/>
                <w:highlight w:val="none"/>
                <w:lang w:val="en-US" w:eastAsia="zh-CN"/>
                <w14:textFill>
                  <w14:solidFill>
                    <w14:schemeClr w14:val="tx1"/>
                  </w14:solidFill>
                </w14:textFill>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22</w:t>
            </w:r>
            <w:r>
              <w:rPr>
                <w:rFonts w:hint="eastAsia" w:ascii="宋体" w:hAnsi="宋体"/>
                <w:b/>
                <w:color w:val="000000" w:themeColor="text1"/>
                <w:sz w:val="24"/>
                <w:highlight w:val="none"/>
                <w:lang w:val="en-US" w:eastAsia="zh-CN"/>
                <w14:textFill>
                  <w14:solidFill>
                    <w14:schemeClr w14:val="tx1"/>
                  </w14:solidFill>
                </w14:textFill>
              </w:rPr>
              <w:t xml:space="preserve">  本项目</w:t>
            </w:r>
            <w:r>
              <w:rPr>
                <w:rFonts w:hint="eastAsia" w:cs="Times New Roman"/>
                <w:b/>
                <w:bCs/>
                <w:sz w:val="24"/>
                <w:highlight w:val="none"/>
                <w:lang w:val="en-US" w:eastAsia="zh-CN"/>
              </w:rPr>
              <w:t>打毛（喷砂）工序</w:t>
            </w:r>
            <w:r>
              <w:rPr>
                <w:rFonts w:hint="eastAsia" w:ascii="宋体" w:hAnsi="宋体"/>
                <w:b/>
                <w:color w:val="000000" w:themeColor="text1"/>
                <w:sz w:val="24"/>
                <w:highlight w:val="none"/>
                <w:lang w:val="en-US" w:eastAsia="zh-CN"/>
                <w14:textFill>
                  <w14:solidFill>
                    <w14:schemeClr w14:val="tx1"/>
                  </w14:solidFill>
                </w14:textFill>
              </w:rPr>
              <w:t>颗粒物产排情况一览表</w:t>
            </w:r>
          </w:p>
          <w:tbl>
            <w:tblPr>
              <w:tblStyle w:val="23"/>
              <w:tblW w:w="8616" w:type="dxa"/>
              <w:tblInd w:w="5"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3"/>
              <w:gridCol w:w="704"/>
              <w:gridCol w:w="594"/>
              <w:gridCol w:w="794"/>
              <w:gridCol w:w="794"/>
              <w:gridCol w:w="938"/>
              <w:gridCol w:w="839"/>
              <w:gridCol w:w="572"/>
              <w:gridCol w:w="873"/>
              <w:gridCol w:w="867"/>
              <w:gridCol w:w="938"/>
            </w:tblGrid>
            <w:tr w14:paraId="349C26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3" w:type="dxa"/>
                  <w:tcBorders>
                    <w:bottom w:val="single" w:color="auto" w:sz="8" w:space="0"/>
                  </w:tcBorders>
                  <w:vAlign w:val="center"/>
                </w:tcPr>
                <w:p w14:paraId="330831E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eastAsia" w:cs="Times New Roman"/>
                      <w:b/>
                      <w:color w:val="auto"/>
                      <w:sz w:val="21"/>
                      <w:szCs w:val="21"/>
                      <w:highlight w:val="none"/>
                      <w:lang w:val="en-US" w:eastAsia="zh-CN"/>
                    </w:rPr>
                    <w:t>排气筒编号</w:t>
                  </w:r>
                </w:p>
              </w:tc>
              <w:tc>
                <w:tcPr>
                  <w:tcW w:w="704" w:type="dxa"/>
                  <w:tcBorders>
                    <w:bottom w:val="single" w:color="auto" w:sz="8" w:space="0"/>
                  </w:tcBorders>
                  <w:vAlign w:val="center"/>
                </w:tcPr>
                <w:p w14:paraId="1ECE97A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eastAsia" w:cs="Times New Roman"/>
                      <w:b/>
                      <w:bCs/>
                      <w:sz w:val="21"/>
                      <w:szCs w:val="21"/>
                      <w:vertAlign w:val="baseline"/>
                      <w:lang w:val="en-US" w:eastAsia="zh-CN"/>
                    </w:rPr>
                    <w:t>排放源</w:t>
                  </w:r>
                </w:p>
              </w:tc>
              <w:tc>
                <w:tcPr>
                  <w:tcW w:w="594" w:type="dxa"/>
                  <w:tcBorders>
                    <w:bottom w:val="single" w:color="auto" w:sz="8" w:space="0"/>
                  </w:tcBorders>
                  <w:vAlign w:val="center"/>
                </w:tcPr>
                <w:p w14:paraId="385D17D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eastAsia" w:cs="Times New Roman"/>
                      <w:b/>
                      <w:bCs/>
                      <w:sz w:val="21"/>
                      <w:szCs w:val="21"/>
                      <w:vertAlign w:val="baseline"/>
                      <w:lang w:val="en-US" w:eastAsia="zh-CN"/>
                    </w:rPr>
                    <w:t>污染因子</w:t>
                  </w:r>
                </w:p>
              </w:tc>
              <w:tc>
                <w:tcPr>
                  <w:tcW w:w="794" w:type="dxa"/>
                  <w:tcBorders>
                    <w:bottom w:val="single" w:color="auto" w:sz="8" w:space="0"/>
                  </w:tcBorders>
                  <w:vAlign w:val="center"/>
                </w:tcPr>
                <w:p w14:paraId="2E399CD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产生量(t/a)</w:t>
                  </w:r>
                </w:p>
              </w:tc>
              <w:tc>
                <w:tcPr>
                  <w:tcW w:w="794" w:type="dxa"/>
                  <w:tcBorders>
                    <w:bottom w:val="single" w:color="auto" w:sz="8" w:space="0"/>
                  </w:tcBorders>
                  <w:vAlign w:val="center"/>
                </w:tcPr>
                <w:p w14:paraId="7B0E908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color w:val="auto"/>
                      <w:sz w:val="21"/>
                      <w:szCs w:val="21"/>
                      <w:highlight w:val="none"/>
                      <w:lang w:val="en-US" w:eastAsia="zh-CN"/>
                    </w:rPr>
                    <w:t>产生速率(kg/h)</w:t>
                  </w:r>
                </w:p>
              </w:tc>
              <w:tc>
                <w:tcPr>
                  <w:tcW w:w="938" w:type="dxa"/>
                  <w:tcBorders>
                    <w:bottom w:val="single" w:color="auto" w:sz="8" w:space="0"/>
                  </w:tcBorders>
                  <w:vAlign w:val="center"/>
                </w:tcPr>
                <w:p w14:paraId="34271FB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产生</w:t>
                  </w:r>
                </w:p>
                <w:p w14:paraId="271790E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color w:val="auto"/>
                      <w:sz w:val="21"/>
                      <w:szCs w:val="21"/>
                      <w:highlight w:val="none"/>
                      <w:lang w:val="en-US" w:eastAsia="zh-CN"/>
                    </w:rPr>
                    <w:t>浓度(mg/m</w:t>
                  </w:r>
                  <w:r>
                    <w:rPr>
                      <w:rFonts w:hint="default" w:ascii="Times New Roman" w:hAnsi="Times New Roman" w:eastAsia="宋体" w:cs="Times New Roman"/>
                      <w:b/>
                      <w:color w:val="auto"/>
                      <w:sz w:val="21"/>
                      <w:szCs w:val="21"/>
                      <w:highlight w:val="none"/>
                      <w:vertAlign w:val="superscript"/>
                      <w:lang w:val="en-US" w:eastAsia="zh-CN"/>
                    </w:rPr>
                    <w:t>3</w:t>
                  </w:r>
                  <w:r>
                    <w:rPr>
                      <w:rFonts w:hint="default" w:ascii="Times New Roman" w:hAnsi="Times New Roman" w:eastAsia="宋体" w:cs="Times New Roman"/>
                      <w:b/>
                      <w:color w:val="auto"/>
                      <w:sz w:val="21"/>
                      <w:szCs w:val="21"/>
                      <w:highlight w:val="none"/>
                      <w:lang w:val="en-US" w:eastAsia="zh-CN"/>
                    </w:rPr>
                    <w:t>)</w:t>
                  </w:r>
                </w:p>
              </w:tc>
              <w:tc>
                <w:tcPr>
                  <w:tcW w:w="839" w:type="dxa"/>
                  <w:tcBorders>
                    <w:bottom w:val="single" w:color="auto" w:sz="8" w:space="0"/>
                  </w:tcBorders>
                  <w:vAlign w:val="center"/>
                </w:tcPr>
                <w:p w14:paraId="04610AA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eastAsia" w:cs="Times New Roman"/>
                      <w:b/>
                      <w:color w:val="auto"/>
                      <w:sz w:val="21"/>
                      <w:szCs w:val="21"/>
                      <w:highlight w:val="none"/>
                      <w:lang w:val="en-US" w:eastAsia="zh-CN"/>
                    </w:rPr>
                    <w:t>治理措施</w:t>
                  </w:r>
                </w:p>
              </w:tc>
              <w:tc>
                <w:tcPr>
                  <w:tcW w:w="572" w:type="dxa"/>
                  <w:tcBorders>
                    <w:bottom w:val="single" w:color="auto" w:sz="8" w:space="0"/>
                  </w:tcBorders>
                  <w:vAlign w:val="center"/>
                </w:tcPr>
                <w:p w14:paraId="3B4A7C07">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是否为可行技术</w:t>
                  </w:r>
                </w:p>
              </w:tc>
              <w:tc>
                <w:tcPr>
                  <w:tcW w:w="873" w:type="dxa"/>
                  <w:tcBorders>
                    <w:bottom w:val="single" w:color="auto" w:sz="8" w:space="0"/>
                  </w:tcBorders>
                  <w:vAlign w:val="center"/>
                </w:tcPr>
                <w:p w14:paraId="295BD875">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color w:val="auto"/>
                      <w:sz w:val="21"/>
                      <w:szCs w:val="21"/>
                      <w:highlight w:val="none"/>
                      <w:lang w:val="en-US" w:eastAsia="zh-CN"/>
                    </w:rPr>
                    <w:t>排放量(t/a)</w:t>
                  </w:r>
                </w:p>
              </w:tc>
              <w:tc>
                <w:tcPr>
                  <w:tcW w:w="867" w:type="dxa"/>
                  <w:tcBorders>
                    <w:bottom w:val="single" w:color="auto" w:sz="8" w:space="0"/>
                  </w:tcBorders>
                  <w:vAlign w:val="center"/>
                </w:tcPr>
                <w:p w14:paraId="74A840B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color w:val="auto"/>
                      <w:sz w:val="21"/>
                      <w:szCs w:val="21"/>
                      <w:highlight w:val="none"/>
                      <w:lang w:val="en-US" w:eastAsia="zh-CN"/>
                    </w:rPr>
                    <w:t>排放速率(kg/h)</w:t>
                  </w:r>
                </w:p>
              </w:tc>
              <w:tc>
                <w:tcPr>
                  <w:tcW w:w="938" w:type="dxa"/>
                  <w:tcBorders>
                    <w:bottom w:val="single" w:color="auto" w:sz="8" w:space="0"/>
                  </w:tcBorders>
                  <w:vAlign w:val="center"/>
                </w:tcPr>
                <w:p w14:paraId="487368B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排放</w:t>
                  </w:r>
                </w:p>
                <w:p w14:paraId="5E247DC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color w:val="auto"/>
                      <w:sz w:val="21"/>
                      <w:szCs w:val="21"/>
                      <w:highlight w:val="none"/>
                      <w:lang w:val="en-US" w:eastAsia="zh-CN"/>
                    </w:rPr>
                    <w:t>浓度(mg/m</w:t>
                  </w:r>
                  <w:r>
                    <w:rPr>
                      <w:rFonts w:hint="default" w:ascii="Times New Roman" w:hAnsi="Times New Roman" w:eastAsia="宋体" w:cs="Times New Roman"/>
                      <w:b/>
                      <w:color w:val="auto"/>
                      <w:sz w:val="21"/>
                      <w:szCs w:val="21"/>
                      <w:highlight w:val="none"/>
                      <w:vertAlign w:val="superscript"/>
                      <w:lang w:val="en-US" w:eastAsia="zh-CN"/>
                    </w:rPr>
                    <w:t>3</w:t>
                  </w:r>
                  <w:r>
                    <w:rPr>
                      <w:rFonts w:hint="default" w:ascii="Times New Roman" w:hAnsi="Times New Roman" w:eastAsia="宋体" w:cs="Times New Roman"/>
                      <w:b/>
                      <w:color w:val="auto"/>
                      <w:sz w:val="21"/>
                      <w:szCs w:val="21"/>
                      <w:highlight w:val="none"/>
                      <w:lang w:val="en-US" w:eastAsia="zh-CN"/>
                    </w:rPr>
                    <w:t>)</w:t>
                  </w:r>
                </w:p>
              </w:tc>
            </w:tr>
            <w:tr w14:paraId="3F5EC10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3" w:type="dxa"/>
                  <w:tcBorders>
                    <w:top w:val="single" w:color="auto" w:sz="8" w:space="0"/>
                    <w:tl2br w:val="nil"/>
                    <w:tr2bl w:val="nil"/>
                  </w:tcBorders>
                  <w:vAlign w:val="center"/>
                </w:tcPr>
                <w:p w14:paraId="4EE6FB9B">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ascii="Times New Roman" w:hAnsi="Times New Roman" w:eastAsia="宋体" w:cs="Times New Roman"/>
                      <w:kern w:val="2"/>
                      <w:sz w:val="21"/>
                      <w:szCs w:val="21"/>
                      <w:vertAlign w:val="baseline"/>
                      <w:lang w:val="en-US" w:eastAsia="zh-CN" w:bidi="ar-SA"/>
                    </w:rPr>
                  </w:pPr>
                  <w:r>
                    <w:rPr>
                      <w:rFonts w:hint="eastAsia" w:cs="Times New Roman"/>
                      <w:sz w:val="21"/>
                      <w:szCs w:val="21"/>
                      <w:vertAlign w:val="baseline"/>
                      <w:lang w:val="en-US" w:eastAsia="zh-CN"/>
                    </w:rPr>
                    <w:t>DA001</w:t>
                  </w:r>
                </w:p>
              </w:tc>
              <w:tc>
                <w:tcPr>
                  <w:tcW w:w="704" w:type="dxa"/>
                  <w:tcBorders>
                    <w:top w:val="single" w:color="auto" w:sz="8" w:space="0"/>
                    <w:bottom w:val="single" w:color="auto" w:sz="4" w:space="0"/>
                    <w:tl2br w:val="nil"/>
                    <w:tr2bl w:val="nil"/>
                  </w:tcBorders>
                  <w:vAlign w:val="center"/>
                </w:tcPr>
                <w:p w14:paraId="1D030C49">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打毛工序</w:t>
                  </w:r>
                </w:p>
              </w:tc>
              <w:tc>
                <w:tcPr>
                  <w:tcW w:w="594" w:type="dxa"/>
                  <w:vMerge w:val="restart"/>
                  <w:tcBorders>
                    <w:top w:val="single" w:color="auto" w:sz="8" w:space="0"/>
                    <w:bottom w:val="single" w:color="auto" w:sz="4" w:space="0"/>
                    <w:tl2br w:val="nil"/>
                    <w:tr2bl w:val="nil"/>
                  </w:tcBorders>
                  <w:vAlign w:val="center"/>
                </w:tcPr>
                <w:p w14:paraId="4047F439">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颗粒物</w:t>
                  </w:r>
                </w:p>
              </w:tc>
              <w:tc>
                <w:tcPr>
                  <w:tcW w:w="794" w:type="dxa"/>
                  <w:tcBorders>
                    <w:top w:val="single" w:color="auto" w:sz="8" w:space="0"/>
                    <w:bottom w:val="single" w:color="auto" w:sz="4" w:space="0"/>
                    <w:tl2br w:val="nil"/>
                    <w:tr2bl w:val="nil"/>
                  </w:tcBorders>
                  <w:vAlign w:val="center"/>
                </w:tcPr>
                <w:p w14:paraId="25F71EC9">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cs="Times New Roman"/>
                      <w:sz w:val="21"/>
                      <w:szCs w:val="21"/>
                      <w:vertAlign w:val="baseline"/>
                      <w:lang w:val="en-US" w:eastAsia="zh-CN"/>
                    </w:rPr>
                  </w:pPr>
                  <w:r>
                    <w:rPr>
                      <w:rFonts w:hint="eastAsia" w:cs="Times New Roman"/>
                      <w:sz w:val="21"/>
                      <w:szCs w:val="21"/>
                      <w:vertAlign w:val="baseline"/>
                      <w:lang w:val="en-US" w:eastAsia="zh-CN"/>
                    </w:rPr>
                    <w:t>0.4291</w:t>
                  </w:r>
                </w:p>
              </w:tc>
              <w:tc>
                <w:tcPr>
                  <w:tcW w:w="794" w:type="dxa"/>
                  <w:tcBorders>
                    <w:top w:val="single" w:color="auto" w:sz="8" w:space="0"/>
                    <w:bottom w:val="single" w:color="auto" w:sz="4" w:space="0"/>
                    <w:tl2br w:val="nil"/>
                    <w:tr2bl w:val="nil"/>
                  </w:tcBorders>
                  <w:vAlign w:val="center"/>
                </w:tcPr>
                <w:p w14:paraId="77614E8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0.1788</w:t>
                  </w:r>
                </w:p>
              </w:tc>
              <w:tc>
                <w:tcPr>
                  <w:tcW w:w="938" w:type="dxa"/>
                  <w:tcBorders>
                    <w:top w:val="single" w:color="auto" w:sz="8" w:space="0"/>
                    <w:bottom w:val="single" w:color="auto" w:sz="4" w:space="0"/>
                    <w:tl2br w:val="nil"/>
                    <w:tr2bl w:val="nil"/>
                  </w:tcBorders>
                  <w:vAlign w:val="center"/>
                </w:tcPr>
                <w:p w14:paraId="38C6D2E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35.76</w:t>
                  </w:r>
                </w:p>
              </w:tc>
              <w:tc>
                <w:tcPr>
                  <w:tcW w:w="839" w:type="dxa"/>
                  <w:tcBorders>
                    <w:top w:val="single" w:color="auto" w:sz="8" w:space="0"/>
                    <w:bottom w:val="single" w:color="auto" w:sz="4" w:space="0"/>
                    <w:tl2br w:val="nil"/>
                    <w:tr2bl w:val="nil"/>
                  </w:tcBorders>
                  <w:vAlign w:val="center"/>
                </w:tcPr>
                <w:p w14:paraId="4308043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设备自带滤筒</w:t>
                  </w:r>
                  <w:r>
                    <w:rPr>
                      <w:rFonts w:hint="eastAsia" w:cs="Times New Roman"/>
                      <w:color w:val="000000" w:themeColor="text1"/>
                      <w:sz w:val="21"/>
                      <w:szCs w:val="21"/>
                      <w:vertAlign w:val="baseline"/>
                      <w:lang w:val="en-US" w:eastAsia="zh-CN"/>
                      <w14:textFill>
                        <w14:solidFill>
                          <w14:schemeClr w14:val="tx1"/>
                        </w14:solidFill>
                      </w14:textFill>
                    </w:rPr>
                    <w:t>除尘器</w:t>
                  </w:r>
                  <w:r>
                    <w:rPr>
                      <w:rFonts w:hint="eastAsia" w:cs="Times New Roman"/>
                      <w:sz w:val="21"/>
                      <w:szCs w:val="21"/>
                      <w:vertAlign w:val="baseline"/>
                      <w:lang w:val="en-US" w:eastAsia="zh-CN"/>
                    </w:rPr>
                    <w:t>，治理效率95%</w:t>
                  </w:r>
                </w:p>
              </w:tc>
              <w:tc>
                <w:tcPr>
                  <w:tcW w:w="572" w:type="dxa"/>
                  <w:vMerge w:val="restart"/>
                  <w:tcBorders>
                    <w:top w:val="single" w:color="auto" w:sz="8" w:space="0"/>
                    <w:bottom w:val="single" w:color="auto" w:sz="4" w:space="0"/>
                    <w:tl2br w:val="nil"/>
                    <w:tr2bl w:val="nil"/>
                  </w:tcBorders>
                  <w:vAlign w:val="center"/>
                </w:tcPr>
                <w:p w14:paraId="2D72E93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eastAsia" w:cs="Times New Roman"/>
                      <w:sz w:val="21"/>
                      <w:szCs w:val="21"/>
                      <w:vertAlign w:val="baseline"/>
                      <w:lang w:val="en-US" w:eastAsia="zh-CN"/>
                    </w:rPr>
                  </w:pPr>
                  <w:r>
                    <w:rPr>
                      <w:rFonts w:hint="eastAsia" w:cs="Times New Roman"/>
                      <w:sz w:val="21"/>
                      <w:szCs w:val="21"/>
                      <w:vertAlign w:val="baseline"/>
                      <w:lang w:val="en-US" w:eastAsia="zh-CN"/>
                    </w:rPr>
                    <w:t>是</w:t>
                  </w:r>
                </w:p>
              </w:tc>
              <w:tc>
                <w:tcPr>
                  <w:tcW w:w="873" w:type="dxa"/>
                  <w:tcBorders>
                    <w:top w:val="single" w:color="auto" w:sz="8" w:space="0"/>
                    <w:bottom w:val="single" w:color="auto" w:sz="4" w:space="0"/>
                    <w:tl2br w:val="nil"/>
                    <w:tr2bl w:val="nil"/>
                  </w:tcBorders>
                  <w:vAlign w:val="center"/>
                </w:tcPr>
                <w:p w14:paraId="30CF254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0.0215</w:t>
                  </w:r>
                </w:p>
              </w:tc>
              <w:tc>
                <w:tcPr>
                  <w:tcW w:w="867" w:type="dxa"/>
                  <w:tcBorders>
                    <w:top w:val="single" w:color="auto" w:sz="8" w:space="0"/>
                    <w:bottom w:val="single" w:color="auto" w:sz="4" w:space="0"/>
                    <w:tl2br w:val="nil"/>
                    <w:tr2bl w:val="nil"/>
                  </w:tcBorders>
                  <w:vAlign w:val="center"/>
                </w:tcPr>
                <w:p w14:paraId="7B28806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0.0090</w:t>
                  </w:r>
                </w:p>
              </w:tc>
              <w:tc>
                <w:tcPr>
                  <w:tcW w:w="938" w:type="dxa"/>
                  <w:tcBorders>
                    <w:top w:val="single" w:color="auto" w:sz="8" w:space="0"/>
                    <w:tl2br w:val="nil"/>
                    <w:tr2bl w:val="nil"/>
                  </w:tcBorders>
                  <w:vAlign w:val="center"/>
                </w:tcPr>
                <w:p w14:paraId="20DC8D3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cs="Times New Roman"/>
                      <w:color w:val="000000" w:themeColor="text1"/>
                      <w:sz w:val="21"/>
                      <w:szCs w:val="21"/>
                      <w:vertAlign w:val="baseline"/>
                      <w:lang w:val="en-US" w:eastAsia="zh-CN"/>
                      <w14:textFill>
                        <w14:solidFill>
                          <w14:schemeClr w14:val="tx1"/>
                        </w14:solidFill>
                      </w14:textFill>
                    </w:rPr>
                    <w:t>1.79</w:t>
                  </w:r>
                </w:p>
              </w:tc>
            </w:tr>
            <w:tr w14:paraId="44F532C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3" w:type="dxa"/>
                  <w:tcBorders>
                    <w:top w:val="single" w:color="auto" w:sz="4" w:space="0"/>
                  </w:tcBorders>
                  <w:vAlign w:val="center"/>
                </w:tcPr>
                <w:p w14:paraId="7F64E4CB">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cs="Times New Roman"/>
                      <w:sz w:val="21"/>
                      <w:szCs w:val="21"/>
                      <w:vertAlign w:val="baseline"/>
                      <w:lang w:val="en-US" w:eastAsia="zh-CN"/>
                    </w:rPr>
                  </w:pPr>
                  <w:r>
                    <w:rPr>
                      <w:rFonts w:hint="eastAsia" w:cs="Times New Roman"/>
                      <w:sz w:val="21"/>
                      <w:szCs w:val="21"/>
                      <w:vertAlign w:val="baseline"/>
                      <w:lang w:val="en-US" w:eastAsia="zh-CN"/>
                    </w:rPr>
                    <w:t>/</w:t>
                  </w:r>
                </w:p>
              </w:tc>
              <w:tc>
                <w:tcPr>
                  <w:tcW w:w="704" w:type="dxa"/>
                  <w:tcBorders>
                    <w:top w:val="single" w:color="auto" w:sz="4" w:space="0"/>
                  </w:tcBorders>
                  <w:vAlign w:val="center"/>
                </w:tcPr>
                <w:p w14:paraId="666D7DFB">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cs="Times New Roman"/>
                      <w:sz w:val="21"/>
                      <w:szCs w:val="21"/>
                      <w:vertAlign w:val="baseline"/>
                      <w:lang w:val="en-US" w:eastAsia="zh-CN"/>
                    </w:rPr>
                  </w:pPr>
                  <w:r>
                    <w:rPr>
                      <w:rFonts w:hint="eastAsia" w:cs="Times New Roman"/>
                      <w:sz w:val="21"/>
                      <w:szCs w:val="21"/>
                      <w:vertAlign w:val="baseline"/>
                      <w:lang w:val="en-US" w:eastAsia="zh-CN"/>
                    </w:rPr>
                    <w:t>车间无组织废气</w:t>
                  </w:r>
                </w:p>
              </w:tc>
              <w:tc>
                <w:tcPr>
                  <w:tcW w:w="594" w:type="dxa"/>
                  <w:vMerge w:val="continue"/>
                  <w:tcBorders>
                    <w:top w:val="single" w:color="auto" w:sz="4" w:space="0"/>
                  </w:tcBorders>
                  <w:vAlign w:val="center"/>
                </w:tcPr>
                <w:p w14:paraId="6C654C7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eastAsia" w:cs="Times New Roman"/>
                      <w:sz w:val="21"/>
                      <w:szCs w:val="21"/>
                      <w:vertAlign w:val="baseline"/>
                      <w:lang w:val="en-US" w:eastAsia="zh-CN"/>
                    </w:rPr>
                  </w:pPr>
                </w:p>
              </w:tc>
              <w:tc>
                <w:tcPr>
                  <w:tcW w:w="794" w:type="dxa"/>
                  <w:tcBorders>
                    <w:top w:val="single" w:color="auto" w:sz="4" w:space="0"/>
                  </w:tcBorders>
                  <w:vAlign w:val="center"/>
                </w:tcPr>
                <w:p w14:paraId="0F262DB2">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cs="Times New Roman"/>
                      <w:sz w:val="21"/>
                      <w:szCs w:val="21"/>
                      <w:vertAlign w:val="baseline"/>
                      <w:lang w:val="en-US" w:eastAsia="zh-CN"/>
                    </w:rPr>
                  </w:pPr>
                  <w:r>
                    <w:rPr>
                      <w:rFonts w:hint="eastAsia" w:cs="Times New Roman"/>
                      <w:sz w:val="21"/>
                      <w:szCs w:val="21"/>
                      <w:vertAlign w:val="baseline"/>
                      <w:lang w:val="en-US" w:eastAsia="zh-CN"/>
                    </w:rPr>
                    <w:t>0.0088</w:t>
                  </w:r>
                </w:p>
              </w:tc>
              <w:tc>
                <w:tcPr>
                  <w:tcW w:w="794" w:type="dxa"/>
                  <w:tcBorders>
                    <w:top w:val="single" w:color="auto" w:sz="4" w:space="0"/>
                  </w:tcBorders>
                  <w:vAlign w:val="center"/>
                </w:tcPr>
                <w:p w14:paraId="34195C3F">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cs="Times New Roman"/>
                      <w:sz w:val="21"/>
                      <w:szCs w:val="21"/>
                      <w:vertAlign w:val="baseline"/>
                      <w:lang w:val="en-US" w:eastAsia="zh-CN"/>
                    </w:rPr>
                  </w:pPr>
                  <w:r>
                    <w:rPr>
                      <w:rFonts w:hint="eastAsia" w:cs="Times New Roman"/>
                      <w:sz w:val="21"/>
                      <w:szCs w:val="21"/>
                      <w:vertAlign w:val="baseline"/>
                      <w:lang w:val="en-US" w:eastAsia="zh-CN"/>
                    </w:rPr>
                    <w:t>/</w:t>
                  </w:r>
                </w:p>
              </w:tc>
              <w:tc>
                <w:tcPr>
                  <w:tcW w:w="938" w:type="dxa"/>
                  <w:tcBorders>
                    <w:top w:val="single" w:color="auto" w:sz="4" w:space="0"/>
                  </w:tcBorders>
                  <w:vAlign w:val="center"/>
                </w:tcPr>
                <w:p w14:paraId="1905D8A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cs="Times New Roman"/>
                      <w:sz w:val="21"/>
                      <w:szCs w:val="21"/>
                      <w:vertAlign w:val="baseline"/>
                      <w:lang w:val="en-US" w:eastAsia="zh-CN"/>
                    </w:rPr>
                  </w:pPr>
                  <w:r>
                    <w:rPr>
                      <w:rFonts w:hint="eastAsia" w:cs="Times New Roman"/>
                      <w:sz w:val="21"/>
                      <w:szCs w:val="21"/>
                      <w:vertAlign w:val="baseline"/>
                      <w:lang w:val="en-US" w:eastAsia="zh-CN"/>
                    </w:rPr>
                    <w:t>/</w:t>
                  </w:r>
                </w:p>
              </w:tc>
              <w:tc>
                <w:tcPr>
                  <w:tcW w:w="839" w:type="dxa"/>
                  <w:tcBorders>
                    <w:top w:val="single" w:color="auto" w:sz="4" w:space="0"/>
                  </w:tcBorders>
                  <w:vAlign w:val="center"/>
                </w:tcPr>
                <w:p w14:paraId="2EB82DC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cs="Times New Roman"/>
                      <w:sz w:val="21"/>
                      <w:szCs w:val="21"/>
                      <w:vertAlign w:val="baseline"/>
                      <w:lang w:val="en-US" w:eastAsia="zh-CN"/>
                    </w:rPr>
                  </w:pPr>
                  <w:r>
                    <w:rPr>
                      <w:rFonts w:hint="eastAsia" w:cs="Times New Roman"/>
                      <w:sz w:val="21"/>
                      <w:szCs w:val="21"/>
                      <w:vertAlign w:val="baseline"/>
                      <w:lang w:val="en-US" w:eastAsia="zh-CN"/>
                    </w:rPr>
                    <w:t>/</w:t>
                  </w:r>
                </w:p>
              </w:tc>
              <w:tc>
                <w:tcPr>
                  <w:tcW w:w="572" w:type="dxa"/>
                  <w:vMerge w:val="continue"/>
                  <w:tcBorders>
                    <w:top w:val="single" w:color="auto" w:sz="4" w:space="0"/>
                  </w:tcBorders>
                  <w:vAlign w:val="center"/>
                </w:tcPr>
                <w:p w14:paraId="60DDC5A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eastAsia" w:cs="Times New Roman"/>
                      <w:sz w:val="21"/>
                      <w:szCs w:val="21"/>
                      <w:vertAlign w:val="baseline"/>
                      <w:lang w:val="en-US" w:eastAsia="zh-CN"/>
                    </w:rPr>
                  </w:pPr>
                </w:p>
              </w:tc>
              <w:tc>
                <w:tcPr>
                  <w:tcW w:w="873" w:type="dxa"/>
                  <w:tcBorders>
                    <w:top w:val="single" w:color="auto" w:sz="4" w:space="0"/>
                  </w:tcBorders>
                  <w:vAlign w:val="center"/>
                </w:tcPr>
                <w:p w14:paraId="66844ED7">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0.0088</w:t>
                  </w:r>
                </w:p>
              </w:tc>
              <w:tc>
                <w:tcPr>
                  <w:tcW w:w="867" w:type="dxa"/>
                  <w:tcBorders>
                    <w:top w:val="single" w:color="auto" w:sz="4" w:space="0"/>
                  </w:tcBorders>
                  <w:vAlign w:val="center"/>
                </w:tcPr>
                <w:p w14:paraId="0C80FA02">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cs="Times New Roman"/>
                      <w:sz w:val="21"/>
                      <w:szCs w:val="21"/>
                      <w:vertAlign w:val="baseline"/>
                      <w:lang w:val="en-US" w:eastAsia="zh-CN"/>
                    </w:rPr>
                  </w:pPr>
                  <w:r>
                    <w:rPr>
                      <w:rFonts w:hint="eastAsia" w:cs="Times New Roman"/>
                      <w:sz w:val="21"/>
                      <w:szCs w:val="21"/>
                      <w:vertAlign w:val="baseline"/>
                      <w:lang w:val="en-US" w:eastAsia="zh-CN"/>
                    </w:rPr>
                    <w:t>/</w:t>
                  </w:r>
                </w:p>
              </w:tc>
              <w:tc>
                <w:tcPr>
                  <w:tcW w:w="938" w:type="dxa"/>
                  <w:tcBorders>
                    <w:top w:val="single" w:color="auto" w:sz="4" w:space="0"/>
                  </w:tcBorders>
                  <w:vAlign w:val="center"/>
                </w:tcPr>
                <w:p w14:paraId="275A6A5B">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cs="Times New Roman"/>
                      <w:sz w:val="21"/>
                      <w:szCs w:val="21"/>
                      <w:vertAlign w:val="baseline"/>
                      <w:lang w:val="en-US" w:eastAsia="zh-CN"/>
                    </w:rPr>
                  </w:pPr>
                  <w:r>
                    <w:rPr>
                      <w:rFonts w:hint="eastAsia" w:cs="Times New Roman"/>
                      <w:sz w:val="21"/>
                      <w:szCs w:val="21"/>
                      <w:vertAlign w:val="baseline"/>
                      <w:lang w:val="en-US" w:eastAsia="zh-CN"/>
                    </w:rPr>
                    <w:t>/</w:t>
                  </w:r>
                </w:p>
              </w:tc>
            </w:tr>
          </w:tbl>
          <w:p w14:paraId="73982B7F">
            <w:pPr>
              <w:keepNext w:val="0"/>
              <w:keepLines w:val="0"/>
              <w:suppressLineNumbers w:val="0"/>
              <w:adjustRightInd w:val="0"/>
              <w:snapToGrid w:val="0"/>
              <w:spacing w:before="0" w:beforeAutospacing="0" w:after="0" w:afterAutospacing="0" w:line="440" w:lineRule="exact"/>
              <w:ind w:left="0" w:right="0" w:firstLine="480" w:firstLineChars="200"/>
              <w:jc w:val="both"/>
              <w:rPr>
                <w:rFonts w:hint="default" w:hAnsi="宋体"/>
                <w:b w:val="0"/>
                <w:bCs w:val="0"/>
                <w:color w:val="auto"/>
                <w:sz w:val="24"/>
                <w:highlight w:val="none"/>
                <w:lang w:val="en-US" w:eastAsia="zh-CN"/>
              </w:rPr>
            </w:pPr>
            <w:r>
              <w:rPr>
                <w:rFonts w:hint="eastAsia"/>
                <w:color w:val="000000" w:themeColor="text1"/>
                <w:sz w:val="24"/>
                <w14:textFill>
                  <w14:solidFill>
                    <w14:schemeClr w14:val="tx1"/>
                  </w14:solidFill>
                </w14:textFill>
              </w:rPr>
              <w:t>由上表可知，本项目</w:t>
            </w:r>
            <w:r>
              <w:rPr>
                <w:rFonts w:hint="eastAsia" w:cs="Times New Roman"/>
                <w:b w:val="0"/>
                <w:bCs w:val="0"/>
                <w:sz w:val="24"/>
                <w:highlight w:val="none"/>
                <w:lang w:val="en-US" w:eastAsia="zh-CN"/>
              </w:rPr>
              <w:t>打</w:t>
            </w:r>
            <w:r>
              <w:rPr>
                <w:rFonts w:hint="eastAsia" w:cs="Times New Roman"/>
                <w:b w:val="0"/>
                <w:bCs w:val="0"/>
                <w:color w:val="000000" w:themeColor="text1"/>
                <w:sz w:val="24"/>
                <w:highlight w:val="none"/>
                <w:lang w:val="en-US" w:eastAsia="zh-CN"/>
                <w14:textFill>
                  <w14:solidFill>
                    <w14:schemeClr w14:val="tx1"/>
                  </w14:solidFill>
                </w14:textFill>
              </w:rPr>
              <w:t>毛（喷砂）工</w:t>
            </w:r>
            <w:r>
              <w:rPr>
                <w:rFonts w:hint="eastAsia" w:cs="Times New Roman"/>
                <w:b w:val="0"/>
                <w:bCs w:val="0"/>
                <w:sz w:val="24"/>
                <w:highlight w:val="none"/>
                <w:lang w:val="en-US" w:eastAsia="zh-CN"/>
              </w:rPr>
              <w:t>序</w:t>
            </w:r>
            <w:r>
              <w:rPr>
                <w:rFonts w:hint="default"/>
                <w:color w:val="000000" w:themeColor="text1"/>
                <w:sz w:val="24"/>
                <w14:textFill>
                  <w14:solidFill>
                    <w14:schemeClr w14:val="tx1"/>
                  </w14:solidFill>
                </w14:textFill>
              </w:rPr>
              <w:t>产生的</w:t>
            </w:r>
            <w:r>
              <w:rPr>
                <w:rFonts w:hint="eastAsia"/>
                <w:color w:val="000000" w:themeColor="text1"/>
                <w:sz w:val="24"/>
                <w:lang w:val="en-US" w:eastAsia="zh-CN"/>
                <w14:textFill>
                  <w14:solidFill>
                    <w14:schemeClr w14:val="tx1"/>
                  </w14:solidFill>
                </w14:textFill>
              </w:rPr>
              <w:t>颗粒物</w:t>
            </w:r>
            <w:r>
              <w:rPr>
                <w:rFonts w:hint="default"/>
                <w:color w:val="000000" w:themeColor="text1"/>
                <w:sz w:val="24"/>
                <w14:textFill>
                  <w14:solidFill>
                    <w14:schemeClr w14:val="tx1"/>
                  </w14:solidFill>
                </w14:textFill>
              </w:rPr>
              <w:t>经</w:t>
            </w:r>
            <w:r>
              <w:rPr>
                <w:rFonts w:hint="eastAsia"/>
                <w:color w:val="000000" w:themeColor="text1"/>
                <w:sz w:val="24"/>
                <w:lang w:val="en-US" w:eastAsia="zh-CN"/>
                <w14:textFill>
                  <w14:solidFill>
                    <w14:schemeClr w14:val="tx1"/>
                  </w14:solidFill>
                </w14:textFill>
              </w:rPr>
              <w:t>治理后，废气排放</w:t>
            </w:r>
            <w:r>
              <w:rPr>
                <w:rFonts w:hint="eastAsia"/>
                <w:color w:val="000000" w:themeColor="text1"/>
                <w:sz w:val="24"/>
                <w14:textFill>
                  <w14:solidFill>
                    <w14:schemeClr w14:val="tx1"/>
                  </w14:solidFill>
                </w14:textFill>
              </w:rPr>
              <w:t>能够</w:t>
            </w:r>
            <w:r>
              <w:rPr>
                <w:rFonts w:hint="default" w:hAnsi="宋体"/>
                <w:sz w:val="24"/>
                <w:highlight w:val="none"/>
              </w:rPr>
              <w:t>满足《大气污染物综合排放标准》（</w:t>
            </w:r>
            <w:r>
              <w:rPr>
                <w:rFonts w:hint="default"/>
                <w:sz w:val="24"/>
                <w:highlight w:val="none"/>
              </w:rPr>
              <w:t>GB16297-1996</w:t>
            </w:r>
            <w:r>
              <w:rPr>
                <w:rFonts w:hint="default" w:hAnsi="宋体"/>
                <w:sz w:val="24"/>
                <w:highlight w:val="none"/>
              </w:rPr>
              <w:t>）表</w:t>
            </w:r>
            <w:r>
              <w:rPr>
                <w:rFonts w:hint="default"/>
                <w:sz w:val="24"/>
                <w:highlight w:val="none"/>
              </w:rPr>
              <w:t>2</w:t>
            </w:r>
            <w:r>
              <w:rPr>
                <w:rFonts w:hint="default" w:hAnsi="宋体"/>
                <w:sz w:val="24"/>
                <w:highlight w:val="none"/>
              </w:rPr>
              <w:t>二级颗粒物</w:t>
            </w:r>
            <w:r>
              <w:rPr>
                <w:rFonts w:hint="eastAsia" w:hAnsi="宋体"/>
                <w:sz w:val="24"/>
                <w:highlight w:val="none"/>
              </w:rPr>
              <w:t>有组织排放浓度120mg/m</w:t>
            </w:r>
            <w:r>
              <w:rPr>
                <w:rFonts w:hint="eastAsia" w:hAnsi="宋体"/>
                <w:sz w:val="24"/>
                <w:highlight w:val="none"/>
                <w:vertAlign w:val="superscript"/>
              </w:rPr>
              <w:t>3</w:t>
            </w:r>
            <w:r>
              <w:rPr>
                <w:rFonts w:hint="eastAsia" w:hAnsi="宋体"/>
                <w:sz w:val="24"/>
                <w:highlight w:val="none"/>
              </w:rPr>
              <w:t>、排放速率3.5kg/h</w:t>
            </w:r>
            <w:r>
              <w:rPr>
                <w:rFonts w:hint="default" w:hAnsi="宋体"/>
                <w:sz w:val="24"/>
                <w:highlight w:val="none"/>
              </w:rPr>
              <w:t>的</w:t>
            </w:r>
            <w:r>
              <w:rPr>
                <w:rFonts w:hint="eastAsia" w:hAnsi="宋体"/>
                <w:sz w:val="24"/>
                <w:highlight w:val="none"/>
                <w:lang w:val="en-US" w:eastAsia="zh-CN"/>
              </w:rPr>
              <w:t>限值</w:t>
            </w:r>
            <w:r>
              <w:rPr>
                <w:rFonts w:hint="default" w:hAnsi="宋体"/>
                <w:sz w:val="24"/>
                <w:highlight w:val="none"/>
              </w:rPr>
              <w:t>要求，同时满足《新乡市生态环境局关于进一步规范工业企业颗粒物排放限值的通知》颗粒物有组织排放浓度</w:t>
            </w:r>
            <w:r>
              <w:rPr>
                <w:rFonts w:hint="default"/>
                <w:sz w:val="24"/>
                <w:highlight w:val="none"/>
              </w:rPr>
              <w:t>10mg/m</w:t>
            </w:r>
            <w:r>
              <w:rPr>
                <w:rFonts w:hint="default"/>
                <w:sz w:val="24"/>
                <w:highlight w:val="none"/>
                <w:vertAlign w:val="superscript"/>
              </w:rPr>
              <w:t>3</w:t>
            </w:r>
            <w:r>
              <w:rPr>
                <w:rFonts w:hint="eastAsia" w:hAnsi="宋体"/>
                <w:sz w:val="24"/>
                <w:lang w:val="en-US" w:eastAsia="zh-CN"/>
              </w:rPr>
              <w:t>限值</w:t>
            </w:r>
            <w:r>
              <w:rPr>
                <w:rFonts w:hint="default" w:hAnsi="宋体"/>
                <w:sz w:val="24"/>
              </w:rPr>
              <w:t>要求</w:t>
            </w:r>
            <w:r>
              <w:rPr>
                <w:rFonts w:hint="default" w:hAnsi="宋体"/>
                <w:sz w:val="24"/>
                <w:highlight w:val="none"/>
              </w:rPr>
              <w:t>。</w:t>
            </w:r>
          </w:p>
          <w:p w14:paraId="6009ED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eastAsia="宋体"/>
                <w:highlight w:val="none"/>
                <w:lang w:val="en-US" w:eastAsia="zh-CN"/>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w:t>
            </w:r>
            <w:r>
              <w:rPr>
                <w:rFonts w:hint="eastAsia"/>
                <w:lang w:eastAsia="zh-CN"/>
              </w:rPr>
              <w:t>颗</w:t>
            </w:r>
            <w:r>
              <w:rPr>
                <w:rFonts w:hint="eastAsia"/>
                <w:highlight w:val="none"/>
                <w:lang w:eastAsia="zh-CN"/>
              </w:rPr>
              <w:t>粒物</w:t>
            </w:r>
            <w:r>
              <w:rPr>
                <w:rFonts w:hint="eastAsia"/>
                <w:highlight w:val="none"/>
                <w:lang w:val="en-US" w:eastAsia="zh-CN"/>
              </w:rPr>
              <w:t>废气治理措施可行性分析</w:t>
            </w:r>
          </w:p>
          <w:p w14:paraId="7397D35B">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cs="Times New Roman"/>
                <w:b w:val="0"/>
                <w:bCs w:val="0"/>
                <w:sz w:val="24"/>
                <w:highlight w:val="none"/>
                <w:lang w:val="en-US" w:eastAsia="zh-CN"/>
              </w:rPr>
            </w:pPr>
            <w:r>
              <w:rPr>
                <w:rFonts w:hint="eastAsia" w:cs="Times New Roman"/>
                <w:b w:val="0"/>
                <w:bCs w:val="0"/>
                <w:sz w:val="24"/>
                <w:highlight w:val="none"/>
                <w:lang w:val="en-US" w:eastAsia="zh-CN"/>
              </w:rPr>
              <w:t>滤筒除尘器工作原理：含有金属颗粒的气流经过风机输送至滤芯过滤器的导流仓中，气流在导流板的作用下流速降低，较重的金属颗粒在重力的作用下落入灰仓里，其它较轻细的粉尘随气流向上吸附在滤芯的外表面上，经过滤芯过滤后，干净的气体进入排风室中并排到外面。随着过滤工况的持续，积聚在滤芯外表面上的粉尘会越来越多，相应的就会增加系统的运行阻力，降低系统的除尘效率。脉冲幅度和频率设定完成后，在工作过程中，系统会自动完成滤芯的清灰，从而大大增加过滤效率并延长过滤滤芯的使用寿命。</w:t>
            </w:r>
          </w:p>
          <w:p w14:paraId="4959B3C7">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cs="Times New Roman"/>
                <w:b w:val="0"/>
                <w:bCs w:val="0"/>
                <w:sz w:val="24"/>
                <w:highlight w:val="none"/>
                <w:lang w:val="en-US" w:eastAsia="zh-CN"/>
              </w:rPr>
            </w:pPr>
            <w:r>
              <w:rPr>
                <w:rFonts w:hint="eastAsia" w:cs="Times New Roman"/>
                <w:b w:val="0"/>
                <w:bCs w:val="0"/>
                <w:color w:val="000000" w:themeColor="text1"/>
                <w:sz w:val="24"/>
                <w:highlight w:val="none"/>
                <w:lang w:val="en-US" w:eastAsia="zh-CN"/>
                <w14:textFill>
                  <w14:solidFill>
                    <w14:schemeClr w14:val="tx1"/>
                  </w14:solidFill>
                </w14:textFill>
              </w:rPr>
              <w:t>参考《排</w:t>
            </w:r>
            <w:r>
              <w:rPr>
                <w:rFonts w:hint="eastAsia" w:cs="Times New Roman"/>
                <w:b w:val="0"/>
                <w:bCs w:val="0"/>
                <w:sz w:val="24"/>
                <w:highlight w:val="none"/>
                <w:lang w:val="en-US" w:eastAsia="zh-CN"/>
              </w:rPr>
              <w:t>污许可证申请与核发技术规范 铁路、船舶、航空航天和其他运输设备制造业》（HJ1124-2020）中推荐的可行技术，本项目打毛（喷砂）废气由设备自带滤筒除尘器治理属于可行技术。</w:t>
            </w:r>
          </w:p>
          <w:p w14:paraId="2AAB05C3">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firstLine="482" w:firstLineChars="200"/>
              <w:jc w:val="both"/>
              <w:textAlignment w:val="auto"/>
              <w:rPr>
                <w:rFonts w:hint="default"/>
                <w:b/>
                <w:bCs/>
                <w:color w:val="auto"/>
                <w:sz w:val="24"/>
                <w:highlight w:val="none"/>
                <w:lang w:val="en-US" w:eastAsia="zh-CN"/>
              </w:rPr>
            </w:pPr>
            <w:r>
              <w:rPr>
                <w:rFonts w:hint="eastAsia"/>
                <w:b/>
                <w:bCs/>
                <w:color w:val="auto"/>
                <w:sz w:val="24"/>
                <w:highlight w:val="none"/>
                <w:lang w:val="en-US" w:eastAsia="zh-CN"/>
              </w:rPr>
              <w:t>3、无组织废气</w:t>
            </w:r>
          </w:p>
          <w:p w14:paraId="5F839863">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eastAsia" w:hAnsi="宋体" w:eastAsia="宋体"/>
                <w:b w:val="0"/>
                <w:bCs w:val="0"/>
                <w:color w:val="000000" w:themeColor="text1"/>
                <w:sz w:val="24"/>
                <w:highlight w:val="none"/>
                <w:lang w:val="en-US" w:eastAsia="zh-CN"/>
                <w14:textFill>
                  <w14:solidFill>
                    <w14:schemeClr w14:val="tx1"/>
                  </w14:solidFill>
                </w14:textFill>
              </w:rPr>
            </w:pPr>
            <w:r>
              <w:rPr>
                <w:rFonts w:hint="eastAsia"/>
                <w:b w:val="0"/>
                <w:bCs w:val="0"/>
                <w:color w:val="auto"/>
                <w:sz w:val="24"/>
                <w:highlight w:val="none"/>
                <w:lang w:val="en-US" w:eastAsia="zh-CN"/>
              </w:rPr>
              <w:t>本项目无组织废气主要为生产过程中未收集的颗粒物，颗粒物无组织产生量为</w:t>
            </w:r>
            <w:r>
              <w:rPr>
                <w:rFonts w:hint="eastAsia"/>
                <w:sz w:val="24"/>
                <w:highlight w:val="none"/>
                <w:vertAlign w:val="baseline"/>
                <w:lang w:val="en-US" w:eastAsia="zh-CN"/>
              </w:rPr>
              <w:t>0.0088</w:t>
            </w:r>
            <w:r>
              <w:rPr>
                <w:rFonts w:hint="default"/>
                <w:sz w:val="24"/>
                <w:highlight w:val="none"/>
              </w:rPr>
              <w:t>t/a</w:t>
            </w:r>
            <w:r>
              <w:rPr>
                <w:rFonts w:hint="eastAsia" w:hAnsi="宋体"/>
                <w:color w:val="auto"/>
                <w:sz w:val="24"/>
                <w:highlight w:val="none"/>
                <w:lang w:val="en-US" w:eastAsia="zh-CN"/>
              </w:rPr>
              <w:t>。</w:t>
            </w:r>
            <w:r>
              <w:rPr>
                <w:rFonts w:hint="eastAsia"/>
                <w:sz w:val="24"/>
                <w:highlight w:val="none"/>
                <w:lang w:val="en-US" w:eastAsia="zh-CN"/>
              </w:rPr>
              <w:t>本项目位于密闭车间，设备运行时密闭，废气经密闭管道收集。</w:t>
            </w:r>
            <w:r>
              <w:rPr>
                <w:rFonts w:hint="eastAsia" w:hAnsi="宋体"/>
                <w:b w:val="0"/>
                <w:bCs w:val="0"/>
                <w:color w:val="000000" w:themeColor="text1"/>
                <w:sz w:val="24"/>
                <w:highlight w:val="none"/>
                <w:lang w:val="en-US" w:eastAsia="zh-CN"/>
                <w14:textFill>
                  <w14:solidFill>
                    <w14:schemeClr w14:val="tx1"/>
                  </w14:solidFill>
                </w14:textFill>
              </w:rPr>
              <w:t>在采取上述措施后，本项目颗粒物无组织废气排放</w:t>
            </w:r>
            <w:r>
              <w:rPr>
                <w:rFonts w:hint="default" w:hAnsi="宋体"/>
                <w:sz w:val="24"/>
              </w:rPr>
              <w:t>满足《大气污染物综合排放标准》（</w:t>
            </w:r>
            <w:r>
              <w:rPr>
                <w:rFonts w:hint="default"/>
                <w:sz w:val="24"/>
              </w:rPr>
              <w:t>GB16297-1996</w:t>
            </w:r>
            <w:r>
              <w:rPr>
                <w:rFonts w:hint="default" w:hAnsi="宋体"/>
                <w:sz w:val="24"/>
              </w:rPr>
              <w:t>）表</w:t>
            </w:r>
            <w:r>
              <w:rPr>
                <w:rFonts w:hint="default"/>
                <w:sz w:val="24"/>
              </w:rPr>
              <w:t>2</w:t>
            </w:r>
            <w:r>
              <w:rPr>
                <w:rFonts w:hint="default" w:hAnsi="宋体"/>
                <w:sz w:val="24"/>
              </w:rPr>
              <w:t>二级颗粒物</w:t>
            </w:r>
            <w:r>
              <w:rPr>
                <w:rFonts w:hint="eastAsia" w:hAnsi="宋体"/>
                <w:sz w:val="24"/>
              </w:rPr>
              <w:t>厂界最高浓度</w:t>
            </w:r>
            <w:r>
              <w:rPr>
                <w:rFonts w:hint="eastAsia" w:hAnsi="宋体"/>
                <w:sz w:val="24"/>
                <w:lang w:val="en-US" w:eastAsia="zh-CN"/>
              </w:rPr>
              <w:t>1.0</w:t>
            </w:r>
            <w:r>
              <w:rPr>
                <w:rFonts w:hint="eastAsia" w:hAnsi="宋体"/>
                <w:sz w:val="24"/>
              </w:rPr>
              <w:t>mg/m</w:t>
            </w:r>
            <w:r>
              <w:rPr>
                <w:rFonts w:hint="eastAsia" w:hAnsi="宋体"/>
                <w:sz w:val="24"/>
                <w:vertAlign w:val="superscript"/>
              </w:rPr>
              <w:t>3</w:t>
            </w:r>
            <w:r>
              <w:rPr>
                <w:rFonts w:hint="eastAsia" w:hAnsi="宋体"/>
                <w:sz w:val="24"/>
                <w:vertAlign w:val="baseline"/>
                <w:lang w:eastAsia="zh-CN"/>
              </w:rPr>
              <w:t>的要求，同时</w:t>
            </w:r>
            <w:r>
              <w:rPr>
                <w:rFonts w:hint="default" w:hAnsi="宋体"/>
                <w:sz w:val="24"/>
              </w:rPr>
              <w:t>满足《新乡市生态环境局关于进一步规范工业企业颗粒物排放限值的通知》</w:t>
            </w:r>
            <w:r>
              <w:rPr>
                <w:rFonts w:hint="eastAsia" w:hAnsi="宋体"/>
                <w:sz w:val="24"/>
              </w:rPr>
              <w:t>厂界颗粒物排放浓度不高于</w:t>
            </w:r>
            <w:r>
              <w:rPr>
                <w:rFonts w:hint="eastAsia"/>
                <w:sz w:val="24"/>
                <w:lang w:val="en-US" w:eastAsia="zh-CN"/>
              </w:rPr>
              <w:t>0.5</w:t>
            </w:r>
            <w:r>
              <w:rPr>
                <w:rFonts w:hint="default"/>
                <w:sz w:val="24"/>
              </w:rPr>
              <w:t>mg/m</w:t>
            </w:r>
            <w:r>
              <w:rPr>
                <w:rFonts w:hint="default"/>
                <w:sz w:val="24"/>
                <w:vertAlign w:val="superscript"/>
              </w:rPr>
              <w:t>3</w:t>
            </w:r>
            <w:r>
              <w:rPr>
                <w:rFonts w:hint="default" w:hAnsi="宋体"/>
                <w:sz w:val="24"/>
              </w:rPr>
              <w:t>的</w:t>
            </w:r>
            <w:r>
              <w:rPr>
                <w:rFonts w:hint="eastAsia" w:hAnsi="宋体"/>
                <w:sz w:val="24"/>
                <w:lang w:val="en-US" w:eastAsia="zh-CN"/>
              </w:rPr>
              <w:t>限值</w:t>
            </w:r>
            <w:r>
              <w:rPr>
                <w:rFonts w:hint="default" w:hAnsi="宋体"/>
                <w:sz w:val="24"/>
              </w:rPr>
              <w:t>要求</w:t>
            </w:r>
            <w:r>
              <w:rPr>
                <w:rFonts w:hint="eastAsia" w:cs="Times New Roman"/>
                <w:color w:val="000000"/>
                <w:szCs w:val="21"/>
                <w:highlight w:val="none"/>
                <w:vertAlign w:val="baseline"/>
                <w:lang w:val="en-US" w:eastAsia="zh-CN"/>
              </w:rPr>
              <w:t>。</w:t>
            </w:r>
          </w:p>
          <w:p w14:paraId="2D458825">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eastAsia" w:hAnsi="宋体"/>
                <w:b w:val="0"/>
                <w:bCs w:val="0"/>
                <w:color w:val="000000" w:themeColor="text1"/>
                <w:sz w:val="24"/>
                <w:highlight w:val="none"/>
                <w:lang w:val="en-US" w:eastAsia="zh-CN"/>
                <w14:textFill>
                  <w14:solidFill>
                    <w14:schemeClr w14:val="tx1"/>
                  </w14:solidFill>
                </w14:textFill>
              </w:rPr>
            </w:pPr>
            <w:r>
              <w:rPr>
                <w:rFonts w:hint="eastAsia"/>
                <w:b w:val="0"/>
                <w:bCs w:val="0"/>
                <w:color w:val="auto"/>
                <w:sz w:val="24"/>
                <w:lang w:val="en-US" w:eastAsia="zh-CN"/>
              </w:rPr>
              <w:t>综上所述，本项目生产过程中废气经相关措施治理后，均能达标排放，故本项目建设对周围环境影响可接受。</w:t>
            </w:r>
          </w:p>
          <w:p w14:paraId="44228F8A">
            <w:pPr>
              <w:keepNext w:val="0"/>
              <w:keepLines w:val="0"/>
              <w:suppressLineNumbers w:val="0"/>
              <w:adjustRightInd w:val="0"/>
              <w:snapToGrid w:val="0"/>
              <w:spacing w:before="0" w:beforeAutospacing="0" w:after="0" w:afterAutospacing="0" w:line="440" w:lineRule="exact"/>
              <w:ind w:left="0" w:right="0" w:firstLine="482" w:firstLineChars="200"/>
              <w:rPr>
                <w:rFonts w:hint="eastAsia" w:hAnsi="宋体"/>
                <w:color w:val="auto"/>
                <w:sz w:val="24"/>
                <w:highlight w:val="none"/>
              </w:rPr>
            </w:pPr>
            <w:r>
              <w:rPr>
                <w:rFonts w:hint="eastAsia" w:hAnsi="宋体"/>
                <w:b/>
                <w:bCs/>
                <w:color w:val="auto"/>
                <w:sz w:val="24"/>
                <w:highlight w:val="none"/>
                <w:lang w:val="en-US" w:eastAsia="zh-CN"/>
              </w:rPr>
              <w:t>4、</w:t>
            </w:r>
            <w:r>
              <w:rPr>
                <w:rFonts w:hint="eastAsia" w:hAnsi="宋体"/>
                <w:b/>
                <w:bCs/>
                <w:color w:val="auto"/>
                <w:sz w:val="24"/>
                <w:highlight w:val="none"/>
              </w:rPr>
              <w:t>污染源排放口</w:t>
            </w:r>
            <w:r>
              <w:rPr>
                <w:rFonts w:hint="eastAsia" w:hAnsi="宋体"/>
                <w:b/>
                <w:bCs/>
                <w:color w:val="auto"/>
                <w:sz w:val="24"/>
                <w:highlight w:val="none"/>
                <w:lang w:val="en-US" w:eastAsia="zh-CN"/>
              </w:rPr>
              <w:t>及排放量</w:t>
            </w:r>
            <w:r>
              <w:rPr>
                <w:rFonts w:hint="eastAsia" w:hAnsi="宋体"/>
                <w:b/>
                <w:bCs/>
                <w:color w:val="auto"/>
                <w:sz w:val="24"/>
                <w:highlight w:val="none"/>
              </w:rPr>
              <w:t>情况</w:t>
            </w:r>
          </w:p>
          <w:p w14:paraId="7A32A788">
            <w:pPr>
              <w:keepNext w:val="0"/>
              <w:keepLines w:val="0"/>
              <w:suppressLineNumbers w:val="0"/>
              <w:adjustRightInd w:val="0"/>
              <w:snapToGrid w:val="0"/>
              <w:spacing w:before="0" w:beforeAutospacing="0" w:after="0" w:afterAutospacing="0" w:line="440" w:lineRule="exact"/>
              <w:ind w:left="0" w:right="0" w:firstLine="480" w:firstLineChars="200"/>
              <w:rPr>
                <w:rFonts w:hint="default" w:hAnsi="宋体" w:eastAsia="宋体"/>
                <w:color w:val="auto"/>
                <w:sz w:val="24"/>
                <w:highlight w:val="none"/>
                <w:lang w:val="en-US" w:eastAsia="zh-CN"/>
              </w:rPr>
            </w:pPr>
            <w:r>
              <w:rPr>
                <w:rFonts w:hint="eastAsia" w:hAnsi="宋体"/>
                <w:color w:val="auto"/>
                <w:sz w:val="24"/>
                <w:highlight w:val="none"/>
                <w:lang w:eastAsia="zh-CN"/>
              </w:rPr>
              <w:t>（</w:t>
            </w:r>
            <w:r>
              <w:rPr>
                <w:rFonts w:hint="eastAsia" w:hAnsi="宋体"/>
                <w:color w:val="auto"/>
                <w:sz w:val="24"/>
                <w:highlight w:val="none"/>
                <w:lang w:val="en-US" w:eastAsia="zh-CN"/>
              </w:rPr>
              <w:t>1</w:t>
            </w:r>
            <w:r>
              <w:rPr>
                <w:rFonts w:hint="eastAsia" w:hAnsi="宋体"/>
                <w:color w:val="auto"/>
                <w:sz w:val="24"/>
                <w:highlight w:val="none"/>
                <w:lang w:eastAsia="zh-CN"/>
              </w:rPr>
              <w:t>）</w:t>
            </w:r>
            <w:r>
              <w:rPr>
                <w:rFonts w:hint="eastAsia" w:hAnsi="宋体"/>
                <w:color w:val="auto"/>
                <w:sz w:val="24"/>
                <w:highlight w:val="none"/>
                <w:lang w:val="en-US" w:eastAsia="zh-CN"/>
              </w:rPr>
              <w:t>本项目污染源排放口情况</w:t>
            </w:r>
          </w:p>
          <w:p w14:paraId="4008446D">
            <w:pPr>
              <w:keepNext w:val="0"/>
              <w:keepLines w:val="0"/>
              <w:suppressLineNumbers w:val="0"/>
              <w:adjustRightInd w:val="0"/>
              <w:snapToGrid w:val="0"/>
              <w:spacing w:before="0" w:beforeAutospacing="0" w:after="0" w:afterAutospacing="0" w:line="440" w:lineRule="exact"/>
              <w:ind w:left="0" w:right="0" w:firstLine="480" w:firstLineChars="200"/>
              <w:rPr>
                <w:rFonts w:hint="eastAsia" w:hAnsi="宋体"/>
                <w:color w:val="auto"/>
                <w:sz w:val="24"/>
                <w:highlight w:val="none"/>
              </w:rPr>
            </w:pPr>
            <w:r>
              <w:rPr>
                <w:rFonts w:hint="eastAsia" w:hAnsi="宋体"/>
                <w:color w:val="auto"/>
                <w:sz w:val="24"/>
                <w:highlight w:val="none"/>
              </w:rPr>
              <w:t>本项目有组织排放口基本情况见下表。</w:t>
            </w:r>
          </w:p>
          <w:p w14:paraId="4298CF2A">
            <w:pPr>
              <w:keepNext w:val="0"/>
              <w:keepLines w:val="0"/>
              <w:suppressLineNumbers w:val="0"/>
              <w:adjustRightInd w:val="0"/>
              <w:snapToGrid w:val="0"/>
              <w:spacing w:before="0" w:beforeAutospacing="0" w:after="0" w:afterAutospacing="0" w:line="440" w:lineRule="exact"/>
              <w:ind w:left="0" w:right="0"/>
              <w:jc w:val="center"/>
              <w:rPr>
                <w:rFonts w:hint="default" w:hAnsi="宋体" w:eastAsia="宋体"/>
                <w:color w:val="000000" w:themeColor="text1"/>
                <w:sz w:val="24"/>
                <w:highlight w:val="none"/>
                <w:lang w:val="en-US" w:eastAsia="zh-CN"/>
                <w14:textFill>
                  <w14:solidFill>
                    <w14:schemeClr w14:val="tx1"/>
                  </w14:solidFill>
                </w14:textFill>
              </w:rPr>
            </w:pPr>
            <w:r>
              <w:rPr>
                <w:rFonts w:hint="eastAsia" w:hAnsi="宋体"/>
                <w:b/>
                <w:bCs/>
                <w:color w:val="000000" w:themeColor="text1"/>
                <w:sz w:val="24"/>
                <w:highlight w:val="none"/>
                <w:lang w:val="en-US" w:eastAsia="zh-CN"/>
                <w14:textFill>
                  <w14:solidFill>
                    <w14:schemeClr w14:val="tx1"/>
                  </w14:solidFill>
                </w14:textFill>
              </w:rPr>
              <w:t>表23  本项目有组织排放源基本情况</w:t>
            </w:r>
          </w:p>
          <w:tbl>
            <w:tblPr>
              <w:tblStyle w:val="23"/>
              <w:tblW w:w="8614" w:type="dxa"/>
              <w:jc w:val="center"/>
              <w:tblBorders>
                <w:top w:val="single" w:color="auto" w:sz="4"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5964"/>
            </w:tblGrid>
            <w:tr w14:paraId="4BAFAF01">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pct"/>
                  <w:tcBorders>
                    <w:top w:val="single" w:color="auto" w:sz="8" w:space="0"/>
                    <w:bottom w:val="single" w:color="auto" w:sz="8" w:space="0"/>
                    <w:right w:val="single" w:color="auto" w:sz="4" w:space="0"/>
                  </w:tcBorders>
                  <w:vAlign w:val="center"/>
                </w:tcPr>
                <w:p w14:paraId="760EA54C">
                  <w:pPr>
                    <w:keepNext w:val="0"/>
                    <w:keepLines w:val="0"/>
                    <w:suppressLineNumbers w:val="0"/>
                    <w:adjustRightInd w:val="0"/>
                    <w:snapToGrid w:val="0"/>
                    <w:spacing w:before="0" w:beforeAutospacing="0" w:after="0" w:afterAutospacing="0" w:line="240" w:lineRule="auto"/>
                    <w:ind w:left="0" w:right="0"/>
                    <w:jc w:val="center"/>
                    <w:rPr>
                      <w:rFonts w:hint="default" w:hAnsi="宋体"/>
                      <w:b/>
                      <w:bCs/>
                      <w:color w:val="000000" w:themeColor="text1"/>
                      <w:sz w:val="21"/>
                      <w:szCs w:val="21"/>
                      <w:highlight w:val="none"/>
                      <w:vertAlign w:val="baseline"/>
                      <w:lang w:val="en-US" w:eastAsia="zh-CN"/>
                      <w14:textFill>
                        <w14:solidFill>
                          <w14:schemeClr w14:val="tx1"/>
                        </w14:solidFill>
                      </w14:textFill>
                    </w:rPr>
                  </w:pPr>
                  <w:r>
                    <w:rPr>
                      <w:rFonts w:hint="eastAsia" w:hAnsi="宋体"/>
                      <w:b/>
                      <w:bCs/>
                      <w:color w:val="000000" w:themeColor="text1"/>
                      <w:sz w:val="21"/>
                      <w:szCs w:val="21"/>
                      <w:highlight w:val="none"/>
                      <w:vertAlign w:val="baseline"/>
                      <w:lang w:val="en-US" w:eastAsia="zh-CN"/>
                      <w14:textFill>
                        <w14:solidFill>
                          <w14:schemeClr w14:val="tx1"/>
                        </w14:solidFill>
                      </w14:textFill>
                    </w:rPr>
                    <w:t>名称</w:t>
                  </w:r>
                </w:p>
              </w:tc>
              <w:tc>
                <w:tcPr>
                  <w:tcW w:w="3461" w:type="pct"/>
                  <w:tcBorders>
                    <w:top w:val="single" w:color="auto" w:sz="8" w:space="0"/>
                    <w:left w:val="single" w:color="auto" w:sz="4" w:space="0"/>
                    <w:bottom w:val="single" w:color="auto" w:sz="8" w:space="0"/>
                    <w:right w:val="nil"/>
                  </w:tcBorders>
                  <w:vAlign w:val="center"/>
                </w:tcPr>
                <w:p w14:paraId="293A6EBA">
                  <w:pPr>
                    <w:keepNext w:val="0"/>
                    <w:keepLines w:val="0"/>
                    <w:suppressLineNumbers w:val="0"/>
                    <w:adjustRightInd w:val="0"/>
                    <w:snapToGrid w:val="0"/>
                    <w:spacing w:before="0" w:beforeAutospacing="0" w:after="0" w:afterAutospacing="0" w:line="240" w:lineRule="auto"/>
                    <w:ind w:left="0" w:right="0"/>
                    <w:jc w:val="center"/>
                    <w:rPr>
                      <w:rFonts w:hint="default" w:hAnsi="宋体"/>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i w:val="0"/>
                      <w:iCs w:val="0"/>
                      <w:color w:val="000000"/>
                      <w:kern w:val="0"/>
                      <w:sz w:val="21"/>
                      <w:szCs w:val="21"/>
                      <w:highlight w:val="none"/>
                      <w:u w:val="none"/>
                      <w:lang w:val="en-US" w:eastAsia="zh-CN" w:bidi="ar"/>
                    </w:rPr>
                    <w:t>打毛废气排放口</w:t>
                  </w:r>
                </w:p>
              </w:tc>
            </w:tr>
            <w:tr w14:paraId="5726EAFA">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pct"/>
                  <w:tcBorders>
                    <w:top w:val="single" w:color="auto" w:sz="8" w:space="0"/>
                    <w:tl2br w:val="nil"/>
                    <w:tr2bl w:val="nil"/>
                  </w:tcBorders>
                  <w:vAlign w:val="center"/>
                </w:tcPr>
                <w:p w14:paraId="3592DE38">
                  <w:pPr>
                    <w:keepNext w:val="0"/>
                    <w:keepLines w:val="0"/>
                    <w:suppressLineNumbers w:val="0"/>
                    <w:adjustRightInd w:val="0"/>
                    <w:snapToGrid w:val="0"/>
                    <w:spacing w:before="0" w:beforeAutospacing="0" w:after="0" w:afterAutospacing="0" w:line="240" w:lineRule="auto"/>
                    <w:ind w:left="0" w:right="0" w:rightChars="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编号</w:t>
                  </w:r>
                </w:p>
              </w:tc>
              <w:tc>
                <w:tcPr>
                  <w:tcW w:w="3461" w:type="pct"/>
                  <w:tcBorders>
                    <w:top w:val="single" w:color="auto" w:sz="8" w:space="0"/>
                    <w:tl2br w:val="nil"/>
                    <w:tr2bl w:val="nil"/>
                  </w:tcBorders>
                  <w:vAlign w:val="center"/>
                </w:tcPr>
                <w:p w14:paraId="1BB3D30A">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DA001</w:t>
                  </w:r>
                </w:p>
              </w:tc>
            </w:tr>
            <w:tr w14:paraId="326DEA6B">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pct"/>
                  <w:tcBorders>
                    <w:tl2br w:val="nil"/>
                    <w:tr2bl w:val="nil"/>
                  </w:tcBorders>
                  <w:vAlign w:val="center"/>
                </w:tcPr>
                <w:p w14:paraId="268F7AF5">
                  <w:pPr>
                    <w:keepNext w:val="0"/>
                    <w:keepLines w:val="0"/>
                    <w:suppressLineNumbers w:val="0"/>
                    <w:adjustRightInd w:val="0"/>
                    <w:snapToGrid w:val="0"/>
                    <w:spacing w:before="0" w:beforeAutospacing="0" w:after="0" w:afterAutospacing="0" w:line="240" w:lineRule="auto"/>
                    <w:ind w:left="0" w:right="0" w:rightChars="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排气筒</w:t>
                  </w:r>
                </w:p>
                <w:p w14:paraId="19852B6F">
                  <w:pPr>
                    <w:keepNext w:val="0"/>
                    <w:keepLines w:val="0"/>
                    <w:suppressLineNumbers w:val="0"/>
                    <w:adjustRightInd w:val="0"/>
                    <w:snapToGrid w:val="0"/>
                    <w:spacing w:before="0" w:beforeAutospacing="0" w:after="0" w:afterAutospacing="0" w:line="240" w:lineRule="auto"/>
                    <w:ind w:left="0" w:right="0" w:rightChars="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中心坐标</w:t>
                  </w:r>
                </w:p>
              </w:tc>
              <w:tc>
                <w:tcPr>
                  <w:tcW w:w="3461" w:type="pct"/>
                  <w:tcBorders>
                    <w:tl2br w:val="nil"/>
                    <w:tr2bl w:val="nil"/>
                  </w:tcBorders>
                  <w:vAlign w:val="center"/>
                </w:tcPr>
                <w:p w14:paraId="42A15153">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经度：</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113</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47</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30.84364</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p w14:paraId="789AA8E9">
                  <w:pPr>
                    <w:keepNext w:val="0"/>
                    <w:keepLines w:val="0"/>
                    <w:suppressLineNumbers w:val="0"/>
                    <w:adjustRightInd w:val="0"/>
                    <w:snapToGrid w:val="0"/>
                    <w:spacing w:before="0" w:beforeAutospacing="0" w:after="0" w:afterAutospacing="0" w:line="240" w:lineRule="auto"/>
                    <w:ind w:left="0" w:right="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纬度：35°</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12</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32.59228</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tc>
            </w:tr>
            <w:tr w14:paraId="782CB045">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pct"/>
                  <w:tcBorders>
                    <w:tl2br w:val="nil"/>
                    <w:tr2bl w:val="nil"/>
                  </w:tcBorders>
                  <w:vAlign w:val="center"/>
                </w:tcPr>
                <w:p w14:paraId="19F47AEC">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排气筒高度</w:t>
                  </w:r>
                </w:p>
              </w:tc>
              <w:tc>
                <w:tcPr>
                  <w:tcW w:w="3461" w:type="pct"/>
                  <w:tcBorders>
                    <w:tl2br w:val="nil"/>
                    <w:tr2bl w:val="nil"/>
                  </w:tcBorders>
                  <w:vAlign w:val="center"/>
                </w:tcPr>
                <w:p w14:paraId="3877E82A">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15m</w:t>
                  </w:r>
                </w:p>
              </w:tc>
            </w:tr>
            <w:tr w14:paraId="1777082F">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pct"/>
                  <w:tcBorders>
                    <w:tl2br w:val="nil"/>
                    <w:tr2bl w:val="nil"/>
                  </w:tcBorders>
                  <w:vAlign w:val="center"/>
                </w:tcPr>
                <w:p w14:paraId="142D9120">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排气筒内径</w:t>
                  </w:r>
                </w:p>
              </w:tc>
              <w:tc>
                <w:tcPr>
                  <w:tcW w:w="3461" w:type="pct"/>
                  <w:tcBorders>
                    <w:tl2br w:val="nil"/>
                    <w:tr2bl w:val="nil"/>
                  </w:tcBorders>
                  <w:vAlign w:val="center"/>
                </w:tcPr>
                <w:p w14:paraId="3B28AA1D">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0.3m</w:t>
                  </w:r>
                </w:p>
              </w:tc>
            </w:tr>
            <w:tr w14:paraId="42DDEA51">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pct"/>
                  <w:tcBorders>
                    <w:tl2br w:val="nil"/>
                    <w:tr2bl w:val="nil"/>
                  </w:tcBorders>
                  <w:vAlign w:val="center"/>
                </w:tcPr>
                <w:p w14:paraId="0BA64541">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类型</w:t>
                  </w:r>
                </w:p>
              </w:tc>
              <w:tc>
                <w:tcPr>
                  <w:tcW w:w="3461" w:type="pct"/>
                  <w:tcBorders>
                    <w:tl2br w:val="nil"/>
                    <w:tr2bl w:val="nil"/>
                  </w:tcBorders>
                  <w:vAlign w:val="center"/>
                </w:tcPr>
                <w:p w14:paraId="4457AC78">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一般排放口</w:t>
                  </w:r>
                </w:p>
              </w:tc>
            </w:tr>
            <w:tr w14:paraId="0906945A">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pct"/>
                  <w:tcBorders>
                    <w:tl2br w:val="nil"/>
                    <w:tr2bl w:val="nil"/>
                  </w:tcBorders>
                  <w:vAlign w:val="center"/>
                </w:tcPr>
                <w:p w14:paraId="2DA9D71F">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烟气温度</w:t>
                  </w:r>
                </w:p>
              </w:tc>
              <w:tc>
                <w:tcPr>
                  <w:tcW w:w="3461" w:type="pct"/>
                  <w:tcBorders>
                    <w:tl2br w:val="nil"/>
                    <w:tr2bl w:val="nil"/>
                  </w:tcBorders>
                  <w:vAlign w:val="center"/>
                </w:tcPr>
                <w:p w14:paraId="2FF8D8B1">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25</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tc>
            </w:tr>
            <w:tr w14:paraId="2CFD4CCD">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pct"/>
                  <w:tcBorders>
                    <w:tl2br w:val="nil"/>
                    <w:tr2bl w:val="nil"/>
                  </w:tcBorders>
                  <w:vAlign w:val="center"/>
                </w:tcPr>
                <w:p w14:paraId="4EAF9493">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排放污染物</w:t>
                  </w:r>
                </w:p>
              </w:tc>
              <w:tc>
                <w:tcPr>
                  <w:tcW w:w="3461" w:type="pct"/>
                  <w:tcBorders>
                    <w:tl2br w:val="nil"/>
                    <w:tr2bl w:val="nil"/>
                  </w:tcBorders>
                  <w:vAlign w:val="center"/>
                </w:tcPr>
                <w:p w14:paraId="5C91CEB1">
                  <w:pPr>
                    <w:keepNext w:val="0"/>
                    <w:keepLines w:val="0"/>
                    <w:suppressLineNumbers w:val="0"/>
                    <w:adjustRightInd w:val="0"/>
                    <w:snapToGrid w:val="0"/>
                    <w:spacing w:before="0" w:beforeAutospacing="0" w:after="0" w:afterAutospacing="0" w:line="240" w:lineRule="auto"/>
                    <w:ind w:left="0" w:right="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color w:val="auto"/>
                      <w:sz w:val="21"/>
                      <w:szCs w:val="21"/>
                      <w:highlight w:val="none"/>
                      <w:lang w:val="en-US" w:eastAsia="zh-CN"/>
                    </w:rPr>
                    <w:t>颗粒物</w:t>
                  </w:r>
                </w:p>
              </w:tc>
            </w:tr>
            <w:tr w14:paraId="5DE3CE6E">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8" w:type="pct"/>
                  <w:tcBorders>
                    <w:tl2br w:val="nil"/>
                    <w:tr2bl w:val="nil"/>
                  </w:tcBorders>
                  <w:vAlign w:val="center"/>
                </w:tcPr>
                <w:p w14:paraId="28B85177">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执行标准</w:t>
                  </w:r>
                </w:p>
              </w:tc>
              <w:tc>
                <w:tcPr>
                  <w:tcW w:w="3461" w:type="pct"/>
                  <w:tcBorders>
                    <w:tl2br w:val="nil"/>
                    <w:tr2bl w:val="nil"/>
                  </w:tcBorders>
                  <w:vAlign w:val="center"/>
                </w:tcPr>
                <w:p w14:paraId="44F4DEAA">
                  <w:pPr>
                    <w:keepNext w:val="0"/>
                    <w:keepLines w:val="0"/>
                    <w:suppressLineNumbers w:val="0"/>
                    <w:adjustRightInd w:val="0"/>
                    <w:snapToGrid w:val="0"/>
                    <w:spacing w:before="0" w:beforeAutospacing="0" w:after="0" w:afterAutospacing="0" w:line="240" w:lineRule="auto"/>
                    <w:ind w:left="0" w:right="0"/>
                    <w:jc w:val="left"/>
                    <w:rPr>
                      <w:rFonts w:hint="eastAsia" w:hAnsi="宋体"/>
                      <w:color w:val="auto"/>
                      <w:sz w:val="21"/>
                      <w:szCs w:val="21"/>
                      <w:highlight w:val="none"/>
                      <w:lang w:val="en-US" w:eastAsia="zh-CN"/>
                    </w:rPr>
                  </w:pPr>
                  <w:r>
                    <w:rPr>
                      <w:rFonts w:hint="eastAsia" w:hAnsi="宋体"/>
                      <w:color w:val="auto"/>
                      <w:sz w:val="21"/>
                      <w:szCs w:val="21"/>
                      <w:highlight w:val="none"/>
                      <w:lang w:val="en-US" w:eastAsia="zh-CN"/>
                    </w:rPr>
                    <w:t>《大气污染物综合排放标准》（GB16297-1996）、《新乡市生态环境局关于进一步规范工业企业颗粒物排放限值的通知》</w:t>
                  </w:r>
                </w:p>
              </w:tc>
            </w:tr>
          </w:tbl>
          <w:p w14:paraId="0DBD30D5">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eastAsia" w:hAnsi="宋体" w:eastAsia="宋体"/>
                <w:b w:val="0"/>
                <w:bCs w:val="0"/>
                <w:color w:val="000000" w:themeColor="text1"/>
                <w:sz w:val="24"/>
                <w:highlight w:val="none"/>
                <w:lang w:val="en-US" w:eastAsia="zh-CN"/>
                <w14:textFill>
                  <w14:solidFill>
                    <w14:schemeClr w14:val="tx1"/>
                  </w14:solidFill>
                </w14:textFill>
              </w:rPr>
            </w:pPr>
            <w:r>
              <w:rPr>
                <w:rFonts w:hint="default" w:hAnsi="宋体"/>
                <w:sz w:val="24"/>
              </w:rPr>
              <w:t>本项目无组织排放源基本情况见下表</w:t>
            </w:r>
            <w:r>
              <w:rPr>
                <w:rFonts w:hint="eastAsia" w:hAnsi="宋体"/>
                <w:sz w:val="24"/>
                <w:lang w:eastAsia="zh-CN"/>
              </w:rPr>
              <w:t>。</w:t>
            </w:r>
          </w:p>
          <w:p w14:paraId="0D1C7A0F">
            <w:pPr>
              <w:keepNext w:val="0"/>
              <w:keepLines w:val="0"/>
              <w:suppressLineNumbers w:val="0"/>
              <w:adjustRightInd w:val="0"/>
              <w:snapToGrid w:val="0"/>
              <w:spacing w:before="0" w:beforeAutospacing="0" w:after="0" w:afterAutospacing="0" w:line="440" w:lineRule="exact"/>
              <w:ind w:left="0" w:right="0"/>
              <w:jc w:val="center"/>
              <w:rPr>
                <w:rFonts w:hint="default" w:hAnsi="宋体" w:eastAsia="宋体"/>
                <w:color w:val="000000" w:themeColor="text1"/>
                <w:sz w:val="24"/>
                <w:highlight w:val="none"/>
                <w:lang w:val="en-US" w:eastAsia="zh-CN"/>
                <w14:textFill>
                  <w14:solidFill>
                    <w14:schemeClr w14:val="tx1"/>
                  </w14:solidFill>
                </w14:textFill>
              </w:rPr>
            </w:pPr>
            <w:r>
              <w:rPr>
                <w:rFonts w:hint="eastAsia" w:hAnsi="宋体"/>
                <w:b/>
                <w:bCs/>
                <w:color w:val="000000" w:themeColor="text1"/>
                <w:sz w:val="24"/>
                <w:highlight w:val="none"/>
                <w:lang w:val="en-US" w:eastAsia="zh-CN"/>
                <w14:textFill>
                  <w14:solidFill>
                    <w14:schemeClr w14:val="tx1"/>
                  </w14:solidFill>
                </w14:textFill>
              </w:rPr>
              <w:t>表24  本项目无组织排放源基本情况</w:t>
            </w:r>
          </w:p>
          <w:tbl>
            <w:tblPr>
              <w:tblStyle w:val="23"/>
              <w:tblW w:w="5000" w:type="pct"/>
              <w:jc w:val="center"/>
              <w:tblBorders>
                <w:top w:val="single" w:color="auto" w:sz="4"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651"/>
              <w:gridCol w:w="1050"/>
              <w:gridCol w:w="6238"/>
            </w:tblGrid>
            <w:tr w14:paraId="74D57EC7">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tcBorders>
                    <w:top w:val="single" w:color="auto" w:sz="8" w:space="0"/>
                    <w:bottom w:val="single" w:color="auto" w:sz="8" w:space="0"/>
                    <w:right w:val="single" w:color="auto" w:sz="4" w:space="0"/>
                  </w:tcBorders>
                  <w:vAlign w:val="center"/>
                </w:tcPr>
                <w:p w14:paraId="793B768E">
                  <w:pPr>
                    <w:keepNext w:val="0"/>
                    <w:keepLines w:val="0"/>
                    <w:suppressLineNumbers w:val="0"/>
                    <w:adjustRightInd w:val="0"/>
                    <w:snapToGrid w:val="0"/>
                    <w:spacing w:before="0" w:beforeAutospacing="0" w:after="0" w:afterAutospacing="0" w:line="240" w:lineRule="auto"/>
                    <w:ind w:left="0" w:right="0"/>
                    <w:jc w:val="center"/>
                    <w:rPr>
                      <w:rFonts w:hint="default" w:hAnsi="宋体"/>
                      <w:b/>
                      <w:bCs/>
                      <w:color w:val="000000" w:themeColor="text1"/>
                      <w:sz w:val="21"/>
                      <w:szCs w:val="21"/>
                      <w:highlight w:val="none"/>
                      <w:vertAlign w:val="baseline"/>
                      <w:lang w:val="en-US" w:eastAsia="zh-CN"/>
                      <w14:textFill>
                        <w14:solidFill>
                          <w14:schemeClr w14:val="tx1"/>
                        </w14:solidFill>
                      </w14:textFill>
                    </w:rPr>
                  </w:pPr>
                  <w:r>
                    <w:rPr>
                      <w:rFonts w:hint="eastAsia" w:hAnsi="宋体"/>
                      <w:b/>
                      <w:bCs/>
                      <w:color w:val="000000" w:themeColor="text1"/>
                      <w:sz w:val="21"/>
                      <w:szCs w:val="21"/>
                      <w:highlight w:val="none"/>
                      <w:vertAlign w:val="baseline"/>
                      <w:lang w:val="en-US" w:eastAsia="zh-CN"/>
                      <w14:textFill>
                        <w14:solidFill>
                          <w14:schemeClr w14:val="tx1"/>
                        </w14:solidFill>
                      </w14:textFill>
                    </w:rPr>
                    <w:t>名称</w:t>
                  </w:r>
                </w:p>
              </w:tc>
              <w:tc>
                <w:tcPr>
                  <w:tcW w:w="651" w:type="dxa"/>
                  <w:tcBorders>
                    <w:top w:val="single" w:color="auto" w:sz="8" w:space="0"/>
                    <w:left w:val="single" w:color="auto" w:sz="4" w:space="0"/>
                    <w:bottom w:val="single" w:color="auto" w:sz="8" w:space="0"/>
                    <w:right w:val="single" w:color="auto" w:sz="4" w:space="0"/>
                  </w:tcBorders>
                  <w:vAlign w:val="center"/>
                </w:tcPr>
                <w:p w14:paraId="78DBF3EB">
                  <w:pPr>
                    <w:keepNext w:val="0"/>
                    <w:keepLines w:val="0"/>
                    <w:suppressLineNumbers w:val="0"/>
                    <w:adjustRightInd w:val="0"/>
                    <w:snapToGrid w:val="0"/>
                    <w:spacing w:before="0" w:beforeAutospacing="0" w:after="0" w:afterAutospacing="0" w:line="240" w:lineRule="auto"/>
                    <w:ind w:left="0" w:right="0"/>
                    <w:jc w:val="center"/>
                    <w:rPr>
                      <w:rFonts w:hint="default" w:cs="Times New Roman"/>
                      <w:b/>
                      <w:bCs/>
                      <w:i w:val="0"/>
                      <w:iCs w:val="0"/>
                      <w:color w:val="000000"/>
                      <w:kern w:val="0"/>
                      <w:sz w:val="21"/>
                      <w:szCs w:val="21"/>
                      <w:highlight w:val="none"/>
                      <w:u w:val="none"/>
                      <w:lang w:val="en-US" w:eastAsia="zh-CN" w:bidi="ar"/>
                    </w:rPr>
                  </w:pPr>
                  <w:r>
                    <w:rPr>
                      <w:rFonts w:hint="eastAsia" w:cs="Times New Roman"/>
                      <w:b/>
                      <w:bCs/>
                      <w:i w:val="0"/>
                      <w:iCs w:val="0"/>
                      <w:color w:val="000000"/>
                      <w:kern w:val="0"/>
                      <w:sz w:val="21"/>
                      <w:szCs w:val="21"/>
                      <w:highlight w:val="none"/>
                      <w:u w:val="none"/>
                      <w:lang w:val="en-US" w:eastAsia="zh-CN" w:bidi="ar"/>
                    </w:rPr>
                    <w:t>类型</w:t>
                  </w:r>
                </w:p>
              </w:tc>
              <w:tc>
                <w:tcPr>
                  <w:tcW w:w="1050" w:type="dxa"/>
                  <w:tcBorders>
                    <w:top w:val="single" w:color="auto" w:sz="8" w:space="0"/>
                    <w:left w:val="single" w:color="auto" w:sz="4" w:space="0"/>
                    <w:bottom w:val="single" w:color="auto" w:sz="8" w:space="0"/>
                    <w:right w:val="single" w:color="auto" w:sz="4" w:space="0"/>
                  </w:tcBorders>
                  <w:vAlign w:val="center"/>
                </w:tcPr>
                <w:p w14:paraId="68EC9D8A">
                  <w:pPr>
                    <w:keepNext w:val="0"/>
                    <w:keepLines w:val="0"/>
                    <w:suppressLineNumbers w:val="0"/>
                    <w:adjustRightInd w:val="0"/>
                    <w:snapToGrid w:val="0"/>
                    <w:spacing w:before="0" w:beforeAutospacing="0" w:after="0" w:afterAutospacing="0" w:line="240" w:lineRule="auto"/>
                    <w:ind w:left="0" w:right="0"/>
                    <w:jc w:val="center"/>
                    <w:rPr>
                      <w:rFonts w:hint="default" w:cs="Times New Roman"/>
                      <w:b/>
                      <w:bCs/>
                      <w:i w:val="0"/>
                      <w:iCs w:val="0"/>
                      <w:color w:val="000000"/>
                      <w:kern w:val="0"/>
                      <w:sz w:val="21"/>
                      <w:szCs w:val="21"/>
                      <w:highlight w:val="none"/>
                      <w:u w:val="none"/>
                      <w:lang w:val="en-US" w:eastAsia="zh-CN" w:bidi="ar"/>
                    </w:rPr>
                  </w:pPr>
                  <w:r>
                    <w:rPr>
                      <w:rFonts w:hint="eastAsia" w:cs="Times New Roman"/>
                      <w:b/>
                      <w:bCs/>
                      <w:i w:val="0"/>
                      <w:iCs w:val="0"/>
                      <w:color w:val="000000"/>
                      <w:kern w:val="0"/>
                      <w:sz w:val="21"/>
                      <w:szCs w:val="21"/>
                      <w:highlight w:val="none"/>
                      <w:u w:val="none"/>
                      <w:lang w:val="en-US" w:eastAsia="zh-CN" w:bidi="ar"/>
                    </w:rPr>
                    <w:t>污染物</w:t>
                  </w:r>
                </w:p>
              </w:tc>
              <w:tc>
                <w:tcPr>
                  <w:tcW w:w="6238" w:type="dxa"/>
                  <w:tcBorders>
                    <w:top w:val="single" w:color="auto" w:sz="8" w:space="0"/>
                    <w:left w:val="single" w:color="auto" w:sz="4" w:space="0"/>
                    <w:bottom w:val="single" w:color="auto" w:sz="8" w:space="0"/>
                  </w:tcBorders>
                  <w:vAlign w:val="center"/>
                </w:tcPr>
                <w:p w14:paraId="4BE02145">
                  <w:pPr>
                    <w:keepNext w:val="0"/>
                    <w:keepLines w:val="0"/>
                    <w:suppressLineNumbers w:val="0"/>
                    <w:adjustRightInd w:val="0"/>
                    <w:snapToGrid w:val="0"/>
                    <w:spacing w:before="0" w:beforeAutospacing="0" w:after="0" w:afterAutospacing="0" w:line="240" w:lineRule="auto"/>
                    <w:ind w:left="0" w:right="0"/>
                    <w:jc w:val="center"/>
                    <w:rPr>
                      <w:rFonts w:hint="default" w:cs="Times New Roman"/>
                      <w:b/>
                      <w:bCs/>
                      <w:i w:val="0"/>
                      <w:iCs w:val="0"/>
                      <w:color w:val="000000"/>
                      <w:kern w:val="0"/>
                      <w:sz w:val="21"/>
                      <w:szCs w:val="21"/>
                      <w:highlight w:val="none"/>
                      <w:u w:val="none"/>
                      <w:lang w:val="en-US" w:eastAsia="zh-CN" w:bidi="ar"/>
                    </w:rPr>
                  </w:pPr>
                  <w:r>
                    <w:rPr>
                      <w:rFonts w:hint="eastAsia" w:cs="Times New Roman"/>
                      <w:b/>
                      <w:bCs/>
                      <w:i w:val="0"/>
                      <w:iCs w:val="0"/>
                      <w:color w:val="000000"/>
                      <w:kern w:val="0"/>
                      <w:sz w:val="21"/>
                      <w:szCs w:val="21"/>
                      <w:highlight w:val="none"/>
                      <w:u w:val="none"/>
                      <w:lang w:val="en-US" w:eastAsia="zh-CN" w:bidi="ar"/>
                    </w:rPr>
                    <w:t>执行标准</w:t>
                  </w:r>
                </w:p>
              </w:tc>
            </w:tr>
            <w:tr w14:paraId="0999BAFF">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677" w:type="dxa"/>
                  <w:tcBorders>
                    <w:top w:val="single" w:color="auto" w:sz="8" w:space="0"/>
                    <w:tl2br w:val="nil"/>
                    <w:tr2bl w:val="nil"/>
                  </w:tcBorders>
                  <w:vAlign w:val="center"/>
                </w:tcPr>
                <w:p w14:paraId="5E7FF589">
                  <w:pPr>
                    <w:keepNext w:val="0"/>
                    <w:keepLines w:val="0"/>
                    <w:suppressLineNumbers w:val="0"/>
                    <w:adjustRightInd w:val="0"/>
                    <w:snapToGrid w:val="0"/>
                    <w:spacing w:before="0" w:beforeAutospacing="0" w:after="0" w:afterAutospacing="0" w:line="240" w:lineRule="auto"/>
                    <w:ind w:left="0" w:right="0" w:rightChars="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生产</w:t>
                  </w:r>
                </w:p>
                <w:p w14:paraId="1A62F1C5">
                  <w:pPr>
                    <w:keepNext w:val="0"/>
                    <w:keepLines w:val="0"/>
                    <w:suppressLineNumbers w:val="0"/>
                    <w:adjustRightInd w:val="0"/>
                    <w:snapToGrid w:val="0"/>
                    <w:spacing w:before="0" w:beforeAutospacing="0" w:after="0" w:afterAutospacing="0" w:line="240" w:lineRule="auto"/>
                    <w:ind w:left="0" w:right="0" w:rightChars="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车间</w:t>
                  </w:r>
                </w:p>
              </w:tc>
              <w:tc>
                <w:tcPr>
                  <w:tcW w:w="651" w:type="dxa"/>
                  <w:tcBorders>
                    <w:top w:val="single" w:color="auto" w:sz="8" w:space="0"/>
                    <w:tl2br w:val="nil"/>
                    <w:tr2bl w:val="nil"/>
                  </w:tcBorders>
                  <w:vAlign w:val="center"/>
                </w:tcPr>
                <w:p w14:paraId="662929D4">
                  <w:pPr>
                    <w:keepNext w:val="0"/>
                    <w:keepLines w:val="0"/>
                    <w:suppressLineNumbers w:val="0"/>
                    <w:adjustRightInd w:val="0"/>
                    <w:snapToGrid w:val="0"/>
                    <w:spacing w:before="0" w:beforeAutospacing="0" w:after="0" w:afterAutospacing="0" w:line="240" w:lineRule="auto"/>
                    <w:ind w:left="0" w:right="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无</w:t>
                  </w:r>
                </w:p>
                <w:p w14:paraId="40588FDA">
                  <w:pPr>
                    <w:keepNext w:val="0"/>
                    <w:keepLines w:val="0"/>
                    <w:suppressLineNumbers w:val="0"/>
                    <w:adjustRightInd w:val="0"/>
                    <w:snapToGrid w:val="0"/>
                    <w:spacing w:before="0" w:beforeAutospacing="0" w:after="0" w:afterAutospacing="0" w:line="240" w:lineRule="auto"/>
                    <w:ind w:left="0" w:right="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组</w:t>
                  </w:r>
                </w:p>
                <w:p w14:paraId="6603A261">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织</w:t>
                  </w:r>
                </w:p>
              </w:tc>
              <w:tc>
                <w:tcPr>
                  <w:tcW w:w="1050" w:type="dxa"/>
                  <w:tcBorders>
                    <w:top w:val="single" w:color="auto" w:sz="8" w:space="0"/>
                    <w:tl2br w:val="nil"/>
                    <w:tr2bl w:val="nil"/>
                  </w:tcBorders>
                  <w:vAlign w:val="center"/>
                </w:tcPr>
                <w:p w14:paraId="5921C7A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颗粒物</w:t>
                  </w:r>
                </w:p>
              </w:tc>
              <w:tc>
                <w:tcPr>
                  <w:tcW w:w="6238" w:type="dxa"/>
                  <w:tcBorders>
                    <w:top w:val="single" w:color="auto" w:sz="8" w:space="0"/>
                    <w:tl2br w:val="nil"/>
                    <w:tr2bl w:val="nil"/>
                  </w:tcBorders>
                  <w:vAlign w:val="center"/>
                </w:tcPr>
                <w:p w14:paraId="40AC921C">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auto"/>
                      <w:kern w:val="2"/>
                      <w:sz w:val="21"/>
                      <w:szCs w:val="21"/>
                      <w:highlight w:val="none"/>
                      <w:lang w:val="en-US" w:eastAsia="zh-CN" w:bidi="ar-SA"/>
                    </w:rPr>
                    <w:t>《大气污染物综合排放标准》（GB16297-</w:t>
                  </w:r>
                  <w:r>
                    <w:rPr>
                      <w:rFonts w:hint="eastAsia" w:ascii="Times New Roman" w:hAnsi="Times New Roman" w:eastAsia="宋体" w:cs="Times New Roman"/>
                      <w:b w:val="0"/>
                      <w:bCs/>
                      <w:color w:val="auto"/>
                      <w:kern w:val="2"/>
                      <w:sz w:val="21"/>
                      <w:szCs w:val="21"/>
                      <w:highlight w:val="none"/>
                      <w:lang w:val="en-US" w:eastAsia="zh-CN" w:bidi="ar-SA"/>
                    </w:rPr>
                    <w:t xml:space="preserve"> </w:t>
                  </w:r>
                  <w:r>
                    <w:rPr>
                      <w:rFonts w:hint="default" w:ascii="Times New Roman" w:hAnsi="Times New Roman" w:eastAsia="宋体" w:cs="Times New Roman"/>
                      <w:b w:val="0"/>
                      <w:bCs/>
                      <w:color w:val="auto"/>
                      <w:kern w:val="2"/>
                      <w:sz w:val="21"/>
                      <w:szCs w:val="21"/>
                      <w:highlight w:val="none"/>
                      <w:lang w:val="en-US" w:eastAsia="zh-CN" w:bidi="ar-SA"/>
                    </w:rPr>
                    <w:t>1996）</w:t>
                  </w:r>
                  <w:r>
                    <w:rPr>
                      <w:rFonts w:hint="eastAsia" w:ascii="Times New Roman" w:hAnsi="Times New Roman" w:eastAsia="宋体" w:cs="Times New Roman"/>
                      <w:b w:val="0"/>
                      <w:bCs/>
                      <w:color w:val="auto"/>
                      <w:kern w:val="2"/>
                      <w:sz w:val="21"/>
                      <w:szCs w:val="21"/>
                      <w:highlight w:val="none"/>
                      <w:lang w:val="en-US" w:eastAsia="zh-CN" w:bidi="ar-SA"/>
                    </w:rPr>
                    <w:t>、</w:t>
                  </w:r>
                  <w:r>
                    <w:rPr>
                      <w:rFonts w:hint="default" w:ascii="Times New Roman" w:hAnsi="Times New Roman" w:eastAsia="宋体" w:cs="Times New Roman"/>
                      <w:b w:val="0"/>
                      <w:bCs/>
                      <w:color w:val="auto"/>
                      <w:kern w:val="2"/>
                      <w:sz w:val="21"/>
                      <w:szCs w:val="21"/>
                      <w:highlight w:val="none"/>
                      <w:lang w:val="en-US" w:eastAsia="zh-CN" w:bidi="ar-SA"/>
                    </w:rPr>
                    <w:t>《新乡市生态环境局关于进一步规范工业企业颗粒物放限值的通知》</w:t>
                  </w:r>
                </w:p>
              </w:tc>
            </w:tr>
          </w:tbl>
          <w:p w14:paraId="5EB054D2">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eastAsia" w:hAnsi="宋体"/>
                <w:b w:val="0"/>
                <w:bCs w:val="0"/>
                <w:color w:val="000000" w:themeColor="text1"/>
                <w:sz w:val="24"/>
                <w:highlight w:val="none"/>
                <w:lang w:val="en-US" w:eastAsia="zh-CN"/>
                <w14:textFill>
                  <w14:solidFill>
                    <w14:schemeClr w14:val="tx1"/>
                  </w14:solidFill>
                </w14:textFill>
              </w:rPr>
            </w:pPr>
            <w:r>
              <w:rPr>
                <w:rFonts w:hint="eastAsia" w:hAnsi="宋体"/>
                <w:color w:val="auto"/>
                <w:sz w:val="24"/>
                <w:highlight w:val="none"/>
                <w:lang w:eastAsia="zh-CN"/>
              </w:rPr>
              <w:t>（</w:t>
            </w:r>
            <w:r>
              <w:rPr>
                <w:rFonts w:hint="eastAsia" w:hAnsi="宋体"/>
                <w:color w:val="auto"/>
                <w:sz w:val="24"/>
                <w:highlight w:val="none"/>
                <w:lang w:val="en-US" w:eastAsia="zh-CN"/>
              </w:rPr>
              <w:t>2</w:t>
            </w:r>
            <w:r>
              <w:rPr>
                <w:rFonts w:hint="eastAsia" w:hAnsi="宋体"/>
                <w:color w:val="auto"/>
                <w:sz w:val="24"/>
                <w:highlight w:val="none"/>
                <w:lang w:eastAsia="zh-CN"/>
              </w:rPr>
              <w:t>）</w:t>
            </w:r>
            <w:r>
              <w:rPr>
                <w:rFonts w:hint="eastAsia" w:hAnsi="宋体"/>
                <w:color w:val="auto"/>
                <w:sz w:val="24"/>
                <w:highlight w:val="none"/>
                <w:lang w:val="en-US" w:eastAsia="zh-CN"/>
              </w:rPr>
              <w:t>本项目污染物排放量情况</w:t>
            </w:r>
          </w:p>
          <w:p w14:paraId="008CA7B4">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default" w:hAnsi="宋体"/>
                <w:b w:val="0"/>
                <w:bCs w:val="0"/>
                <w:color w:val="000000" w:themeColor="text1"/>
                <w:sz w:val="24"/>
                <w:highlight w:val="none"/>
                <w:lang w:val="en-US" w:eastAsia="zh-CN"/>
                <w14:textFill>
                  <w14:solidFill>
                    <w14:schemeClr w14:val="tx1"/>
                  </w14:solidFill>
                </w14:textFill>
              </w:rPr>
            </w:pPr>
            <w:r>
              <w:rPr>
                <w:rFonts w:hint="eastAsia" w:hAnsi="宋体"/>
                <w:b w:val="0"/>
                <w:bCs w:val="0"/>
                <w:color w:val="000000" w:themeColor="text1"/>
                <w:sz w:val="24"/>
                <w:highlight w:val="none"/>
                <w:lang w:val="en-US" w:eastAsia="zh-CN"/>
                <w14:textFill>
                  <w14:solidFill>
                    <w14:schemeClr w14:val="tx1"/>
                  </w14:solidFill>
                </w14:textFill>
              </w:rPr>
              <w:t>本项目大气污染物排放情况见下表。</w:t>
            </w:r>
          </w:p>
          <w:p w14:paraId="16CB08F3">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jc w:val="center"/>
              <w:rPr>
                <w:rFonts w:hint="default" w:hAnsi="宋体"/>
                <w:b/>
                <w:bCs/>
                <w:color w:val="000000" w:themeColor="text1"/>
                <w:sz w:val="24"/>
                <w:highlight w:val="none"/>
                <w:lang w:val="en-US" w:eastAsia="zh-CN"/>
                <w14:textFill>
                  <w14:solidFill>
                    <w14:schemeClr w14:val="tx1"/>
                  </w14:solidFill>
                </w14:textFill>
              </w:rPr>
            </w:pPr>
            <w:r>
              <w:rPr>
                <w:rFonts w:hint="eastAsia" w:hAnsi="宋体"/>
                <w:b/>
                <w:bCs/>
                <w:color w:val="000000" w:themeColor="text1"/>
                <w:sz w:val="24"/>
                <w:highlight w:val="none"/>
                <w:lang w:val="en-US" w:eastAsia="zh-CN"/>
                <w14:textFill>
                  <w14:solidFill>
                    <w14:schemeClr w14:val="tx1"/>
                  </w14:solidFill>
                </w14:textFill>
              </w:rPr>
              <w:t>表25  本项目大气污染物排放一览表</w:t>
            </w:r>
          </w:p>
          <w:tbl>
            <w:tblPr>
              <w:tblStyle w:val="23"/>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54"/>
              <w:gridCol w:w="2154"/>
              <w:gridCol w:w="2154"/>
              <w:gridCol w:w="2154"/>
            </w:tblGrid>
            <w:tr w14:paraId="41F859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54" w:type="dxa"/>
                  <w:tcBorders>
                    <w:top w:val="single" w:color="auto" w:sz="8" w:space="0"/>
                    <w:bottom w:val="single" w:color="auto" w:sz="8" w:space="0"/>
                  </w:tcBorders>
                  <w:vAlign w:val="center"/>
                </w:tcPr>
                <w:p w14:paraId="638315AA">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污染物</w:t>
                  </w:r>
                </w:p>
              </w:tc>
              <w:tc>
                <w:tcPr>
                  <w:tcW w:w="2154" w:type="dxa"/>
                  <w:tcBorders>
                    <w:top w:val="single" w:color="auto" w:sz="8" w:space="0"/>
                    <w:bottom w:val="single" w:color="auto" w:sz="8" w:space="0"/>
                  </w:tcBorders>
                  <w:vAlign w:val="center"/>
                </w:tcPr>
                <w:p w14:paraId="0EDBDB77">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有组织排放量t/a</w:t>
                  </w:r>
                </w:p>
              </w:tc>
              <w:tc>
                <w:tcPr>
                  <w:tcW w:w="2154" w:type="dxa"/>
                  <w:tcBorders>
                    <w:top w:val="single" w:color="auto" w:sz="8" w:space="0"/>
                    <w:bottom w:val="single" w:color="auto" w:sz="8" w:space="0"/>
                  </w:tcBorders>
                  <w:vAlign w:val="center"/>
                </w:tcPr>
                <w:p w14:paraId="790E84A7">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无组织排放量t/a</w:t>
                  </w:r>
                </w:p>
              </w:tc>
              <w:tc>
                <w:tcPr>
                  <w:tcW w:w="2154" w:type="dxa"/>
                  <w:tcBorders>
                    <w:top w:val="single" w:color="auto" w:sz="8" w:space="0"/>
                    <w:bottom w:val="single" w:color="auto" w:sz="8" w:space="0"/>
                  </w:tcBorders>
                  <w:vAlign w:val="center"/>
                </w:tcPr>
                <w:p w14:paraId="7C21BEDA">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总计t/a</w:t>
                  </w:r>
                </w:p>
              </w:tc>
            </w:tr>
            <w:tr w14:paraId="6363E7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54" w:type="dxa"/>
                  <w:tcBorders>
                    <w:top w:val="single" w:color="auto" w:sz="8" w:space="0"/>
                    <w:bottom w:val="single" w:color="auto" w:sz="8" w:space="0"/>
                  </w:tcBorders>
                  <w:vAlign w:val="center"/>
                </w:tcPr>
                <w:p w14:paraId="0FEBF8AB">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颗粒物</w:t>
                  </w:r>
                </w:p>
              </w:tc>
              <w:tc>
                <w:tcPr>
                  <w:tcW w:w="2154" w:type="dxa"/>
                  <w:tcBorders>
                    <w:top w:val="single" w:color="auto" w:sz="8" w:space="0"/>
                    <w:bottom w:val="single" w:color="auto" w:sz="8" w:space="0"/>
                  </w:tcBorders>
                  <w:vAlign w:val="center"/>
                </w:tcPr>
                <w:p w14:paraId="416B496A">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0.0215</w:t>
                  </w:r>
                </w:p>
              </w:tc>
              <w:tc>
                <w:tcPr>
                  <w:tcW w:w="2154" w:type="dxa"/>
                  <w:tcBorders>
                    <w:top w:val="single" w:color="auto" w:sz="8" w:space="0"/>
                    <w:bottom w:val="single" w:color="auto" w:sz="8" w:space="0"/>
                  </w:tcBorders>
                  <w:vAlign w:val="center"/>
                </w:tcPr>
                <w:p w14:paraId="69FD99B4">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w:t>
                  </w: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0088</w:t>
                  </w:r>
                </w:p>
              </w:tc>
              <w:tc>
                <w:tcPr>
                  <w:tcW w:w="2154" w:type="dxa"/>
                  <w:tcBorders>
                    <w:top w:val="single" w:color="auto" w:sz="8" w:space="0"/>
                    <w:bottom w:val="single" w:color="auto" w:sz="8" w:space="0"/>
                  </w:tcBorders>
                  <w:vAlign w:val="center"/>
                </w:tcPr>
                <w:p w14:paraId="17926E38">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0.0303</w:t>
                  </w:r>
                </w:p>
              </w:tc>
            </w:tr>
          </w:tbl>
          <w:p w14:paraId="26AD549D">
            <w:pPr>
              <w:keepNext w:val="0"/>
              <w:keepLines w:val="0"/>
              <w:suppressLineNumbers w:val="0"/>
              <w:adjustRightInd w:val="0"/>
              <w:snapToGrid w:val="0"/>
              <w:spacing w:before="0" w:beforeAutospacing="0" w:after="0" w:afterAutospacing="0" w:line="440" w:lineRule="exact"/>
              <w:ind w:left="0" w:right="0" w:firstLine="482" w:firstLineChars="200"/>
              <w:rPr>
                <w:rFonts w:hint="eastAsia" w:hAnsi="宋体" w:eastAsia="宋体"/>
                <w:lang w:val="en-US" w:eastAsia="zh-CN"/>
              </w:rPr>
            </w:pPr>
            <w:r>
              <w:rPr>
                <w:rFonts w:hint="eastAsia" w:hAnsi="宋体"/>
                <w:b/>
                <w:bCs/>
                <w:lang w:val="en-US" w:eastAsia="zh-CN"/>
              </w:rPr>
              <w:t>5、大气环境影响分析</w:t>
            </w:r>
          </w:p>
          <w:p w14:paraId="5FD57A42">
            <w:pPr>
              <w:keepNext w:val="0"/>
              <w:keepLines w:val="0"/>
              <w:suppressLineNumbers w:val="0"/>
              <w:adjustRightInd w:val="0"/>
              <w:snapToGrid w:val="0"/>
              <w:spacing w:before="0" w:beforeAutospacing="0" w:after="0" w:afterAutospacing="0" w:line="440" w:lineRule="exact"/>
              <w:ind w:left="0" w:right="0" w:firstLine="480" w:firstLineChars="200"/>
              <w:jc w:val="both"/>
              <w:rPr>
                <w:rFonts w:hint="default" w:hAnsi="宋体"/>
              </w:rPr>
            </w:pPr>
            <w:r>
              <w:rPr>
                <w:rFonts w:hint="eastAsia" w:hAnsi="宋体"/>
              </w:rPr>
              <w:t>项目所在区域属于空气环境质量</w:t>
            </w:r>
            <w:r>
              <w:rPr>
                <w:rFonts w:hint="eastAsia" w:hAnsi="宋体"/>
                <w:lang w:eastAsia="zh-CN"/>
              </w:rPr>
              <w:t>不</w:t>
            </w:r>
            <w:r>
              <w:rPr>
                <w:rFonts w:hint="eastAsia" w:hAnsi="宋体"/>
              </w:rPr>
              <w:t>达标区，超标污染物为</w:t>
            </w:r>
            <w:r>
              <w:rPr>
                <w:rFonts w:hint="default" w:hAnsi="宋体"/>
              </w:rPr>
              <w:t>PM</w:t>
            </w:r>
            <w:r>
              <w:rPr>
                <w:rFonts w:hint="default" w:hAnsi="宋体"/>
                <w:vertAlign w:val="subscript"/>
              </w:rPr>
              <w:t>10</w:t>
            </w:r>
            <w:r>
              <w:rPr>
                <w:rFonts w:hint="default" w:hAnsi="宋体"/>
              </w:rPr>
              <w:t>、PM</w:t>
            </w:r>
            <w:r>
              <w:rPr>
                <w:rFonts w:hint="default" w:hAnsi="宋体"/>
                <w:vertAlign w:val="subscript"/>
              </w:rPr>
              <w:t>2.5</w:t>
            </w:r>
            <w:r>
              <w:rPr>
                <w:rFonts w:hint="default" w:hAnsi="宋体"/>
              </w:rPr>
              <w:t>、O</w:t>
            </w:r>
            <w:r>
              <w:rPr>
                <w:rFonts w:hint="default" w:hAnsi="宋体"/>
                <w:vertAlign w:val="subscript"/>
              </w:rPr>
              <w:t>3</w:t>
            </w:r>
            <w:r>
              <w:rPr>
                <w:rFonts w:hint="eastAsia" w:hAnsi="宋体"/>
              </w:rPr>
              <w:t>，项目产生的颗粒物通过削减区域现有污染源排放量进行替代。项目厂区周边最近的大气环境敏感点为厂址</w:t>
            </w:r>
            <w:r>
              <w:rPr>
                <w:rFonts w:hint="eastAsia" w:hAnsi="宋体"/>
                <w:lang w:val="en-US" w:eastAsia="zh-CN"/>
              </w:rPr>
              <w:t>东南侧225</w:t>
            </w:r>
            <w:r>
              <w:rPr>
                <w:rFonts w:hint="eastAsia" w:hAnsi="宋体"/>
              </w:rPr>
              <w:t>米处的</w:t>
            </w:r>
            <w:r>
              <w:rPr>
                <w:rFonts w:hint="eastAsia" w:hAnsi="宋体"/>
                <w:lang w:val="en-US" w:eastAsia="zh-CN"/>
              </w:rPr>
              <w:t>娄</w:t>
            </w:r>
            <w:r>
              <w:rPr>
                <w:rFonts w:hint="eastAsia" w:hAnsi="宋体"/>
                <w:lang w:eastAsia="zh-CN"/>
              </w:rPr>
              <w:t>村</w:t>
            </w:r>
            <w:r>
              <w:rPr>
                <w:rFonts w:hint="eastAsia" w:hAnsi="宋体"/>
              </w:rPr>
              <w:t>。</w:t>
            </w:r>
            <w:r>
              <w:rPr>
                <w:rFonts w:hint="eastAsia" w:hAnsi="宋体"/>
                <w:lang w:eastAsia="zh-CN"/>
              </w:rPr>
              <w:t>本</w:t>
            </w:r>
            <w:r>
              <w:rPr>
                <w:rFonts w:hint="eastAsia" w:hAnsi="宋体"/>
              </w:rPr>
              <w:t>项目大气污染物颗粒物满足</w:t>
            </w:r>
            <w:r>
              <w:rPr>
                <w:rFonts w:hint="default" w:hAnsi="宋体"/>
              </w:rPr>
              <w:t>《大气污染物综合排放标准》</w:t>
            </w:r>
            <w:r>
              <w:rPr>
                <w:rFonts w:hint="eastAsia" w:hAnsi="宋体"/>
                <w:lang w:eastAsia="zh-CN"/>
              </w:rPr>
              <w:t>（</w:t>
            </w:r>
            <w:r>
              <w:rPr>
                <w:rFonts w:hint="eastAsia" w:hAnsi="宋体"/>
                <w:lang w:val="en-US" w:eastAsia="zh-CN"/>
              </w:rPr>
              <w:t>GB16297-1996</w:t>
            </w:r>
            <w:r>
              <w:rPr>
                <w:rFonts w:hint="eastAsia" w:hAnsi="宋体"/>
                <w:lang w:eastAsia="zh-CN"/>
              </w:rPr>
              <w:t>）</w:t>
            </w:r>
            <w:r>
              <w:rPr>
                <w:rFonts w:hint="eastAsia" w:hAnsi="宋体"/>
              </w:rPr>
              <w:t>、</w:t>
            </w:r>
            <w:r>
              <w:rPr>
                <w:rFonts w:hint="default" w:hAnsi="宋体"/>
              </w:rPr>
              <w:t>《新乡市生态环境局关于进一步规范工业企业颗粒物排放限值的通知》</w:t>
            </w:r>
            <w:r>
              <w:rPr>
                <w:rFonts w:hint="eastAsia" w:hAnsi="宋体"/>
              </w:rPr>
              <w:t>，通过区域削减和污染物扩散，不会对周边环境造成明显影响。</w:t>
            </w:r>
          </w:p>
          <w:p w14:paraId="7CA2F06A">
            <w:pPr>
              <w:keepNext w:val="0"/>
              <w:keepLines w:val="0"/>
              <w:suppressLineNumbers w:val="0"/>
              <w:adjustRightInd w:val="0"/>
              <w:snapToGrid w:val="0"/>
              <w:spacing w:before="0" w:beforeAutospacing="0" w:after="0" w:afterAutospacing="0" w:line="440" w:lineRule="exact"/>
              <w:ind w:left="0" w:right="0" w:firstLine="480" w:firstLineChars="200"/>
              <w:rPr>
                <w:rFonts w:hint="eastAsia" w:hAnsi="宋体"/>
              </w:rPr>
            </w:pPr>
            <w:r>
              <w:rPr>
                <w:rFonts w:hint="eastAsia" w:hAnsi="宋体"/>
              </w:rPr>
              <w:t>综上所述，评价认为项目建成运行过程中对周围大气环境影响可以接受。</w:t>
            </w:r>
          </w:p>
          <w:p w14:paraId="70E0CBE8">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rPr>
                <w:rFonts w:hint="default"/>
                <w:b/>
                <w:bCs/>
                <w:color w:val="000000" w:themeColor="text1"/>
                <w:sz w:val="24"/>
                <w:highlight w:val="none"/>
                <w14:textFill>
                  <w14:solidFill>
                    <w14:schemeClr w14:val="tx1"/>
                  </w14:solidFill>
                </w14:textFill>
              </w:rPr>
            </w:pPr>
            <w:r>
              <w:rPr>
                <w:rFonts w:hint="eastAsia" w:hAnsi="宋体"/>
                <w:b/>
                <w:bCs/>
                <w:color w:val="000000" w:themeColor="text1"/>
                <w:sz w:val="24"/>
                <w:highlight w:val="none"/>
                <w:lang w:val="en-US" w:eastAsia="zh-CN"/>
                <w14:textFill>
                  <w14:solidFill>
                    <w14:schemeClr w14:val="tx1"/>
                  </w14:solidFill>
                </w14:textFill>
              </w:rPr>
              <w:t>6、</w:t>
            </w:r>
            <w:r>
              <w:rPr>
                <w:rFonts w:hint="default" w:hAnsi="宋体"/>
                <w:b/>
                <w:bCs/>
                <w:color w:val="000000" w:themeColor="text1"/>
                <w:sz w:val="24"/>
                <w:highlight w:val="none"/>
                <w14:textFill>
                  <w14:solidFill>
                    <w14:schemeClr w14:val="tx1"/>
                  </w14:solidFill>
                </w14:textFill>
              </w:rPr>
              <w:t>非正常工况环境影响分析</w:t>
            </w:r>
          </w:p>
          <w:p w14:paraId="79EAD9CB">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hAnsi="宋体"/>
                <w:color w:val="000000" w:themeColor="text1"/>
                <w:sz w:val="24"/>
                <w:highlight w:val="none"/>
                <w:lang w:val="en-GB"/>
                <w14:textFill>
                  <w14:solidFill>
                    <w14:schemeClr w14:val="tx1"/>
                  </w14:solidFill>
                </w14:textFill>
              </w:rPr>
            </w:pPr>
            <w:r>
              <w:rPr>
                <w:rFonts w:hint="default" w:hAnsi="宋体"/>
                <w:color w:val="000000" w:themeColor="text1"/>
                <w:sz w:val="24"/>
                <w:highlight w:val="none"/>
                <w:lang w:val="en-GB"/>
                <w14:textFill>
                  <w14:solidFill>
                    <w14:schemeClr w14:val="tx1"/>
                  </w14:solidFill>
                </w14:textFill>
              </w:rPr>
              <w:t>非正常工况排放是指生产过程中开停车（工、炉）、设备检修、工艺设备运转异常等非正常工况下的污染物排放，以及污染物排放控制措施达不到应有效率等情况下的排放。本项目非正常工况主要为废气处理设施出现故障或检修时，导致处理能力下降，最不利情况为处理效率为0，出现以上事故后，建设单位一般能在1h内进行有效处理。</w:t>
            </w:r>
          </w:p>
          <w:p w14:paraId="71EDDF78">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hAnsi="宋体"/>
                <w:color w:val="000000" w:themeColor="text1"/>
                <w:sz w:val="24"/>
                <w:highlight w:val="none"/>
                <w:lang w:val="en-GB"/>
                <w14:textFill>
                  <w14:solidFill>
                    <w14:schemeClr w14:val="tx1"/>
                  </w14:solidFill>
                </w14:textFill>
              </w:rPr>
            </w:pPr>
            <w:r>
              <w:rPr>
                <w:rFonts w:hint="default" w:hAnsi="宋体"/>
                <w:color w:val="000000" w:themeColor="text1"/>
                <w:sz w:val="24"/>
                <w:highlight w:val="none"/>
                <w:lang w:val="en-GB"/>
                <w14:textFill>
                  <w14:solidFill>
                    <w14:schemeClr w14:val="tx1"/>
                  </w14:solidFill>
                </w14:textFill>
              </w:rPr>
              <w:t>本项目非正常工况废气排放见下表。</w:t>
            </w:r>
          </w:p>
          <w:p w14:paraId="7017E963">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jc w:val="center"/>
              <w:rPr>
                <w:rFonts w:hint="default" w:ascii="宋体" w:hAnsi="宋体"/>
                <w:b/>
                <w:color w:val="000000" w:themeColor="text1"/>
                <w:sz w:val="24"/>
                <w:highlight w:val="none"/>
                <w14:textFill>
                  <w14:solidFill>
                    <w14:schemeClr w14:val="tx1"/>
                  </w14:solidFill>
                </w14:textFill>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26</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eastAsia" w:ascii="宋体" w:hAnsi="宋体"/>
                <w:b/>
                <w:color w:val="000000" w:themeColor="text1"/>
                <w:sz w:val="24"/>
                <w:highlight w:val="none"/>
                <w14:textFill>
                  <w14:solidFill>
                    <w14:schemeClr w14:val="tx1"/>
                  </w14:solidFill>
                </w14:textFill>
              </w:rPr>
              <w:t>非</w:t>
            </w:r>
            <w:r>
              <w:rPr>
                <w:rFonts w:hint="default" w:ascii="宋体" w:hAnsi="宋体"/>
                <w:b/>
                <w:color w:val="000000" w:themeColor="text1"/>
                <w:sz w:val="24"/>
                <w:highlight w:val="none"/>
                <w14:textFill>
                  <w14:solidFill>
                    <w14:schemeClr w14:val="tx1"/>
                  </w14:solidFill>
                </w14:textFill>
              </w:rPr>
              <w:t>正常排放参数表</w:t>
            </w:r>
          </w:p>
          <w:tbl>
            <w:tblPr>
              <w:tblStyle w:val="22"/>
              <w:tblW w:w="4995"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1057"/>
              <w:gridCol w:w="1275"/>
              <w:gridCol w:w="1020"/>
              <w:gridCol w:w="958"/>
              <w:gridCol w:w="958"/>
              <w:gridCol w:w="891"/>
              <w:gridCol w:w="1223"/>
              <w:gridCol w:w="1225"/>
            </w:tblGrid>
            <w:tr w14:paraId="48DE942F">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614" w:type="pct"/>
                  <w:tcBorders>
                    <w:bottom w:val="single" w:color="auto" w:sz="8" w:space="0"/>
                    <w:right w:val="single" w:color="auto" w:sz="4" w:space="0"/>
                  </w:tcBorders>
                  <w:shd w:val="clear" w:color="auto" w:fill="auto"/>
                  <w:noWrap w:val="0"/>
                  <w:vAlign w:val="center"/>
                </w:tcPr>
                <w:p w14:paraId="51F1E37C">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非正常排放源</w:t>
                  </w:r>
                </w:p>
              </w:tc>
              <w:tc>
                <w:tcPr>
                  <w:tcW w:w="740" w:type="pct"/>
                  <w:tcBorders>
                    <w:left w:val="single" w:color="auto" w:sz="4" w:space="0"/>
                    <w:bottom w:val="single" w:color="auto" w:sz="8" w:space="0"/>
                    <w:right w:val="single" w:color="auto" w:sz="4" w:space="0"/>
                  </w:tcBorders>
                  <w:shd w:val="clear" w:color="auto" w:fill="auto"/>
                  <w:noWrap w:val="0"/>
                  <w:vAlign w:val="center"/>
                </w:tcPr>
                <w:p w14:paraId="5175F48E">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非正常</w:t>
                  </w:r>
                </w:p>
                <w:p w14:paraId="192525F0">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排放原因</w:t>
                  </w:r>
                </w:p>
              </w:tc>
              <w:tc>
                <w:tcPr>
                  <w:tcW w:w="592" w:type="pct"/>
                  <w:tcBorders>
                    <w:left w:val="single" w:color="auto" w:sz="4" w:space="0"/>
                    <w:bottom w:val="single" w:color="auto" w:sz="8" w:space="0"/>
                    <w:right w:val="single" w:color="auto" w:sz="4" w:space="0"/>
                  </w:tcBorders>
                  <w:shd w:val="clear" w:color="auto" w:fill="auto"/>
                  <w:noWrap w:val="0"/>
                  <w:vAlign w:val="center"/>
                </w:tcPr>
                <w:p w14:paraId="00C016C2">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污染物</w:t>
                  </w:r>
                </w:p>
              </w:tc>
              <w:tc>
                <w:tcPr>
                  <w:tcW w:w="556" w:type="pct"/>
                  <w:tcBorders>
                    <w:left w:val="single" w:color="auto" w:sz="4" w:space="0"/>
                    <w:bottom w:val="single" w:color="auto" w:sz="8" w:space="0"/>
                    <w:right w:val="single" w:color="auto" w:sz="4" w:space="0"/>
                  </w:tcBorders>
                  <w:shd w:val="clear" w:color="auto" w:fill="auto"/>
                  <w:noWrap w:val="0"/>
                  <w:vAlign w:val="center"/>
                </w:tcPr>
                <w:p w14:paraId="39DC7049">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hAnsi="宋体"/>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非正常排放速率</w:t>
                  </w:r>
                  <w:r>
                    <w:rPr>
                      <w:rFonts w:hint="default"/>
                      <w:b/>
                      <w:color w:val="000000" w:themeColor="text1"/>
                      <w:sz w:val="21"/>
                      <w:szCs w:val="21"/>
                      <w:highlight w:val="none"/>
                      <w14:textFill>
                        <w14:solidFill>
                          <w14:schemeClr w14:val="tx1"/>
                        </w14:solidFill>
                      </w14:textFill>
                    </w:rPr>
                    <w:t>/</w:t>
                  </w:r>
                  <w:r>
                    <w:rPr>
                      <w:rFonts w:hint="eastAsia"/>
                      <w:b/>
                      <w:color w:val="auto"/>
                      <w:sz w:val="21"/>
                      <w:szCs w:val="21"/>
                      <w:highlight w:val="none"/>
                      <w:lang w:val="en-US" w:eastAsia="zh-CN"/>
                    </w:rPr>
                    <w:t>(</w:t>
                  </w:r>
                  <w:r>
                    <w:rPr>
                      <w:rFonts w:hint="eastAsia" w:eastAsia="宋体"/>
                      <w:b/>
                      <w:color w:val="auto"/>
                      <w:sz w:val="21"/>
                      <w:szCs w:val="21"/>
                      <w:highlight w:val="none"/>
                      <w:lang w:val="en-US" w:eastAsia="zh-CN"/>
                    </w:rPr>
                    <w:t>kg/h</w:t>
                  </w:r>
                  <w:r>
                    <w:rPr>
                      <w:rFonts w:hint="eastAsia"/>
                      <w:b/>
                      <w:color w:val="auto"/>
                      <w:sz w:val="21"/>
                      <w:szCs w:val="21"/>
                      <w:highlight w:val="none"/>
                      <w:lang w:val="en-US" w:eastAsia="zh-CN"/>
                    </w:rPr>
                    <w:t>)</w:t>
                  </w:r>
                </w:p>
              </w:tc>
              <w:tc>
                <w:tcPr>
                  <w:tcW w:w="556" w:type="pct"/>
                  <w:tcBorders>
                    <w:left w:val="single" w:color="auto" w:sz="4" w:space="0"/>
                    <w:bottom w:val="single" w:color="auto" w:sz="8" w:space="0"/>
                    <w:right w:val="single" w:color="auto" w:sz="4" w:space="0"/>
                  </w:tcBorders>
                  <w:shd w:val="clear" w:color="auto" w:fill="auto"/>
                  <w:noWrap w:val="0"/>
                  <w:vAlign w:val="center"/>
                </w:tcPr>
                <w:p w14:paraId="6103279E">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hAnsi="宋体" w:eastAsia="宋体"/>
                      <w:b/>
                      <w:color w:val="000000" w:themeColor="text1"/>
                      <w:sz w:val="21"/>
                      <w:szCs w:val="21"/>
                      <w:highlight w:val="none"/>
                      <w:lang w:val="en-US" w:eastAsia="zh-CN"/>
                      <w14:textFill>
                        <w14:solidFill>
                          <w14:schemeClr w14:val="tx1"/>
                        </w14:solidFill>
                      </w14:textFill>
                    </w:rPr>
                  </w:pPr>
                  <w:r>
                    <w:rPr>
                      <w:rFonts w:hint="eastAsia" w:hAnsi="宋体"/>
                      <w:b/>
                      <w:color w:val="000000" w:themeColor="text1"/>
                      <w:sz w:val="21"/>
                      <w:szCs w:val="21"/>
                      <w:highlight w:val="none"/>
                      <w:lang w:eastAsia="zh-CN"/>
                      <w14:textFill>
                        <w14:solidFill>
                          <w14:schemeClr w14:val="tx1"/>
                        </w14:solidFill>
                      </w14:textFill>
                    </w:rPr>
                    <w:t>非正常排放浓度</w:t>
                  </w:r>
                  <w:r>
                    <w:rPr>
                      <w:rFonts w:hint="eastAsia" w:hAnsi="宋体"/>
                      <w:b/>
                      <w:color w:val="000000" w:themeColor="text1"/>
                      <w:sz w:val="21"/>
                      <w:szCs w:val="21"/>
                      <w:highlight w:val="none"/>
                      <w:lang w:val="en-US" w:eastAsia="zh-CN"/>
                      <w14:textFill>
                        <w14:solidFill>
                          <w14:schemeClr w14:val="tx1"/>
                        </w14:solidFill>
                      </w14:textFill>
                    </w:rPr>
                    <w:t>mg/m</w:t>
                  </w:r>
                  <w:r>
                    <w:rPr>
                      <w:rFonts w:hint="eastAsia" w:hAnsi="宋体"/>
                      <w:b/>
                      <w:color w:val="000000" w:themeColor="text1"/>
                      <w:sz w:val="21"/>
                      <w:szCs w:val="21"/>
                      <w:highlight w:val="none"/>
                      <w:vertAlign w:val="superscript"/>
                      <w:lang w:val="en-US" w:eastAsia="zh-CN"/>
                      <w14:textFill>
                        <w14:solidFill>
                          <w14:schemeClr w14:val="tx1"/>
                        </w14:solidFill>
                      </w14:textFill>
                    </w:rPr>
                    <w:t>3</w:t>
                  </w:r>
                </w:p>
              </w:tc>
              <w:tc>
                <w:tcPr>
                  <w:tcW w:w="517" w:type="pct"/>
                  <w:tcBorders>
                    <w:left w:val="single" w:color="auto" w:sz="4" w:space="0"/>
                    <w:bottom w:val="single" w:color="auto" w:sz="8" w:space="0"/>
                    <w:right w:val="single" w:color="auto" w:sz="4" w:space="0"/>
                  </w:tcBorders>
                  <w:shd w:val="clear" w:color="auto" w:fill="auto"/>
                  <w:noWrap w:val="0"/>
                  <w:vAlign w:val="center"/>
                </w:tcPr>
                <w:p w14:paraId="1F19E075">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单次持续</w:t>
                  </w:r>
                </w:p>
                <w:p w14:paraId="3B8D0D65">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时间</w:t>
                  </w:r>
                  <w:r>
                    <w:rPr>
                      <w:rFonts w:hint="default"/>
                      <w:b/>
                      <w:color w:val="000000" w:themeColor="text1"/>
                      <w:sz w:val="21"/>
                      <w:szCs w:val="21"/>
                      <w:highlight w:val="none"/>
                      <w14:textFill>
                        <w14:solidFill>
                          <w14:schemeClr w14:val="tx1"/>
                        </w14:solidFill>
                      </w14:textFill>
                    </w:rPr>
                    <w:t>/h</w:t>
                  </w:r>
                </w:p>
              </w:tc>
              <w:tc>
                <w:tcPr>
                  <w:tcW w:w="710" w:type="pct"/>
                  <w:tcBorders>
                    <w:left w:val="single" w:color="auto" w:sz="4" w:space="0"/>
                    <w:bottom w:val="single" w:color="auto" w:sz="8" w:space="0"/>
                    <w:right w:val="single" w:color="auto" w:sz="4" w:space="0"/>
                  </w:tcBorders>
                  <w:shd w:val="clear" w:color="auto" w:fill="auto"/>
                  <w:noWrap w:val="0"/>
                  <w:vAlign w:val="center"/>
                </w:tcPr>
                <w:p w14:paraId="136EB9FD">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年发生</w:t>
                  </w:r>
                </w:p>
                <w:p w14:paraId="5F83CDE4">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频次</w:t>
                  </w:r>
                  <w:r>
                    <w:rPr>
                      <w:rFonts w:hint="default"/>
                      <w:b/>
                      <w:color w:val="000000" w:themeColor="text1"/>
                      <w:sz w:val="21"/>
                      <w:szCs w:val="21"/>
                      <w:highlight w:val="none"/>
                      <w14:textFill>
                        <w14:solidFill>
                          <w14:schemeClr w14:val="tx1"/>
                        </w14:solidFill>
                      </w14:textFill>
                    </w:rPr>
                    <w:t>/</w:t>
                  </w:r>
                  <w:r>
                    <w:rPr>
                      <w:rFonts w:hint="default" w:hAnsi="宋体"/>
                      <w:b/>
                      <w:color w:val="000000" w:themeColor="text1"/>
                      <w:sz w:val="21"/>
                      <w:szCs w:val="21"/>
                      <w:highlight w:val="none"/>
                      <w14:textFill>
                        <w14:solidFill>
                          <w14:schemeClr w14:val="tx1"/>
                        </w14:solidFill>
                      </w14:textFill>
                    </w:rPr>
                    <w:t>次</w:t>
                  </w:r>
                </w:p>
              </w:tc>
              <w:tc>
                <w:tcPr>
                  <w:tcW w:w="711" w:type="pct"/>
                  <w:tcBorders>
                    <w:left w:val="single" w:color="auto" w:sz="4" w:space="0"/>
                    <w:bottom w:val="single" w:color="auto" w:sz="8" w:space="0"/>
                  </w:tcBorders>
                  <w:shd w:val="clear" w:color="auto" w:fill="auto"/>
                  <w:noWrap w:val="0"/>
                  <w:vAlign w:val="center"/>
                </w:tcPr>
                <w:p w14:paraId="2103CC34">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eastAsia="宋体"/>
                      <w:b/>
                      <w:color w:val="000000" w:themeColor="text1"/>
                      <w:sz w:val="21"/>
                      <w:szCs w:val="21"/>
                      <w:highlight w:val="none"/>
                      <w:lang w:val="en-US" w:eastAsia="zh-CN"/>
                      <w14:textFill>
                        <w14:solidFill>
                          <w14:schemeClr w14:val="tx1"/>
                        </w14:solidFill>
                      </w14:textFill>
                    </w:rPr>
                  </w:pPr>
                  <w:r>
                    <w:rPr>
                      <w:rFonts w:hint="eastAsia" w:hAnsi="宋体"/>
                      <w:b/>
                      <w:color w:val="000000" w:themeColor="text1"/>
                      <w:sz w:val="21"/>
                      <w:szCs w:val="21"/>
                      <w:highlight w:val="none"/>
                      <w:lang w:val="en-US" w:eastAsia="zh-CN"/>
                      <w14:textFill>
                        <w14:solidFill>
                          <w14:schemeClr w14:val="tx1"/>
                        </w14:solidFill>
                      </w14:textFill>
                    </w:rPr>
                    <w:t>非正常排放量kg/a</w:t>
                  </w:r>
                </w:p>
              </w:tc>
            </w:tr>
            <w:tr w14:paraId="1CF34E7C">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614" w:type="pct"/>
                  <w:tcBorders>
                    <w:top w:val="single" w:color="auto" w:sz="8" w:space="0"/>
                    <w:bottom w:val="single" w:color="auto" w:sz="8" w:space="0"/>
                    <w:right w:val="single" w:color="auto" w:sz="4" w:space="0"/>
                  </w:tcBorders>
                  <w:shd w:val="clear" w:color="auto" w:fill="auto"/>
                  <w:noWrap w:val="0"/>
                  <w:vAlign w:val="center"/>
                </w:tcPr>
                <w:p w14:paraId="06DD660E">
                  <w:pPr>
                    <w:keepNext w:val="0"/>
                    <w:keepLines w:val="0"/>
                    <w:suppressLineNumbers w:val="0"/>
                    <w:adjustRightInd w:val="0"/>
                    <w:snapToGrid w:val="0"/>
                    <w:spacing w:before="0" w:beforeAutospacing="0" w:after="0" w:afterAutospacing="0"/>
                    <w:ind w:left="0" w:right="0"/>
                    <w:jc w:val="center"/>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DA001</w:t>
                  </w:r>
                </w:p>
              </w:tc>
              <w:tc>
                <w:tcPr>
                  <w:tcW w:w="740"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0E247FFD">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eastAsia" w:hAnsi="宋体"/>
                      <w:color w:val="000000" w:themeColor="text1"/>
                      <w:sz w:val="21"/>
                      <w:szCs w:val="21"/>
                      <w:highlight w:val="yellow"/>
                      <w:lang w:val="en-US" w:eastAsia="zh-CN"/>
                      <w14:textFill>
                        <w14:solidFill>
                          <w14:schemeClr w14:val="tx1"/>
                        </w14:solidFill>
                      </w14:textFill>
                    </w:rPr>
                  </w:pPr>
                  <w:r>
                    <w:rPr>
                      <w:rFonts w:hint="eastAsia" w:hAnsi="宋体"/>
                      <w:color w:val="000000" w:themeColor="text1"/>
                      <w:sz w:val="21"/>
                      <w:szCs w:val="21"/>
                      <w:highlight w:val="none"/>
                      <w:lang w:val="en-US" w:eastAsia="zh-CN"/>
                      <w14:textFill>
                        <w14:solidFill>
                          <w14:schemeClr w14:val="tx1"/>
                        </w14:solidFill>
                      </w14:textFill>
                    </w:rPr>
                    <w:t>设备检修</w:t>
                  </w:r>
                </w:p>
              </w:tc>
              <w:tc>
                <w:tcPr>
                  <w:tcW w:w="592"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386D4E2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color w:val="auto"/>
                      <w:sz w:val="21"/>
                      <w:szCs w:val="21"/>
                      <w:highlight w:val="none"/>
                      <w:vertAlign w:val="baseline"/>
                      <w:lang w:val="en-US" w:eastAsia="zh-CN"/>
                    </w:rPr>
                  </w:pPr>
                  <w:r>
                    <w:rPr>
                      <w:rFonts w:hint="eastAsia"/>
                      <w:b w:val="0"/>
                      <w:bCs w:val="0"/>
                      <w:color w:val="auto"/>
                      <w:sz w:val="21"/>
                      <w:szCs w:val="21"/>
                      <w:vertAlign w:val="baseline"/>
                      <w:lang w:val="en-US" w:eastAsia="zh-CN"/>
                    </w:rPr>
                    <w:t>颗粒物</w:t>
                  </w:r>
                </w:p>
              </w:tc>
              <w:tc>
                <w:tcPr>
                  <w:tcW w:w="556"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108373C0">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 w:val="21"/>
                      <w:szCs w:val="21"/>
                      <w:highlight w:val="none"/>
                      <w:vertAlign w:val="baseline"/>
                      <w:lang w:val="en-US" w:eastAsia="zh-CN"/>
                    </w:rPr>
                  </w:pPr>
                  <w:r>
                    <w:rPr>
                      <w:rFonts w:hint="eastAsia"/>
                      <w:color w:val="auto"/>
                      <w:sz w:val="21"/>
                      <w:szCs w:val="21"/>
                      <w:highlight w:val="none"/>
                      <w:lang w:val="en-US" w:eastAsia="zh-CN"/>
                    </w:rPr>
                    <w:t>0.1788</w:t>
                  </w:r>
                </w:p>
              </w:tc>
              <w:tc>
                <w:tcPr>
                  <w:tcW w:w="556"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574529B7">
                  <w:pPr>
                    <w:keepNext w:val="0"/>
                    <w:keepLines w:val="0"/>
                    <w:suppressLineNumbers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46.95</w:t>
                  </w:r>
                </w:p>
              </w:tc>
              <w:tc>
                <w:tcPr>
                  <w:tcW w:w="517" w:type="pct"/>
                  <w:tcBorders>
                    <w:left w:val="single" w:color="auto" w:sz="4" w:space="0"/>
                    <w:bottom w:val="single" w:color="auto" w:sz="8" w:space="0"/>
                    <w:right w:val="single" w:color="auto" w:sz="4" w:space="0"/>
                  </w:tcBorders>
                  <w:shd w:val="clear" w:color="auto" w:fill="auto"/>
                  <w:noWrap w:val="0"/>
                  <w:vAlign w:val="center"/>
                </w:tcPr>
                <w:p w14:paraId="5EDE4C7B">
                  <w:pPr>
                    <w:keepNext w:val="0"/>
                    <w:keepLines w:val="0"/>
                    <w:suppressLineNumbers w:val="0"/>
                    <w:tabs>
                      <w:tab w:val="left" w:pos="3620"/>
                    </w:tabs>
                    <w:adjustRightInd w:val="0"/>
                    <w:snapToGrid w:val="0"/>
                    <w:spacing w:before="0" w:beforeAutospacing="0" w:after="0" w:afterAutospacing="0"/>
                    <w:ind w:left="0" w:right="0"/>
                    <w:jc w:val="center"/>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710" w:type="pct"/>
                  <w:tcBorders>
                    <w:left w:val="single" w:color="auto" w:sz="4" w:space="0"/>
                    <w:bottom w:val="single" w:color="auto" w:sz="8" w:space="0"/>
                    <w:right w:val="single" w:color="auto" w:sz="4" w:space="0"/>
                  </w:tcBorders>
                  <w:shd w:val="clear" w:color="auto" w:fill="auto"/>
                  <w:noWrap w:val="0"/>
                  <w:vAlign w:val="center"/>
                </w:tcPr>
                <w:p w14:paraId="75101525">
                  <w:pPr>
                    <w:keepNext w:val="0"/>
                    <w:keepLines w:val="0"/>
                    <w:suppressLineNumbers w:val="0"/>
                    <w:tabs>
                      <w:tab w:val="left" w:pos="3620"/>
                    </w:tabs>
                    <w:adjustRightInd w:val="0"/>
                    <w:snapToGrid w:val="0"/>
                    <w:spacing w:before="0" w:beforeAutospacing="0" w:after="0" w:afterAutospacing="0"/>
                    <w:ind w:left="0" w:right="0"/>
                    <w:jc w:val="center"/>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711" w:type="pct"/>
                  <w:tcBorders>
                    <w:left w:val="single" w:color="auto" w:sz="4" w:space="0"/>
                    <w:bottom w:val="single" w:color="auto" w:sz="8" w:space="0"/>
                  </w:tcBorders>
                  <w:shd w:val="clear" w:color="auto" w:fill="auto"/>
                  <w:noWrap w:val="0"/>
                  <w:vAlign w:val="center"/>
                </w:tcPr>
                <w:p w14:paraId="41AE341D">
                  <w:pPr>
                    <w:keepNext w:val="0"/>
                    <w:keepLines w:val="0"/>
                    <w:suppressLineNumbers w:val="0"/>
                    <w:tabs>
                      <w:tab w:val="left" w:pos="3620"/>
                    </w:tabs>
                    <w:adjustRightInd w:val="0"/>
                    <w:snapToGrid w:val="0"/>
                    <w:spacing w:before="0" w:beforeAutospacing="0" w:after="0" w:afterAutospacing="0"/>
                    <w:ind w:left="0" w:right="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0.0894</w:t>
                  </w:r>
                </w:p>
              </w:tc>
            </w:tr>
          </w:tbl>
          <w:p w14:paraId="679EB171">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hAnsi="宋体"/>
                <w:b/>
                <w:bCs/>
                <w:color w:val="000000" w:themeColor="text1"/>
                <w:sz w:val="24"/>
                <w:highlight w:val="none"/>
                <w:lang w:val="en-US" w:eastAsia="zh-CN"/>
                <w14:textFill>
                  <w14:solidFill>
                    <w14:schemeClr w14:val="tx1"/>
                  </w14:solidFill>
                </w14:textFill>
              </w:rPr>
            </w:pPr>
            <w:r>
              <w:rPr>
                <w:rFonts w:hint="eastAsia"/>
              </w:rPr>
              <w:t>由上表可知，非正常工况下，污染物排放量</w:t>
            </w:r>
            <w:r>
              <w:rPr>
                <w:rFonts w:hint="default"/>
              </w:rPr>
              <w:t>较大</w:t>
            </w:r>
            <w:r>
              <w:rPr>
                <w:rFonts w:hint="eastAsia"/>
              </w:rPr>
              <w:t>。</w:t>
            </w:r>
            <w:r>
              <w:rPr>
                <w:rFonts w:hint="default"/>
              </w:rPr>
              <w:t>为防止生产</w:t>
            </w:r>
            <w:r>
              <w:rPr>
                <w:rFonts w:hint="eastAsia"/>
              </w:rPr>
              <w:t>过程中出现</w:t>
            </w:r>
            <w:r>
              <w:rPr>
                <w:rFonts w:hint="default"/>
              </w:rPr>
              <w:t>废气非正常排放，企业必须加强废气处理设施的管理，定期检修，确保废气处理设施正常运行</w:t>
            </w:r>
            <w:r>
              <w:rPr>
                <w:rFonts w:hint="eastAsia"/>
              </w:rPr>
              <w:t>。</w:t>
            </w:r>
            <w:r>
              <w:rPr>
                <w:rFonts w:hint="default"/>
              </w:rPr>
              <w:t>在废气处理设备停止运行或出现故障时，产生废气的各工序也必须相应停止生产。</w:t>
            </w:r>
          </w:p>
          <w:p w14:paraId="39AB80C9">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rPr>
                <w:rFonts w:hint="default" w:hAnsi="宋体"/>
                <w:b/>
                <w:bCs/>
                <w:color w:val="FF0000"/>
                <w:sz w:val="24"/>
                <w:highlight w:val="none"/>
                <w:lang w:val="en-US" w:eastAsia="zh-CN"/>
              </w:rPr>
            </w:pPr>
            <w:r>
              <w:rPr>
                <w:rFonts w:hint="eastAsia" w:hAnsi="宋体"/>
                <w:color w:val="FF0000"/>
                <w:sz w:val="24"/>
                <w:highlight w:val="none"/>
                <w:lang w:val="en-US" w:eastAsia="zh-CN"/>
              </w:rPr>
              <w:t xml:space="preserve">  </w:t>
            </w:r>
            <w:r>
              <w:rPr>
                <w:rFonts w:hint="eastAsia" w:hAnsi="宋体"/>
                <w:b/>
                <w:bCs/>
                <w:color w:val="000000" w:themeColor="text1"/>
                <w:sz w:val="24"/>
                <w:highlight w:val="none"/>
                <w:lang w:val="en-US" w:eastAsia="zh-CN"/>
                <w14:textFill>
                  <w14:solidFill>
                    <w14:schemeClr w14:val="tx1"/>
                  </w14:solidFill>
                </w14:textFill>
              </w:rPr>
              <w:t xml:space="preserve">  7、废气监测要求</w:t>
            </w:r>
          </w:p>
          <w:p w14:paraId="38974509">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根据</w:t>
            </w:r>
            <w:r>
              <w:rPr>
                <w:rFonts w:hint="eastAsia"/>
                <w:bCs/>
                <w:color w:val="000000" w:themeColor="text1"/>
                <w:sz w:val="24"/>
                <w:highlight w:val="none"/>
                <w:lang w:val="en-US" w:eastAsia="zh-CN"/>
                <w14:textFill>
                  <w14:solidFill>
                    <w14:schemeClr w14:val="tx1"/>
                  </w14:solidFill>
                </w14:textFill>
              </w:rPr>
              <w:t>《排污许可证申请与核发技术规范 铁路、船舶、航空航天和其他运输设备制造业》（HJ1124-2020）</w:t>
            </w:r>
            <w:r>
              <w:rPr>
                <w:rFonts w:hint="eastAsia"/>
                <w:bCs/>
                <w:color w:val="000000" w:themeColor="text1"/>
                <w:sz w:val="24"/>
                <w:highlight w:val="none"/>
                <w14:textFill>
                  <w14:solidFill>
                    <w14:schemeClr w14:val="tx1"/>
                  </w14:solidFill>
                </w14:textFill>
              </w:rPr>
              <w:t>，</w:t>
            </w:r>
            <w:r>
              <w:rPr>
                <w:rFonts w:hint="eastAsia"/>
                <w:bCs/>
                <w:color w:val="000000" w:themeColor="text1"/>
                <w:sz w:val="24"/>
                <w:highlight w:val="none"/>
                <w:lang w:val="en-GB"/>
                <w14:textFill>
                  <w14:solidFill>
                    <w14:schemeClr w14:val="tx1"/>
                  </w14:solidFill>
                </w14:textFill>
              </w:rPr>
              <w:t>本项目废气监测要求如下表。</w:t>
            </w:r>
          </w:p>
          <w:p w14:paraId="37AD8E56">
            <w:pPr>
              <w:keepNext w:val="0"/>
              <w:keepLines w:val="0"/>
              <w:suppressLineNumbers w:val="0"/>
              <w:tabs>
                <w:tab w:val="left" w:pos="3620"/>
              </w:tabs>
              <w:adjustRightInd w:val="0"/>
              <w:snapToGrid w:val="0"/>
              <w:spacing w:before="0" w:beforeAutospacing="0" w:after="0" w:afterAutospacing="0" w:line="440" w:lineRule="exact"/>
              <w:ind w:left="0" w:right="0"/>
              <w:jc w:val="center"/>
              <w:rPr>
                <w:rFonts w:hint="default" w:ascii="宋体" w:hAnsi="宋体"/>
                <w:b/>
                <w:color w:val="000000" w:themeColor="text1"/>
                <w:sz w:val="24"/>
                <w:highlight w:val="none"/>
                <w14:textFill>
                  <w14:solidFill>
                    <w14:schemeClr w14:val="tx1"/>
                  </w14:solidFill>
                </w14:textFill>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27</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eastAsia" w:ascii="宋体" w:hAnsi="宋体"/>
                <w:b/>
                <w:color w:val="000000" w:themeColor="text1"/>
                <w:sz w:val="24"/>
                <w:highlight w:val="none"/>
                <w14:textFill>
                  <w14:solidFill>
                    <w14:schemeClr w14:val="tx1"/>
                  </w14:solidFill>
                </w14:textFill>
              </w:rPr>
              <w:t>本项目</w:t>
            </w:r>
            <w:r>
              <w:rPr>
                <w:rFonts w:hint="default" w:ascii="宋体" w:hAnsi="宋体"/>
                <w:b/>
                <w:color w:val="000000" w:themeColor="text1"/>
                <w:sz w:val="24"/>
                <w:highlight w:val="none"/>
                <w14:textFill>
                  <w14:solidFill>
                    <w14:schemeClr w14:val="tx1"/>
                  </w14:solidFill>
                </w14:textFill>
              </w:rPr>
              <w:t>废气监测要求</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2445"/>
              <w:gridCol w:w="3377"/>
              <w:gridCol w:w="2794"/>
            </w:tblGrid>
            <w:tr w14:paraId="22D85451">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2445" w:type="dxa"/>
                  <w:tcBorders>
                    <w:bottom w:val="single" w:color="auto" w:sz="8" w:space="0"/>
                    <w:right w:val="single" w:color="auto" w:sz="4" w:space="0"/>
                  </w:tcBorders>
                  <w:shd w:val="clear" w:color="auto" w:fill="auto"/>
                  <w:noWrap w:val="0"/>
                  <w:vAlign w:val="center"/>
                </w:tcPr>
                <w:p w14:paraId="42B20780">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监测点位</w:t>
                  </w:r>
                </w:p>
              </w:tc>
              <w:tc>
                <w:tcPr>
                  <w:tcW w:w="3377" w:type="dxa"/>
                  <w:tcBorders>
                    <w:left w:val="single" w:color="auto" w:sz="4" w:space="0"/>
                    <w:bottom w:val="single" w:color="auto" w:sz="8" w:space="0"/>
                    <w:right w:val="single" w:color="auto" w:sz="4" w:space="0"/>
                  </w:tcBorders>
                  <w:shd w:val="clear" w:color="auto" w:fill="auto"/>
                  <w:noWrap w:val="0"/>
                  <w:vAlign w:val="center"/>
                </w:tcPr>
                <w:p w14:paraId="17B46668">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监测因子</w:t>
                  </w:r>
                </w:p>
              </w:tc>
              <w:tc>
                <w:tcPr>
                  <w:tcW w:w="2794" w:type="dxa"/>
                  <w:tcBorders>
                    <w:left w:val="single" w:color="auto" w:sz="4" w:space="0"/>
                    <w:bottom w:val="single" w:color="auto" w:sz="8" w:space="0"/>
                  </w:tcBorders>
                  <w:shd w:val="clear" w:color="auto" w:fill="auto"/>
                  <w:noWrap w:val="0"/>
                  <w:vAlign w:val="center"/>
                </w:tcPr>
                <w:p w14:paraId="3F3CC3EB">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监测频次</w:t>
                  </w:r>
                </w:p>
              </w:tc>
            </w:tr>
            <w:tr w14:paraId="2E7E069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2445" w:type="dxa"/>
                  <w:tcBorders>
                    <w:top w:val="single" w:color="auto" w:sz="8" w:space="0"/>
                    <w:bottom w:val="single" w:color="auto" w:sz="4" w:space="0"/>
                    <w:right w:val="single" w:color="auto" w:sz="4" w:space="0"/>
                  </w:tcBorders>
                  <w:shd w:val="clear" w:color="auto" w:fill="auto"/>
                  <w:noWrap w:val="0"/>
                  <w:vAlign w:val="center"/>
                </w:tcPr>
                <w:p w14:paraId="1C39EE98">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DA00</w:t>
                  </w:r>
                  <w:r>
                    <w:rPr>
                      <w:rFonts w:hint="eastAsia"/>
                      <w:color w:val="000000" w:themeColor="text1"/>
                      <w:sz w:val="21"/>
                      <w:szCs w:val="21"/>
                      <w:highlight w:val="none"/>
                      <w:lang w:val="en-US" w:eastAsia="zh-CN"/>
                      <w14:textFill>
                        <w14:solidFill>
                          <w14:schemeClr w14:val="tx1"/>
                        </w14:solidFill>
                      </w14:textFill>
                    </w:rPr>
                    <w:t>1</w:t>
                  </w:r>
                </w:p>
              </w:tc>
              <w:tc>
                <w:tcPr>
                  <w:tcW w:w="3377" w:type="dxa"/>
                  <w:tcBorders>
                    <w:top w:val="single" w:color="auto" w:sz="8" w:space="0"/>
                    <w:left w:val="single" w:color="auto" w:sz="4" w:space="0"/>
                    <w:bottom w:val="single" w:color="auto" w:sz="4" w:space="0"/>
                    <w:right w:val="single" w:color="auto" w:sz="4" w:space="0"/>
                  </w:tcBorders>
                  <w:shd w:val="clear" w:color="auto" w:fill="auto"/>
                  <w:noWrap w:val="0"/>
                  <w:vAlign w:val="center"/>
                </w:tcPr>
                <w:p w14:paraId="74AF52FD">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颗粒物</w:t>
                  </w:r>
                </w:p>
              </w:tc>
              <w:tc>
                <w:tcPr>
                  <w:tcW w:w="2794" w:type="dxa"/>
                  <w:tcBorders>
                    <w:top w:val="single" w:color="auto" w:sz="8" w:space="0"/>
                    <w:left w:val="single" w:color="auto" w:sz="4" w:space="0"/>
                    <w:bottom w:val="single" w:color="auto" w:sz="4" w:space="0"/>
                  </w:tcBorders>
                  <w:shd w:val="clear" w:color="auto" w:fill="auto"/>
                  <w:noWrap w:val="0"/>
                  <w:vAlign w:val="center"/>
                </w:tcPr>
                <w:p w14:paraId="3601EBD6">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val="en-US" w:eastAsia="zh-CN"/>
                      <w14:textFill>
                        <w14:solidFill>
                          <w14:schemeClr w14:val="tx1"/>
                        </w14:solidFill>
                      </w14:textFill>
                    </w:rPr>
                    <w:t>次/年</w:t>
                  </w:r>
                </w:p>
              </w:tc>
            </w:tr>
            <w:tr w14:paraId="7795DDE3">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2445" w:type="dxa"/>
                  <w:tcBorders>
                    <w:top w:val="single" w:color="auto" w:sz="4" w:space="0"/>
                    <w:bottom w:val="single" w:color="auto" w:sz="8" w:space="0"/>
                    <w:right w:val="single" w:color="auto" w:sz="4" w:space="0"/>
                  </w:tcBorders>
                  <w:shd w:val="clear" w:color="auto" w:fill="auto"/>
                  <w:noWrap w:val="0"/>
                  <w:vAlign w:val="center"/>
                </w:tcPr>
                <w:p w14:paraId="54A5F5A8">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无组织</w:t>
                  </w:r>
                </w:p>
              </w:tc>
              <w:tc>
                <w:tcPr>
                  <w:tcW w:w="3377" w:type="dxa"/>
                  <w:tcBorders>
                    <w:top w:val="single" w:color="auto" w:sz="4" w:space="0"/>
                    <w:left w:val="single" w:color="auto" w:sz="4" w:space="0"/>
                    <w:bottom w:val="single" w:color="auto" w:sz="8" w:space="0"/>
                    <w:right w:val="single" w:color="auto" w:sz="4" w:space="0"/>
                  </w:tcBorders>
                  <w:shd w:val="clear" w:color="auto" w:fill="auto"/>
                  <w:noWrap w:val="0"/>
                  <w:vAlign w:val="center"/>
                </w:tcPr>
                <w:p w14:paraId="59463409">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颗粒物</w:t>
                  </w:r>
                </w:p>
              </w:tc>
              <w:tc>
                <w:tcPr>
                  <w:tcW w:w="2794" w:type="dxa"/>
                  <w:tcBorders>
                    <w:top w:val="single" w:color="auto" w:sz="4" w:space="0"/>
                    <w:left w:val="single" w:color="auto" w:sz="4" w:space="0"/>
                    <w:bottom w:val="single" w:color="auto" w:sz="8" w:space="0"/>
                  </w:tcBorders>
                  <w:shd w:val="clear" w:color="auto" w:fill="auto"/>
                  <w:noWrap w:val="0"/>
                  <w:vAlign w:val="center"/>
                </w:tcPr>
                <w:p w14:paraId="6BCA1DA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val="en-US" w:eastAsia="zh-CN"/>
                      <w14:textFill>
                        <w14:solidFill>
                          <w14:schemeClr w14:val="tx1"/>
                        </w14:solidFill>
                      </w14:textFill>
                    </w:rPr>
                    <w:t>次/</w:t>
                  </w:r>
                  <w:r>
                    <w:rPr>
                      <w:rFonts w:hint="eastAsia" w:ascii="宋体" w:hAnsi="宋体" w:cs="宋体"/>
                      <w:color w:val="000000" w:themeColor="text1"/>
                      <w:sz w:val="21"/>
                      <w:szCs w:val="21"/>
                      <w:highlight w:val="none"/>
                      <w:lang w:val="en-US" w:eastAsia="zh-CN"/>
                      <w14:textFill>
                        <w14:solidFill>
                          <w14:schemeClr w14:val="tx1"/>
                        </w14:solidFill>
                      </w14:textFill>
                    </w:rPr>
                    <w:t>半年</w:t>
                  </w:r>
                </w:p>
              </w:tc>
            </w:tr>
          </w:tbl>
          <w:p w14:paraId="4AC02C64">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rPr>
                <w:rFonts w:hint="eastAsia" w:hAnsi="宋体"/>
                <w:b/>
                <w:color w:val="000000" w:themeColor="text1"/>
                <w:sz w:val="24"/>
                <w:highlight w:val="none"/>
                <w14:textFill>
                  <w14:solidFill>
                    <w14:schemeClr w14:val="tx1"/>
                  </w14:solidFill>
                </w14:textFill>
              </w:rPr>
            </w:pPr>
            <w:r>
              <w:rPr>
                <w:rFonts w:hint="default" w:hAnsi="宋体"/>
                <w:b/>
                <w:color w:val="000000" w:themeColor="text1"/>
                <w:sz w:val="24"/>
                <w:highlight w:val="none"/>
                <w14:textFill>
                  <w14:solidFill>
                    <w14:schemeClr w14:val="tx1"/>
                  </w14:solidFill>
                </w14:textFill>
              </w:rPr>
              <w:t>二、废水</w:t>
            </w:r>
          </w:p>
          <w:p w14:paraId="49E6A1C5">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default"/>
              </w:rPr>
            </w:pPr>
            <w:r>
              <w:rPr>
                <w:rFonts w:hint="eastAsia"/>
              </w:rPr>
              <w:t>本</w:t>
            </w:r>
            <w:r>
              <w:rPr>
                <w:rFonts w:hint="default"/>
              </w:rPr>
              <w:t>项目废水主要为生活</w:t>
            </w:r>
            <w:r>
              <w:rPr>
                <w:rFonts w:hint="eastAsia"/>
                <w:lang w:eastAsia="zh-CN"/>
              </w:rPr>
              <w:t>污</w:t>
            </w:r>
            <w:r>
              <w:rPr>
                <w:rFonts w:hint="default"/>
              </w:rPr>
              <w:t>水。</w:t>
            </w:r>
          </w:p>
          <w:p w14:paraId="5BAD9784">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482" w:firstLineChars="200"/>
              <w:jc w:val="both"/>
              <w:textAlignment w:val="auto"/>
              <w:rPr>
                <w:rFonts w:hint="default" w:eastAsia="宋体"/>
                <w:b/>
                <w:bCs/>
                <w:lang w:val="en-US" w:eastAsia="zh-CN"/>
              </w:rPr>
            </w:pPr>
            <w:r>
              <w:rPr>
                <w:rFonts w:hint="eastAsia"/>
                <w:b/>
                <w:bCs/>
                <w:lang w:val="en-US" w:eastAsia="zh-CN"/>
              </w:rPr>
              <w:t>1、废水污染物产排情况</w:t>
            </w:r>
          </w:p>
          <w:p w14:paraId="1F9B0C48">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lang w:eastAsia="zh-CN"/>
              </w:rPr>
            </w:pPr>
            <w:r>
              <w:rPr>
                <w:rFonts w:hint="eastAsia"/>
              </w:rPr>
              <w:t>根据建设单位提供</w:t>
            </w:r>
            <w:r>
              <w:rPr>
                <w:rFonts w:hint="default"/>
              </w:rPr>
              <w:t>资料，</w:t>
            </w:r>
            <w:r>
              <w:rPr>
                <w:rFonts w:hint="eastAsia"/>
              </w:rPr>
              <w:t>本项目员工</w:t>
            </w:r>
            <w:r>
              <w:rPr>
                <w:rFonts w:hint="eastAsia"/>
                <w:lang w:val="en-US" w:eastAsia="zh-CN"/>
              </w:rPr>
              <w:t>10</w:t>
            </w:r>
            <w:r>
              <w:rPr>
                <w:rFonts w:hint="eastAsia"/>
              </w:rPr>
              <w:t>人，均不提供食宿</w:t>
            </w:r>
            <w:r>
              <w:rPr>
                <w:rFonts w:hint="default"/>
              </w:rPr>
              <w:t>，</w:t>
            </w:r>
            <w:r>
              <w:rPr>
                <w:rFonts w:hint="eastAsia"/>
              </w:rPr>
              <w:t>用水量以30L/人每天计算，则本项目建成后</w:t>
            </w:r>
            <w:r>
              <w:rPr>
                <w:rFonts w:hint="default"/>
              </w:rPr>
              <w:t>，员工生活</w:t>
            </w:r>
            <w:r>
              <w:rPr>
                <w:rFonts w:hint="eastAsia"/>
              </w:rPr>
              <w:t>用水约为0.</w:t>
            </w:r>
            <w:r>
              <w:rPr>
                <w:rFonts w:hint="eastAsia"/>
                <w:lang w:val="en-US" w:eastAsia="zh-CN"/>
              </w:rPr>
              <w:t>3</w:t>
            </w:r>
            <w:r>
              <w:rPr>
                <w:rFonts w:hint="default"/>
              </w:rPr>
              <w:t>t/</w:t>
            </w:r>
            <w:r>
              <w:rPr>
                <w:rFonts w:hint="eastAsia"/>
              </w:rPr>
              <w:t>d（</w:t>
            </w:r>
            <w:r>
              <w:rPr>
                <w:rFonts w:hint="eastAsia"/>
                <w:lang w:val="en-US" w:eastAsia="zh-CN"/>
              </w:rPr>
              <w:t>90</w:t>
            </w:r>
            <w:r>
              <w:rPr>
                <w:rFonts w:hint="default"/>
              </w:rPr>
              <w:t>t/</w:t>
            </w:r>
            <w:r>
              <w:rPr>
                <w:rFonts w:hint="eastAsia"/>
              </w:rPr>
              <w:t>a）</w:t>
            </w:r>
            <w:r>
              <w:rPr>
                <w:rFonts w:hint="default"/>
              </w:rPr>
              <w:t>，</w:t>
            </w:r>
            <w:r>
              <w:rPr>
                <w:rFonts w:hint="eastAsia"/>
              </w:rPr>
              <w:t>产污系数以0.8计，则项目废水产生量为</w:t>
            </w:r>
            <w:r>
              <w:rPr>
                <w:rFonts w:hint="eastAsia"/>
                <w:lang w:val="en-US" w:eastAsia="zh-CN"/>
              </w:rPr>
              <w:t>0.24</w:t>
            </w:r>
            <w:r>
              <w:rPr>
                <w:rFonts w:hint="default"/>
              </w:rPr>
              <w:t>t/</w:t>
            </w:r>
            <w:r>
              <w:rPr>
                <w:rFonts w:hint="eastAsia"/>
              </w:rPr>
              <w:t>d（</w:t>
            </w:r>
            <w:r>
              <w:rPr>
                <w:rFonts w:hint="eastAsia"/>
                <w:lang w:val="en-US" w:eastAsia="zh-CN"/>
              </w:rPr>
              <w:t>72</w:t>
            </w:r>
            <w:r>
              <w:rPr>
                <w:rFonts w:hint="default"/>
              </w:rPr>
              <w:t>t/</w:t>
            </w:r>
            <w:r>
              <w:rPr>
                <w:rFonts w:hint="eastAsia"/>
              </w:rPr>
              <w:t>a）。</w:t>
            </w:r>
            <w:r>
              <w:rPr>
                <w:rFonts w:hint="default"/>
              </w:rPr>
              <w:t>处理措施为：</w:t>
            </w:r>
            <w:r>
              <w:rPr>
                <w:rFonts w:hint="eastAsia"/>
              </w:rPr>
              <w:t>生活污水经化粪池处理后，</w:t>
            </w:r>
            <w:r>
              <w:rPr>
                <w:rFonts w:hint="eastAsia"/>
                <w:lang w:val="en-US" w:eastAsia="zh-CN"/>
              </w:rPr>
              <w:t>经污水管网排至新乡县综合污水处理厂进一步处理</w:t>
            </w:r>
            <w:r>
              <w:rPr>
                <w:rFonts w:hint="eastAsia"/>
              </w:rPr>
              <w:t>。生活污水水质为</w:t>
            </w:r>
            <w:r>
              <w:rPr>
                <w:rFonts w:hint="default"/>
              </w:rPr>
              <w:t>COD</w:t>
            </w:r>
            <w:r>
              <w:rPr>
                <w:rFonts w:hint="eastAsia"/>
              </w:rPr>
              <w:t>300</w:t>
            </w:r>
            <w:r>
              <w:rPr>
                <w:rFonts w:hint="default"/>
              </w:rPr>
              <w:t>mg/L、</w:t>
            </w:r>
            <w:r>
              <w:rPr>
                <w:rFonts w:hint="eastAsia" w:ascii="Times New Roman" w:hAnsi="Times New Roman" w:cs="Times New Roman"/>
                <w:b w:val="0"/>
                <w:bCs w:val="0"/>
                <w:sz w:val="24"/>
                <w:szCs w:val="24"/>
                <w:lang w:val="en-US" w:eastAsia="zh-CN"/>
              </w:rPr>
              <w:t>BOD</w:t>
            </w:r>
            <w:r>
              <w:rPr>
                <w:rFonts w:hint="eastAsia" w:ascii="Times New Roman" w:hAnsi="Times New Roman" w:cs="Times New Roman"/>
                <w:b w:val="0"/>
                <w:bCs w:val="0"/>
                <w:sz w:val="24"/>
                <w:szCs w:val="24"/>
                <w:vertAlign w:val="subscript"/>
                <w:lang w:val="en-US" w:eastAsia="zh-CN"/>
              </w:rPr>
              <w:t>5</w:t>
            </w:r>
            <w:r>
              <w:rPr>
                <w:rFonts w:hint="eastAsia" w:ascii="Times New Roman" w:hAnsi="Times New Roman" w:cs="Times New Roman"/>
                <w:b w:val="0"/>
                <w:bCs w:val="0"/>
                <w:sz w:val="24"/>
                <w:szCs w:val="24"/>
                <w:lang w:val="en-US" w:eastAsia="zh-CN"/>
              </w:rPr>
              <w:t>200</w:t>
            </w:r>
            <w:r>
              <w:rPr>
                <w:rFonts w:hint="default" w:ascii="Times New Roman" w:hAnsi="Times New Roman" w:cs="Times New Roman"/>
                <w:b w:val="0"/>
                <w:bCs w:val="0"/>
                <w:sz w:val="24"/>
                <w:szCs w:val="24"/>
              </w:rPr>
              <w:t>mg/L、</w:t>
            </w:r>
            <w:r>
              <w:rPr>
                <w:rFonts w:hint="default"/>
              </w:rPr>
              <w:t>SS</w:t>
            </w:r>
            <w:r>
              <w:rPr>
                <w:rFonts w:hint="eastAsia"/>
              </w:rPr>
              <w:t>25</w:t>
            </w:r>
            <w:r>
              <w:rPr>
                <w:rFonts w:hint="default"/>
              </w:rPr>
              <w:t>0mg/L、</w:t>
            </w:r>
            <w:r>
              <w:rPr>
                <w:rFonts w:hint="eastAsia"/>
              </w:rPr>
              <w:t>NH</w:t>
            </w:r>
            <w:r>
              <w:rPr>
                <w:rFonts w:hint="eastAsia"/>
                <w:vertAlign w:val="subscript"/>
              </w:rPr>
              <w:t>3</w:t>
            </w:r>
            <w:r>
              <w:rPr>
                <w:rFonts w:hint="eastAsia"/>
              </w:rPr>
              <w:t>-N</w:t>
            </w:r>
            <w:r>
              <w:rPr>
                <w:rFonts w:hint="default"/>
              </w:rPr>
              <w:t>2</w:t>
            </w:r>
            <w:r>
              <w:rPr>
                <w:rFonts w:hint="eastAsia"/>
              </w:rPr>
              <w:t>0</w:t>
            </w:r>
            <w:r>
              <w:rPr>
                <w:rFonts w:hint="default"/>
              </w:rPr>
              <w:t>mg/L</w:t>
            </w:r>
            <w:r>
              <w:rPr>
                <w:rFonts w:hint="eastAsia"/>
              </w:rPr>
              <w:t>、TP2</w:t>
            </w:r>
            <w:r>
              <w:rPr>
                <w:rFonts w:hint="default"/>
              </w:rPr>
              <w:t>mg/L</w:t>
            </w:r>
            <w:r>
              <w:rPr>
                <w:rFonts w:hint="eastAsia"/>
              </w:rPr>
              <w:t>、TN35</w:t>
            </w:r>
            <w:r>
              <w:rPr>
                <w:rFonts w:hint="default"/>
              </w:rPr>
              <w:t>mg/L</w:t>
            </w:r>
            <w:r>
              <w:rPr>
                <w:rFonts w:hint="eastAsia"/>
              </w:rPr>
              <w:t>，经化粪池处理后废水水质为</w:t>
            </w:r>
            <w:r>
              <w:rPr>
                <w:rFonts w:hint="default"/>
              </w:rPr>
              <w:t>COD</w:t>
            </w:r>
            <w:r>
              <w:rPr>
                <w:rFonts w:hint="eastAsia"/>
              </w:rPr>
              <w:t>200</w:t>
            </w:r>
            <w:r>
              <w:rPr>
                <w:rFonts w:hint="default"/>
              </w:rPr>
              <w:t>mg/L、</w:t>
            </w:r>
            <w:r>
              <w:rPr>
                <w:rFonts w:hint="eastAsia" w:ascii="Times New Roman" w:hAnsi="Times New Roman" w:cs="Times New Roman"/>
                <w:b w:val="0"/>
                <w:bCs w:val="0"/>
                <w:sz w:val="24"/>
                <w:szCs w:val="24"/>
                <w:lang w:val="en-US" w:eastAsia="zh-CN"/>
              </w:rPr>
              <w:t>BOD</w:t>
            </w:r>
            <w:r>
              <w:rPr>
                <w:rFonts w:hint="eastAsia" w:ascii="Times New Roman" w:hAnsi="Times New Roman" w:cs="Times New Roman"/>
                <w:b w:val="0"/>
                <w:bCs w:val="0"/>
                <w:sz w:val="24"/>
                <w:szCs w:val="24"/>
                <w:vertAlign w:val="subscript"/>
                <w:lang w:val="en-US" w:eastAsia="zh-CN"/>
              </w:rPr>
              <w:t>5</w:t>
            </w:r>
            <w:r>
              <w:rPr>
                <w:rFonts w:hint="eastAsia" w:ascii="Times New Roman" w:hAnsi="Times New Roman" w:cs="Times New Roman"/>
                <w:b w:val="0"/>
                <w:bCs w:val="0"/>
                <w:sz w:val="24"/>
                <w:szCs w:val="24"/>
                <w:lang w:val="en-US" w:eastAsia="zh-CN"/>
              </w:rPr>
              <w:t>200</w:t>
            </w:r>
            <w:r>
              <w:rPr>
                <w:rFonts w:hint="default" w:ascii="Times New Roman" w:hAnsi="Times New Roman" w:cs="Times New Roman"/>
                <w:b w:val="0"/>
                <w:bCs w:val="0"/>
                <w:sz w:val="24"/>
                <w:szCs w:val="24"/>
              </w:rPr>
              <w:t>mg/L、</w:t>
            </w:r>
            <w:r>
              <w:rPr>
                <w:rFonts w:hint="default"/>
              </w:rPr>
              <w:t>SS</w:t>
            </w:r>
            <w:r>
              <w:rPr>
                <w:rFonts w:hint="eastAsia"/>
              </w:rPr>
              <w:t>14</w:t>
            </w:r>
            <w:r>
              <w:rPr>
                <w:rFonts w:hint="default"/>
              </w:rPr>
              <w:t>0mg/L、</w:t>
            </w:r>
            <w:r>
              <w:rPr>
                <w:rFonts w:hint="eastAsia"/>
              </w:rPr>
              <w:t>NH</w:t>
            </w:r>
            <w:r>
              <w:rPr>
                <w:rFonts w:hint="eastAsia"/>
                <w:vertAlign w:val="subscript"/>
              </w:rPr>
              <w:t>3</w:t>
            </w:r>
            <w:r>
              <w:rPr>
                <w:rFonts w:hint="eastAsia"/>
              </w:rPr>
              <w:t>-N</w:t>
            </w:r>
            <w:r>
              <w:rPr>
                <w:rFonts w:hint="default"/>
              </w:rPr>
              <w:t>2</w:t>
            </w:r>
            <w:r>
              <w:rPr>
                <w:rFonts w:hint="eastAsia"/>
              </w:rPr>
              <w:t>0</w:t>
            </w:r>
            <w:r>
              <w:rPr>
                <w:rFonts w:hint="default"/>
              </w:rPr>
              <w:t>mg/L</w:t>
            </w:r>
            <w:r>
              <w:rPr>
                <w:rFonts w:hint="eastAsia"/>
              </w:rPr>
              <w:t>、TP2.0</w:t>
            </w:r>
            <w:r>
              <w:rPr>
                <w:rFonts w:hint="default"/>
              </w:rPr>
              <w:t>mg/L</w:t>
            </w:r>
            <w:r>
              <w:rPr>
                <w:rFonts w:hint="eastAsia"/>
              </w:rPr>
              <w:t>、TN35</w:t>
            </w:r>
            <w:r>
              <w:rPr>
                <w:rFonts w:hint="default"/>
              </w:rPr>
              <w:t>mg/L</w:t>
            </w:r>
            <w:r>
              <w:rPr>
                <w:rFonts w:hint="eastAsia"/>
                <w:lang w:eastAsia="zh-CN"/>
              </w:rPr>
              <w:t>。</w:t>
            </w:r>
            <w:r>
              <w:rPr>
                <w:rFonts w:hint="eastAsia"/>
                <w:bCs/>
                <w:color w:val="000000" w:themeColor="text1"/>
                <w:sz w:val="24"/>
                <w:highlight w:val="none"/>
                <w14:textFill>
                  <w14:solidFill>
                    <w14:schemeClr w14:val="tx1"/>
                  </w14:solidFill>
                </w14:textFill>
              </w:rPr>
              <w:t>根据</w:t>
            </w:r>
            <w:r>
              <w:rPr>
                <w:rFonts w:hint="eastAsia"/>
                <w:bCs/>
                <w:color w:val="000000" w:themeColor="text1"/>
                <w:sz w:val="24"/>
                <w:highlight w:val="none"/>
                <w:lang w:val="en-US" w:eastAsia="zh-CN"/>
                <w14:textFill>
                  <w14:solidFill>
                    <w14:schemeClr w14:val="tx1"/>
                  </w14:solidFill>
                </w14:textFill>
              </w:rPr>
              <w:t>《排污许可证申请与核发技术规范 铁路、船舶、航空航天和其他运输设备制造业》（HJ1124-2020），生活污水采用化粪池处理为可行性技术。</w:t>
            </w:r>
          </w:p>
          <w:p w14:paraId="3911E478">
            <w:pPr>
              <w:keepNext w:val="0"/>
              <w:keepLines w:val="0"/>
              <w:pageBreakBefore w:val="0"/>
              <w:widowControl w:val="0"/>
              <w:numPr>
                <w:ilvl w:val="0"/>
                <w:numId w:val="4"/>
              </w:numPr>
              <w:suppressLineNumbers w:val="0"/>
              <w:kinsoku/>
              <w:wordWrap/>
              <w:overflowPunct/>
              <w:topLinePunct w:val="0"/>
              <w:autoSpaceDE/>
              <w:autoSpaceDN/>
              <w:bidi w:val="0"/>
              <w:spacing w:before="0" w:beforeAutospacing="0" w:after="0" w:afterAutospacing="0" w:line="440" w:lineRule="exact"/>
              <w:ind w:left="0" w:leftChars="0" w:right="0" w:firstLine="482" w:firstLineChars="200"/>
              <w:jc w:val="both"/>
              <w:textAlignment w:val="auto"/>
              <w:rPr>
                <w:rFonts w:hint="eastAsia"/>
                <w:b/>
                <w:bCs/>
                <w:lang w:val="en-US" w:eastAsia="zh-CN"/>
              </w:rPr>
            </w:pPr>
            <w:r>
              <w:rPr>
                <w:rFonts w:hint="eastAsia"/>
                <w:b/>
                <w:bCs/>
                <w:lang w:val="en-US" w:eastAsia="zh-CN"/>
              </w:rPr>
              <w:t>新乡县综合污水处理厂依托可行性分析</w:t>
            </w:r>
          </w:p>
          <w:p w14:paraId="6B969CE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righ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新乡县综合污水处理厂项目位于胜利路以东、青龙路以北，文化路以西， 东孟姜女河以南的区域，占地面积171047.2m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，服务范围主要为新乡县中心城区、新乡经济技术产业集聚区（纸制品印刷包装产业园和装备制造产业园）、朗公庙镇中心镇区等区域。设计处理能力为15万m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污水处理工艺主要为“格栅+水解酸化+AAOAO+沉淀+过滤+臭氧接触+活性炭过滤”，处理废水以工业污水为主，主要包括造纸、生物制药和精细化工等行业。出水执行《地表水环境质量标准》（GB3838-2002）V类标准（总氮除外），总氮执行《城镇污水处理厂污染物排放标准》（GB18918-2002）表1一级A标准后排入东孟姜女河，而后汇入卫河。</w:t>
            </w:r>
          </w:p>
          <w:p w14:paraId="6B803286">
            <w:pPr>
              <w:pStyle w:val="30"/>
              <w:keepNext/>
              <w:keepLines/>
              <w:pageBreakBefore w:val="0"/>
              <w:widowControl w:val="0"/>
              <w:numPr>
                <w:ilvl w:val="1"/>
                <w:numId w:val="0"/>
              </w:numPr>
              <w:suppressLineNumbers w:val="0"/>
              <w:kinsoku/>
              <w:wordWrap/>
              <w:overflowPunct/>
              <w:topLinePunct w:val="0"/>
              <w:autoSpaceDE w:val="0"/>
              <w:autoSpaceDN w:val="0"/>
              <w:bidi w:val="0"/>
              <w:adjustRightInd/>
              <w:snapToGrid w:val="0"/>
              <w:spacing w:before="0" w:beforeAutospacing="0" w:after="0" w:afterAutospacing="0" w:line="440" w:lineRule="exact"/>
              <w:ind w:left="0" w:leftChars="0" w:right="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本项目位于</w:t>
            </w:r>
            <w:r>
              <w:rPr>
                <w:rFonts w:hint="eastAsia" w:ascii="Times New Roman" w:cs="Times New Roman"/>
                <w:b w:val="0"/>
                <w:bCs w:val="0"/>
                <w:sz w:val="24"/>
                <w:szCs w:val="24"/>
                <w:lang w:val="en-US" w:eastAsia="zh-CN"/>
              </w:rPr>
              <w:t>河南省新乡市新乡县中央大道兴隆路交叉口西南角处</w:t>
            </w:r>
            <w:r>
              <w:rPr>
                <w:rFonts w:hint="default" w:ascii="Times New Roman" w:hAnsi="Times New Roman" w:cs="Times New Roman"/>
                <w:b w:val="0"/>
                <w:bCs w:val="0"/>
                <w:sz w:val="24"/>
                <w:szCs w:val="24"/>
              </w:rPr>
              <w:t>，属于新乡县综合污水处理厂收水范围</w:t>
            </w:r>
            <w:r>
              <w:rPr>
                <w:rFonts w:hint="eastAsia" w:ascii="Times New Roman" w:cs="Times New Roman"/>
                <w:b w:val="0"/>
                <w:bCs w:val="0"/>
                <w:sz w:val="24"/>
                <w:szCs w:val="24"/>
                <w:lang w:eastAsia="zh-CN"/>
              </w:rPr>
              <w:t>内</w:t>
            </w:r>
            <w:r>
              <w:rPr>
                <w:rFonts w:hint="default" w:ascii="Times New Roman" w:hAnsi="Times New Roman" w:cs="Times New Roman"/>
                <w:b w:val="0"/>
                <w:bCs w:val="0"/>
                <w:sz w:val="24"/>
                <w:szCs w:val="24"/>
              </w:rPr>
              <w:t>，废水能够进入新乡县综合污水处理厂处理。该污水处理厂近期规模目前已建成，因此从时间衔接上也是可行的。</w:t>
            </w:r>
          </w:p>
          <w:p w14:paraId="45EC21ED">
            <w:pPr>
              <w:pStyle w:val="30"/>
              <w:keepNext/>
              <w:keepLines/>
              <w:pageBreakBefore w:val="0"/>
              <w:widowControl w:val="0"/>
              <w:numPr>
                <w:ilvl w:val="1"/>
                <w:numId w:val="0"/>
              </w:numPr>
              <w:suppressLineNumbers w:val="0"/>
              <w:kinsoku/>
              <w:wordWrap/>
              <w:overflowPunct/>
              <w:topLinePunct w:val="0"/>
              <w:autoSpaceDE w:val="0"/>
              <w:autoSpaceDN w:val="0"/>
              <w:bidi w:val="0"/>
              <w:adjustRightInd/>
              <w:snapToGrid w:val="0"/>
              <w:spacing w:before="0" w:beforeAutospacing="0" w:after="0" w:afterAutospacing="0" w:line="440" w:lineRule="exact"/>
              <w:ind w:left="0" w:leftChars="0" w:right="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本项目废水排放量为0.</w:t>
            </w:r>
            <w:r>
              <w:rPr>
                <w:rFonts w:hint="eastAsia" w:ascii="Times New Roman" w:cs="Times New Roman"/>
                <w:b w:val="0"/>
                <w:bCs w:val="0"/>
                <w:sz w:val="24"/>
                <w:szCs w:val="24"/>
                <w:lang w:val="en-US" w:eastAsia="zh-CN"/>
              </w:rPr>
              <w:t>24</w:t>
            </w:r>
            <w:r>
              <w:rPr>
                <w:rFonts w:hint="default" w:ascii="Times New Roman" w:hAnsi="Times New Roman" w:cs="Times New Roman"/>
                <w:b w:val="0"/>
                <w:bCs w:val="0"/>
                <w:sz w:val="24"/>
                <w:szCs w:val="24"/>
              </w:rPr>
              <w:t>m</w:t>
            </w:r>
            <w:r>
              <w:rPr>
                <w:rFonts w:hint="default" w:ascii="Times New Roman" w:hAnsi="Times New Roman" w:cs="Times New Roman"/>
                <w:b w:val="0"/>
                <w:bCs w:val="0"/>
                <w:sz w:val="24"/>
                <w:szCs w:val="24"/>
                <w:vertAlign w:val="superscript"/>
              </w:rPr>
              <w:t>3</w:t>
            </w:r>
            <w:r>
              <w:rPr>
                <w:rFonts w:hint="default" w:ascii="Times New Roman" w:hAnsi="Times New Roman" w:cs="Times New Roman"/>
                <w:b w:val="0"/>
                <w:bCs w:val="0"/>
                <w:sz w:val="24"/>
                <w:szCs w:val="24"/>
              </w:rPr>
              <w:t>/d，外排废水水质为COD2</w:t>
            </w:r>
            <w:r>
              <w:rPr>
                <w:rFonts w:hint="eastAsia" w:ascii="Times New Roman" w:hAnsi="Times New Roman" w:cs="Times New Roman"/>
                <w:b w:val="0"/>
                <w:bCs w:val="0"/>
                <w:sz w:val="24"/>
                <w:szCs w:val="24"/>
                <w:lang w:val="en-US" w:eastAsia="zh-CN"/>
              </w:rPr>
              <w:t>0</w:t>
            </w:r>
            <w:r>
              <w:rPr>
                <w:rFonts w:hint="default" w:ascii="Times New Roman" w:hAnsi="Times New Roman" w:cs="Times New Roman"/>
                <w:b w:val="0"/>
                <w:bCs w:val="0"/>
                <w:sz w:val="24"/>
                <w:szCs w:val="24"/>
              </w:rPr>
              <w:t>0mg/L、</w:t>
            </w:r>
            <w:r>
              <w:rPr>
                <w:rFonts w:hint="eastAsia" w:ascii="Times New Roman" w:hAnsi="Times New Roman" w:cs="Times New Roman"/>
                <w:b w:val="0"/>
                <w:bCs w:val="0"/>
                <w:sz w:val="24"/>
                <w:szCs w:val="24"/>
                <w:lang w:val="en-US" w:eastAsia="zh-CN"/>
              </w:rPr>
              <w:t>BOD</w:t>
            </w:r>
            <w:r>
              <w:rPr>
                <w:rFonts w:hint="eastAsia" w:ascii="Times New Roman" w:hAnsi="Times New Roman" w:cs="Times New Roman"/>
                <w:b w:val="0"/>
                <w:bCs w:val="0"/>
                <w:sz w:val="24"/>
                <w:szCs w:val="24"/>
                <w:vertAlign w:val="subscript"/>
                <w:lang w:val="en-US" w:eastAsia="zh-CN"/>
              </w:rPr>
              <w:t>5</w:t>
            </w:r>
            <w:r>
              <w:rPr>
                <w:rFonts w:hint="eastAsia" w:ascii="Times New Roman" w:hAnsi="Times New Roman" w:cs="Times New Roman"/>
                <w:b w:val="0"/>
                <w:bCs w:val="0"/>
                <w:sz w:val="24"/>
                <w:szCs w:val="24"/>
                <w:lang w:val="en-US" w:eastAsia="zh-CN"/>
              </w:rPr>
              <w:t>200</w:t>
            </w:r>
            <w:r>
              <w:rPr>
                <w:rFonts w:hint="default" w:ascii="Times New Roman" w:hAnsi="Times New Roman" w:cs="Times New Roman"/>
                <w:b w:val="0"/>
                <w:bCs w:val="0"/>
                <w:sz w:val="24"/>
                <w:szCs w:val="24"/>
              </w:rPr>
              <w:t>mg/L、SS1</w:t>
            </w:r>
            <w:r>
              <w:rPr>
                <w:rFonts w:hint="eastAsia" w:ascii="Times New Roman" w:hAnsi="Times New Roman" w:cs="Times New Roman"/>
                <w:b w:val="0"/>
                <w:bCs w:val="0"/>
                <w:sz w:val="24"/>
                <w:szCs w:val="24"/>
                <w:lang w:val="en-US" w:eastAsia="zh-CN"/>
              </w:rPr>
              <w:t>4</w:t>
            </w:r>
            <w:r>
              <w:rPr>
                <w:rFonts w:hint="default" w:ascii="Times New Roman" w:hAnsi="Times New Roman" w:cs="Times New Roman"/>
                <w:b w:val="0"/>
                <w:bCs w:val="0"/>
                <w:sz w:val="24"/>
                <w:szCs w:val="24"/>
              </w:rPr>
              <w:t>0mg/L、NH</w:t>
            </w:r>
            <w:r>
              <w:rPr>
                <w:rFonts w:hint="default" w:ascii="Times New Roman" w:hAnsi="Times New Roman" w:cs="Times New Roman"/>
                <w:b w:val="0"/>
                <w:bCs w:val="0"/>
                <w:sz w:val="24"/>
                <w:szCs w:val="24"/>
                <w:vertAlign w:val="subscript"/>
              </w:rPr>
              <w:t>3</w:t>
            </w:r>
            <w:r>
              <w:rPr>
                <w:rFonts w:hint="default" w:ascii="Times New Roman" w:hAnsi="Times New Roman" w:cs="Times New Roman"/>
                <w:b w:val="0"/>
                <w:bCs w:val="0"/>
                <w:sz w:val="24"/>
                <w:szCs w:val="24"/>
              </w:rPr>
              <w:t>-N2</w:t>
            </w:r>
            <w:r>
              <w:rPr>
                <w:rFonts w:hint="eastAsia" w:ascii="Times New Roman" w:hAnsi="Times New Roman" w:cs="Times New Roman"/>
                <w:b w:val="0"/>
                <w:bCs w:val="0"/>
                <w:sz w:val="24"/>
                <w:szCs w:val="24"/>
                <w:lang w:val="en-US" w:eastAsia="zh-CN"/>
              </w:rPr>
              <w:t>0</w:t>
            </w:r>
            <w:r>
              <w:rPr>
                <w:rFonts w:hint="default" w:ascii="Times New Roman" w:hAnsi="Times New Roman" w:cs="Times New Roman"/>
                <w:b w:val="0"/>
                <w:bCs w:val="0"/>
                <w:sz w:val="24"/>
                <w:szCs w:val="24"/>
              </w:rPr>
              <w:t>mg/L、TP</w:t>
            </w:r>
            <w:r>
              <w:rPr>
                <w:rFonts w:hint="eastAsia" w:ascii="Times New Roman" w:hAnsi="Times New Roman" w:cs="Times New Roman"/>
                <w:b w:val="0"/>
                <w:bCs w:val="0"/>
                <w:sz w:val="24"/>
                <w:szCs w:val="24"/>
                <w:lang w:val="en-US" w:eastAsia="zh-CN"/>
              </w:rPr>
              <w:t>2.0</w:t>
            </w:r>
            <w:r>
              <w:rPr>
                <w:rFonts w:hint="default" w:ascii="Times New Roman" w:hAnsi="Times New Roman" w:cs="Times New Roman"/>
                <w:b w:val="0"/>
                <w:bCs w:val="0"/>
                <w:sz w:val="24"/>
                <w:szCs w:val="24"/>
              </w:rPr>
              <w:t>mg/L、TN3</w:t>
            </w:r>
            <w:r>
              <w:rPr>
                <w:rFonts w:hint="eastAsia" w:ascii="Times New Roman" w:hAnsi="Times New Roman" w:cs="Times New Roman"/>
                <w:b w:val="0"/>
                <w:bCs w:val="0"/>
                <w:sz w:val="24"/>
                <w:szCs w:val="24"/>
                <w:lang w:val="en-US" w:eastAsia="zh-CN"/>
              </w:rPr>
              <w:t>5</w:t>
            </w:r>
            <w:r>
              <w:rPr>
                <w:rFonts w:hint="default" w:ascii="Times New Roman" w:hAnsi="Times New Roman" w:cs="Times New Roman"/>
                <w:b w:val="0"/>
                <w:bCs w:val="0"/>
                <w:sz w:val="24"/>
                <w:szCs w:val="24"/>
              </w:rPr>
              <w:t>mg/L，满足新乡县综合污水处理厂的收水标准COD400mg/L、</w:t>
            </w:r>
            <w:r>
              <w:rPr>
                <w:rFonts w:hint="eastAsia" w:ascii="Times New Roman" w:hAnsi="Times New Roman" w:cs="Times New Roman"/>
                <w:b w:val="0"/>
                <w:bCs w:val="0"/>
                <w:sz w:val="24"/>
                <w:szCs w:val="24"/>
                <w:lang w:val="en-US" w:eastAsia="zh-CN"/>
              </w:rPr>
              <w:t>BOD</w:t>
            </w:r>
            <w:r>
              <w:rPr>
                <w:rFonts w:hint="eastAsia" w:ascii="Times New Roman" w:hAnsi="Times New Roman" w:cs="Times New Roman"/>
                <w:b w:val="0"/>
                <w:bCs w:val="0"/>
                <w:sz w:val="24"/>
                <w:szCs w:val="24"/>
                <w:vertAlign w:val="subscript"/>
                <w:lang w:val="en-US" w:eastAsia="zh-CN"/>
              </w:rPr>
              <w:t>5</w:t>
            </w:r>
            <w:r>
              <w:rPr>
                <w:rFonts w:hint="eastAsia" w:ascii="Times New Roman" w:hAnsi="Times New Roman" w:cs="Times New Roman"/>
                <w:b w:val="0"/>
                <w:bCs w:val="0"/>
                <w:sz w:val="24"/>
                <w:szCs w:val="24"/>
                <w:lang w:val="en-US" w:eastAsia="zh-CN"/>
              </w:rPr>
              <w:t>120</w:t>
            </w:r>
            <w:r>
              <w:rPr>
                <w:rFonts w:hint="default" w:ascii="Times New Roman" w:hAnsi="Times New Roman" w:cs="Times New Roman"/>
                <w:b w:val="0"/>
                <w:bCs w:val="0"/>
                <w:sz w:val="24"/>
                <w:szCs w:val="24"/>
              </w:rPr>
              <w:t>mg/L、SS180mg/L、NH</w:t>
            </w:r>
            <w:r>
              <w:rPr>
                <w:rFonts w:hint="default" w:ascii="Times New Roman" w:hAnsi="Times New Roman" w:cs="Times New Roman"/>
                <w:b w:val="0"/>
                <w:bCs w:val="0"/>
                <w:sz w:val="24"/>
                <w:szCs w:val="24"/>
                <w:vertAlign w:val="subscript"/>
              </w:rPr>
              <w:t>3</w:t>
            </w:r>
            <w:r>
              <w:rPr>
                <w:rFonts w:hint="default" w:ascii="Times New Roman" w:hAnsi="Times New Roman" w:cs="Times New Roman"/>
                <w:b w:val="0"/>
                <w:bCs w:val="0"/>
                <w:sz w:val="24"/>
                <w:szCs w:val="24"/>
              </w:rPr>
              <w:t>-N59mg/L、TP4.0mg/L、TN70mg/L的限值要求</w:t>
            </w:r>
            <w:r>
              <w:rPr>
                <w:rFonts w:hint="eastAsia" w:ascii="Times New Roman" w:hAnsi="Times New Roman" w:cs="Times New Roman"/>
                <w:b w:val="0"/>
                <w:bCs w:val="0"/>
                <w:sz w:val="24"/>
                <w:szCs w:val="24"/>
                <w:lang w:eastAsia="zh-CN"/>
              </w:rPr>
              <w:t>，</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同时满足《污水排入城镇下水道水质标准》</w:t>
            </w:r>
            <w:r>
              <w:rPr>
                <w:rFonts w:hint="default" w:ascii="Times New Roman" w:hAnsi="Times New Roman" w:cs="Times New Roman"/>
                <w:b w:val="0"/>
                <w:bCs/>
                <w:color w:val="000000" w:themeColor="text1"/>
                <w:sz w:val="24"/>
                <w:szCs w:val="24"/>
                <w:highlight w:val="none"/>
                <w:vertAlign w:val="baseline"/>
                <w:lang w:val="en-US" w:eastAsia="zh-CN"/>
                <w14:textFill>
                  <w14:solidFill>
                    <w14:schemeClr w14:val="tx1"/>
                  </w14:solidFill>
                </w14:textFill>
              </w:rPr>
              <w:t>(GB</w:t>
            </w:r>
            <w:r>
              <w:rPr>
                <w:rFonts w:hint="eastAsia" w:ascii="Times New Roman" w:hAnsi="Times New Roman" w:cs="Times New Roman"/>
                <w:b w:val="0"/>
                <w:bCs/>
                <w:color w:val="000000" w:themeColor="text1"/>
                <w:sz w:val="24"/>
                <w:szCs w:val="24"/>
                <w:highlight w:val="none"/>
                <w:vertAlign w:val="baseline"/>
                <w:lang w:val="en-US" w:eastAsia="zh-CN"/>
                <w14:textFill>
                  <w14:solidFill>
                    <w14:schemeClr w14:val="tx1"/>
                  </w14:solidFill>
                </w14:textFill>
              </w:rPr>
              <w:t>/T31962</w:t>
            </w:r>
            <w:r>
              <w:rPr>
                <w:rFonts w:hint="default" w:ascii="Times New Roman" w:hAnsi="Times New Roman" w:cs="Times New Roman"/>
                <w:b w:val="0"/>
                <w:bCs/>
                <w:color w:val="000000" w:themeColor="text1"/>
                <w:sz w:val="24"/>
                <w:szCs w:val="24"/>
                <w:highlight w:val="none"/>
                <w:vertAlign w:val="baseline"/>
                <w:lang w:val="en-US" w:eastAsia="zh-CN"/>
                <w14:textFill>
                  <w14:solidFill>
                    <w14:schemeClr w14:val="tx1"/>
                  </w14:solidFill>
                </w14:textFill>
              </w:rPr>
              <w:t>-</w:t>
            </w:r>
            <w:r>
              <w:rPr>
                <w:rFonts w:hint="eastAsia" w:ascii="Times New Roman" w:hAnsi="Times New Roman" w:cs="Times New Roman"/>
                <w:b w:val="0"/>
                <w:bCs/>
                <w:color w:val="000000" w:themeColor="text1"/>
                <w:sz w:val="24"/>
                <w:szCs w:val="24"/>
                <w:highlight w:val="none"/>
                <w:vertAlign w:val="baseline"/>
                <w:lang w:val="en-US" w:eastAsia="zh-CN"/>
                <w14:textFill>
                  <w14:solidFill>
                    <w14:schemeClr w14:val="tx1"/>
                  </w14:solidFill>
                </w14:textFill>
              </w:rPr>
              <w:t>2015</w:t>
            </w:r>
            <w:r>
              <w:rPr>
                <w:rFonts w:hint="default" w:ascii="Times New Roman" w:hAnsi="Times New Roman" w:cs="Times New Roman"/>
                <w:b w:val="0"/>
                <w:bCs/>
                <w:color w:val="000000" w:themeColor="text1"/>
                <w:sz w:val="24"/>
                <w:szCs w:val="24"/>
                <w:highlight w:val="none"/>
                <w:vertAlign w:val="baseline"/>
                <w:lang w:val="en-US" w:eastAsia="zh-CN"/>
                <w14:textFill>
                  <w14:solidFill>
                    <w14:schemeClr w14:val="tx1"/>
                  </w14:solidFill>
                </w14:textFill>
              </w:rPr>
              <w:t>)</w:t>
            </w:r>
            <w:r>
              <w:rPr>
                <w:rFonts w:hint="eastAsia" w:ascii="Times New Roman" w:hAnsi="Times New Roman" w:cs="Times New Roman"/>
                <w:b w:val="0"/>
                <w:bCs/>
                <w:color w:val="000000" w:themeColor="text1"/>
                <w:sz w:val="24"/>
                <w:szCs w:val="24"/>
                <w:highlight w:val="none"/>
                <w:vertAlign w:val="baseline"/>
                <w:lang w:val="en-US" w:eastAsia="zh-CN"/>
                <w14:textFill>
                  <w14:solidFill>
                    <w14:schemeClr w14:val="tx1"/>
                  </w14:solidFill>
                </w14:textFill>
              </w:rPr>
              <w:t>C</w:t>
            </w:r>
            <w:r>
              <w:rPr>
                <w:rFonts w:hint="default" w:ascii="Times New Roman" w:hAnsi="Times New Roman" w:cs="Times New Roman"/>
                <w:b w:val="0"/>
                <w:bCs/>
                <w:color w:val="000000" w:themeColor="text1"/>
                <w:sz w:val="24"/>
                <w:szCs w:val="24"/>
                <w:highlight w:val="none"/>
                <w:vertAlign w:val="baseline"/>
                <w:lang w:val="en-US" w:eastAsia="zh-CN"/>
                <w14:textFill>
                  <w14:solidFill>
                    <w14:schemeClr w14:val="tx1"/>
                  </w14:solidFill>
                </w14:textFill>
              </w:rPr>
              <w:t>级</w:t>
            </w:r>
            <w:r>
              <w:rPr>
                <w:rFonts w:hint="eastAsia" w:ascii="Times New Roman" w:hAnsi="Times New Roman" w:cs="Times New Roman"/>
                <w:b w:val="0"/>
                <w:bCs/>
                <w:color w:val="000000" w:themeColor="text1"/>
                <w:sz w:val="24"/>
                <w:szCs w:val="24"/>
                <w:highlight w:val="none"/>
                <w:vertAlign w:val="baseline"/>
                <w:lang w:val="en-US" w:eastAsia="zh-CN"/>
                <w14:textFill>
                  <w14:solidFill>
                    <w14:schemeClr w14:val="tx1"/>
                  </w14:solidFill>
                </w14:textFill>
              </w:rPr>
              <w:t>中</w:t>
            </w:r>
            <w:r>
              <w:rPr>
                <w:rFonts w:hint="default" w:ascii="Times New Roman" w:hAnsi="Times New Roman" w:cs="Times New Roman"/>
                <w:b w:val="0"/>
                <w:bCs w:val="0"/>
                <w:color w:val="000000" w:themeColor="text1"/>
                <w:sz w:val="24"/>
                <w:szCs w:val="24"/>
                <w14:textFill>
                  <w14:solidFill>
                    <w14:schemeClr w14:val="tx1"/>
                  </w14:solidFill>
                </w14:textFill>
              </w:rPr>
              <w:t>COD</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300</w:t>
            </w:r>
            <w:r>
              <w:rPr>
                <w:rFonts w:hint="default" w:ascii="Times New Roman" w:hAnsi="Times New Roman" w:cs="Times New Roman"/>
                <w:b w:val="0"/>
                <w:bCs w:val="0"/>
                <w:color w:val="000000" w:themeColor="text1"/>
                <w:sz w:val="24"/>
                <w:szCs w:val="24"/>
                <w14:textFill>
                  <w14:solidFill>
                    <w14:schemeClr w14:val="tx1"/>
                  </w14:solidFill>
                </w14:textFill>
              </w:rPr>
              <w:t>mg/L、</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NH</w:t>
            </w:r>
            <w:r>
              <w:rPr>
                <w:rFonts w:hint="eastAsia" w:ascii="Times New Roman" w:hAnsi="Times New Roman" w:cs="Times New Roman"/>
                <w:b w:val="0"/>
                <w:bCs w:val="0"/>
                <w:color w:val="000000" w:themeColor="text1"/>
                <w:sz w:val="24"/>
                <w:szCs w:val="24"/>
                <w:vertAlign w:val="subscript"/>
                <w:lang w:val="en-US" w:eastAsia="zh-CN"/>
                <w14:textFill>
                  <w14:solidFill>
                    <w14:schemeClr w14:val="tx1"/>
                  </w14:solidFill>
                </w14:textFill>
              </w:rPr>
              <w:t>3</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-N300</w:t>
            </w:r>
            <w:r>
              <w:rPr>
                <w:rFonts w:hint="default" w:ascii="Times New Roman" w:hAnsi="Times New Roman" w:cs="Times New Roman"/>
                <w:b w:val="0"/>
                <w:bCs w:val="0"/>
                <w:color w:val="000000" w:themeColor="text1"/>
                <w:sz w:val="24"/>
                <w:szCs w:val="24"/>
                <w14:textFill>
                  <w14:solidFill>
                    <w14:schemeClr w14:val="tx1"/>
                  </w14:solidFill>
                </w14:textFill>
              </w:rPr>
              <w:t>mg/L</w:t>
            </w:r>
            <w:r>
              <w:rPr>
                <w:rFonts w:hint="eastAsia" w:ascii="Times New Roman" w:hAnsi="Times New Roman" w:cs="Times New Roman"/>
                <w:b w:val="0"/>
                <w:bCs w:val="0"/>
                <w:color w:val="000000" w:themeColor="text1"/>
                <w:sz w:val="24"/>
                <w:szCs w:val="24"/>
                <w:lang w:eastAsia="zh-CN"/>
                <w14:textFill>
                  <w14:solidFill>
                    <w14:schemeClr w14:val="tx1"/>
                  </w14:solidFill>
                </w14:textFill>
              </w:rPr>
              <w:t>、</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TN45</w:t>
            </w:r>
            <w:r>
              <w:rPr>
                <w:rFonts w:hint="default" w:ascii="Times New Roman" w:hAnsi="Times New Roman" w:cs="Times New Roman"/>
                <w:b w:val="0"/>
                <w:bCs w:val="0"/>
                <w:color w:val="000000" w:themeColor="text1"/>
                <w:sz w:val="24"/>
                <w:szCs w:val="24"/>
                <w14:textFill>
                  <w14:solidFill>
                    <w14:schemeClr w14:val="tx1"/>
                  </w14:solidFill>
                </w14:textFill>
              </w:rPr>
              <w:t>mg/L</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的限值要求</w:t>
            </w:r>
            <w:r>
              <w:rPr>
                <w:rFonts w:hint="default" w:ascii="Times New Roman" w:hAnsi="Times New Roman" w:cs="Times New Roman"/>
                <w:b w:val="0"/>
                <w:bCs w:val="0"/>
                <w:color w:val="000000" w:themeColor="text1"/>
                <w:sz w:val="24"/>
                <w:szCs w:val="24"/>
                <w14:textFill>
                  <w14:solidFill>
                    <w14:schemeClr w14:val="tx1"/>
                  </w14:solidFill>
                </w14:textFill>
              </w:rPr>
              <w:t>。</w:t>
            </w:r>
            <w:r>
              <w:rPr>
                <w:rFonts w:hint="default" w:ascii="Times New Roman" w:hAnsi="Times New Roman" w:cs="Times New Roman"/>
                <w:b w:val="0"/>
                <w:bCs w:val="0"/>
                <w:sz w:val="24"/>
                <w:szCs w:val="24"/>
              </w:rPr>
              <w:t>经调查，新乡县综合污水处理厂现阶段，出水水质稳定达标排放</w:t>
            </w:r>
            <w:r>
              <w:rPr>
                <w:rFonts w:hint="eastAsia" w:ascii="Times New Roman" w:hAnsi="Times New Roman" w:cs="Times New Roman"/>
                <w:b w:val="0"/>
                <w:bCs w:val="0"/>
                <w:sz w:val="24"/>
                <w:szCs w:val="24"/>
                <w:lang w:eastAsia="zh-CN"/>
              </w:rPr>
              <w:t>，</w:t>
            </w:r>
            <w:r>
              <w:rPr>
                <w:rFonts w:hint="default" w:ascii="Times New Roman" w:hAnsi="Times New Roman" w:cs="Times New Roman"/>
                <w:b w:val="0"/>
                <w:bCs w:val="0"/>
                <w:sz w:val="24"/>
                <w:szCs w:val="24"/>
              </w:rPr>
              <w:t>从水质上分析是可行的。新乡县综合污水处理厂近期设计处理规模为15万m</w:t>
            </w:r>
            <w:r>
              <w:rPr>
                <w:rFonts w:hint="default" w:ascii="Times New Roman" w:hAnsi="Times New Roman" w:cs="Times New Roman"/>
                <w:b w:val="0"/>
                <w:bCs w:val="0"/>
                <w:sz w:val="24"/>
                <w:szCs w:val="24"/>
                <w:vertAlign w:val="superscript"/>
              </w:rPr>
              <w:t>3</w:t>
            </w:r>
            <w:r>
              <w:rPr>
                <w:rFonts w:hint="default" w:ascii="Times New Roman" w:hAnsi="Times New Roman" w:cs="Times New Roman"/>
                <w:b w:val="0"/>
                <w:bCs w:val="0"/>
                <w:sz w:val="24"/>
                <w:szCs w:val="24"/>
              </w:rPr>
              <w:t>/d。项目新增外排水量占该污水处理厂处理能力的</w:t>
            </w:r>
            <w:r>
              <w:rPr>
                <w:rFonts w:hint="default" w:ascii="Times New Roman" w:hAnsi="Times New Roman" w:cs="Times New Roman"/>
                <w:b w:val="0"/>
                <w:bCs w:val="0"/>
                <w:sz w:val="24"/>
                <w:szCs w:val="24"/>
                <w:highlight w:val="none"/>
              </w:rPr>
              <w:t>0.0</w:t>
            </w:r>
            <w:r>
              <w:rPr>
                <w:rFonts w:hint="eastAsia" w:ascii="Times New Roman" w:cs="Times New Roman"/>
                <w:b w:val="0"/>
                <w:bCs w:val="0"/>
                <w:sz w:val="24"/>
                <w:szCs w:val="24"/>
                <w:highlight w:val="none"/>
                <w:lang w:val="en-US" w:eastAsia="zh-CN"/>
              </w:rPr>
              <w:t>016</w:t>
            </w:r>
            <w:r>
              <w:rPr>
                <w:rFonts w:hint="default" w:ascii="Times New Roman" w:hAnsi="Times New Roman" w:cs="Times New Roman"/>
                <w:b w:val="0"/>
                <w:bCs w:val="0"/>
                <w:sz w:val="24"/>
                <w:szCs w:val="24"/>
              </w:rPr>
              <w:t>‰，占比较小。从水量接管量上讲，新乡县综合污水处理厂有能力接纳建设项目的废水。因此本项目废水排入新乡县综合污水处理厂进一步处理是可行的。</w:t>
            </w:r>
          </w:p>
          <w:p w14:paraId="413BCF82">
            <w:pPr>
              <w:pStyle w:val="30"/>
              <w:keepNext/>
              <w:keepLines/>
              <w:pageBreakBefore w:val="0"/>
              <w:widowControl w:val="0"/>
              <w:numPr>
                <w:ilvl w:val="1"/>
                <w:numId w:val="0"/>
              </w:numPr>
              <w:suppressLineNumbers w:val="0"/>
              <w:kinsoku/>
              <w:wordWrap/>
              <w:overflowPunct/>
              <w:topLinePunct w:val="0"/>
              <w:autoSpaceDE w:val="0"/>
              <w:autoSpaceDN w:val="0"/>
              <w:bidi w:val="0"/>
              <w:adjustRightInd/>
              <w:snapToGrid w:val="0"/>
              <w:spacing w:before="0" w:beforeAutospacing="0" w:after="0" w:afterAutospacing="0" w:line="440" w:lineRule="exact"/>
              <w:ind w:left="0" w:leftChars="0" w:right="0" w:firstLine="480" w:firstLineChars="200"/>
              <w:jc w:val="both"/>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综上，本项目废水从进水水量、水质要求等方面分析，项目废水产生量较小，对新乡县综合污水处理厂不会产生冲击负荷，废水经处理后可达标排放。因此，本项目废水进入新乡县综合污水处理厂是可行的，</w:t>
            </w:r>
            <w:r>
              <w:rPr>
                <w:rFonts w:hint="eastAsia" w:ascii="Times New Roman" w:hAnsi="Times New Roman" w:cs="Times New Roman"/>
                <w:b w:val="0"/>
                <w:bCs w:val="0"/>
                <w:sz w:val="24"/>
                <w:szCs w:val="24"/>
                <w:lang w:eastAsia="zh-CN"/>
              </w:rPr>
              <w:t>废水</w:t>
            </w:r>
            <w:r>
              <w:rPr>
                <w:rFonts w:hint="default" w:ascii="Times New Roman" w:hAnsi="Times New Roman" w:cs="Times New Roman"/>
                <w:b w:val="0"/>
                <w:bCs w:val="0"/>
                <w:sz w:val="24"/>
                <w:szCs w:val="24"/>
              </w:rPr>
              <w:t>排放</w:t>
            </w:r>
            <w:r>
              <w:rPr>
                <w:rFonts w:hint="eastAsia" w:ascii="Times New Roman" w:hAnsi="Times New Roman" w:cs="Times New Roman"/>
                <w:b w:val="0"/>
                <w:bCs w:val="0"/>
                <w:sz w:val="24"/>
                <w:szCs w:val="24"/>
                <w:lang w:eastAsia="zh-CN"/>
              </w:rPr>
              <w:t>对</w:t>
            </w:r>
            <w:r>
              <w:rPr>
                <w:rFonts w:hint="default" w:ascii="Times New Roman" w:hAnsi="Times New Roman" w:cs="Times New Roman"/>
                <w:b w:val="0"/>
                <w:bCs w:val="0"/>
                <w:sz w:val="24"/>
                <w:szCs w:val="24"/>
              </w:rPr>
              <w:t>地表水环境影响可接受。</w:t>
            </w:r>
          </w:p>
          <w:p w14:paraId="70CFFA31">
            <w:pPr>
              <w:keepNext w:val="0"/>
              <w:keepLines w:val="0"/>
              <w:suppressLineNumbers w:val="0"/>
              <w:adjustRightInd w:val="0"/>
              <w:spacing w:before="0" w:beforeAutospacing="0" w:after="0" w:afterAutospacing="0" w:line="520" w:lineRule="exact"/>
              <w:ind w:left="0" w:right="0" w:firstLine="482" w:firstLineChars="200"/>
              <w:rPr>
                <w:rFonts w:hint="default"/>
                <w:b/>
                <w:color w:val="000000"/>
                <w:sz w:val="24"/>
              </w:rPr>
            </w:pPr>
            <w:r>
              <w:rPr>
                <w:rFonts w:hint="eastAsia"/>
                <w:b/>
                <w:color w:val="000000"/>
                <w:sz w:val="24"/>
                <w:lang w:val="en-US" w:eastAsia="zh-CN"/>
              </w:rPr>
              <w:t>4</w:t>
            </w:r>
            <w:r>
              <w:rPr>
                <w:rFonts w:hint="default"/>
                <w:b/>
                <w:color w:val="000000"/>
                <w:sz w:val="24"/>
              </w:rPr>
              <w:t>、污染物排放信息</w:t>
            </w:r>
          </w:p>
          <w:p w14:paraId="211C578D">
            <w:pPr>
              <w:keepNext w:val="0"/>
              <w:keepLines w:val="0"/>
              <w:suppressLineNumbers w:val="0"/>
              <w:spacing w:before="0" w:beforeAutospacing="0" w:after="0" w:afterAutospacing="0" w:line="520" w:lineRule="exact"/>
              <w:ind w:left="0" w:right="0" w:firstLine="480" w:firstLineChars="200"/>
              <w:rPr>
                <w:rFonts w:hint="default"/>
                <w:bCs/>
                <w:sz w:val="24"/>
              </w:rPr>
            </w:pPr>
            <w:r>
              <w:rPr>
                <w:rFonts w:hint="default"/>
                <w:bCs/>
                <w:sz w:val="24"/>
              </w:rPr>
              <w:fldChar w:fldCharType="begin"/>
            </w:r>
            <w:r>
              <w:rPr>
                <w:rFonts w:hint="default"/>
                <w:bCs/>
                <w:sz w:val="24"/>
              </w:rPr>
              <w:instrText xml:space="preserve"> </w:instrText>
            </w:r>
            <w:r>
              <w:rPr>
                <w:rFonts w:hint="eastAsia"/>
                <w:bCs/>
                <w:sz w:val="24"/>
              </w:rPr>
              <w:instrText xml:space="preserve">= 1 \* GB3</w:instrText>
            </w:r>
            <w:r>
              <w:rPr>
                <w:rFonts w:hint="default"/>
                <w:bCs/>
                <w:sz w:val="24"/>
              </w:rPr>
              <w:instrText xml:space="preserve"> </w:instrText>
            </w:r>
            <w:r>
              <w:rPr>
                <w:rFonts w:hint="default"/>
                <w:bCs/>
                <w:sz w:val="24"/>
              </w:rPr>
              <w:fldChar w:fldCharType="separate"/>
            </w:r>
            <w:r>
              <w:rPr>
                <w:rFonts w:hint="eastAsia"/>
                <w:bCs/>
                <w:sz w:val="24"/>
              </w:rPr>
              <w:t>①</w:t>
            </w:r>
            <w:r>
              <w:rPr>
                <w:rFonts w:hint="default"/>
                <w:bCs/>
                <w:sz w:val="24"/>
              </w:rPr>
              <w:fldChar w:fldCharType="end"/>
            </w:r>
            <w:r>
              <w:rPr>
                <w:rFonts w:hint="default"/>
                <w:bCs/>
                <w:sz w:val="24"/>
              </w:rPr>
              <w:t>废水类别、污染物及污染治理设施信息表</w:t>
            </w:r>
          </w:p>
          <w:p w14:paraId="1C74C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kern w:val="0"/>
                <w:sz w:val="24"/>
              </w:rPr>
              <w:t>表</w:t>
            </w:r>
            <w:r>
              <w:rPr>
                <w:rFonts w:hint="eastAsia" w:cs="Times New Roman"/>
                <w:b/>
                <w:bCs/>
                <w:kern w:val="0"/>
                <w:sz w:val="24"/>
                <w:lang w:val="en-US" w:eastAsia="zh-CN"/>
              </w:rPr>
              <w:t>28</w:t>
            </w:r>
            <w:r>
              <w:rPr>
                <w:rFonts w:hint="default" w:ascii="Times New Roman" w:hAnsi="Times New Roman" w:eastAsia="宋体" w:cs="Times New Roman"/>
                <w:b/>
                <w:bCs/>
                <w:kern w:val="0"/>
                <w:sz w:val="24"/>
              </w:rPr>
              <w:t xml:space="preserve">       废水类别、污染物及污染治理设施信息表</w:t>
            </w:r>
          </w:p>
          <w:tbl>
            <w:tblPr>
              <w:tblStyle w:val="22"/>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5"/>
              <w:gridCol w:w="1211"/>
              <w:gridCol w:w="714"/>
              <w:gridCol w:w="483"/>
              <w:gridCol w:w="920"/>
              <w:gridCol w:w="753"/>
              <w:gridCol w:w="879"/>
              <w:gridCol w:w="1041"/>
              <w:gridCol w:w="826"/>
              <w:gridCol w:w="1269"/>
            </w:tblGrid>
            <w:tr w14:paraId="70C3F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88" w:type="pct"/>
                  <w:vMerge w:val="restart"/>
                  <w:tcBorders>
                    <w:top w:val="single" w:color="auto" w:sz="8" w:space="0"/>
                    <w:left w:val="nil"/>
                  </w:tcBorders>
                  <w:noWrap w:val="0"/>
                  <w:vAlign w:val="center"/>
                </w:tcPr>
                <w:p w14:paraId="51BE23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废水类别</w:t>
                  </w:r>
                </w:p>
              </w:tc>
              <w:tc>
                <w:tcPr>
                  <w:tcW w:w="704" w:type="pct"/>
                  <w:vMerge w:val="restart"/>
                  <w:tcBorders>
                    <w:top w:val="single" w:color="auto" w:sz="8" w:space="0"/>
                  </w:tcBorders>
                  <w:noWrap w:val="0"/>
                  <w:vAlign w:val="center"/>
                </w:tcPr>
                <w:p w14:paraId="619FF3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污染物种类</w:t>
                  </w:r>
                </w:p>
              </w:tc>
              <w:tc>
                <w:tcPr>
                  <w:tcW w:w="415" w:type="pct"/>
                  <w:vMerge w:val="restart"/>
                  <w:tcBorders>
                    <w:top w:val="single" w:color="auto" w:sz="8" w:space="0"/>
                  </w:tcBorders>
                  <w:noWrap w:val="0"/>
                  <w:vAlign w:val="center"/>
                </w:tcPr>
                <w:p w14:paraId="0B1647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排放去向</w:t>
                  </w:r>
                </w:p>
              </w:tc>
              <w:tc>
                <w:tcPr>
                  <w:tcW w:w="281" w:type="pct"/>
                  <w:vMerge w:val="restart"/>
                  <w:tcBorders>
                    <w:top w:val="single" w:color="auto" w:sz="8" w:space="0"/>
                  </w:tcBorders>
                  <w:noWrap w:val="0"/>
                  <w:vAlign w:val="center"/>
                </w:tcPr>
                <w:p w14:paraId="1BFBB0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排放规律</w:t>
                  </w:r>
                </w:p>
              </w:tc>
              <w:tc>
                <w:tcPr>
                  <w:tcW w:w="1484" w:type="pct"/>
                  <w:gridSpan w:val="3"/>
                  <w:tcBorders>
                    <w:top w:val="single" w:color="auto" w:sz="8" w:space="0"/>
                  </w:tcBorders>
                  <w:noWrap w:val="0"/>
                  <w:vAlign w:val="center"/>
                </w:tcPr>
                <w:p w14:paraId="79CFC5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污染治理措施</w:t>
                  </w:r>
                </w:p>
              </w:tc>
              <w:tc>
                <w:tcPr>
                  <w:tcW w:w="605" w:type="pct"/>
                  <w:vMerge w:val="restart"/>
                  <w:tcBorders>
                    <w:top w:val="single" w:color="auto" w:sz="8" w:space="0"/>
                    <w:bottom w:val="single" w:color="auto" w:sz="8" w:space="0"/>
                  </w:tcBorders>
                  <w:noWrap w:val="0"/>
                  <w:vAlign w:val="center"/>
                </w:tcPr>
                <w:p w14:paraId="46B11E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排放口编号</w:t>
                  </w:r>
                </w:p>
              </w:tc>
              <w:tc>
                <w:tcPr>
                  <w:tcW w:w="480" w:type="pct"/>
                  <w:vMerge w:val="restart"/>
                  <w:tcBorders>
                    <w:top w:val="single" w:color="auto" w:sz="8" w:space="0"/>
                    <w:bottom w:val="single" w:color="auto" w:sz="8" w:space="0"/>
                  </w:tcBorders>
                  <w:noWrap w:val="0"/>
                  <w:vAlign w:val="center"/>
                </w:tcPr>
                <w:p w14:paraId="2AE789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排放口设置是否符合要求</w:t>
                  </w:r>
                </w:p>
              </w:tc>
              <w:tc>
                <w:tcPr>
                  <w:tcW w:w="738" w:type="pct"/>
                  <w:vMerge w:val="restart"/>
                  <w:tcBorders>
                    <w:top w:val="single" w:color="auto" w:sz="8" w:space="0"/>
                    <w:bottom w:val="single" w:color="auto" w:sz="8" w:space="0"/>
                    <w:right w:val="nil"/>
                  </w:tcBorders>
                  <w:noWrap w:val="0"/>
                  <w:vAlign w:val="center"/>
                </w:tcPr>
                <w:p w14:paraId="43BBDC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排放口类型</w:t>
                  </w:r>
                </w:p>
              </w:tc>
            </w:tr>
            <w:tr w14:paraId="0BF23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8" w:type="pct"/>
                  <w:vMerge w:val="continue"/>
                  <w:tcBorders>
                    <w:left w:val="nil"/>
                    <w:bottom w:val="single" w:color="auto" w:sz="8" w:space="0"/>
                  </w:tcBorders>
                  <w:noWrap w:val="0"/>
                  <w:vAlign w:val="center"/>
                </w:tcPr>
                <w:p w14:paraId="27CD01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p>
              </w:tc>
              <w:tc>
                <w:tcPr>
                  <w:tcW w:w="704" w:type="pct"/>
                  <w:vMerge w:val="continue"/>
                  <w:tcBorders>
                    <w:bottom w:val="single" w:color="auto" w:sz="8" w:space="0"/>
                  </w:tcBorders>
                  <w:noWrap w:val="0"/>
                  <w:vAlign w:val="center"/>
                </w:tcPr>
                <w:p w14:paraId="0D1B97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p>
              </w:tc>
              <w:tc>
                <w:tcPr>
                  <w:tcW w:w="415" w:type="pct"/>
                  <w:vMerge w:val="continue"/>
                  <w:tcBorders>
                    <w:bottom w:val="single" w:color="auto" w:sz="8" w:space="0"/>
                  </w:tcBorders>
                  <w:noWrap w:val="0"/>
                  <w:vAlign w:val="center"/>
                </w:tcPr>
                <w:p w14:paraId="692965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p>
              </w:tc>
              <w:tc>
                <w:tcPr>
                  <w:tcW w:w="281" w:type="pct"/>
                  <w:vMerge w:val="continue"/>
                  <w:tcBorders>
                    <w:bottom w:val="single" w:color="auto" w:sz="8" w:space="0"/>
                  </w:tcBorders>
                  <w:noWrap w:val="0"/>
                  <w:vAlign w:val="center"/>
                </w:tcPr>
                <w:p w14:paraId="501DDF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p>
              </w:tc>
              <w:tc>
                <w:tcPr>
                  <w:tcW w:w="535" w:type="pct"/>
                  <w:tcBorders>
                    <w:bottom w:val="single" w:color="auto" w:sz="8" w:space="0"/>
                  </w:tcBorders>
                  <w:noWrap w:val="0"/>
                  <w:vAlign w:val="center"/>
                </w:tcPr>
                <w:p w14:paraId="01D9F4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污染治理措施编号</w:t>
                  </w:r>
                </w:p>
              </w:tc>
              <w:tc>
                <w:tcPr>
                  <w:tcW w:w="438" w:type="pct"/>
                  <w:tcBorders>
                    <w:bottom w:val="single" w:color="auto" w:sz="8" w:space="0"/>
                  </w:tcBorders>
                  <w:noWrap w:val="0"/>
                  <w:vAlign w:val="center"/>
                </w:tcPr>
                <w:p w14:paraId="687D2B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污染治理措施名称</w:t>
                  </w:r>
                </w:p>
              </w:tc>
              <w:tc>
                <w:tcPr>
                  <w:tcW w:w="510" w:type="pct"/>
                  <w:tcBorders>
                    <w:bottom w:val="single" w:color="auto" w:sz="8" w:space="0"/>
                  </w:tcBorders>
                  <w:noWrap w:val="0"/>
                  <w:vAlign w:val="center"/>
                </w:tcPr>
                <w:p w14:paraId="28574D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污染治理措施工艺</w:t>
                  </w:r>
                </w:p>
              </w:tc>
              <w:tc>
                <w:tcPr>
                  <w:tcW w:w="605" w:type="pct"/>
                  <w:vMerge w:val="continue"/>
                  <w:tcBorders>
                    <w:bottom w:val="single" w:color="auto" w:sz="8" w:space="0"/>
                  </w:tcBorders>
                  <w:noWrap w:val="0"/>
                  <w:vAlign w:val="center"/>
                </w:tcPr>
                <w:p w14:paraId="2FAFC1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p>
              </w:tc>
              <w:tc>
                <w:tcPr>
                  <w:tcW w:w="480" w:type="pct"/>
                  <w:vMerge w:val="continue"/>
                  <w:tcBorders>
                    <w:bottom w:val="single" w:color="auto" w:sz="8" w:space="0"/>
                  </w:tcBorders>
                  <w:noWrap w:val="0"/>
                  <w:vAlign w:val="center"/>
                </w:tcPr>
                <w:p w14:paraId="0BD387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p>
              </w:tc>
              <w:tc>
                <w:tcPr>
                  <w:tcW w:w="738" w:type="pct"/>
                  <w:vMerge w:val="continue"/>
                  <w:tcBorders>
                    <w:bottom w:val="single" w:color="auto" w:sz="8" w:space="0"/>
                    <w:right w:val="nil"/>
                  </w:tcBorders>
                  <w:noWrap w:val="0"/>
                  <w:vAlign w:val="center"/>
                </w:tcPr>
                <w:p w14:paraId="590DC8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p>
              </w:tc>
            </w:tr>
            <w:tr w14:paraId="45B59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8" w:type="pct"/>
                  <w:tcBorders>
                    <w:top w:val="single" w:color="auto" w:sz="8" w:space="0"/>
                    <w:left w:val="nil"/>
                    <w:bottom w:val="single" w:color="auto" w:sz="8" w:space="0"/>
                  </w:tcBorders>
                  <w:noWrap w:val="0"/>
                  <w:vAlign w:val="center"/>
                </w:tcPr>
                <w:p w14:paraId="32FEB3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eastAsia" w:eastAsia="宋体" w:cs="Times New Roman"/>
                      <w:bCs/>
                      <w:sz w:val="21"/>
                      <w:szCs w:val="21"/>
                      <w:lang w:val="en-US" w:eastAsia="zh-CN"/>
                    </w:rPr>
                    <w:t>生产</w:t>
                  </w:r>
                  <w:r>
                    <w:rPr>
                      <w:rFonts w:hint="default" w:ascii="Times New Roman" w:hAnsi="Times New Roman" w:eastAsia="宋体" w:cs="Times New Roman"/>
                      <w:bCs/>
                      <w:sz w:val="21"/>
                      <w:szCs w:val="21"/>
                    </w:rPr>
                    <w:t>废水</w:t>
                  </w:r>
                </w:p>
              </w:tc>
              <w:tc>
                <w:tcPr>
                  <w:tcW w:w="704" w:type="pct"/>
                  <w:tcBorders>
                    <w:top w:val="single" w:color="auto" w:sz="8" w:space="0"/>
                    <w:bottom w:val="single" w:color="auto" w:sz="8" w:space="0"/>
                  </w:tcBorders>
                  <w:noWrap w:val="0"/>
                  <w:vAlign w:val="center"/>
                </w:tcPr>
                <w:p w14:paraId="7E749A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COD、SS、NH</w:t>
                  </w:r>
                  <w:r>
                    <w:rPr>
                      <w:rFonts w:hint="default" w:ascii="Times New Roman" w:hAnsi="Times New Roman" w:eastAsia="宋体" w:cs="Times New Roman"/>
                      <w:bCs/>
                      <w:sz w:val="21"/>
                      <w:szCs w:val="21"/>
                      <w:vertAlign w:val="subscript"/>
                    </w:rPr>
                    <w:t>3</w:t>
                  </w:r>
                  <w:r>
                    <w:rPr>
                      <w:rFonts w:hint="default" w:ascii="Times New Roman" w:hAnsi="Times New Roman" w:eastAsia="宋体" w:cs="Times New Roman"/>
                      <w:bCs/>
                      <w:sz w:val="21"/>
                      <w:szCs w:val="21"/>
                    </w:rPr>
                    <w:t>-N</w:t>
                  </w:r>
                </w:p>
              </w:tc>
              <w:tc>
                <w:tcPr>
                  <w:tcW w:w="415" w:type="pct"/>
                  <w:tcBorders>
                    <w:top w:val="single" w:color="auto" w:sz="8" w:space="0"/>
                    <w:bottom w:val="single" w:color="auto" w:sz="8" w:space="0"/>
                  </w:tcBorders>
                  <w:noWrap w:val="0"/>
                  <w:vAlign w:val="center"/>
                </w:tcPr>
                <w:p w14:paraId="1D07BD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lang w:val="en-US"/>
                    </w:rPr>
                  </w:pPr>
                  <w:r>
                    <w:rPr>
                      <w:rFonts w:hint="eastAsia" w:eastAsia="宋体" w:cs="Times New Roman"/>
                      <w:bCs/>
                      <w:sz w:val="21"/>
                      <w:szCs w:val="21"/>
                      <w:lang w:val="en-US" w:eastAsia="zh-CN"/>
                    </w:rPr>
                    <w:t>新乡县综合污水处理厂</w:t>
                  </w:r>
                </w:p>
              </w:tc>
              <w:tc>
                <w:tcPr>
                  <w:tcW w:w="281" w:type="pct"/>
                  <w:tcBorders>
                    <w:top w:val="single" w:color="auto" w:sz="8" w:space="0"/>
                    <w:bottom w:val="single" w:color="auto" w:sz="8" w:space="0"/>
                  </w:tcBorders>
                  <w:noWrap w:val="0"/>
                  <w:vAlign w:val="center"/>
                </w:tcPr>
                <w:p w14:paraId="755C47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间接排放</w:t>
                  </w:r>
                </w:p>
              </w:tc>
              <w:tc>
                <w:tcPr>
                  <w:tcW w:w="535" w:type="pct"/>
                  <w:tcBorders>
                    <w:top w:val="single" w:color="auto" w:sz="8" w:space="0"/>
                    <w:bottom w:val="single" w:color="auto" w:sz="8" w:space="0"/>
                  </w:tcBorders>
                  <w:noWrap w:val="0"/>
                  <w:vAlign w:val="center"/>
                </w:tcPr>
                <w:p w14:paraId="144B5D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TW001</w:t>
                  </w:r>
                </w:p>
              </w:tc>
              <w:tc>
                <w:tcPr>
                  <w:tcW w:w="438" w:type="pct"/>
                  <w:tcBorders>
                    <w:top w:val="single" w:color="auto" w:sz="8" w:space="0"/>
                    <w:bottom w:val="single" w:color="auto" w:sz="8" w:space="0"/>
                  </w:tcBorders>
                  <w:noWrap w:val="0"/>
                  <w:vAlign w:val="center"/>
                </w:tcPr>
                <w:p w14:paraId="55821F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ascii="Times New Roman" w:hAnsi="Times New Roman" w:eastAsia="宋体" w:cs="Times New Roman"/>
                      <w:bCs/>
                      <w:sz w:val="21"/>
                      <w:szCs w:val="21"/>
                      <w:lang w:eastAsia="zh-CN"/>
                    </w:rPr>
                  </w:pPr>
                  <w:r>
                    <w:rPr>
                      <w:rFonts w:hint="eastAsia" w:eastAsia="宋体" w:cs="Times New Roman"/>
                      <w:bCs/>
                      <w:sz w:val="21"/>
                      <w:szCs w:val="21"/>
                      <w:lang w:val="en-US" w:eastAsia="zh-CN"/>
                    </w:rPr>
                    <w:t>/</w:t>
                  </w:r>
                </w:p>
              </w:tc>
              <w:tc>
                <w:tcPr>
                  <w:tcW w:w="510" w:type="pct"/>
                  <w:tcBorders>
                    <w:top w:val="single" w:color="auto" w:sz="8" w:space="0"/>
                    <w:bottom w:val="single" w:color="auto" w:sz="8" w:space="0"/>
                  </w:tcBorders>
                  <w:noWrap w:val="0"/>
                  <w:vAlign w:val="center"/>
                </w:tcPr>
                <w:p w14:paraId="71FEB4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eastAsia"/>
                      <w:sz w:val="21"/>
                      <w:szCs w:val="21"/>
                      <w:highlight w:val="none"/>
                      <w:lang w:val="en-US" w:eastAsia="zh-CN"/>
                    </w:rPr>
                    <w:t>/</w:t>
                  </w:r>
                </w:p>
              </w:tc>
              <w:tc>
                <w:tcPr>
                  <w:tcW w:w="605" w:type="pct"/>
                  <w:tcBorders>
                    <w:top w:val="single" w:color="auto" w:sz="8" w:space="0"/>
                    <w:bottom w:val="single" w:color="auto" w:sz="8" w:space="0"/>
                  </w:tcBorders>
                  <w:noWrap w:val="0"/>
                  <w:vAlign w:val="center"/>
                </w:tcPr>
                <w:p w14:paraId="053572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DW001</w:t>
                  </w:r>
                </w:p>
              </w:tc>
              <w:tc>
                <w:tcPr>
                  <w:tcW w:w="480" w:type="pct"/>
                  <w:tcBorders>
                    <w:top w:val="single" w:color="auto" w:sz="8" w:space="0"/>
                    <w:bottom w:val="single" w:color="auto" w:sz="8" w:space="0"/>
                  </w:tcBorders>
                  <w:noWrap w:val="0"/>
                  <w:vAlign w:val="center"/>
                </w:tcPr>
                <w:p w14:paraId="15F87E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sym w:font="Wingdings" w:char="00FE"/>
                  </w:r>
                  <w:r>
                    <w:rPr>
                      <w:rFonts w:hint="default" w:ascii="Times New Roman" w:hAnsi="Times New Roman" w:eastAsia="宋体" w:cs="Times New Roman"/>
                      <w:bCs/>
                      <w:sz w:val="21"/>
                      <w:szCs w:val="21"/>
                    </w:rPr>
                    <w:t>是</w:t>
                  </w:r>
                </w:p>
                <w:p w14:paraId="24F120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□否</w:t>
                  </w:r>
                </w:p>
              </w:tc>
              <w:tc>
                <w:tcPr>
                  <w:tcW w:w="738" w:type="pct"/>
                  <w:tcBorders>
                    <w:top w:val="single" w:color="auto" w:sz="8" w:space="0"/>
                    <w:bottom w:val="single" w:color="auto" w:sz="8" w:space="0"/>
                    <w:right w:val="nil"/>
                  </w:tcBorders>
                  <w:noWrap w:val="0"/>
                  <w:vAlign w:val="center"/>
                </w:tcPr>
                <w:p w14:paraId="0A84D9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sym w:font="Wingdings" w:char="00FE"/>
                  </w:r>
                  <w:r>
                    <w:rPr>
                      <w:rFonts w:hint="default" w:ascii="Times New Roman" w:hAnsi="Times New Roman" w:eastAsia="宋体" w:cs="Times New Roman"/>
                      <w:bCs/>
                      <w:sz w:val="21"/>
                      <w:szCs w:val="21"/>
                    </w:rPr>
                    <w:t>企业总排</w:t>
                  </w:r>
                </w:p>
                <w:p w14:paraId="40CF37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□雨水排放</w:t>
                  </w:r>
                </w:p>
                <w:p w14:paraId="7C324F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□清净下水排放</w:t>
                  </w:r>
                </w:p>
                <w:p w14:paraId="230A2C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□温排水排放</w:t>
                  </w:r>
                </w:p>
                <w:p w14:paraId="031599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□车间或车间处理设施排放口排放</w:t>
                  </w:r>
                </w:p>
              </w:tc>
            </w:tr>
          </w:tbl>
          <w:p w14:paraId="7D6C8E3E">
            <w:pPr>
              <w:keepNext w:val="0"/>
              <w:keepLines w:val="0"/>
              <w:suppressLineNumbers w:val="0"/>
              <w:adjustRightInd w:val="0"/>
              <w:snapToGrid w:val="0"/>
              <w:spacing w:before="0" w:beforeAutospacing="0" w:after="0" w:afterAutospacing="0" w:line="520" w:lineRule="exact"/>
              <w:ind w:left="0" w:right="0" w:firstLine="480" w:firstLineChars="200"/>
              <w:rPr>
                <w:rFonts w:hint="eastAsia"/>
                <w:color w:val="000000"/>
                <w:sz w:val="24"/>
              </w:rPr>
            </w:pPr>
            <w:r>
              <w:rPr>
                <w:rFonts w:hint="default"/>
                <w:color w:val="000000"/>
                <w:sz w:val="24"/>
              </w:rPr>
              <w:fldChar w:fldCharType="begin"/>
            </w:r>
            <w:r>
              <w:rPr>
                <w:rFonts w:hint="default"/>
                <w:color w:val="000000"/>
                <w:sz w:val="24"/>
              </w:rPr>
              <w:instrText xml:space="preserve"> </w:instrText>
            </w:r>
            <w:r>
              <w:rPr>
                <w:rFonts w:hint="eastAsia"/>
                <w:color w:val="000000"/>
                <w:sz w:val="24"/>
              </w:rPr>
              <w:instrText xml:space="preserve">= 2 \* GB3</w:instrText>
            </w:r>
            <w:r>
              <w:rPr>
                <w:rFonts w:hint="default"/>
                <w:color w:val="000000"/>
                <w:sz w:val="24"/>
              </w:rPr>
              <w:instrText xml:space="preserve"> </w:instrText>
            </w:r>
            <w:r>
              <w:rPr>
                <w:rFonts w:hint="default"/>
                <w:color w:val="000000"/>
                <w:sz w:val="24"/>
              </w:rPr>
              <w:fldChar w:fldCharType="separate"/>
            </w:r>
            <w:r>
              <w:rPr>
                <w:rFonts w:hint="eastAsia"/>
                <w:color w:val="000000"/>
                <w:sz w:val="24"/>
              </w:rPr>
              <w:t>②</w:t>
            </w:r>
            <w:r>
              <w:rPr>
                <w:rFonts w:hint="default"/>
                <w:color w:val="000000"/>
                <w:sz w:val="24"/>
              </w:rPr>
              <w:fldChar w:fldCharType="end"/>
            </w:r>
            <w:r>
              <w:rPr>
                <w:rFonts w:hint="default"/>
                <w:color w:val="000000"/>
                <w:sz w:val="24"/>
              </w:rPr>
              <w:t>废水间接排放口基本情况</w:t>
            </w:r>
          </w:p>
          <w:p w14:paraId="09F6247F">
            <w:pPr>
              <w:keepNext w:val="0"/>
              <w:keepLines w:val="0"/>
              <w:widowControl/>
              <w:suppressLineNumbers w:val="0"/>
              <w:spacing w:before="0" w:beforeAutospacing="0" w:after="0" w:afterAutospacing="0" w:line="520" w:lineRule="exact"/>
              <w:ind w:left="0" w:right="0" w:firstLine="482" w:firstLineChars="200"/>
              <w:jc w:val="center"/>
              <w:rPr>
                <w:rFonts w:hint="default" w:ascii="Times New Roman" w:hAnsi="Times New Roman" w:eastAsia="宋体" w:cs="Times New Roman"/>
                <w:b/>
                <w:bCs/>
                <w:kern w:val="0"/>
                <w:sz w:val="24"/>
              </w:rPr>
            </w:pPr>
            <w:r>
              <w:rPr>
                <w:rFonts w:hint="default" w:ascii="Times New Roman" w:hAnsi="Times New Roman" w:eastAsia="宋体" w:cs="Times New Roman"/>
                <w:b/>
                <w:bCs/>
                <w:kern w:val="0"/>
                <w:sz w:val="24"/>
              </w:rPr>
              <w:t>表</w:t>
            </w:r>
            <w:r>
              <w:rPr>
                <w:rFonts w:hint="eastAsia" w:cs="Times New Roman"/>
                <w:b/>
                <w:bCs/>
                <w:kern w:val="0"/>
                <w:sz w:val="24"/>
                <w:lang w:val="en-US" w:eastAsia="zh-CN"/>
              </w:rPr>
              <w:t>29</w:t>
            </w:r>
            <w:r>
              <w:rPr>
                <w:rFonts w:hint="default" w:ascii="Times New Roman" w:hAnsi="Times New Roman" w:eastAsia="宋体" w:cs="Times New Roman"/>
                <w:b/>
                <w:bCs/>
                <w:kern w:val="0"/>
                <w:sz w:val="24"/>
              </w:rPr>
              <w:t xml:space="preserve">         废水间接排放口基本情况表</w:t>
            </w:r>
          </w:p>
          <w:tbl>
            <w:tblPr>
              <w:tblStyle w:val="22"/>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0"/>
              <w:gridCol w:w="1343"/>
              <w:gridCol w:w="1250"/>
              <w:gridCol w:w="1279"/>
              <w:gridCol w:w="456"/>
              <w:gridCol w:w="456"/>
              <w:gridCol w:w="749"/>
              <w:gridCol w:w="864"/>
              <w:gridCol w:w="1189"/>
            </w:tblGrid>
            <w:tr w14:paraId="43498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1" w:type="dxa"/>
                  <w:vMerge w:val="restart"/>
                  <w:tcBorders>
                    <w:top w:val="single" w:color="auto" w:sz="8" w:space="0"/>
                    <w:left w:val="nil"/>
                  </w:tcBorders>
                  <w:noWrap w:val="0"/>
                  <w:vAlign w:val="center"/>
                </w:tcPr>
                <w:p w14:paraId="7389577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排放口编号</w:t>
                  </w:r>
                </w:p>
              </w:tc>
              <w:tc>
                <w:tcPr>
                  <w:tcW w:w="2594" w:type="dxa"/>
                  <w:gridSpan w:val="2"/>
                  <w:tcBorders>
                    <w:top w:val="single" w:color="auto" w:sz="8" w:space="0"/>
                  </w:tcBorders>
                  <w:noWrap w:val="0"/>
                  <w:vAlign w:val="center"/>
                </w:tcPr>
                <w:p w14:paraId="4FF0A5A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排放口地理坐标</w:t>
                  </w:r>
                </w:p>
              </w:tc>
              <w:tc>
                <w:tcPr>
                  <w:tcW w:w="1279" w:type="dxa"/>
                  <w:vMerge w:val="restart"/>
                  <w:tcBorders>
                    <w:top w:val="single" w:color="auto" w:sz="8" w:space="0"/>
                  </w:tcBorders>
                  <w:noWrap w:val="0"/>
                  <w:vAlign w:val="center"/>
                </w:tcPr>
                <w:p w14:paraId="4D2A537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废水排放量（t/a）</w:t>
                  </w:r>
                </w:p>
              </w:tc>
              <w:tc>
                <w:tcPr>
                  <w:tcW w:w="456" w:type="dxa"/>
                  <w:vMerge w:val="restart"/>
                  <w:tcBorders>
                    <w:top w:val="single" w:color="auto" w:sz="8" w:space="0"/>
                  </w:tcBorders>
                  <w:noWrap w:val="0"/>
                  <w:vAlign w:val="center"/>
                </w:tcPr>
                <w:p w14:paraId="1797AFF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排放去向</w:t>
                  </w:r>
                </w:p>
              </w:tc>
              <w:tc>
                <w:tcPr>
                  <w:tcW w:w="456" w:type="dxa"/>
                  <w:vMerge w:val="restart"/>
                  <w:tcBorders>
                    <w:top w:val="single" w:color="auto" w:sz="8" w:space="0"/>
                  </w:tcBorders>
                  <w:noWrap w:val="0"/>
                  <w:vAlign w:val="center"/>
                </w:tcPr>
                <w:p w14:paraId="67A8B1A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排放规律</w:t>
                  </w:r>
                </w:p>
              </w:tc>
              <w:tc>
                <w:tcPr>
                  <w:tcW w:w="749" w:type="dxa"/>
                  <w:vMerge w:val="restart"/>
                  <w:tcBorders>
                    <w:top w:val="single" w:color="auto" w:sz="8" w:space="0"/>
                  </w:tcBorders>
                  <w:noWrap w:val="0"/>
                  <w:vAlign w:val="center"/>
                </w:tcPr>
                <w:p w14:paraId="2B4F913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间歇排放时段</w:t>
                  </w:r>
                </w:p>
              </w:tc>
              <w:tc>
                <w:tcPr>
                  <w:tcW w:w="2053" w:type="dxa"/>
                  <w:gridSpan w:val="2"/>
                  <w:tcBorders>
                    <w:top w:val="single" w:color="auto" w:sz="8" w:space="0"/>
                    <w:right w:val="nil"/>
                  </w:tcBorders>
                  <w:noWrap w:val="0"/>
                  <w:vAlign w:val="center"/>
                </w:tcPr>
                <w:p w14:paraId="0F2D76F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受纳污水处理厂排放标准</w:t>
                  </w:r>
                </w:p>
              </w:tc>
            </w:tr>
            <w:tr w14:paraId="103D4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1" w:type="dxa"/>
                  <w:vMerge w:val="continue"/>
                  <w:tcBorders>
                    <w:left w:val="nil"/>
                    <w:bottom w:val="single" w:color="auto" w:sz="8" w:space="0"/>
                  </w:tcBorders>
                  <w:noWrap w:val="0"/>
                  <w:vAlign w:val="center"/>
                </w:tcPr>
                <w:p w14:paraId="12FA329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p>
              </w:tc>
              <w:tc>
                <w:tcPr>
                  <w:tcW w:w="1344" w:type="dxa"/>
                  <w:tcBorders>
                    <w:bottom w:val="single" w:color="auto" w:sz="8" w:space="0"/>
                  </w:tcBorders>
                  <w:noWrap w:val="0"/>
                  <w:vAlign w:val="center"/>
                </w:tcPr>
                <w:p w14:paraId="42473BE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经度</w:t>
                  </w:r>
                </w:p>
              </w:tc>
              <w:tc>
                <w:tcPr>
                  <w:tcW w:w="1250" w:type="dxa"/>
                  <w:tcBorders>
                    <w:bottom w:val="single" w:color="auto" w:sz="8" w:space="0"/>
                  </w:tcBorders>
                  <w:noWrap w:val="0"/>
                  <w:vAlign w:val="center"/>
                </w:tcPr>
                <w:p w14:paraId="33BAA9C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纬度</w:t>
                  </w:r>
                </w:p>
              </w:tc>
              <w:tc>
                <w:tcPr>
                  <w:tcW w:w="1279" w:type="dxa"/>
                  <w:vMerge w:val="continue"/>
                  <w:tcBorders>
                    <w:bottom w:val="single" w:color="auto" w:sz="8" w:space="0"/>
                  </w:tcBorders>
                  <w:noWrap w:val="0"/>
                  <w:vAlign w:val="center"/>
                </w:tcPr>
                <w:p w14:paraId="154BF4F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p>
              </w:tc>
              <w:tc>
                <w:tcPr>
                  <w:tcW w:w="456" w:type="dxa"/>
                  <w:vMerge w:val="continue"/>
                  <w:tcBorders>
                    <w:bottom w:val="single" w:color="auto" w:sz="8" w:space="0"/>
                  </w:tcBorders>
                  <w:noWrap w:val="0"/>
                  <w:vAlign w:val="center"/>
                </w:tcPr>
                <w:p w14:paraId="1C970D0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p>
              </w:tc>
              <w:tc>
                <w:tcPr>
                  <w:tcW w:w="456" w:type="dxa"/>
                  <w:vMerge w:val="continue"/>
                  <w:tcBorders>
                    <w:bottom w:val="single" w:color="auto" w:sz="8" w:space="0"/>
                  </w:tcBorders>
                  <w:noWrap w:val="0"/>
                  <w:vAlign w:val="center"/>
                </w:tcPr>
                <w:p w14:paraId="4579E40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p>
              </w:tc>
              <w:tc>
                <w:tcPr>
                  <w:tcW w:w="749" w:type="dxa"/>
                  <w:vMerge w:val="continue"/>
                  <w:tcBorders>
                    <w:bottom w:val="single" w:color="auto" w:sz="8" w:space="0"/>
                  </w:tcBorders>
                  <w:noWrap w:val="0"/>
                  <w:vAlign w:val="center"/>
                </w:tcPr>
                <w:p w14:paraId="31D294C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p>
              </w:tc>
              <w:tc>
                <w:tcPr>
                  <w:tcW w:w="864" w:type="dxa"/>
                  <w:tcBorders>
                    <w:bottom w:val="single" w:color="auto" w:sz="8" w:space="0"/>
                  </w:tcBorders>
                  <w:noWrap w:val="0"/>
                  <w:vAlign w:val="center"/>
                </w:tcPr>
                <w:p w14:paraId="58B2526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污染物种类</w:t>
                  </w:r>
                </w:p>
              </w:tc>
              <w:tc>
                <w:tcPr>
                  <w:tcW w:w="1189" w:type="dxa"/>
                  <w:tcBorders>
                    <w:bottom w:val="single" w:color="auto" w:sz="8" w:space="0"/>
                    <w:right w:val="nil"/>
                  </w:tcBorders>
                  <w:noWrap w:val="0"/>
                  <w:vAlign w:val="center"/>
                </w:tcPr>
                <w:p w14:paraId="2098762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排放标准（mg/L）</w:t>
                  </w:r>
                </w:p>
              </w:tc>
            </w:tr>
            <w:tr w14:paraId="50A9C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31" w:type="dxa"/>
                  <w:vMerge w:val="restart"/>
                  <w:tcBorders>
                    <w:top w:val="single" w:color="auto" w:sz="8" w:space="0"/>
                    <w:left w:val="nil"/>
                  </w:tcBorders>
                  <w:noWrap w:val="0"/>
                  <w:vAlign w:val="center"/>
                </w:tcPr>
                <w:p w14:paraId="7CFCA56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DW001</w:t>
                  </w:r>
                </w:p>
              </w:tc>
              <w:tc>
                <w:tcPr>
                  <w:tcW w:w="1344" w:type="dxa"/>
                  <w:vMerge w:val="restart"/>
                  <w:tcBorders>
                    <w:top w:val="single" w:color="auto" w:sz="8" w:space="0"/>
                  </w:tcBorders>
                  <w:noWrap w:val="0"/>
                  <w:vAlign w:val="center"/>
                </w:tcPr>
                <w:p w14:paraId="4915AAA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lang w:val="en-US" w:eastAsia="zh-CN"/>
                    </w:rPr>
                  </w:pPr>
                  <w:r>
                    <w:rPr>
                      <w:rFonts w:hint="eastAsia" w:ascii="Times New Roman" w:hAnsi="Times New Roman" w:eastAsia="宋体" w:cs="Times New Roman"/>
                      <w:bCs/>
                      <w:sz w:val="21"/>
                      <w:szCs w:val="21"/>
                      <w:highlight w:val="none"/>
                      <w:lang w:val="en-US" w:eastAsia="zh-CN"/>
                    </w:rPr>
                    <w:t>113度</w:t>
                  </w:r>
                  <w:r>
                    <w:rPr>
                      <w:rFonts w:hint="eastAsia" w:cs="Times New Roman"/>
                      <w:bCs/>
                      <w:sz w:val="21"/>
                      <w:szCs w:val="21"/>
                      <w:highlight w:val="none"/>
                      <w:lang w:val="en-US" w:eastAsia="zh-CN"/>
                    </w:rPr>
                    <w:t>47</w:t>
                  </w:r>
                  <w:r>
                    <w:rPr>
                      <w:rFonts w:hint="eastAsia" w:ascii="Times New Roman" w:hAnsi="Times New Roman" w:eastAsia="宋体" w:cs="Times New Roman"/>
                      <w:bCs/>
                      <w:sz w:val="21"/>
                      <w:szCs w:val="21"/>
                      <w:highlight w:val="none"/>
                      <w:lang w:val="en-US" w:eastAsia="zh-CN"/>
                    </w:rPr>
                    <w:t>分</w:t>
                  </w:r>
                  <w:r>
                    <w:rPr>
                      <w:rFonts w:hint="eastAsia" w:cs="Times New Roman"/>
                      <w:bCs/>
                      <w:sz w:val="21"/>
                      <w:szCs w:val="21"/>
                      <w:highlight w:val="none"/>
                      <w:lang w:val="en-US" w:eastAsia="zh-CN"/>
                    </w:rPr>
                    <w:t>35.541</w:t>
                  </w:r>
                  <w:r>
                    <w:rPr>
                      <w:rFonts w:hint="eastAsia" w:ascii="Times New Roman" w:hAnsi="Times New Roman" w:eastAsia="宋体" w:cs="Times New Roman"/>
                      <w:bCs/>
                      <w:sz w:val="21"/>
                      <w:szCs w:val="21"/>
                      <w:highlight w:val="none"/>
                      <w:lang w:val="en-US" w:eastAsia="zh-CN"/>
                    </w:rPr>
                    <w:t>秒</w:t>
                  </w:r>
                </w:p>
              </w:tc>
              <w:tc>
                <w:tcPr>
                  <w:tcW w:w="1250" w:type="dxa"/>
                  <w:vMerge w:val="restart"/>
                  <w:tcBorders>
                    <w:top w:val="single" w:color="auto" w:sz="8" w:space="0"/>
                  </w:tcBorders>
                  <w:noWrap w:val="0"/>
                  <w:vAlign w:val="center"/>
                </w:tcPr>
                <w:p w14:paraId="7C965AB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lang w:val="en-US" w:eastAsia="zh-CN"/>
                    </w:rPr>
                    <w:t>35度</w:t>
                  </w:r>
                  <w:r>
                    <w:rPr>
                      <w:rFonts w:hint="eastAsia" w:cs="Times New Roman"/>
                      <w:bCs/>
                      <w:sz w:val="21"/>
                      <w:szCs w:val="21"/>
                      <w:highlight w:val="none"/>
                      <w:lang w:val="en-US" w:eastAsia="zh-CN"/>
                    </w:rPr>
                    <w:t>12</w:t>
                  </w:r>
                  <w:r>
                    <w:rPr>
                      <w:rFonts w:hint="eastAsia" w:ascii="Times New Roman" w:hAnsi="Times New Roman" w:eastAsia="宋体" w:cs="Times New Roman"/>
                      <w:bCs/>
                      <w:sz w:val="21"/>
                      <w:szCs w:val="21"/>
                      <w:highlight w:val="none"/>
                      <w:lang w:val="en-US" w:eastAsia="zh-CN"/>
                    </w:rPr>
                    <w:t>分</w:t>
                  </w:r>
                  <w:r>
                    <w:rPr>
                      <w:rFonts w:hint="eastAsia" w:cs="Times New Roman"/>
                      <w:bCs/>
                      <w:sz w:val="21"/>
                      <w:szCs w:val="21"/>
                      <w:highlight w:val="none"/>
                      <w:lang w:val="en-US" w:eastAsia="zh-CN"/>
                    </w:rPr>
                    <w:t>32.412</w:t>
                  </w:r>
                  <w:r>
                    <w:rPr>
                      <w:rFonts w:hint="eastAsia" w:ascii="Times New Roman" w:hAnsi="Times New Roman" w:eastAsia="宋体" w:cs="Times New Roman"/>
                      <w:bCs/>
                      <w:sz w:val="21"/>
                      <w:szCs w:val="21"/>
                      <w:highlight w:val="none"/>
                      <w:lang w:val="en-US" w:eastAsia="zh-CN"/>
                    </w:rPr>
                    <w:t>秒</w:t>
                  </w:r>
                </w:p>
              </w:tc>
              <w:tc>
                <w:tcPr>
                  <w:tcW w:w="1279" w:type="dxa"/>
                  <w:vMerge w:val="restart"/>
                  <w:tcBorders>
                    <w:top w:val="single" w:color="auto" w:sz="8" w:space="0"/>
                  </w:tcBorders>
                  <w:noWrap w:val="0"/>
                  <w:vAlign w:val="center"/>
                </w:tcPr>
                <w:p w14:paraId="65D5840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yellow"/>
                      <w:lang w:val="en-US" w:eastAsia="zh-CN"/>
                    </w:rPr>
                  </w:pPr>
                  <w:r>
                    <w:rPr>
                      <w:rFonts w:hint="eastAsia" w:cs="Times New Roman"/>
                      <w:bCs/>
                      <w:sz w:val="21"/>
                      <w:szCs w:val="21"/>
                      <w:highlight w:val="none"/>
                      <w:lang w:val="en-US" w:eastAsia="zh-CN"/>
                    </w:rPr>
                    <w:t>72</w:t>
                  </w:r>
                </w:p>
              </w:tc>
              <w:tc>
                <w:tcPr>
                  <w:tcW w:w="456" w:type="dxa"/>
                  <w:vMerge w:val="restart"/>
                  <w:tcBorders>
                    <w:top w:val="single" w:color="auto" w:sz="8" w:space="0"/>
                  </w:tcBorders>
                  <w:noWrap w:val="0"/>
                  <w:vAlign w:val="center"/>
                </w:tcPr>
                <w:p w14:paraId="3AAFD5A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r>
                    <w:rPr>
                      <w:rFonts w:hint="eastAsia" w:cs="Times New Roman"/>
                      <w:bCs/>
                      <w:sz w:val="21"/>
                      <w:szCs w:val="21"/>
                      <w:lang w:val="en-US" w:eastAsia="zh-CN"/>
                    </w:rPr>
                    <w:t>新乡县综合</w:t>
                  </w:r>
                  <w:r>
                    <w:rPr>
                      <w:rFonts w:hint="default" w:ascii="Times New Roman" w:hAnsi="Times New Roman" w:eastAsia="宋体" w:cs="Times New Roman"/>
                      <w:bCs/>
                      <w:sz w:val="21"/>
                      <w:szCs w:val="21"/>
                    </w:rPr>
                    <w:t>污水处理厂</w:t>
                  </w:r>
                </w:p>
              </w:tc>
              <w:tc>
                <w:tcPr>
                  <w:tcW w:w="456" w:type="dxa"/>
                  <w:vMerge w:val="restart"/>
                  <w:tcBorders>
                    <w:top w:val="single" w:color="auto" w:sz="8" w:space="0"/>
                  </w:tcBorders>
                  <w:noWrap w:val="0"/>
                  <w:vAlign w:val="center"/>
                </w:tcPr>
                <w:p w14:paraId="1EE7649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间接排放</w:t>
                  </w:r>
                </w:p>
              </w:tc>
              <w:tc>
                <w:tcPr>
                  <w:tcW w:w="749" w:type="dxa"/>
                  <w:vMerge w:val="restart"/>
                  <w:tcBorders>
                    <w:top w:val="single" w:color="auto" w:sz="8" w:space="0"/>
                  </w:tcBorders>
                  <w:noWrap w:val="0"/>
                  <w:vAlign w:val="center"/>
                </w:tcPr>
                <w:p w14:paraId="060B144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0:00~</w:t>
                  </w:r>
                </w:p>
                <w:p w14:paraId="6E5558D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24:00</w:t>
                  </w:r>
                </w:p>
              </w:tc>
              <w:tc>
                <w:tcPr>
                  <w:tcW w:w="864" w:type="dxa"/>
                  <w:tcBorders>
                    <w:top w:val="single" w:color="auto" w:sz="8" w:space="0"/>
                    <w:bottom w:val="single" w:color="auto" w:sz="4" w:space="0"/>
                  </w:tcBorders>
                  <w:noWrap w:val="0"/>
                  <w:vAlign w:val="center"/>
                </w:tcPr>
                <w:p w14:paraId="7A7B2585">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rPr>
                    <w:t>COD</w:t>
                  </w:r>
                </w:p>
              </w:tc>
              <w:tc>
                <w:tcPr>
                  <w:tcW w:w="1189" w:type="dxa"/>
                  <w:tcBorders>
                    <w:top w:val="single" w:color="auto" w:sz="8" w:space="0"/>
                    <w:bottom w:val="single" w:color="auto" w:sz="4" w:space="0"/>
                    <w:right w:val="nil"/>
                  </w:tcBorders>
                  <w:noWrap w:val="0"/>
                  <w:vAlign w:val="center"/>
                </w:tcPr>
                <w:p w14:paraId="49DB925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lang w:val="en-US" w:eastAsia="zh-CN"/>
                    </w:rPr>
                  </w:pPr>
                  <w:r>
                    <w:rPr>
                      <w:rFonts w:hint="eastAsia" w:cs="Times New Roman"/>
                      <w:bCs/>
                      <w:sz w:val="21"/>
                      <w:szCs w:val="21"/>
                      <w:highlight w:val="none"/>
                      <w:lang w:val="en-US" w:eastAsia="zh-CN"/>
                    </w:rPr>
                    <w:t>40</w:t>
                  </w:r>
                </w:p>
              </w:tc>
            </w:tr>
            <w:tr w14:paraId="1E9DB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931" w:type="dxa"/>
                  <w:vMerge w:val="continue"/>
                  <w:tcBorders>
                    <w:left w:val="nil"/>
                  </w:tcBorders>
                  <w:noWrap w:val="0"/>
                  <w:vAlign w:val="center"/>
                </w:tcPr>
                <w:p w14:paraId="7EBE31F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344" w:type="dxa"/>
                  <w:vMerge w:val="continue"/>
                  <w:noWrap w:val="0"/>
                  <w:vAlign w:val="center"/>
                </w:tcPr>
                <w:p w14:paraId="41A4F31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lang w:val="en-US" w:eastAsia="zh-CN"/>
                    </w:rPr>
                  </w:pPr>
                </w:p>
              </w:tc>
              <w:tc>
                <w:tcPr>
                  <w:tcW w:w="1250" w:type="dxa"/>
                  <w:vMerge w:val="continue"/>
                  <w:noWrap w:val="0"/>
                  <w:vAlign w:val="center"/>
                </w:tcPr>
                <w:p w14:paraId="7F383FB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rPr>
                  </w:pPr>
                </w:p>
              </w:tc>
              <w:tc>
                <w:tcPr>
                  <w:tcW w:w="1279" w:type="dxa"/>
                  <w:vMerge w:val="continue"/>
                  <w:noWrap w:val="0"/>
                  <w:vAlign w:val="center"/>
                </w:tcPr>
                <w:p w14:paraId="017D1DF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yellow"/>
                      <w:lang w:val="en-US" w:eastAsia="zh-CN"/>
                    </w:rPr>
                  </w:pPr>
                </w:p>
              </w:tc>
              <w:tc>
                <w:tcPr>
                  <w:tcW w:w="456" w:type="dxa"/>
                  <w:vMerge w:val="continue"/>
                  <w:noWrap w:val="0"/>
                  <w:vAlign w:val="center"/>
                </w:tcPr>
                <w:p w14:paraId="2E7B1D0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456" w:type="dxa"/>
                  <w:vMerge w:val="continue"/>
                  <w:noWrap w:val="0"/>
                  <w:vAlign w:val="center"/>
                </w:tcPr>
                <w:p w14:paraId="3DFE7A8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749" w:type="dxa"/>
                  <w:vMerge w:val="continue"/>
                  <w:noWrap w:val="0"/>
                  <w:vAlign w:val="center"/>
                </w:tcPr>
                <w:p w14:paraId="0286E96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864" w:type="dxa"/>
                  <w:tcBorders>
                    <w:top w:val="single" w:color="auto" w:sz="4" w:space="0"/>
                  </w:tcBorders>
                  <w:noWrap w:val="0"/>
                  <w:vAlign w:val="center"/>
                </w:tcPr>
                <w:p w14:paraId="275C542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SS</w:t>
                  </w:r>
                </w:p>
              </w:tc>
              <w:tc>
                <w:tcPr>
                  <w:tcW w:w="1189" w:type="dxa"/>
                  <w:tcBorders>
                    <w:top w:val="single" w:color="auto" w:sz="4" w:space="0"/>
                    <w:right w:val="nil"/>
                  </w:tcBorders>
                  <w:noWrap w:val="0"/>
                  <w:vAlign w:val="center"/>
                </w:tcPr>
                <w:p w14:paraId="49F2830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lang w:val="en-US" w:eastAsia="zh-CN"/>
                    </w:rPr>
                  </w:pPr>
                  <w:r>
                    <w:rPr>
                      <w:rFonts w:hint="eastAsia" w:cs="Times New Roman"/>
                      <w:bCs/>
                      <w:sz w:val="21"/>
                      <w:szCs w:val="21"/>
                      <w:highlight w:val="none"/>
                      <w:lang w:val="en-US" w:eastAsia="zh-CN"/>
                    </w:rPr>
                    <w:t>10</w:t>
                  </w:r>
                </w:p>
              </w:tc>
            </w:tr>
            <w:tr w14:paraId="13EE5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31" w:type="dxa"/>
                  <w:vMerge w:val="continue"/>
                  <w:tcBorders>
                    <w:left w:val="nil"/>
                  </w:tcBorders>
                  <w:noWrap w:val="0"/>
                  <w:vAlign w:val="center"/>
                </w:tcPr>
                <w:p w14:paraId="00AF0DC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344" w:type="dxa"/>
                  <w:vMerge w:val="continue"/>
                  <w:noWrap w:val="0"/>
                  <w:vAlign w:val="center"/>
                </w:tcPr>
                <w:p w14:paraId="0BA41DE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250" w:type="dxa"/>
                  <w:vMerge w:val="continue"/>
                  <w:noWrap w:val="0"/>
                  <w:vAlign w:val="center"/>
                </w:tcPr>
                <w:p w14:paraId="78619FD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279" w:type="dxa"/>
                  <w:vMerge w:val="continue"/>
                  <w:noWrap w:val="0"/>
                  <w:vAlign w:val="center"/>
                </w:tcPr>
                <w:p w14:paraId="34CD605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456" w:type="dxa"/>
                  <w:vMerge w:val="continue"/>
                  <w:noWrap w:val="0"/>
                  <w:vAlign w:val="center"/>
                </w:tcPr>
                <w:p w14:paraId="3287456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456" w:type="dxa"/>
                  <w:vMerge w:val="continue"/>
                  <w:noWrap w:val="0"/>
                  <w:vAlign w:val="center"/>
                </w:tcPr>
                <w:p w14:paraId="3CB0133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749" w:type="dxa"/>
                  <w:vMerge w:val="continue"/>
                  <w:noWrap w:val="0"/>
                  <w:vAlign w:val="center"/>
                </w:tcPr>
                <w:p w14:paraId="2D7C989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864" w:type="dxa"/>
                  <w:noWrap w:val="0"/>
                  <w:vAlign w:val="center"/>
                </w:tcPr>
                <w:p w14:paraId="6D530E7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NH</w:t>
                  </w:r>
                  <w:r>
                    <w:rPr>
                      <w:rFonts w:hint="default" w:ascii="Times New Roman" w:hAnsi="Times New Roman" w:eastAsia="宋体" w:cs="Times New Roman"/>
                      <w:bCs/>
                      <w:sz w:val="21"/>
                      <w:szCs w:val="21"/>
                      <w:vertAlign w:val="subscript"/>
                    </w:rPr>
                    <w:t>3</w:t>
                  </w:r>
                  <w:r>
                    <w:rPr>
                      <w:rFonts w:hint="default" w:ascii="Times New Roman" w:hAnsi="Times New Roman" w:eastAsia="宋体" w:cs="Times New Roman"/>
                      <w:bCs/>
                      <w:sz w:val="21"/>
                      <w:szCs w:val="21"/>
                    </w:rPr>
                    <w:t>-N</w:t>
                  </w:r>
                </w:p>
              </w:tc>
              <w:tc>
                <w:tcPr>
                  <w:tcW w:w="1189" w:type="dxa"/>
                  <w:tcBorders>
                    <w:right w:val="nil"/>
                  </w:tcBorders>
                  <w:noWrap w:val="0"/>
                  <w:vAlign w:val="center"/>
                </w:tcPr>
                <w:p w14:paraId="508A66A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lang w:val="en-US" w:eastAsia="zh-CN"/>
                    </w:rPr>
                  </w:pPr>
                  <w:r>
                    <w:rPr>
                      <w:rFonts w:hint="eastAsia" w:cs="Times New Roman"/>
                      <w:bCs/>
                      <w:sz w:val="21"/>
                      <w:szCs w:val="21"/>
                      <w:highlight w:val="none"/>
                      <w:lang w:val="en-US" w:eastAsia="zh-CN"/>
                    </w:rPr>
                    <w:t>2.0</w:t>
                  </w:r>
                </w:p>
              </w:tc>
            </w:tr>
            <w:tr w14:paraId="0CC97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31" w:type="dxa"/>
                  <w:vMerge w:val="continue"/>
                  <w:tcBorders>
                    <w:left w:val="nil"/>
                  </w:tcBorders>
                  <w:noWrap w:val="0"/>
                  <w:vAlign w:val="center"/>
                </w:tcPr>
                <w:p w14:paraId="7C76341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344" w:type="dxa"/>
                  <w:vMerge w:val="continue"/>
                  <w:noWrap w:val="0"/>
                  <w:vAlign w:val="center"/>
                </w:tcPr>
                <w:p w14:paraId="37C004A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250" w:type="dxa"/>
                  <w:vMerge w:val="continue"/>
                  <w:noWrap w:val="0"/>
                  <w:vAlign w:val="center"/>
                </w:tcPr>
                <w:p w14:paraId="1051C27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279" w:type="dxa"/>
                  <w:vMerge w:val="continue"/>
                  <w:noWrap w:val="0"/>
                  <w:vAlign w:val="center"/>
                </w:tcPr>
                <w:p w14:paraId="723220B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456" w:type="dxa"/>
                  <w:vMerge w:val="continue"/>
                  <w:noWrap w:val="0"/>
                  <w:vAlign w:val="center"/>
                </w:tcPr>
                <w:p w14:paraId="1920C6C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456" w:type="dxa"/>
                  <w:vMerge w:val="continue"/>
                  <w:noWrap w:val="0"/>
                  <w:vAlign w:val="center"/>
                </w:tcPr>
                <w:p w14:paraId="09A2346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749" w:type="dxa"/>
                  <w:vMerge w:val="continue"/>
                  <w:noWrap w:val="0"/>
                  <w:vAlign w:val="center"/>
                </w:tcPr>
                <w:p w14:paraId="7046FCE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864" w:type="dxa"/>
                  <w:noWrap w:val="0"/>
                  <w:vAlign w:val="center"/>
                </w:tcPr>
                <w:p w14:paraId="5B2E292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TP</w:t>
                  </w:r>
                </w:p>
              </w:tc>
              <w:tc>
                <w:tcPr>
                  <w:tcW w:w="1189" w:type="dxa"/>
                  <w:tcBorders>
                    <w:right w:val="nil"/>
                  </w:tcBorders>
                  <w:noWrap w:val="0"/>
                  <w:vAlign w:val="center"/>
                </w:tcPr>
                <w:p w14:paraId="1B4EEBA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lang w:val="en-US" w:eastAsia="zh-CN"/>
                    </w:rPr>
                  </w:pPr>
                  <w:r>
                    <w:rPr>
                      <w:rFonts w:hint="eastAsia" w:cs="Times New Roman"/>
                      <w:bCs/>
                      <w:sz w:val="21"/>
                      <w:szCs w:val="21"/>
                      <w:highlight w:val="none"/>
                      <w:lang w:val="en-US" w:eastAsia="zh-CN"/>
                    </w:rPr>
                    <w:t>0.4</w:t>
                  </w:r>
                </w:p>
              </w:tc>
            </w:tr>
            <w:tr w14:paraId="687FE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31" w:type="dxa"/>
                  <w:vMerge w:val="continue"/>
                  <w:tcBorders>
                    <w:left w:val="nil"/>
                    <w:bottom w:val="single" w:color="auto" w:sz="8" w:space="0"/>
                  </w:tcBorders>
                  <w:noWrap w:val="0"/>
                  <w:vAlign w:val="center"/>
                </w:tcPr>
                <w:p w14:paraId="75944DD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344" w:type="dxa"/>
                  <w:vMerge w:val="continue"/>
                  <w:tcBorders>
                    <w:bottom w:val="single" w:color="auto" w:sz="8" w:space="0"/>
                  </w:tcBorders>
                  <w:noWrap w:val="0"/>
                  <w:vAlign w:val="center"/>
                </w:tcPr>
                <w:p w14:paraId="2CFE9C3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250" w:type="dxa"/>
                  <w:vMerge w:val="continue"/>
                  <w:tcBorders>
                    <w:bottom w:val="single" w:color="auto" w:sz="8" w:space="0"/>
                  </w:tcBorders>
                  <w:noWrap w:val="0"/>
                  <w:vAlign w:val="center"/>
                </w:tcPr>
                <w:p w14:paraId="64F8033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1279" w:type="dxa"/>
                  <w:vMerge w:val="continue"/>
                  <w:tcBorders>
                    <w:bottom w:val="single" w:color="auto" w:sz="8" w:space="0"/>
                  </w:tcBorders>
                  <w:noWrap w:val="0"/>
                  <w:vAlign w:val="center"/>
                </w:tcPr>
                <w:p w14:paraId="1558023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456" w:type="dxa"/>
                  <w:vMerge w:val="continue"/>
                  <w:tcBorders>
                    <w:bottom w:val="single" w:color="auto" w:sz="8" w:space="0"/>
                  </w:tcBorders>
                  <w:noWrap w:val="0"/>
                  <w:vAlign w:val="center"/>
                </w:tcPr>
                <w:p w14:paraId="730D953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456" w:type="dxa"/>
                  <w:vMerge w:val="continue"/>
                  <w:tcBorders>
                    <w:bottom w:val="single" w:color="auto" w:sz="8" w:space="0"/>
                  </w:tcBorders>
                  <w:noWrap w:val="0"/>
                  <w:vAlign w:val="center"/>
                </w:tcPr>
                <w:p w14:paraId="395BF70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749" w:type="dxa"/>
                  <w:vMerge w:val="continue"/>
                  <w:tcBorders>
                    <w:bottom w:val="single" w:color="auto" w:sz="8" w:space="0"/>
                  </w:tcBorders>
                  <w:noWrap w:val="0"/>
                  <w:vAlign w:val="center"/>
                </w:tcPr>
                <w:p w14:paraId="78AB2AD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p>
              </w:tc>
              <w:tc>
                <w:tcPr>
                  <w:tcW w:w="864" w:type="dxa"/>
                  <w:tcBorders>
                    <w:bottom w:val="single" w:color="auto" w:sz="8" w:space="0"/>
                  </w:tcBorders>
                  <w:noWrap w:val="0"/>
                  <w:vAlign w:val="center"/>
                </w:tcPr>
                <w:p w14:paraId="2C2FF0F6">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TN</w:t>
                  </w:r>
                </w:p>
              </w:tc>
              <w:tc>
                <w:tcPr>
                  <w:tcW w:w="1189" w:type="dxa"/>
                  <w:tcBorders>
                    <w:bottom w:val="single" w:color="auto" w:sz="8" w:space="0"/>
                    <w:right w:val="nil"/>
                  </w:tcBorders>
                  <w:noWrap w:val="0"/>
                  <w:vAlign w:val="center"/>
                </w:tcPr>
                <w:p w14:paraId="038B68F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highlight w:val="none"/>
                      <w:lang w:val="en-US" w:eastAsia="zh-CN"/>
                    </w:rPr>
                  </w:pPr>
                  <w:r>
                    <w:rPr>
                      <w:rFonts w:hint="eastAsia" w:cs="Times New Roman"/>
                      <w:bCs/>
                      <w:sz w:val="21"/>
                      <w:szCs w:val="21"/>
                      <w:highlight w:val="none"/>
                      <w:lang w:val="en-US" w:eastAsia="zh-CN"/>
                    </w:rPr>
                    <w:t>15</w:t>
                  </w:r>
                </w:p>
              </w:tc>
            </w:tr>
          </w:tbl>
          <w:p w14:paraId="7FB7FD59">
            <w:pPr>
              <w:keepNext w:val="0"/>
              <w:keepLines w:val="0"/>
              <w:suppressLineNumbers w:val="0"/>
              <w:adjustRightInd w:val="0"/>
              <w:snapToGrid w:val="0"/>
              <w:spacing w:before="0" w:beforeAutospacing="0" w:after="0" w:afterAutospacing="0" w:line="520" w:lineRule="exact"/>
              <w:ind w:left="0" w:right="0" w:firstLine="480" w:firstLineChars="200"/>
              <w:rPr>
                <w:rFonts w:hint="default"/>
                <w:color w:val="000000"/>
                <w:sz w:val="24"/>
              </w:rPr>
            </w:pPr>
            <w:r>
              <w:rPr>
                <w:rFonts w:hint="default"/>
                <w:color w:val="000000"/>
                <w:sz w:val="24"/>
              </w:rPr>
              <w:fldChar w:fldCharType="begin"/>
            </w:r>
            <w:r>
              <w:rPr>
                <w:rFonts w:hint="default"/>
                <w:color w:val="000000"/>
                <w:sz w:val="24"/>
              </w:rPr>
              <w:instrText xml:space="preserve"> </w:instrText>
            </w:r>
            <w:r>
              <w:rPr>
                <w:rFonts w:hint="eastAsia"/>
                <w:color w:val="000000"/>
                <w:sz w:val="24"/>
              </w:rPr>
              <w:instrText xml:space="preserve">= 3 \* GB3</w:instrText>
            </w:r>
            <w:r>
              <w:rPr>
                <w:rFonts w:hint="default"/>
                <w:color w:val="000000"/>
                <w:sz w:val="24"/>
              </w:rPr>
              <w:instrText xml:space="preserve"> </w:instrText>
            </w:r>
            <w:r>
              <w:rPr>
                <w:rFonts w:hint="default"/>
                <w:color w:val="000000"/>
                <w:sz w:val="24"/>
              </w:rPr>
              <w:fldChar w:fldCharType="separate"/>
            </w:r>
            <w:r>
              <w:rPr>
                <w:rFonts w:hint="eastAsia"/>
                <w:color w:val="000000"/>
                <w:sz w:val="24"/>
              </w:rPr>
              <w:t>③</w:t>
            </w:r>
            <w:r>
              <w:rPr>
                <w:rFonts w:hint="default"/>
                <w:color w:val="000000"/>
                <w:sz w:val="24"/>
              </w:rPr>
              <w:fldChar w:fldCharType="end"/>
            </w:r>
            <w:r>
              <w:rPr>
                <w:rFonts w:hint="eastAsia"/>
                <w:color w:val="000000"/>
                <w:sz w:val="24"/>
                <w:lang w:eastAsia="zh-CN"/>
              </w:rPr>
              <w:t>本项目</w:t>
            </w:r>
            <w:r>
              <w:rPr>
                <w:rFonts w:hint="eastAsia"/>
                <w:color w:val="000000"/>
                <w:sz w:val="24"/>
              </w:rPr>
              <w:t>排放量核算</w:t>
            </w:r>
          </w:p>
          <w:p w14:paraId="1C17F19F">
            <w:pPr>
              <w:keepNext w:val="0"/>
              <w:keepLines w:val="0"/>
              <w:suppressLineNumbers w:val="0"/>
              <w:adjustRightInd w:val="0"/>
              <w:snapToGrid w:val="0"/>
              <w:spacing w:before="0" w:beforeAutospacing="0" w:after="0" w:afterAutospacing="0" w:line="520" w:lineRule="exact"/>
              <w:ind w:left="0" w:right="0" w:firstLine="723" w:firstLineChars="300"/>
              <w:jc w:val="center"/>
              <w:rPr>
                <w:rFonts w:hint="default" w:ascii="Times New Roman" w:hAnsi="Times New Roman" w:eastAsia="宋体" w:cs="Times New Roman"/>
                <w:b/>
                <w:bCs/>
                <w:kern w:val="0"/>
                <w:sz w:val="24"/>
              </w:rPr>
            </w:pPr>
          </w:p>
          <w:p w14:paraId="24263447">
            <w:pPr>
              <w:keepNext w:val="0"/>
              <w:keepLines w:val="0"/>
              <w:suppressLineNumbers w:val="0"/>
              <w:adjustRightInd w:val="0"/>
              <w:snapToGrid w:val="0"/>
              <w:spacing w:before="0" w:beforeAutospacing="0" w:after="0" w:afterAutospacing="0" w:line="520" w:lineRule="exact"/>
              <w:ind w:left="0" w:right="0" w:firstLine="723" w:firstLineChars="300"/>
              <w:jc w:val="center"/>
              <w:rPr>
                <w:rFonts w:hint="default" w:ascii="Times New Roman" w:hAnsi="Times New Roman" w:eastAsia="宋体" w:cs="Times New Roman"/>
                <w:b/>
                <w:bCs/>
                <w:kern w:val="0"/>
                <w:sz w:val="24"/>
              </w:rPr>
            </w:pPr>
            <w:r>
              <w:rPr>
                <w:rFonts w:hint="default" w:ascii="Times New Roman" w:hAnsi="Times New Roman" w:eastAsia="宋体" w:cs="Times New Roman"/>
                <w:b/>
                <w:bCs/>
                <w:kern w:val="0"/>
                <w:sz w:val="24"/>
              </w:rPr>
              <w:t>表</w:t>
            </w:r>
            <w:r>
              <w:rPr>
                <w:rFonts w:hint="eastAsia" w:cs="Times New Roman"/>
                <w:b/>
                <w:bCs/>
                <w:kern w:val="0"/>
                <w:sz w:val="24"/>
                <w:lang w:val="en-US" w:eastAsia="zh-CN"/>
              </w:rPr>
              <w:t>30</w:t>
            </w:r>
            <w:r>
              <w:rPr>
                <w:rFonts w:hint="default" w:ascii="Times New Roman" w:hAnsi="Times New Roman" w:eastAsia="宋体" w:cs="Times New Roman"/>
                <w:b/>
                <w:bCs/>
                <w:kern w:val="0"/>
                <w:sz w:val="24"/>
              </w:rPr>
              <w:t xml:space="preserve">        本</w:t>
            </w:r>
            <w:r>
              <w:rPr>
                <w:rFonts w:hint="eastAsia" w:cs="Times New Roman"/>
                <w:b/>
                <w:bCs/>
                <w:kern w:val="0"/>
                <w:sz w:val="24"/>
                <w:lang w:eastAsia="zh-CN"/>
              </w:rPr>
              <w:t>项目</w:t>
            </w:r>
            <w:r>
              <w:rPr>
                <w:rFonts w:hint="default" w:ascii="Times New Roman" w:hAnsi="Times New Roman" w:eastAsia="宋体" w:cs="Times New Roman"/>
                <w:b/>
                <w:bCs/>
                <w:kern w:val="0"/>
                <w:sz w:val="24"/>
              </w:rPr>
              <w:t>废水排放量核算一览表</w:t>
            </w:r>
          </w:p>
          <w:tbl>
            <w:tblPr>
              <w:tblStyle w:val="22"/>
              <w:tblW w:w="4994" w:type="pct"/>
              <w:tblInd w:w="0" w:type="dxa"/>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9"/>
              <w:gridCol w:w="1247"/>
              <w:gridCol w:w="1180"/>
              <w:gridCol w:w="1147"/>
              <w:gridCol w:w="921"/>
              <w:gridCol w:w="982"/>
              <w:gridCol w:w="985"/>
            </w:tblGrid>
            <w:tr w14:paraId="4EAE8329">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pct"/>
                  <w:tcBorders>
                    <w:top w:val="single" w:color="auto" w:sz="8" w:space="0"/>
                    <w:left w:val="nil"/>
                    <w:bottom w:val="single" w:color="auto" w:sz="8" w:space="0"/>
                  </w:tcBorders>
                  <w:noWrap w:val="0"/>
                  <w:vAlign w:val="center"/>
                </w:tcPr>
                <w:p w14:paraId="0E1CA7BC">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b/>
                      <w:sz w:val="21"/>
                      <w:szCs w:val="21"/>
                    </w:rPr>
                  </w:pPr>
                  <w:bookmarkStart w:id="3" w:name="OLE_LINK1"/>
                  <w:r>
                    <w:rPr>
                      <w:rFonts w:hint="default" w:ascii="Times New Roman" w:hAnsi="Times New Roman" w:eastAsia="宋体" w:cs="Times New Roman"/>
                      <w:b/>
                      <w:sz w:val="21"/>
                      <w:szCs w:val="21"/>
                    </w:rPr>
                    <w:t>污染物</w:t>
                  </w:r>
                </w:p>
              </w:tc>
              <w:tc>
                <w:tcPr>
                  <w:tcW w:w="724" w:type="pct"/>
                  <w:tcBorders>
                    <w:top w:val="single" w:color="auto" w:sz="8" w:space="0"/>
                    <w:bottom w:val="single" w:color="auto" w:sz="8" w:space="0"/>
                  </w:tcBorders>
                  <w:noWrap w:val="0"/>
                  <w:vAlign w:val="center"/>
                </w:tcPr>
                <w:p w14:paraId="17E93235">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b/>
                      <w:sz w:val="21"/>
                      <w:szCs w:val="21"/>
                    </w:rPr>
                  </w:pPr>
                  <w:r>
                    <w:rPr>
                      <w:rFonts w:hint="eastAsia" w:cs="Times New Roman"/>
                      <w:b/>
                      <w:sz w:val="21"/>
                      <w:szCs w:val="21"/>
                      <w:lang w:eastAsia="zh-CN"/>
                    </w:rPr>
                    <w:t>本项目</w:t>
                  </w:r>
                  <w:r>
                    <w:rPr>
                      <w:rFonts w:hint="default" w:ascii="Times New Roman" w:hAnsi="Times New Roman" w:eastAsia="宋体" w:cs="Times New Roman"/>
                      <w:b/>
                      <w:sz w:val="21"/>
                      <w:szCs w:val="21"/>
                    </w:rPr>
                    <w:t>排放量</w:t>
                  </w:r>
                </w:p>
              </w:tc>
              <w:tc>
                <w:tcPr>
                  <w:tcW w:w="685" w:type="pct"/>
                  <w:tcBorders>
                    <w:top w:val="single" w:color="auto" w:sz="8" w:space="0"/>
                    <w:bottom w:val="single" w:color="auto" w:sz="8" w:space="0"/>
                  </w:tcBorders>
                  <w:noWrap w:val="0"/>
                  <w:vAlign w:val="center"/>
                </w:tcPr>
                <w:p w14:paraId="631AEF10">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COD</w:t>
                  </w:r>
                </w:p>
              </w:tc>
              <w:tc>
                <w:tcPr>
                  <w:tcW w:w="666" w:type="pct"/>
                  <w:tcBorders>
                    <w:top w:val="single" w:color="auto" w:sz="8" w:space="0"/>
                    <w:bottom w:val="single" w:color="auto" w:sz="8" w:space="0"/>
                  </w:tcBorders>
                  <w:noWrap w:val="0"/>
                  <w:vAlign w:val="center"/>
                </w:tcPr>
                <w:p w14:paraId="30B9DD44">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b/>
                      <w:sz w:val="21"/>
                      <w:szCs w:val="21"/>
                    </w:rPr>
                  </w:pPr>
                  <w:r>
                    <w:rPr>
                      <w:rFonts w:hint="eastAsia"/>
                      <w:b/>
                      <w:bCs w:val="0"/>
                      <w:sz w:val="21"/>
                      <w:szCs w:val="21"/>
                    </w:rPr>
                    <w:t>NH</w:t>
                  </w:r>
                  <w:r>
                    <w:rPr>
                      <w:rFonts w:hint="eastAsia"/>
                      <w:b/>
                      <w:bCs w:val="0"/>
                      <w:sz w:val="21"/>
                      <w:szCs w:val="21"/>
                      <w:vertAlign w:val="subscript"/>
                    </w:rPr>
                    <w:t>3</w:t>
                  </w:r>
                  <w:r>
                    <w:rPr>
                      <w:rFonts w:hint="eastAsia"/>
                      <w:b/>
                      <w:bCs w:val="0"/>
                      <w:sz w:val="21"/>
                      <w:szCs w:val="21"/>
                    </w:rPr>
                    <w:t>-N</w:t>
                  </w:r>
                </w:p>
              </w:tc>
              <w:tc>
                <w:tcPr>
                  <w:tcW w:w="535" w:type="pct"/>
                  <w:tcBorders>
                    <w:top w:val="single" w:color="auto" w:sz="8" w:space="0"/>
                    <w:bottom w:val="single" w:color="auto" w:sz="8" w:space="0"/>
                  </w:tcBorders>
                  <w:noWrap w:val="0"/>
                  <w:vAlign w:val="center"/>
                </w:tcPr>
                <w:p w14:paraId="7A6B59FB">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b/>
                      <w:sz w:val="21"/>
                      <w:szCs w:val="21"/>
                      <w:lang w:val="en-US" w:eastAsia="zh-CN"/>
                    </w:rPr>
                  </w:pPr>
                  <w:r>
                    <w:rPr>
                      <w:rFonts w:hint="eastAsia" w:ascii="Times New Roman" w:hAnsi="Times New Roman" w:eastAsia="宋体" w:cs="Times New Roman"/>
                      <w:b/>
                      <w:sz w:val="21"/>
                      <w:szCs w:val="21"/>
                      <w:lang w:val="en-US" w:eastAsia="zh-CN"/>
                    </w:rPr>
                    <w:t>SS</w:t>
                  </w:r>
                </w:p>
              </w:tc>
              <w:tc>
                <w:tcPr>
                  <w:tcW w:w="570" w:type="pct"/>
                  <w:tcBorders>
                    <w:top w:val="single" w:color="auto" w:sz="8" w:space="0"/>
                    <w:bottom w:val="single" w:color="auto" w:sz="8" w:space="0"/>
                  </w:tcBorders>
                  <w:noWrap w:val="0"/>
                  <w:vAlign w:val="center"/>
                </w:tcPr>
                <w:p w14:paraId="4C6EDCD8">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b/>
                      <w:sz w:val="21"/>
                      <w:szCs w:val="21"/>
                      <w:lang w:val="en-US" w:eastAsia="zh-CN"/>
                    </w:rPr>
                  </w:pPr>
                  <w:r>
                    <w:rPr>
                      <w:rFonts w:hint="eastAsia" w:cs="Times New Roman"/>
                      <w:b/>
                      <w:sz w:val="21"/>
                      <w:szCs w:val="21"/>
                      <w:lang w:val="en-US" w:eastAsia="zh-CN"/>
                    </w:rPr>
                    <w:t>TP</w:t>
                  </w:r>
                </w:p>
              </w:tc>
              <w:tc>
                <w:tcPr>
                  <w:tcW w:w="572" w:type="pct"/>
                  <w:tcBorders>
                    <w:top w:val="single" w:color="auto" w:sz="8" w:space="0"/>
                    <w:bottom w:val="single" w:color="auto" w:sz="8" w:space="0"/>
                  </w:tcBorders>
                  <w:noWrap w:val="0"/>
                  <w:vAlign w:val="center"/>
                </w:tcPr>
                <w:p w14:paraId="5EE62E92">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b/>
                      <w:sz w:val="21"/>
                      <w:szCs w:val="21"/>
                      <w:lang w:val="en-US" w:eastAsia="zh-CN"/>
                    </w:rPr>
                  </w:pPr>
                  <w:r>
                    <w:rPr>
                      <w:rFonts w:hint="eastAsia" w:cs="Times New Roman"/>
                      <w:b/>
                      <w:sz w:val="21"/>
                      <w:szCs w:val="21"/>
                      <w:lang w:val="en-US" w:eastAsia="zh-CN"/>
                    </w:rPr>
                    <w:t>TN</w:t>
                  </w:r>
                </w:p>
              </w:tc>
            </w:tr>
            <w:tr w14:paraId="715CD732">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pct"/>
                  <w:tcBorders>
                    <w:top w:val="single" w:color="auto" w:sz="8" w:space="0"/>
                    <w:left w:val="nil"/>
                    <w:bottom w:val="single" w:color="auto" w:sz="4" w:space="0"/>
                  </w:tcBorders>
                  <w:noWrap w:val="0"/>
                  <w:vAlign w:val="center"/>
                </w:tcPr>
                <w:p w14:paraId="2F3D3310">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sz w:val="21"/>
                      <w:szCs w:val="21"/>
                    </w:rPr>
                    <w:t>厂区总排口排放浓度（mg/L）</w:t>
                  </w:r>
                </w:p>
              </w:tc>
              <w:tc>
                <w:tcPr>
                  <w:tcW w:w="724" w:type="pct"/>
                  <w:tcBorders>
                    <w:top w:val="single" w:color="auto" w:sz="8" w:space="0"/>
                    <w:bottom w:val="single" w:color="auto" w:sz="4" w:space="0"/>
                  </w:tcBorders>
                  <w:noWrap w:val="0"/>
                  <w:vAlign w:val="center"/>
                </w:tcPr>
                <w:p w14:paraId="5102F270">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85" w:type="pct"/>
                  <w:tcBorders>
                    <w:top w:val="single" w:color="auto" w:sz="8" w:space="0"/>
                    <w:bottom w:val="single" w:color="auto" w:sz="4" w:space="0"/>
                  </w:tcBorders>
                  <w:noWrap w:val="0"/>
                  <w:vAlign w:val="center"/>
                </w:tcPr>
                <w:p w14:paraId="1936C6B4">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cs="Times New Roman"/>
                      <w:sz w:val="21"/>
                      <w:szCs w:val="21"/>
                      <w:vertAlign w:val="baseline"/>
                      <w:lang w:val="en-US" w:eastAsia="zh-CN"/>
                    </w:rPr>
                    <w:t>200</w:t>
                  </w:r>
                </w:p>
              </w:tc>
              <w:tc>
                <w:tcPr>
                  <w:tcW w:w="666" w:type="pct"/>
                  <w:tcBorders>
                    <w:top w:val="single" w:color="auto" w:sz="8" w:space="0"/>
                    <w:bottom w:val="single" w:color="auto" w:sz="4" w:space="0"/>
                  </w:tcBorders>
                  <w:noWrap w:val="0"/>
                  <w:vAlign w:val="center"/>
                </w:tcPr>
                <w:p w14:paraId="1042E5A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cs="Times New Roman"/>
                      <w:sz w:val="21"/>
                      <w:szCs w:val="21"/>
                      <w:lang w:val="en-US" w:eastAsia="zh-CN"/>
                    </w:rPr>
                  </w:pPr>
                  <w:r>
                    <w:rPr>
                      <w:rFonts w:hint="eastAsia" w:cs="Times New Roman"/>
                      <w:sz w:val="21"/>
                      <w:szCs w:val="21"/>
                      <w:vertAlign w:val="baseline"/>
                      <w:lang w:val="en-US" w:eastAsia="zh-CN"/>
                    </w:rPr>
                    <w:t>20</w:t>
                  </w:r>
                </w:p>
              </w:tc>
              <w:tc>
                <w:tcPr>
                  <w:tcW w:w="535" w:type="pct"/>
                  <w:tcBorders>
                    <w:top w:val="single" w:color="auto" w:sz="8" w:space="0"/>
                    <w:bottom w:val="single" w:color="auto" w:sz="4" w:space="0"/>
                  </w:tcBorders>
                  <w:noWrap w:val="0"/>
                  <w:vAlign w:val="center"/>
                </w:tcPr>
                <w:p w14:paraId="04AEF58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cs="Times New Roman"/>
                      <w:sz w:val="21"/>
                      <w:szCs w:val="21"/>
                      <w:vertAlign w:val="baseline"/>
                      <w:lang w:val="en-US" w:eastAsia="zh-CN"/>
                    </w:rPr>
                    <w:t>250</w:t>
                  </w:r>
                </w:p>
              </w:tc>
              <w:tc>
                <w:tcPr>
                  <w:tcW w:w="570" w:type="pct"/>
                  <w:tcBorders>
                    <w:top w:val="single" w:color="auto" w:sz="8" w:space="0"/>
                    <w:bottom w:val="single" w:color="auto" w:sz="4" w:space="0"/>
                  </w:tcBorders>
                  <w:noWrap w:val="0"/>
                  <w:vAlign w:val="center"/>
                </w:tcPr>
                <w:p w14:paraId="40DA6614">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cs="Times New Roman"/>
                      <w:sz w:val="21"/>
                      <w:szCs w:val="21"/>
                      <w:lang w:val="en-US" w:eastAsia="zh-CN"/>
                    </w:rPr>
                  </w:pPr>
                  <w:r>
                    <w:rPr>
                      <w:rFonts w:hint="eastAsia" w:cs="Times New Roman"/>
                      <w:sz w:val="21"/>
                      <w:szCs w:val="21"/>
                      <w:vertAlign w:val="baseline"/>
                      <w:lang w:val="en-US" w:eastAsia="zh-CN"/>
                    </w:rPr>
                    <w:t>2</w:t>
                  </w:r>
                </w:p>
              </w:tc>
              <w:tc>
                <w:tcPr>
                  <w:tcW w:w="572" w:type="pct"/>
                  <w:tcBorders>
                    <w:top w:val="single" w:color="auto" w:sz="8" w:space="0"/>
                    <w:bottom w:val="single" w:color="auto" w:sz="4" w:space="0"/>
                  </w:tcBorders>
                  <w:noWrap w:val="0"/>
                  <w:vAlign w:val="center"/>
                </w:tcPr>
                <w:p w14:paraId="3668639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ind w:left="0" w:leftChars="0" w:right="0" w:rightChars="0" w:firstLine="0" w:firstLineChars="0"/>
                    <w:jc w:val="center"/>
                    <w:textAlignment w:val="auto"/>
                    <w:outlineLvl w:val="9"/>
                    <w:rPr>
                      <w:rFonts w:hint="default" w:cs="Times New Roman"/>
                      <w:sz w:val="21"/>
                      <w:szCs w:val="21"/>
                      <w:lang w:val="en-US" w:eastAsia="zh-CN"/>
                    </w:rPr>
                  </w:pPr>
                  <w:r>
                    <w:rPr>
                      <w:rFonts w:hint="eastAsia" w:cs="Times New Roman"/>
                      <w:sz w:val="21"/>
                      <w:szCs w:val="21"/>
                      <w:lang w:val="en-US" w:eastAsia="zh-CN"/>
                    </w:rPr>
                    <w:t>35</w:t>
                  </w:r>
                </w:p>
              </w:tc>
            </w:tr>
            <w:tr w14:paraId="675AE9EC">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pct"/>
                  <w:tcBorders>
                    <w:left w:val="nil"/>
                  </w:tcBorders>
                  <w:noWrap w:val="0"/>
                  <w:vAlign w:val="center"/>
                </w:tcPr>
                <w:p w14:paraId="6629322A">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厂区总排口排放量（t/a）</w:t>
                  </w:r>
                </w:p>
              </w:tc>
              <w:tc>
                <w:tcPr>
                  <w:tcW w:w="724" w:type="pct"/>
                  <w:noWrap w:val="0"/>
                  <w:vAlign w:val="center"/>
                </w:tcPr>
                <w:p w14:paraId="6756A394">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72</w:t>
                  </w:r>
                </w:p>
              </w:tc>
              <w:tc>
                <w:tcPr>
                  <w:tcW w:w="685" w:type="pct"/>
                  <w:noWrap w:val="0"/>
                  <w:vAlign w:val="center"/>
                </w:tcPr>
                <w:p w14:paraId="12CD6C8C">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0.0144</w:t>
                  </w:r>
                </w:p>
              </w:tc>
              <w:tc>
                <w:tcPr>
                  <w:tcW w:w="666" w:type="pct"/>
                  <w:noWrap w:val="0"/>
                  <w:vAlign w:val="center"/>
                </w:tcPr>
                <w:p w14:paraId="5708B0AC">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0.0014</w:t>
                  </w:r>
                </w:p>
              </w:tc>
              <w:tc>
                <w:tcPr>
                  <w:tcW w:w="535" w:type="pct"/>
                  <w:noWrap w:val="0"/>
                  <w:vAlign w:val="center"/>
                </w:tcPr>
                <w:p w14:paraId="587B208A">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0.018</w:t>
                  </w:r>
                </w:p>
              </w:tc>
              <w:tc>
                <w:tcPr>
                  <w:tcW w:w="570" w:type="pct"/>
                  <w:noWrap w:val="0"/>
                  <w:vAlign w:val="center"/>
                </w:tcPr>
                <w:p w14:paraId="0F008B11">
                  <w:pPr>
                    <w:keepNext w:val="0"/>
                    <w:keepLines w:val="0"/>
                    <w:suppressLineNumbers w:val="0"/>
                    <w:spacing w:before="0" w:beforeAutospacing="0" w:after="0" w:afterAutospacing="0"/>
                    <w:ind w:left="0" w:right="0"/>
                    <w:jc w:val="center"/>
                    <w:rPr>
                      <w:rFonts w:hint="default" w:cs="Times New Roman"/>
                      <w:sz w:val="21"/>
                      <w:szCs w:val="21"/>
                      <w:lang w:val="en-US" w:eastAsia="zh-CN"/>
                    </w:rPr>
                  </w:pPr>
                  <w:r>
                    <w:rPr>
                      <w:rFonts w:hint="eastAsia" w:cs="Times New Roman"/>
                      <w:sz w:val="21"/>
                      <w:szCs w:val="21"/>
                      <w:lang w:val="en-US" w:eastAsia="zh-CN"/>
                    </w:rPr>
                    <w:t>0.0001</w:t>
                  </w:r>
                </w:p>
              </w:tc>
              <w:tc>
                <w:tcPr>
                  <w:tcW w:w="572" w:type="pct"/>
                  <w:noWrap w:val="0"/>
                  <w:vAlign w:val="center"/>
                </w:tcPr>
                <w:p w14:paraId="5A7A23D4">
                  <w:pPr>
                    <w:keepNext w:val="0"/>
                    <w:keepLines w:val="0"/>
                    <w:suppressLineNumbers w:val="0"/>
                    <w:spacing w:before="0" w:beforeAutospacing="0" w:after="0" w:afterAutospacing="0"/>
                    <w:ind w:left="0" w:right="0"/>
                    <w:jc w:val="center"/>
                    <w:rPr>
                      <w:rFonts w:hint="default" w:cs="Times New Roman"/>
                      <w:sz w:val="21"/>
                      <w:szCs w:val="21"/>
                      <w:lang w:val="en-US" w:eastAsia="zh-CN"/>
                    </w:rPr>
                  </w:pPr>
                  <w:r>
                    <w:rPr>
                      <w:rFonts w:hint="eastAsia" w:cs="Times New Roman"/>
                      <w:sz w:val="21"/>
                      <w:szCs w:val="21"/>
                      <w:lang w:val="en-US" w:eastAsia="zh-CN"/>
                    </w:rPr>
                    <w:t>0.0025</w:t>
                  </w:r>
                </w:p>
              </w:tc>
            </w:tr>
            <w:tr w14:paraId="77FF351F">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pct"/>
                  <w:tcBorders>
                    <w:left w:val="nil"/>
                  </w:tcBorders>
                  <w:noWrap w:val="0"/>
                  <w:vAlign w:val="center"/>
                </w:tcPr>
                <w:p w14:paraId="741826E5">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eastAsia" w:cs="Times New Roman"/>
                      <w:sz w:val="21"/>
                      <w:szCs w:val="21"/>
                      <w:lang w:val="en-US" w:eastAsia="zh-CN"/>
                    </w:rPr>
                    <w:t>新乡县综合</w:t>
                  </w:r>
                  <w:r>
                    <w:rPr>
                      <w:rFonts w:hint="default" w:ascii="Times New Roman" w:hAnsi="Times New Roman" w:eastAsia="宋体" w:cs="Times New Roman"/>
                      <w:sz w:val="21"/>
                      <w:szCs w:val="21"/>
                    </w:rPr>
                    <w:t>污水处理厂排放浓度（mg/L）</w:t>
                  </w:r>
                </w:p>
              </w:tc>
              <w:tc>
                <w:tcPr>
                  <w:tcW w:w="724" w:type="pct"/>
                  <w:noWrap w:val="0"/>
                  <w:vAlign w:val="center"/>
                </w:tcPr>
                <w:p w14:paraId="6D2D1C19">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85" w:type="pct"/>
                  <w:noWrap w:val="0"/>
                  <w:vAlign w:val="center"/>
                </w:tcPr>
                <w:p w14:paraId="0BC72F1A">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w:t>
                  </w:r>
                </w:p>
              </w:tc>
              <w:tc>
                <w:tcPr>
                  <w:tcW w:w="666" w:type="pct"/>
                  <w:noWrap w:val="0"/>
                  <w:vAlign w:val="center"/>
                </w:tcPr>
                <w:p w14:paraId="6810FDF6">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535" w:type="pct"/>
                  <w:noWrap w:val="0"/>
                  <w:vAlign w:val="center"/>
                </w:tcPr>
                <w:p w14:paraId="1A86A212">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p>
              </w:tc>
              <w:tc>
                <w:tcPr>
                  <w:tcW w:w="570" w:type="pct"/>
                  <w:noWrap w:val="0"/>
                  <w:vAlign w:val="center"/>
                </w:tcPr>
                <w:p w14:paraId="523FF2DE">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0.4</w:t>
                  </w:r>
                </w:p>
              </w:tc>
              <w:tc>
                <w:tcPr>
                  <w:tcW w:w="572" w:type="pct"/>
                  <w:noWrap w:val="0"/>
                  <w:vAlign w:val="center"/>
                </w:tcPr>
                <w:p w14:paraId="5F3B1860">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w:t>
                  </w:r>
                </w:p>
              </w:tc>
            </w:tr>
            <w:tr w14:paraId="5B881AE7">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pct"/>
                  <w:tcBorders>
                    <w:left w:val="nil"/>
                    <w:bottom w:val="single" w:color="auto" w:sz="8" w:space="0"/>
                  </w:tcBorders>
                  <w:noWrap w:val="0"/>
                  <w:vAlign w:val="center"/>
                </w:tcPr>
                <w:p w14:paraId="52A5E2B8">
                  <w:pPr>
                    <w:keepNext w:val="0"/>
                    <w:keepLines w:val="0"/>
                    <w:suppressLineNumbers w:val="0"/>
                    <w:tabs>
                      <w:tab w:val="left" w:pos="3620"/>
                    </w:tabs>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cs="Times New Roman"/>
                      <w:sz w:val="21"/>
                      <w:szCs w:val="21"/>
                      <w:lang w:val="en-US" w:eastAsia="zh-CN"/>
                    </w:rPr>
                    <w:t>新乡县综合</w:t>
                  </w:r>
                  <w:r>
                    <w:rPr>
                      <w:rFonts w:hint="default" w:ascii="Times New Roman" w:hAnsi="Times New Roman" w:eastAsia="宋体" w:cs="Times New Roman"/>
                      <w:sz w:val="21"/>
                      <w:szCs w:val="21"/>
                    </w:rPr>
                    <w:t>污水处理厂排放量</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t/a</w:t>
                  </w:r>
                  <w:r>
                    <w:rPr>
                      <w:rFonts w:hint="eastAsia" w:ascii="Times New Roman" w:hAnsi="Times New Roman" w:eastAsia="宋体" w:cs="Times New Roman"/>
                      <w:sz w:val="21"/>
                      <w:szCs w:val="21"/>
                      <w:lang w:eastAsia="zh-CN"/>
                    </w:rPr>
                    <w:t>）</w:t>
                  </w:r>
                </w:p>
              </w:tc>
              <w:tc>
                <w:tcPr>
                  <w:tcW w:w="724" w:type="pct"/>
                  <w:tcBorders>
                    <w:bottom w:val="single" w:color="auto" w:sz="8" w:space="0"/>
                  </w:tcBorders>
                  <w:noWrap w:val="0"/>
                  <w:vAlign w:val="center"/>
                </w:tcPr>
                <w:p w14:paraId="0BA6FC21">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72</w:t>
                  </w:r>
                </w:p>
              </w:tc>
              <w:tc>
                <w:tcPr>
                  <w:tcW w:w="685" w:type="pct"/>
                  <w:tcBorders>
                    <w:bottom w:val="single" w:color="auto" w:sz="8" w:space="0"/>
                  </w:tcBorders>
                  <w:noWrap w:val="0"/>
                  <w:vAlign w:val="center"/>
                </w:tcPr>
                <w:p w14:paraId="4D71A14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z w:val="21"/>
                      <w:szCs w:val="21"/>
                      <w:highlight w:val="none"/>
                      <w:lang w:val="en-US" w:eastAsia="zh-CN"/>
                    </w:rPr>
                  </w:pPr>
                  <w:r>
                    <w:rPr>
                      <w:rFonts w:hint="eastAsia" w:cs="Times New Roman"/>
                      <w:sz w:val="21"/>
                      <w:szCs w:val="21"/>
                      <w:lang w:val="en-US" w:eastAsia="zh-CN"/>
                    </w:rPr>
                    <w:t>0.0029</w:t>
                  </w:r>
                </w:p>
              </w:tc>
              <w:tc>
                <w:tcPr>
                  <w:tcW w:w="666" w:type="pct"/>
                  <w:tcBorders>
                    <w:bottom w:val="single" w:color="auto" w:sz="8" w:space="0"/>
                  </w:tcBorders>
                  <w:noWrap w:val="0"/>
                  <w:vAlign w:val="center"/>
                </w:tcPr>
                <w:p w14:paraId="4EB4279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0.0001</w:t>
                  </w:r>
                </w:p>
              </w:tc>
              <w:tc>
                <w:tcPr>
                  <w:tcW w:w="535" w:type="pct"/>
                  <w:tcBorders>
                    <w:bottom w:val="single" w:color="auto" w:sz="8" w:space="0"/>
                  </w:tcBorders>
                  <w:noWrap w:val="0"/>
                  <w:vAlign w:val="center"/>
                </w:tcPr>
                <w:p w14:paraId="2F5E1036">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0.0007</w:t>
                  </w:r>
                </w:p>
              </w:tc>
              <w:tc>
                <w:tcPr>
                  <w:tcW w:w="570" w:type="pct"/>
                  <w:tcBorders>
                    <w:bottom w:val="single" w:color="auto" w:sz="8" w:space="0"/>
                  </w:tcBorders>
                  <w:noWrap w:val="0"/>
                  <w:vAlign w:val="center"/>
                </w:tcPr>
                <w:p w14:paraId="48968927">
                  <w:pPr>
                    <w:keepNext w:val="0"/>
                    <w:keepLines w:val="0"/>
                    <w:suppressLineNumbers w:val="0"/>
                    <w:spacing w:before="0" w:beforeAutospacing="0" w:after="0" w:afterAutospacing="0"/>
                    <w:ind w:left="0" w:right="0"/>
                    <w:jc w:val="center"/>
                    <w:rPr>
                      <w:rFonts w:hint="default" w:cs="Times New Roman"/>
                      <w:sz w:val="21"/>
                      <w:szCs w:val="21"/>
                      <w:highlight w:val="none"/>
                      <w:lang w:val="en-US" w:eastAsia="zh-CN"/>
                    </w:rPr>
                  </w:pPr>
                  <w:r>
                    <w:rPr>
                      <w:rFonts w:hint="eastAsia" w:cs="Times New Roman"/>
                      <w:sz w:val="21"/>
                      <w:szCs w:val="21"/>
                      <w:highlight w:val="none"/>
                      <w:lang w:val="en-US" w:eastAsia="zh-CN"/>
                    </w:rPr>
                    <w:t>0.00003</w:t>
                  </w:r>
                </w:p>
              </w:tc>
              <w:tc>
                <w:tcPr>
                  <w:tcW w:w="572" w:type="pct"/>
                  <w:tcBorders>
                    <w:bottom w:val="single" w:color="auto" w:sz="8" w:space="0"/>
                  </w:tcBorders>
                  <w:noWrap w:val="0"/>
                  <w:vAlign w:val="center"/>
                </w:tcPr>
                <w:p w14:paraId="04CCB427">
                  <w:pPr>
                    <w:keepNext w:val="0"/>
                    <w:keepLines w:val="0"/>
                    <w:suppressLineNumbers w:val="0"/>
                    <w:spacing w:before="0" w:beforeAutospacing="0" w:after="0" w:afterAutospacing="0"/>
                    <w:ind w:left="0" w:right="0"/>
                    <w:jc w:val="center"/>
                    <w:rPr>
                      <w:rFonts w:hint="default" w:cs="Times New Roman"/>
                      <w:sz w:val="21"/>
                      <w:szCs w:val="21"/>
                      <w:highlight w:val="none"/>
                      <w:lang w:val="en-US" w:eastAsia="zh-CN"/>
                    </w:rPr>
                  </w:pPr>
                  <w:r>
                    <w:rPr>
                      <w:rFonts w:hint="eastAsia" w:cs="Times New Roman"/>
                      <w:sz w:val="21"/>
                      <w:szCs w:val="21"/>
                      <w:highlight w:val="none"/>
                      <w:lang w:val="en-US" w:eastAsia="zh-CN"/>
                    </w:rPr>
                    <w:t>0.0011</w:t>
                  </w:r>
                </w:p>
              </w:tc>
            </w:tr>
            <w:bookmarkEnd w:id="3"/>
          </w:tbl>
          <w:p w14:paraId="7CB826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rPr>
            </w:pPr>
            <w:r>
              <w:rPr>
                <w:rFonts w:hint="eastAsia"/>
                <w:kern w:val="0"/>
                <w:sz w:val="24"/>
                <w:szCs w:val="20"/>
              </w:rPr>
              <w:t>本项目新增废水</w:t>
            </w:r>
            <w:r>
              <w:rPr>
                <w:rFonts w:hint="eastAsia"/>
                <w:kern w:val="0"/>
                <w:sz w:val="24"/>
                <w:szCs w:val="20"/>
                <w:lang w:val="en-US" w:eastAsia="zh-CN"/>
              </w:rPr>
              <w:t>总量控制指标</w:t>
            </w:r>
            <w:r>
              <w:rPr>
                <w:rFonts w:hint="eastAsia"/>
                <w:kern w:val="0"/>
                <w:sz w:val="24"/>
                <w:szCs w:val="20"/>
              </w:rPr>
              <w:t>为</w:t>
            </w:r>
            <w:r>
              <w:rPr>
                <w:rFonts w:hint="default"/>
                <w:b w:val="0"/>
                <w:bCs/>
                <w:sz w:val="24"/>
                <w:szCs w:val="24"/>
                <w:highlight w:val="none"/>
                <w:u w:val="none"/>
              </w:rPr>
              <w:t>COD</w:t>
            </w:r>
            <w:r>
              <w:rPr>
                <w:rFonts w:hint="eastAsia"/>
                <w:b w:val="0"/>
                <w:bCs/>
                <w:sz w:val="24"/>
                <w:szCs w:val="24"/>
                <w:highlight w:val="none"/>
                <w:u w:val="none"/>
                <w:lang w:val="en-US" w:eastAsia="zh-CN"/>
              </w:rPr>
              <w:t>0.0029t/a</w:t>
            </w:r>
            <w:r>
              <w:rPr>
                <w:rFonts w:hint="eastAsia"/>
                <w:b w:val="0"/>
                <w:bCs/>
                <w:color w:val="000000" w:themeColor="text1"/>
                <w:sz w:val="24"/>
                <w:szCs w:val="24"/>
                <w:highlight w:val="none"/>
                <w:u w:val="none"/>
                <w:lang w:eastAsia="zh-CN"/>
                <w14:textFill>
                  <w14:solidFill>
                    <w14:schemeClr w14:val="tx1"/>
                  </w14:solidFill>
                </w14:textFill>
              </w:rPr>
              <w:t>、</w:t>
            </w:r>
            <w:r>
              <w:rPr>
                <w:rFonts w:hint="default"/>
                <w:b w:val="0"/>
                <w:bCs/>
                <w:color w:val="000000" w:themeColor="text1"/>
                <w:sz w:val="24"/>
                <w:szCs w:val="24"/>
                <w:highlight w:val="none"/>
                <w:u w:val="none"/>
                <w14:textFill>
                  <w14:solidFill>
                    <w14:schemeClr w14:val="tx1"/>
                  </w14:solidFill>
                </w14:textFill>
              </w:rPr>
              <w:t>NH</w:t>
            </w:r>
            <w:r>
              <w:rPr>
                <w:rFonts w:hint="default"/>
                <w:b w:val="0"/>
                <w:bCs/>
                <w:color w:val="000000" w:themeColor="text1"/>
                <w:sz w:val="24"/>
                <w:szCs w:val="24"/>
                <w:highlight w:val="none"/>
                <w:u w:val="none"/>
                <w:vertAlign w:val="subscript"/>
                <w14:textFill>
                  <w14:solidFill>
                    <w14:schemeClr w14:val="tx1"/>
                  </w14:solidFill>
                </w14:textFill>
              </w:rPr>
              <w:t>3</w:t>
            </w:r>
            <w:r>
              <w:rPr>
                <w:rFonts w:hint="default"/>
                <w:b w:val="0"/>
                <w:bCs/>
                <w:color w:val="000000" w:themeColor="text1"/>
                <w:sz w:val="24"/>
                <w:szCs w:val="24"/>
                <w:highlight w:val="none"/>
                <w:u w:val="none"/>
                <w14:textFill>
                  <w14:solidFill>
                    <w14:schemeClr w14:val="tx1"/>
                  </w14:solidFill>
                </w14:textFill>
              </w:rPr>
              <w:t>-N</w:t>
            </w:r>
            <w:r>
              <w:rPr>
                <w:rFonts w:hint="eastAsia"/>
                <w:b w:val="0"/>
                <w:bCs/>
                <w:color w:val="000000" w:themeColor="text1"/>
                <w:sz w:val="24"/>
                <w:szCs w:val="24"/>
                <w:highlight w:val="none"/>
                <w:u w:val="none"/>
                <w:lang w:val="en-US" w:eastAsia="zh-CN"/>
                <w14:textFill>
                  <w14:solidFill>
                    <w14:schemeClr w14:val="tx1"/>
                  </w14:solidFill>
                </w14:textFill>
              </w:rPr>
              <w:t>0.0001t/a</w:t>
            </w:r>
            <w:r>
              <w:rPr>
                <w:rFonts w:hint="eastAsia"/>
                <w:color w:val="000000" w:themeColor="text1"/>
                <w:kern w:val="0"/>
                <w:sz w:val="24"/>
                <w:lang w:val="en-US" w:eastAsia="zh-CN"/>
                <w14:textFill>
                  <w14:solidFill>
                    <w14:schemeClr w14:val="tx1"/>
                  </w14:solidFill>
                </w14:textFill>
              </w:rPr>
              <w:t>，</w:t>
            </w:r>
            <w:r>
              <w:rPr>
                <w:rFonts w:hint="default"/>
                <w:color w:val="000000" w:themeColor="text1"/>
                <w:sz w:val="24"/>
                <w14:textFill>
                  <w14:solidFill>
                    <w14:schemeClr w14:val="tx1"/>
                  </w14:solidFill>
                </w14:textFill>
              </w:rPr>
              <w:t>评</w:t>
            </w:r>
            <w:r>
              <w:rPr>
                <w:rFonts w:hint="default"/>
                <w:color w:val="000000"/>
                <w:sz w:val="24"/>
              </w:rPr>
              <w:t>价要求：</w:t>
            </w:r>
            <w:r>
              <w:rPr>
                <w:rFonts w:hint="eastAsia"/>
                <w:color w:val="000000"/>
                <w:sz w:val="24"/>
              </w:rPr>
              <w:t>污水处理站</w:t>
            </w:r>
            <w:r>
              <w:rPr>
                <w:rFonts w:hint="default"/>
                <w:color w:val="000000"/>
                <w:sz w:val="24"/>
              </w:rPr>
              <w:t>池底和池壁应做好防渗、防漏，避免污染地下水。</w:t>
            </w:r>
          </w:p>
          <w:p w14:paraId="49AA62FC">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82" w:firstLineChars="200"/>
              <w:jc w:val="both"/>
              <w:textAlignment w:val="auto"/>
              <w:rPr>
                <w:rFonts w:hint="default"/>
                <w:b/>
                <w:color w:val="000000"/>
                <w:sz w:val="24"/>
              </w:rPr>
            </w:pPr>
            <w:r>
              <w:rPr>
                <w:rFonts w:hint="eastAsia"/>
                <w:b/>
                <w:color w:val="000000"/>
                <w:sz w:val="24"/>
                <w:lang w:val="en-US" w:eastAsia="zh-CN"/>
              </w:rPr>
              <w:t>5</w:t>
            </w:r>
            <w:r>
              <w:rPr>
                <w:rFonts w:hint="eastAsia"/>
                <w:b/>
                <w:color w:val="000000"/>
                <w:sz w:val="24"/>
              </w:rPr>
              <w:t>、监测要求</w:t>
            </w:r>
          </w:p>
          <w:p w14:paraId="04072FC4">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eastAsia"/>
              </w:rPr>
            </w:pPr>
            <w:r>
              <w:rPr>
                <w:rFonts w:hint="eastAsia"/>
                <w:highlight w:val="none"/>
                <w:lang w:val="en-US" w:eastAsia="zh-CN"/>
              </w:rPr>
              <w:t>本项目废水为生活污水单独排放口，排入新乡县综合污水处理厂进一步处理，属于间接排放，参照《排污许可证申请与核发技术规范 铁路、船舶、航空航天和其他运输设备制造业》（HJ1124-2020），对该废水无监测频次要求。</w:t>
            </w:r>
          </w:p>
          <w:p w14:paraId="2C4AD3F4">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rPr>
                <w:rFonts w:hint="default"/>
                <w:bCs/>
                <w:sz w:val="24"/>
              </w:rPr>
            </w:pPr>
            <w:r>
              <w:rPr>
                <w:rFonts w:hint="eastAsia" w:hAnsi="宋体"/>
                <w:b/>
                <w:sz w:val="24"/>
              </w:rPr>
              <w:t>三、噪声</w:t>
            </w:r>
          </w:p>
          <w:p w14:paraId="2FE964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jc w:val="left"/>
              <w:textAlignment w:val="baseline"/>
              <w:rPr>
                <w:rFonts w:hint="eastAsia"/>
                <w:sz w:val="24"/>
              </w:rPr>
            </w:pPr>
            <w:r>
              <w:rPr>
                <w:rFonts w:hint="default"/>
                <w:sz w:val="24"/>
              </w:rPr>
              <w:t>本项目高噪声源主要为</w:t>
            </w:r>
            <w:r>
              <w:rPr>
                <w:rFonts w:hint="eastAsia"/>
                <w:sz w:val="24"/>
                <w:lang w:val="en-US" w:eastAsia="zh-CN"/>
              </w:rPr>
              <w:t>加工中心、数控车床、平面磨床等噪声</w:t>
            </w:r>
            <w:r>
              <w:rPr>
                <w:rFonts w:hint="default"/>
                <w:sz w:val="24"/>
              </w:rPr>
              <w:t>，经类比《环境噪声与振动控制工程技术导则》（HJ2034-2013）附录A常见噪声源及其声功率级，本项目</w:t>
            </w:r>
            <w:r>
              <w:rPr>
                <w:rFonts w:hint="eastAsia"/>
                <w:sz w:val="24"/>
                <w:lang w:val="en-US" w:eastAsia="zh-CN"/>
              </w:rPr>
              <w:t>设备</w:t>
            </w:r>
            <w:r>
              <w:rPr>
                <w:rFonts w:hint="default"/>
                <w:sz w:val="24"/>
              </w:rPr>
              <w:t>声功率级</w:t>
            </w:r>
            <w:r>
              <w:rPr>
                <w:rFonts w:hint="eastAsia"/>
                <w:sz w:val="24"/>
                <w:lang w:val="en-US" w:eastAsia="zh-CN"/>
              </w:rPr>
              <w:t>约为80-95</w:t>
            </w:r>
            <w:r>
              <w:rPr>
                <w:rFonts w:hint="default"/>
                <w:sz w:val="24"/>
              </w:rPr>
              <w:t>dB（A），其噪声源强拟采取隔声、减振、消声等降噪措施。根据《环境影响评价技术导则声环境》（HJ2.4-2021），</w:t>
            </w:r>
            <w:r>
              <w:rPr>
                <w:rFonts w:hint="eastAsia"/>
                <w:sz w:val="24"/>
                <w:lang w:val="en-US" w:eastAsia="zh-CN"/>
              </w:rPr>
              <w:t>项目高噪声源均位于室内，</w:t>
            </w:r>
            <w:r>
              <w:rPr>
                <w:rFonts w:hint="default"/>
                <w:sz w:val="24"/>
              </w:rPr>
              <w:t>工业声源应按照室内声源计算。</w:t>
            </w:r>
          </w:p>
          <w:p w14:paraId="537761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jc w:val="left"/>
              <w:textAlignment w:val="auto"/>
              <w:rPr>
                <w:rFonts w:hint="default"/>
                <w:sz w:val="24"/>
              </w:rPr>
            </w:pPr>
            <w:r>
              <w:rPr>
                <w:rFonts w:hint="default"/>
                <w:sz w:val="24"/>
              </w:rPr>
              <w:t>声源位于室内，室内声源可采用等效室外声源声功率级法进行计算。设靠近开口处（或窗户）室内、室外某倍频带的声压级或A声级分别为Lp1和Lp2。</w:t>
            </w:r>
          </w:p>
          <w:p w14:paraId="53369B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jc w:val="left"/>
              <w:textAlignment w:val="auto"/>
              <w:rPr>
                <w:rFonts w:hint="default"/>
                <w:sz w:val="24"/>
              </w:rPr>
            </w:pPr>
            <w:r>
              <w:rPr>
                <w:rFonts w:hint="default"/>
                <w:sz w:val="24"/>
              </w:rPr>
              <w:t>计算某一室内声源靠近围护结构处产生的倍频带声压级或A声级公式如下：</w:t>
            </w:r>
          </w:p>
          <w:p w14:paraId="62C27C2F">
            <w:pPr>
              <w:keepNext w:val="0"/>
              <w:keepLines w:val="0"/>
              <w:suppressLineNumbers w:val="0"/>
              <w:spacing w:before="0" w:beforeAutospacing="0" w:after="0" w:afterAutospacing="0" w:line="360" w:lineRule="auto"/>
              <w:ind w:left="0" w:right="0"/>
              <w:jc w:val="center"/>
              <w:rPr>
                <w:rFonts w:hint="default"/>
                <w:sz w:val="28"/>
                <w:szCs w:val="28"/>
              </w:rPr>
            </w:pPr>
            <w:r>
              <w:rPr>
                <w:rFonts w:hint="default" w:ascii="Times New Roman" w:hAnsi="Times New Roman" w:eastAsia="黑体" w:cs="Times New Roman"/>
                <w:sz w:val="28"/>
                <w:szCs w:val="28"/>
              </w:rPr>
              <w:t>L</w:t>
            </w:r>
            <w:r>
              <w:rPr>
                <w:rFonts w:hint="default" w:ascii="Times New Roman" w:hAnsi="Times New Roman" w:eastAsia="黑体" w:cs="Times New Roman"/>
                <w:sz w:val="28"/>
                <w:szCs w:val="28"/>
                <w:vertAlign w:val="subscript"/>
              </w:rPr>
              <w:t>p1</w:t>
            </w:r>
            <w:r>
              <w:rPr>
                <w:rFonts w:hint="default" w:ascii="Times New Roman" w:hAnsi="Times New Roman" w:eastAsia="黑体" w:cs="Times New Roman"/>
                <w:sz w:val="28"/>
                <w:szCs w:val="28"/>
              </w:rPr>
              <w:t>=L</w:t>
            </w:r>
            <w:r>
              <w:rPr>
                <w:rFonts w:hint="default" w:ascii="Times New Roman" w:hAnsi="Times New Roman" w:eastAsia="黑体" w:cs="Times New Roman"/>
                <w:sz w:val="28"/>
                <w:szCs w:val="28"/>
                <w:vertAlign w:val="subscript"/>
              </w:rPr>
              <w:t>w1</w:t>
            </w:r>
            <w:r>
              <w:rPr>
                <w:rFonts w:hint="default" w:ascii="Times New Roman" w:hAnsi="Times New Roman" w:eastAsia="黑体" w:cs="Times New Roman"/>
                <w:sz w:val="28"/>
                <w:szCs w:val="28"/>
              </w:rPr>
              <w:t>+10lg</w:t>
            </w:r>
            <m:oMath>
              <m:d>
                <m:dPr>
                  <m:begChr m:val="{"/>
                  <m:endChr m:val="}"/>
                  <m:ctrlPr>
                    <w:rPr>
                      <w:rFonts w:hint="default" w:ascii="Cambria Math" w:hAnsi="Cambria Math" w:eastAsia="黑体" w:cs="Times New Roman"/>
                      <w:color w:val="000000"/>
                      <w:kern w:val="0"/>
                      <w:sz w:val="28"/>
                      <w:szCs w:val="28"/>
                    </w:rPr>
                  </m:ctrlPr>
                </m:dPr>
                <m:e>
                  <m:f>
                    <m:fPr>
                      <m:ctrlPr>
                        <w:rPr>
                          <w:rFonts w:hint="default" w:ascii="Cambria Math" w:hAnsi="Cambria Math" w:eastAsia="黑体" w:cs="Times New Roman"/>
                          <w:i/>
                          <w:color w:val="000000"/>
                          <w:kern w:val="0"/>
                          <w:sz w:val="28"/>
                          <w:szCs w:val="28"/>
                        </w:rPr>
                      </m:ctrlPr>
                    </m:fPr>
                    <m:num>
                      <m:r>
                        <m:rPr/>
                        <w:rPr>
                          <w:rFonts w:hint="default" w:ascii="Cambria Math" w:hAnsi="Cambria Math" w:eastAsia="黑体" w:cs="Times New Roman"/>
                          <w:sz w:val="28"/>
                          <w:szCs w:val="28"/>
                        </w:rPr>
                        <m:t>Q</m:t>
                      </m:r>
                      <m:ctrlPr>
                        <w:rPr>
                          <w:rFonts w:hint="default" w:ascii="Cambria Math" w:hAnsi="Cambria Math" w:eastAsia="黑体" w:cs="Times New Roman"/>
                          <w:i/>
                          <w:color w:val="000000"/>
                          <w:kern w:val="0"/>
                          <w:sz w:val="28"/>
                          <w:szCs w:val="28"/>
                        </w:rPr>
                      </m:ctrlPr>
                    </m:num>
                    <m:den>
                      <m:r>
                        <m:rPr/>
                        <w:rPr>
                          <w:rFonts w:hint="default" w:ascii="Cambria Math" w:hAnsi="Cambria Math" w:eastAsia="黑体" w:cs="Times New Roman"/>
                          <w:sz w:val="28"/>
                          <w:szCs w:val="28"/>
                        </w:rPr>
                        <m:t>4π</m:t>
                      </m:r>
                      <m:sSup>
                        <m:sSupPr>
                          <m:ctrlPr>
                            <w:rPr>
                              <w:rFonts w:hint="default" w:ascii="Cambria Math" w:hAnsi="Cambria Math" w:eastAsia="黑体" w:cs="Times New Roman"/>
                              <w:i/>
                              <w:color w:val="000000"/>
                              <w:kern w:val="0"/>
                              <w:sz w:val="28"/>
                              <w:szCs w:val="28"/>
                            </w:rPr>
                          </m:ctrlPr>
                        </m:sSupPr>
                        <m:e>
                          <m:r>
                            <m:rPr/>
                            <w:rPr>
                              <w:rFonts w:hint="default" w:ascii="Cambria Math" w:hAnsi="Cambria Math" w:eastAsia="黑体" w:cs="Times New Roman"/>
                              <w:sz w:val="28"/>
                              <w:szCs w:val="28"/>
                            </w:rPr>
                            <m:t>r</m:t>
                          </m:r>
                          <m:ctrlPr>
                            <w:rPr>
                              <w:rFonts w:hint="default" w:ascii="Cambria Math" w:hAnsi="Cambria Math" w:eastAsia="黑体" w:cs="Times New Roman"/>
                              <w:i/>
                              <w:color w:val="000000"/>
                              <w:kern w:val="0"/>
                              <w:sz w:val="28"/>
                              <w:szCs w:val="28"/>
                            </w:rPr>
                          </m:ctrlPr>
                        </m:e>
                        <m:sup>
                          <m:r>
                            <m:rPr/>
                            <w:rPr>
                              <w:rFonts w:hint="default" w:ascii="Cambria Math" w:hAnsi="Cambria Math" w:eastAsia="黑体" w:cs="Times New Roman"/>
                              <w:sz w:val="28"/>
                              <w:szCs w:val="28"/>
                            </w:rPr>
                            <m:t>2</m:t>
                          </m:r>
                          <m:ctrlPr>
                            <w:rPr>
                              <w:rFonts w:hint="default" w:ascii="Cambria Math" w:hAnsi="Cambria Math" w:eastAsia="黑体" w:cs="Times New Roman"/>
                              <w:i/>
                              <w:color w:val="000000"/>
                              <w:kern w:val="0"/>
                              <w:sz w:val="28"/>
                              <w:szCs w:val="28"/>
                            </w:rPr>
                          </m:ctrlPr>
                        </m:sup>
                      </m:sSup>
                      <m:ctrlPr>
                        <w:rPr>
                          <w:rFonts w:hint="default" w:ascii="Cambria Math" w:hAnsi="Cambria Math" w:eastAsia="黑体" w:cs="Times New Roman"/>
                          <w:i/>
                          <w:color w:val="000000"/>
                          <w:kern w:val="0"/>
                          <w:sz w:val="28"/>
                          <w:szCs w:val="28"/>
                        </w:rPr>
                      </m:ctrlPr>
                    </m:den>
                  </m:f>
                  <m:r>
                    <m:rPr/>
                    <w:rPr>
                      <w:rFonts w:hint="default" w:ascii="Cambria Math" w:hAnsi="Cambria Math" w:eastAsia="黑体" w:cs="Times New Roman"/>
                      <w:sz w:val="28"/>
                      <w:szCs w:val="28"/>
                    </w:rPr>
                    <m:t>+</m:t>
                  </m:r>
                  <m:f>
                    <m:fPr>
                      <m:ctrlPr>
                        <w:rPr>
                          <w:rFonts w:hint="default" w:ascii="Cambria Math" w:hAnsi="Cambria Math" w:eastAsia="黑体" w:cs="Times New Roman"/>
                          <w:i/>
                          <w:color w:val="000000"/>
                          <w:kern w:val="0"/>
                          <w:sz w:val="28"/>
                          <w:szCs w:val="28"/>
                        </w:rPr>
                      </m:ctrlPr>
                    </m:fPr>
                    <m:num>
                      <m:r>
                        <m:rPr/>
                        <w:rPr>
                          <w:rFonts w:hint="default" w:ascii="Cambria Math" w:hAnsi="Cambria Math" w:eastAsia="黑体" w:cs="Times New Roman"/>
                          <w:sz w:val="28"/>
                          <w:szCs w:val="28"/>
                        </w:rPr>
                        <m:t>4</m:t>
                      </m:r>
                      <m:ctrlPr>
                        <w:rPr>
                          <w:rFonts w:hint="default" w:ascii="Cambria Math" w:hAnsi="Cambria Math" w:eastAsia="黑体" w:cs="Times New Roman"/>
                          <w:i/>
                          <w:color w:val="000000"/>
                          <w:kern w:val="0"/>
                          <w:sz w:val="28"/>
                          <w:szCs w:val="28"/>
                        </w:rPr>
                      </m:ctrlPr>
                    </m:num>
                    <m:den>
                      <m:r>
                        <m:rPr/>
                        <w:rPr>
                          <w:rFonts w:hint="default" w:ascii="Cambria Math" w:hAnsi="Cambria Math" w:eastAsia="黑体" w:cs="Times New Roman"/>
                          <w:sz w:val="28"/>
                          <w:szCs w:val="28"/>
                        </w:rPr>
                        <m:t>R</m:t>
                      </m:r>
                      <m:ctrlPr>
                        <w:rPr>
                          <w:rFonts w:hint="default" w:ascii="Cambria Math" w:hAnsi="Cambria Math" w:eastAsia="黑体" w:cs="Times New Roman"/>
                          <w:i/>
                          <w:color w:val="000000"/>
                          <w:kern w:val="0"/>
                          <w:sz w:val="28"/>
                          <w:szCs w:val="28"/>
                        </w:rPr>
                      </m:ctrlPr>
                    </m:den>
                  </m:f>
                  <m:ctrlPr>
                    <w:rPr>
                      <w:rFonts w:hint="default" w:ascii="Cambria Math" w:hAnsi="Cambria Math" w:eastAsia="黑体" w:cs="Times New Roman"/>
                      <w:color w:val="000000"/>
                      <w:kern w:val="0"/>
                      <w:sz w:val="28"/>
                      <w:szCs w:val="28"/>
                    </w:rPr>
                  </m:ctrlPr>
                </m:e>
              </m:d>
            </m:oMath>
          </w:p>
          <w:p w14:paraId="0E1DE84C">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left"/>
              <w:rPr>
                <w:rFonts w:hint="default"/>
                <w:sz w:val="24"/>
              </w:rPr>
            </w:pPr>
            <w:r>
              <w:rPr>
                <w:rFonts w:hint="default"/>
                <w:sz w:val="24"/>
              </w:rPr>
              <w:t>式中：Lp1—靠近开口处（或窗户）室内某倍频带的声压级或A声级，dB；</w:t>
            </w:r>
          </w:p>
          <w:p w14:paraId="09F993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720" w:firstLineChars="300"/>
              <w:jc w:val="left"/>
              <w:textAlignment w:val="baseline"/>
              <w:rPr>
                <w:rFonts w:hint="default"/>
                <w:sz w:val="24"/>
              </w:rPr>
            </w:pPr>
            <w:r>
              <w:rPr>
                <w:rFonts w:hint="default"/>
                <w:sz w:val="24"/>
              </w:rPr>
              <w:t>Lw1—点声源声功率级（A计权或倍频带），dB；</w:t>
            </w:r>
          </w:p>
          <w:p w14:paraId="506391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720" w:firstLineChars="300"/>
              <w:jc w:val="left"/>
              <w:textAlignment w:val="baseline"/>
              <w:rPr>
                <w:rFonts w:hint="default"/>
                <w:sz w:val="24"/>
              </w:rPr>
            </w:pPr>
            <w:r>
              <w:rPr>
                <w:rFonts w:hint="default"/>
                <w:sz w:val="24"/>
              </w:rPr>
              <w:t>Q—指向性因数；通常对无指向性声源，当声源放在房间中心时，Q=1；当放在一面墙的中心时，Q=2；当放在两面墙夹角处时，Q=4；当放在三面墙夹角处时，Q=8；本项目</w:t>
            </w:r>
            <w:r>
              <w:rPr>
                <w:rFonts w:hint="eastAsia"/>
                <w:sz w:val="24"/>
              </w:rPr>
              <w:t>Q值取4。</w:t>
            </w:r>
          </w:p>
          <w:p w14:paraId="31FFF61B">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720" w:firstLineChars="300"/>
              <w:jc w:val="left"/>
              <w:rPr>
                <w:rFonts w:hint="eastAsia"/>
                <w:sz w:val="24"/>
                <w:highlight w:val="none"/>
              </w:rPr>
            </w:pPr>
            <w:r>
              <w:rPr>
                <w:rFonts w:hint="default"/>
                <w:sz w:val="24"/>
              </w:rPr>
              <w:t>R—房间常数；R=Sα/（</w:t>
            </w:r>
            <w:r>
              <w:rPr>
                <w:rFonts w:hint="default"/>
                <w:sz w:val="24"/>
                <w:highlight w:val="none"/>
              </w:rPr>
              <w:t>1-α），S为房间内表面面积，m</w:t>
            </w:r>
            <w:r>
              <w:rPr>
                <w:rFonts w:hint="default"/>
                <w:sz w:val="24"/>
                <w:highlight w:val="none"/>
                <w:vertAlign w:val="superscript"/>
              </w:rPr>
              <w:t>2</w:t>
            </w:r>
            <w:r>
              <w:rPr>
                <w:rFonts w:hint="default"/>
                <w:sz w:val="24"/>
                <w:highlight w:val="none"/>
              </w:rPr>
              <w:t>；α为平均吸声系数，取平均吸声系数0.</w:t>
            </w:r>
            <w:r>
              <w:rPr>
                <w:rFonts w:hint="eastAsia"/>
                <w:sz w:val="24"/>
                <w:highlight w:val="none"/>
              </w:rPr>
              <w:t>4</w:t>
            </w:r>
            <w:r>
              <w:rPr>
                <w:rFonts w:hint="default"/>
                <w:sz w:val="24"/>
                <w:highlight w:val="none"/>
              </w:rPr>
              <w:t>；车间内表面面积</w:t>
            </w:r>
            <w:r>
              <w:rPr>
                <w:rFonts w:hint="eastAsia"/>
                <w:sz w:val="24"/>
                <w:highlight w:val="none"/>
                <w:lang w:val="en-US" w:eastAsia="zh-CN"/>
              </w:rPr>
              <w:t>3000</w:t>
            </w:r>
            <w:r>
              <w:rPr>
                <w:rFonts w:hint="default"/>
                <w:sz w:val="24"/>
                <w:highlight w:val="none"/>
              </w:rPr>
              <w:t>m</w:t>
            </w:r>
            <w:r>
              <w:rPr>
                <w:rFonts w:hint="default"/>
                <w:sz w:val="24"/>
                <w:highlight w:val="none"/>
                <w:vertAlign w:val="superscript"/>
              </w:rPr>
              <w:t>2</w:t>
            </w:r>
            <w:r>
              <w:rPr>
                <w:rFonts w:hint="default"/>
                <w:sz w:val="24"/>
                <w:highlight w:val="none"/>
              </w:rPr>
              <w:t>，则R=</w:t>
            </w:r>
            <w:r>
              <w:rPr>
                <w:rFonts w:hint="eastAsia"/>
                <w:sz w:val="24"/>
                <w:highlight w:val="none"/>
                <w:lang w:val="en-US" w:eastAsia="zh-CN"/>
              </w:rPr>
              <w:t>2000</w:t>
            </w:r>
            <w:r>
              <w:rPr>
                <w:rFonts w:hint="eastAsia"/>
                <w:sz w:val="24"/>
                <w:highlight w:val="none"/>
              </w:rPr>
              <w:t>。</w:t>
            </w:r>
          </w:p>
          <w:p w14:paraId="6AA81EE3">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720" w:firstLineChars="300"/>
              <w:jc w:val="left"/>
              <w:rPr>
                <w:rFonts w:hint="default"/>
                <w:sz w:val="24"/>
                <w:highlight w:val="yellow"/>
              </w:rPr>
            </w:pPr>
            <w:r>
              <w:rPr>
                <w:rFonts w:hint="default"/>
                <w:sz w:val="24"/>
              </w:rPr>
              <w:t>r—声源到靠近围护结构某点处的距离，m</w:t>
            </w:r>
          </w:p>
          <w:p w14:paraId="6F763679">
            <w:pPr>
              <w:keepNext w:val="0"/>
              <w:keepLines w:val="0"/>
              <w:suppressLineNumbers w:val="0"/>
              <w:adjustRightInd w:val="0"/>
              <w:snapToGrid w:val="0"/>
              <w:spacing w:before="0" w:beforeAutospacing="0" w:after="0" w:afterAutospacing="0" w:line="420" w:lineRule="exact"/>
              <w:ind w:left="0" w:right="0"/>
              <w:jc w:val="center"/>
              <w:textAlignment w:val="baseline"/>
              <w:rPr>
                <w:rFonts w:hint="eastAsia" w:ascii="宋体" w:hAnsi="宋体"/>
                <w:b/>
                <w:color w:val="000000"/>
                <w:sz w:val="24"/>
                <w:highlight w:val="none"/>
              </w:rPr>
            </w:pPr>
            <w:r>
              <w:rPr>
                <w:rFonts w:hint="eastAsia" w:ascii="宋体" w:hAnsi="宋体"/>
                <w:b/>
                <w:color w:val="auto"/>
                <w:sz w:val="24"/>
                <w:highlight w:val="none"/>
              </w:rPr>
              <w:t>表</w:t>
            </w:r>
            <w:r>
              <w:rPr>
                <w:rFonts w:hint="eastAsia" w:cs="Times New Roman"/>
                <w:b/>
                <w:color w:val="auto"/>
                <w:sz w:val="24"/>
                <w:highlight w:val="none"/>
                <w:lang w:val="en-US" w:eastAsia="zh-CN"/>
              </w:rPr>
              <w:t xml:space="preserve">31  </w:t>
            </w:r>
            <w:r>
              <w:rPr>
                <w:rFonts w:hint="eastAsia" w:ascii="宋体" w:hAnsi="宋体"/>
                <w:b/>
                <w:color w:val="auto"/>
                <w:sz w:val="24"/>
                <w:highlight w:val="none"/>
              </w:rPr>
              <w:t>本项</w:t>
            </w:r>
            <w:r>
              <w:rPr>
                <w:rFonts w:hint="eastAsia" w:ascii="宋体" w:hAnsi="宋体"/>
                <w:b/>
                <w:color w:val="000000"/>
                <w:sz w:val="24"/>
                <w:highlight w:val="none"/>
              </w:rPr>
              <w:t>目室内噪音源强调查清单</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1"/>
              <w:gridCol w:w="670"/>
              <w:gridCol w:w="1881"/>
              <w:gridCol w:w="790"/>
              <w:gridCol w:w="748"/>
              <w:gridCol w:w="772"/>
              <w:gridCol w:w="728"/>
              <w:gridCol w:w="730"/>
              <w:gridCol w:w="790"/>
              <w:gridCol w:w="1046"/>
            </w:tblGrid>
            <w:tr w14:paraId="4F0321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vMerge w:val="restart"/>
                  <w:tcBorders>
                    <w:top w:val="single" w:color="auto" w:sz="8" w:space="0"/>
                    <w:bottom w:val="single" w:color="auto" w:sz="8" w:space="0"/>
                    <w:right w:val="single" w:color="auto" w:sz="4" w:space="0"/>
                  </w:tcBorders>
                  <w:noWrap w:val="0"/>
                  <w:vAlign w:val="center"/>
                </w:tcPr>
                <w:p w14:paraId="6ECFF5A9">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eastAsia"/>
                      <w:b/>
                      <w:kern w:val="0"/>
                      <w:sz w:val="21"/>
                      <w:szCs w:val="21"/>
                      <w:highlight w:val="none"/>
                    </w:rPr>
                    <w:t>序号</w:t>
                  </w:r>
                </w:p>
              </w:tc>
              <w:tc>
                <w:tcPr>
                  <w:tcW w:w="670" w:type="dxa"/>
                  <w:vMerge w:val="restart"/>
                  <w:tcBorders>
                    <w:top w:val="single" w:color="auto" w:sz="8" w:space="0"/>
                    <w:left w:val="single" w:color="auto" w:sz="4" w:space="0"/>
                    <w:bottom w:val="single" w:color="auto" w:sz="8" w:space="0"/>
                    <w:right w:val="single" w:color="auto" w:sz="4" w:space="0"/>
                  </w:tcBorders>
                  <w:noWrap w:val="0"/>
                  <w:vAlign w:val="center"/>
                </w:tcPr>
                <w:p w14:paraId="5E470721">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eastAsia"/>
                      <w:b/>
                      <w:kern w:val="0"/>
                      <w:sz w:val="21"/>
                      <w:szCs w:val="21"/>
                      <w:highlight w:val="none"/>
                    </w:rPr>
                    <w:t>建筑物名称</w:t>
                  </w:r>
                </w:p>
              </w:tc>
              <w:tc>
                <w:tcPr>
                  <w:tcW w:w="1881" w:type="dxa"/>
                  <w:vMerge w:val="restart"/>
                  <w:tcBorders>
                    <w:top w:val="single" w:color="auto" w:sz="8" w:space="0"/>
                    <w:left w:val="single" w:color="auto" w:sz="4" w:space="0"/>
                    <w:bottom w:val="single" w:color="auto" w:sz="8" w:space="0"/>
                    <w:right w:val="single" w:color="auto" w:sz="4" w:space="0"/>
                  </w:tcBorders>
                  <w:noWrap w:val="0"/>
                  <w:vAlign w:val="center"/>
                </w:tcPr>
                <w:p w14:paraId="6FB363CB">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eastAsia"/>
                      <w:b/>
                      <w:kern w:val="0"/>
                      <w:sz w:val="21"/>
                      <w:szCs w:val="21"/>
                      <w:highlight w:val="none"/>
                    </w:rPr>
                    <w:t>声源名称</w:t>
                  </w:r>
                </w:p>
              </w:tc>
              <w:tc>
                <w:tcPr>
                  <w:tcW w:w="790" w:type="dxa"/>
                  <w:vMerge w:val="restart"/>
                  <w:tcBorders>
                    <w:top w:val="single" w:color="auto" w:sz="8" w:space="0"/>
                    <w:left w:val="single" w:color="auto" w:sz="4" w:space="0"/>
                    <w:bottom w:val="single" w:color="auto" w:sz="8" w:space="0"/>
                    <w:right w:val="single" w:color="auto" w:sz="4" w:space="0"/>
                  </w:tcBorders>
                  <w:noWrap w:val="0"/>
                  <w:vAlign w:val="center"/>
                </w:tcPr>
                <w:p w14:paraId="2C50AFB7">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eastAsia"/>
                      <w:b/>
                      <w:kern w:val="0"/>
                      <w:sz w:val="21"/>
                      <w:szCs w:val="21"/>
                      <w:highlight w:val="none"/>
                    </w:rPr>
                    <w:t>声功率级/db（A）</w:t>
                  </w:r>
                </w:p>
              </w:tc>
              <w:tc>
                <w:tcPr>
                  <w:tcW w:w="748" w:type="dxa"/>
                  <w:vMerge w:val="restart"/>
                  <w:tcBorders>
                    <w:top w:val="single" w:color="auto" w:sz="8" w:space="0"/>
                    <w:left w:val="single" w:color="auto" w:sz="4" w:space="0"/>
                    <w:bottom w:val="single" w:color="auto" w:sz="8" w:space="0"/>
                    <w:right w:val="single" w:color="auto" w:sz="4" w:space="0"/>
                  </w:tcBorders>
                  <w:noWrap w:val="0"/>
                  <w:vAlign w:val="center"/>
                </w:tcPr>
                <w:p w14:paraId="0E6011D4">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eastAsia"/>
                      <w:b/>
                      <w:kern w:val="0"/>
                      <w:sz w:val="21"/>
                      <w:szCs w:val="21"/>
                      <w:highlight w:val="none"/>
                    </w:rPr>
                    <w:t>声源控制措施</w:t>
                  </w:r>
                </w:p>
              </w:tc>
              <w:tc>
                <w:tcPr>
                  <w:tcW w:w="2230" w:type="dxa"/>
                  <w:gridSpan w:val="3"/>
                  <w:tcBorders>
                    <w:top w:val="single" w:color="auto" w:sz="8" w:space="0"/>
                    <w:left w:val="single" w:color="auto" w:sz="4" w:space="0"/>
                    <w:bottom w:val="single" w:color="auto" w:sz="4" w:space="0"/>
                    <w:right w:val="single" w:color="auto" w:sz="4" w:space="0"/>
                  </w:tcBorders>
                  <w:noWrap w:val="0"/>
                  <w:vAlign w:val="center"/>
                </w:tcPr>
                <w:p w14:paraId="60D1952B">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default"/>
                      <w:b/>
                      <w:kern w:val="0"/>
                      <w:sz w:val="21"/>
                      <w:szCs w:val="21"/>
                      <w:highlight w:val="none"/>
                    </w:rPr>
                    <w:t>空间相对位置/m</w:t>
                  </w:r>
                </w:p>
              </w:tc>
              <w:tc>
                <w:tcPr>
                  <w:tcW w:w="790" w:type="dxa"/>
                  <w:vMerge w:val="restart"/>
                  <w:tcBorders>
                    <w:top w:val="single" w:color="auto" w:sz="8" w:space="0"/>
                    <w:left w:val="single" w:color="auto" w:sz="4" w:space="0"/>
                    <w:bottom w:val="single" w:color="auto" w:sz="8" w:space="0"/>
                    <w:right w:val="single" w:color="auto" w:sz="4" w:space="0"/>
                  </w:tcBorders>
                  <w:noWrap w:val="0"/>
                  <w:vAlign w:val="center"/>
                </w:tcPr>
                <w:p w14:paraId="260A719C">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eastAsia"/>
                      <w:b/>
                      <w:kern w:val="0"/>
                      <w:sz w:val="21"/>
                      <w:szCs w:val="21"/>
                      <w:highlight w:val="none"/>
                    </w:rPr>
                    <w:t>距室内边界距离</w:t>
                  </w:r>
                  <w:r>
                    <w:rPr>
                      <w:rFonts w:hint="default"/>
                      <w:b/>
                      <w:kern w:val="0"/>
                      <w:sz w:val="21"/>
                      <w:szCs w:val="21"/>
                      <w:highlight w:val="none"/>
                    </w:rPr>
                    <w:t>/m</w:t>
                  </w:r>
                </w:p>
              </w:tc>
              <w:tc>
                <w:tcPr>
                  <w:tcW w:w="1046" w:type="dxa"/>
                  <w:vMerge w:val="restart"/>
                  <w:tcBorders>
                    <w:top w:val="single" w:color="auto" w:sz="8" w:space="0"/>
                    <w:left w:val="single" w:color="auto" w:sz="4" w:space="0"/>
                    <w:bottom w:val="single" w:color="auto" w:sz="8" w:space="0"/>
                    <w:right w:val="nil"/>
                  </w:tcBorders>
                  <w:noWrap w:val="0"/>
                  <w:vAlign w:val="center"/>
                </w:tcPr>
                <w:p w14:paraId="206B4D14">
                  <w:pPr>
                    <w:keepNext w:val="0"/>
                    <w:keepLines w:val="0"/>
                    <w:suppressLineNumbers w:val="0"/>
                    <w:adjustRightInd w:val="0"/>
                    <w:snapToGrid w:val="0"/>
                    <w:spacing w:before="0" w:beforeAutospacing="0" w:after="0" w:afterAutospacing="0"/>
                    <w:ind w:left="0" w:right="0"/>
                    <w:jc w:val="center"/>
                    <w:textAlignment w:val="baseline"/>
                    <w:rPr>
                      <w:rFonts w:hint="default"/>
                      <w:b/>
                      <w:sz w:val="21"/>
                      <w:szCs w:val="21"/>
                      <w:highlight w:val="none"/>
                    </w:rPr>
                  </w:pPr>
                  <w:r>
                    <w:rPr>
                      <w:rFonts w:hint="default"/>
                      <w:b/>
                      <w:kern w:val="0"/>
                      <w:sz w:val="21"/>
                      <w:szCs w:val="21"/>
                      <w:highlight w:val="none"/>
                    </w:rPr>
                    <w:t>室内边界声级/dB（A）</w:t>
                  </w:r>
                </w:p>
              </w:tc>
            </w:tr>
            <w:tr w14:paraId="10CC63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461" w:type="dxa"/>
                  <w:vMerge w:val="continue"/>
                  <w:tcBorders>
                    <w:top w:val="single" w:color="auto" w:sz="8" w:space="0"/>
                    <w:bottom w:val="single" w:color="auto" w:sz="8" w:space="0"/>
                    <w:right w:val="single" w:color="auto" w:sz="4" w:space="0"/>
                  </w:tcBorders>
                  <w:noWrap w:val="0"/>
                  <w:vAlign w:val="center"/>
                </w:tcPr>
                <w:p w14:paraId="306E847D">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p>
              </w:tc>
              <w:tc>
                <w:tcPr>
                  <w:tcW w:w="670" w:type="dxa"/>
                  <w:vMerge w:val="continue"/>
                  <w:tcBorders>
                    <w:top w:val="single" w:color="auto" w:sz="8" w:space="0"/>
                    <w:left w:val="single" w:color="auto" w:sz="4" w:space="0"/>
                    <w:bottom w:val="single" w:color="auto" w:sz="8" w:space="0"/>
                    <w:right w:val="single" w:color="auto" w:sz="4" w:space="0"/>
                  </w:tcBorders>
                  <w:noWrap w:val="0"/>
                  <w:vAlign w:val="center"/>
                </w:tcPr>
                <w:p w14:paraId="02B0E680">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p>
              </w:tc>
              <w:tc>
                <w:tcPr>
                  <w:tcW w:w="1881" w:type="dxa"/>
                  <w:vMerge w:val="continue"/>
                  <w:tcBorders>
                    <w:top w:val="single" w:color="auto" w:sz="8" w:space="0"/>
                    <w:left w:val="single" w:color="auto" w:sz="4" w:space="0"/>
                    <w:bottom w:val="single" w:color="auto" w:sz="8" w:space="0"/>
                    <w:right w:val="single" w:color="auto" w:sz="4" w:space="0"/>
                  </w:tcBorders>
                  <w:noWrap w:val="0"/>
                  <w:vAlign w:val="center"/>
                </w:tcPr>
                <w:p w14:paraId="11B0EFC4">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p>
              </w:tc>
              <w:tc>
                <w:tcPr>
                  <w:tcW w:w="790" w:type="dxa"/>
                  <w:vMerge w:val="continue"/>
                  <w:tcBorders>
                    <w:top w:val="single" w:color="auto" w:sz="8" w:space="0"/>
                    <w:left w:val="single" w:color="auto" w:sz="4" w:space="0"/>
                    <w:bottom w:val="single" w:color="auto" w:sz="8" w:space="0"/>
                    <w:right w:val="single" w:color="auto" w:sz="4" w:space="0"/>
                  </w:tcBorders>
                  <w:noWrap w:val="0"/>
                  <w:vAlign w:val="center"/>
                </w:tcPr>
                <w:p w14:paraId="1D748FFD">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p>
              </w:tc>
              <w:tc>
                <w:tcPr>
                  <w:tcW w:w="748" w:type="dxa"/>
                  <w:vMerge w:val="continue"/>
                  <w:tcBorders>
                    <w:top w:val="single" w:color="auto" w:sz="8" w:space="0"/>
                    <w:left w:val="single" w:color="auto" w:sz="4" w:space="0"/>
                    <w:bottom w:val="single" w:color="auto" w:sz="8" w:space="0"/>
                    <w:right w:val="single" w:color="auto" w:sz="4" w:space="0"/>
                  </w:tcBorders>
                  <w:noWrap w:val="0"/>
                  <w:vAlign w:val="center"/>
                </w:tcPr>
                <w:p w14:paraId="553C4A2E">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p>
              </w:tc>
              <w:tc>
                <w:tcPr>
                  <w:tcW w:w="772" w:type="dxa"/>
                  <w:tcBorders>
                    <w:top w:val="single" w:color="auto" w:sz="4" w:space="0"/>
                    <w:left w:val="single" w:color="auto" w:sz="4" w:space="0"/>
                    <w:bottom w:val="single" w:color="auto" w:sz="8" w:space="0"/>
                    <w:right w:val="single" w:color="auto" w:sz="4" w:space="0"/>
                  </w:tcBorders>
                  <w:noWrap w:val="0"/>
                  <w:vAlign w:val="center"/>
                </w:tcPr>
                <w:p w14:paraId="0E50AA03">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eastAsia"/>
                      <w:b/>
                      <w:kern w:val="0"/>
                      <w:sz w:val="21"/>
                      <w:szCs w:val="21"/>
                      <w:highlight w:val="none"/>
                    </w:rPr>
                    <w:t>X</w:t>
                  </w:r>
                </w:p>
              </w:tc>
              <w:tc>
                <w:tcPr>
                  <w:tcW w:w="728" w:type="dxa"/>
                  <w:tcBorders>
                    <w:top w:val="single" w:color="auto" w:sz="4" w:space="0"/>
                    <w:left w:val="single" w:color="auto" w:sz="4" w:space="0"/>
                    <w:bottom w:val="single" w:color="auto" w:sz="8" w:space="0"/>
                    <w:right w:val="single" w:color="auto" w:sz="4" w:space="0"/>
                  </w:tcBorders>
                  <w:noWrap w:val="0"/>
                  <w:vAlign w:val="center"/>
                </w:tcPr>
                <w:p w14:paraId="343119AC">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eastAsia"/>
                      <w:b/>
                      <w:kern w:val="0"/>
                      <w:sz w:val="21"/>
                      <w:szCs w:val="21"/>
                      <w:highlight w:val="none"/>
                    </w:rPr>
                    <w:t>Y</w:t>
                  </w:r>
                </w:p>
              </w:tc>
              <w:tc>
                <w:tcPr>
                  <w:tcW w:w="730" w:type="dxa"/>
                  <w:tcBorders>
                    <w:top w:val="single" w:color="auto" w:sz="4" w:space="0"/>
                    <w:left w:val="single" w:color="auto" w:sz="4" w:space="0"/>
                    <w:bottom w:val="single" w:color="auto" w:sz="8" w:space="0"/>
                    <w:right w:val="single" w:color="auto" w:sz="4" w:space="0"/>
                  </w:tcBorders>
                  <w:noWrap w:val="0"/>
                  <w:vAlign w:val="center"/>
                </w:tcPr>
                <w:p w14:paraId="4F018BDD">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r>
                    <w:rPr>
                      <w:rFonts w:hint="eastAsia"/>
                      <w:b/>
                      <w:kern w:val="0"/>
                      <w:sz w:val="21"/>
                      <w:szCs w:val="21"/>
                      <w:highlight w:val="none"/>
                    </w:rPr>
                    <w:t>Z</w:t>
                  </w:r>
                </w:p>
              </w:tc>
              <w:tc>
                <w:tcPr>
                  <w:tcW w:w="790" w:type="dxa"/>
                  <w:vMerge w:val="continue"/>
                  <w:tcBorders>
                    <w:top w:val="single" w:color="auto" w:sz="8" w:space="0"/>
                    <w:left w:val="single" w:color="auto" w:sz="4" w:space="0"/>
                    <w:bottom w:val="single" w:color="auto" w:sz="8" w:space="0"/>
                    <w:right w:val="single" w:color="auto" w:sz="8" w:space="0"/>
                  </w:tcBorders>
                  <w:noWrap w:val="0"/>
                  <w:vAlign w:val="center"/>
                </w:tcPr>
                <w:p w14:paraId="19ED664D">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p>
              </w:tc>
              <w:tc>
                <w:tcPr>
                  <w:tcW w:w="1046" w:type="dxa"/>
                  <w:vMerge w:val="continue"/>
                  <w:tcBorders>
                    <w:top w:val="single" w:color="auto" w:sz="8" w:space="0"/>
                    <w:left w:val="single" w:color="auto" w:sz="8" w:space="0"/>
                    <w:bottom w:val="single" w:color="auto" w:sz="8" w:space="0"/>
                    <w:right w:val="nil"/>
                  </w:tcBorders>
                  <w:noWrap w:val="0"/>
                  <w:vAlign w:val="center"/>
                </w:tcPr>
                <w:p w14:paraId="0D21DD03">
                  <w:pPr>
                    <w:keepNext w:val="0"/>
                    <w:keepLines w:val="0"/>
                    <w:suppressLineNumbers w:val="0"/>
                    <w:adjustRightInd w:val="0"/>
                    <w:snapToGrid w:val="0"/>
                    <w:spacing w:before="0" w:beforeAutospacing="0" w:after="0" w:afterAutospacing="0"/>
                    <w:ind w:left="0" w:right="0"/>
                    <w:jc w:val="center"/>
                    <w:textAlignment w:val="baseline"/>
                    <w:rPr>
                      <w:rFonts w:hint="eastAsia"/>
                      <w:b/>
                      <w:sz w:val="21"/>
                      <w:szCs w:val="21"/>
                      <w:highlight w:val="none"/>
                    </w:rPr>
                  </w:pPr>
                </w:p>
              </w:tc>
            </w:tr>
            <w:tr w14:paraId="309F4D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8" w:space="0"/>
                    <w:bottom w:val="single" w:color="auto" w:sz="4" w:space="0"/>
                  </w:tcBorders>
                  <w:noWrap w:val="0"/>
                  <w:vAlign w:val="center"/>
                </w:tcPr>
                <w:p w14:paraId="51B949CC">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rPr>
                  </w:pPr>
                  <w:r>
                    <w:rPr>
                      <w:rFonts w:hint="eastAsia"/>
                      <w:kern w:val="0"/>
                      <w:sz w:val="21"/>
                      <w:szCs w:val="21"/>
                      <w:highlight w:val="none"/>
                    </w:rPr>
                    <w:t>1</w:t>
                  </w:r>
                </w:p>
              </w:tc>
              <w:tc>
                <w:tcPr>
                  <w:tcW w:w="670" w:type="dxa"/>
                  <w:vMerge w:val="restart"/>
                  <w:tcBorders>
                    <w:top w:val="single" w:color="auto" w:sz="8" w:space="0"/>
                    <w:bottom w:val="single" w:color="auto" w:sz="4" w:space="0"/>
                  </w:tcBorders>
                  <w:noWrap w:val="0"/>
                  <w:vAlign w:val="center"/>
                </w:tcPr>
                <w:p w14:paraId="04D7298E">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生产</w:t>
                  </w:r>
                </w:p>
                <w:p w14:paraId="1EC409B9">
                  <w:pPr>
                    <w:keepNext w:val="0"/>
                    <w:keepLines w:val="0"/>
                    <w:suppressLineNumbers w:val="0"/>
                    <w:adjustRightInd w:val="0"/>
                    <w:snapToGrid w:val="0"/>
                    <w:spacing w:before="0" w:beforeAutospacing="0" w:after="0" w:afterAutospacing="0"/>
                    <w:ind w:left="0" w:right="0"/>
                    <w:jc w:val="center"/>
                    <w:textAlignment w:val="baseline"/>
                    <w:rPr>
                      <w:rFonts w:hint="default" w:eastAsia="宋体"/>
                      <w:sz w:val="21"/>
                      <w:szCs w:val="21"/>
                      <w:highlight w:val="none"/>
                      <w:lang w:val="en-US" w:eastAsia="zh-CN"/>
                    </w:rPr>
                  </w:pPr>
                  <w:r>
                    <w:rPr>
                      <w:rFonts w:hint="eastAsia"/>
                      <w:sz w:val="21"/>
                      <w:szCs w:val="21"/>
                      <w:highlight w:val="none"/>
                      <w:lang w:val="en-US" w:eastAsia="zh-CN"/>
                    </w:rPr>
                    <w:t>车间</w:t>
                  </w:r>
                </w:p>
              </w:tc>
              <w:tc>
                <w:tcPr>
                  <w:tcW w:w="1881" w:type="dxa"/>
                  <w:tcBorders>
                    <w:top w:val="single" w:color="auto" w:sz="8" w:space="0"/>
                    <w:bottom w:val="single" w:color="auto" w:sz="4" w:space="0"/>
                  </w:tcBorders>
                  <w:noWrap w:val="0"/>
                  <w:vAlign w:val="center"/>
                </w:tcPr>
                <w:p w14:paraId="5DBA9BA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sz w:val="21"/>
                      <w:szCs w:val="21"/>
                      <w:highlight w:val="none"/>
                      <w:lang w:val="en-US" w:eastAsia="zh-CN"/>
                    </w:rPr>
                  </w:pPr>
                  <w:r>
                    <w:rPr>
                      <w:rFonts w:hint="eastAsia" w:hAnsi="宋体"/>
                      <w:color w:val="000000"/>
                      <w:sz w:val="21"/>
                      <w:szCs w:val="21"/>
                      <w:highlight w:val="none"/>
                      <w:lang w:val="en-US" w:eastAsia="zh-CN"/>
                    </w:rPr>
                    <w:t>加工中心1</w:t>
                  </w:r>
                </w:p>
              </w:tc>
              <w:tc>
                <w:tcPr>
                  <w:tcW w:w="790" w:type="dxa"/>
                  <w:tcBorders>
                    <w:top w:val="single" w:color="auto" w:sz="8" w:space="0"/>
                    <w:bottom w:val="single" w:color="auto" w:sz="4" w:space="0"/>
                  </w:tcBorders>
                  <w:noWrap w:val="0"/>
                  <w:vAlign w:val="center"/>
                </w:tcPr>
                <w:p w14:paraId="77B1D1D6">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eastAsia="宋体"/>
                      <w:sz w:val="21"/>
                      <w:szCs w:val="21"/>
                      <w:highlight w:val="none"/>
                      <w:lang w:val="en-US" w:eastAsia="zh-CN"/>
                    </w:rPr>
                  </w:pPr>
                  <w:r>
                    <w:rPr>
                      <w:rFonts w:hint="eastAsia"/>
                      <w:sz w:val="21"/>
                      <w:szCs w:val="21"/>
                      <w:highlight w:val="none"/>
                      <w:lang w:val="en-US" w:eastAsia="zh-CN"/>
                    </w:rPr>
                    <w:t>80</w:t>
                  </w:r>
                </w:p>
              </w:tc>
              <w:tc>
                <w:tcPr>
                  <w:tcW w:w="748" w:type="dxa"/>
                  <w:vMerge w:val="restart"/>
                  <w:tcBorders>
                    <w:top w:val="single" w:color="auto" w:sz="8" w:space="0"/>
                    <w:bottom w:val="single" w:color="auto" w:sz="4" w:space="0"/>
                  </w:tcBorders>
                  <w:noWrap w:val="0"/>
                  <w:vAlign w:val="center"/>
                </w:tcPr>
                <w:p w14:paraId="7B8048CC">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r>
                    <w:rPr>
                      <w:rFonts w:hint="eastAsia"/>
                      <w:kern w:val="0"/>
                      <w:sz w:val="21"/>
                      <w:szCs w:val="21"/>
                      <w:highlight w:val="none"/>
                    </w:rPr>
                    <w:t>基础减振、</w:t>
                  </w:r>
                </w:p>
                <w:p w14:paraId="7D49F9D5">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rPr>
                  </w:pPr>
                  <w:r>
                    <w:rPr>
                      <w:rFonts w:hint="eastAsia"/>
                      <w:kern w:val="0"/>
                      <w:sz w:val="21"/>
                      <w:szCs w:val="21"/>
                      <w:highlight w:val="none"/>
                    </w:rPr>
                    <w:t>厂房封闭隔音</w:t>
                  </w:r>
                </w:p>
              </w:tc>
              <w:tc>
                <w:tcPr>
                  <w:tcW w:w="772" w:type="dxa"/>
                  <w:tcBorders>
                    <w:top w:val="single" w:color="auto" w:sz="8" w:space="0"/>
                    <w:bottom w:val="single" w:color="auto" w:sz="4" w:space="0"/>
                  </w:tcBorders>
                  <w:noWrap w:val="0"/>
                  <w:vAlign w:val="center"/>
                </w:tcPr>
                <w:p w14:paraId="6070BE06">
                  <w:pPr>
                    <w:keepNext w:val="0"/>
                    <w:keepLines w:val="0"/>
                    <w:suppressLineNumbers w:val="0"/>
                    <w:adjustRightInd w:val="0"/>
                    <w:snapToGrid w:val="0"/>
                    <w:spacing w:before="0" w:beforeAutospacing="0" w:after="0" w:afterAutospacing="0"/>
                    <w:ind w:left="0" w:right="0"/>
                    <w:jc w:val="center"/>
                    <w:textAlignment w:val="baseline"/>
                    <w:rPr>
                      <w:rFonts w:hint="default" w:eastAsia="宋体"/>
                      <w:sz w:val="21"/>
                      <w:szCs w:val="21"/>
                      <w:highlight w:val="none"/>
                      <w:lang w:val="en-US" w:eastAsia="zh-CN"/>
                    </w:rPr>
                  </w:pPr>
                  <w:r>
                    <w:rPr>
                      <w:rFonts w:hint="eastAsia"/>
                      <w:sz w:val="21"/>
                      <w:szCs w:val="21"/>
                      <w:highlight w:val="none"/>
                      <w:lang w:val="en-US" w:eastAsia="zh-CN"/>
                    </w:rPr>
                    <w:t>8</w:t>
                  </w:r>
                </w:p>
              </w:tc>
              <w:tc>
                <w:tcPr>
                  <w:tcW w:w="728" w:type="dxa"/>
                  <w:tcBorders>
                    <w:top w:val="single" w:color="auto" w:sz="8" w:space="0"/>
                    <w:bottom w:val="single" w:color="auto" w:sz="4" w:space="0"/>
                  </w:tcBorders>
                  <w:noWrap w:val="0"/>
                  <w:vAlign w:val="center"/>
                </w:tcPr>
                <w:p w14:paraId="387DD3F0">
                  <w:pPr>
                    <w:keepNext w:val="0"/>
                    <w:keepLines w:val="0"/>
                    <w:suppressLineNumbers w:val="0"/>
                    <w:adjustRightInd w:val="0"/>
                    <w:snapToGrid w:val="0"/>
                    <w:spacing w:before="0" w:beforeAutospacing="0" w:after="0" w:afterAutospacing="0"/>
                    <w:ind w:left="0" w:right="0"/>
                    <w:jc w:val="center"/>
                    <w:textAlignment w:val="baseline"/>
                    <w:rPr>
                      <w:rFonts w:hint="default" w:eastAsia="宋体"/>
                      <w:sz w:val="21"/>
                      <w:szCs w:val="21"/>
                      <w:highlight w:val="none"/>
                      <w:lang w:val="en-US" w:eastAsia="zh-CN"/>
                    </w:rPr>
                  </w:pPr>
                  <w:r>
                    <w:rPr>
                      <w:rFonts w:hint="eastAsia"/>
                      <w:sz w:val="21"/>
                      <w:szCs w:val="21"/>
                      <w:highlight w:val="none"/>
                      <w:lang w:val="en-US" w:eastAsia="zh-CN"/>
                    </w:rPr>
                    <w:t>8</w:t>
                  </w:r>
                </w:p>
              </w:tc>
              <w:tc>
                <w:tcPr>
                  <w:tcW w:w="730" w:type="dxa"/>
                  <w:tcBorders>
                    <w:top w:val="single" w:color="auto" w:sz="8" w:space="0"/>
                    <w:bottom w:val="single" w:color="auto" w:sz="4" w:space="0"/>
                  </w:tcBorders>
                  <w:noWrap w:val="0"/>
                  <w:vAlign w:val="center"/>
                </w:tcPr>
                <w:p w14:paraId="5452A622">
                  <w:pPr>
                    <w:keepNext w:val="0"/>
                    <w:keepLines w:val="0"/>
                    <w:suppressLineNumbers w:val="0"/>
                    <w:adjustRightInd w:val="0"/>
                    <w:snapToGrid w:val="0"/>
                    <w:spacing w:before="0" w:beforeAutospacing="0" w:after="0" w:afterAutospacing="0"/>
                    <w:ind w:left="0" w:right="0"/>
                    <w:jc w:val="center"/>
                    <w:textAlignment w:val="baseline"/>
                    <w:rPr>
                      <w:rFonts w:hint="default" w:eastAsia="宋体"/>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8" w:space="0"/>
                    <w:bottom w:val="single" w:color="auto" w:sz="4" w:space="0"/>
                  </w:tcBorders>
                  <w:noWrap w:val="0"/>
                  <w:vAlign w:val="center"/>
                </w:tcPr>
                <w:p w14:paraId="78D54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35.2</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046" w:type="dxa"/>
                  <w:tcBorders>
                    <w:top w:val="single" w:color="auto" w:sz="8" w:space="0"/>
                    <w:bottom w:val="single" w:color="auto" w:sz="4" w:space="0"/>
                  </w:tcBorders>
                  <w:noWrap w:val="0"/>
                  <w:vAlign w:val="center"/>
                </w:tcPr>
                <w:p w14:paraId="2EC2D3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53.54</w:t>
                  </w:r>
                </w:p>
              </w:tc>
            </w:tr>
            <w:tr w14:paraId="29070F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23FC7E5F">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eastAsia"/>
                      <w:kern w:val="0"/>
                      <w:sz w:val="21"/>
                      <w:szCs w:val="21"/>
                      <w:highlight w:val="none"/>
                    </w:rPr>
                  </w:pPr>
                  <w:r>
                    <w:rPr>
                      <w:rFonts w:hint="eastAsia"/>
                      <w:kern w:val="0"/>
                      <w:sz w:val="21"/>
                      <w:szCs w:val="21"/>
                      <w:highlight w:val="none"/>
                      <w:lang w:val="en-US" w:eastAsia="zh-CN"/>
                    </w:rPr>
                    <w:t>2</w:t>
                  </w:r>
                </w:p>
              </w:tc>
              <w:tc>
                <w:tcPr>
                  <w:tcW w:w="670" w:type="dxa"/>
                  <w:vMerge w:val="continue"/>
                  <w:tcBorders>
                    <w:top w:val="single" w:color="auto" w:sz="4" w:space="0"/>
                  </w:tcBorders>
                  <w:noWrap w:val="0"/>
                  <w:vAlign w:val="center"/>
                </w:tcPr>
                <w:p w14:paraId="4B133835">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78C66F2E">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hAnsi="宋体" w:eastAsia="宋体"/>
                      <w:color w:val="000000"/>
                      <w:sz w:val="21"/>
                      <w:szCs w:val="21"/>
                      <w:highlight w:val="none"/>
                      <w:lang w:eastAsia="zh-CN"/>
                    </w:rPr>
                  </w:pPr>
                  <w:r>
                    <w:rPr>
                      <w:rFonts w:hint="eastAsia" w:hAnsi="宋体"/>
                      <w:color w:val="000000"/>
                      <w:sz w:val="21"/>
                      <w:szCs w:val="21"/>
                      <w:highlight w:val="none"/>
                      <w:lang w:val="en-US" w:eastAsia="zh-CN"/>
                    </w:rPr>
                    <w:t>加工中心2</w:t>
                  </w:r>
                </w:p>
              </w:tc>
              <w:tc>
                <w:tcPr>
                  <w:tcW w:w="790" w:type="dxa"/>
                  <w:tcBorders>
                    <w:top w:val="single" w:color="auto" w:sz="4" w:space="0"/>
                    <w:bottom w:val="single" w:color="auto" w:sz="4" w:space="0"/>
                  </w:tcBorders>
                  <w:noWrap w:val="0"/>
                  <w:vAlign w:val="center"/>
                </w:tcPr>
                <w:p w14:paraId="0ED97B6C">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80</w:t>
                  </w:r>
                </w:p>
              </w:tc>
              <w:tc>
                <w:tcPr>
                  <w:tcW w:w="748" w:type="dxa"/>
                  <w:vMerge w:val="continue"/>
                  <w:tcBorders>
                    <w:top w:val="single" w:color="auto" w:sz="4" w:space="0"/>
                  </w:tcBorders>
                  <w:noWrap w:val="0"/>
                  <w:vAlign w:val="center"/>
                </w:tcPr>
                <w:p w14:paraId="70DB8FFE">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3DCB695F">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8</w:t>
                  </w:r>
                </w:p>
              </w:tc>
              <w:tc>
                <w:tcPr>
                  <w:tcW w:w="728" w:type="dxa"/>
                  <w:tcBorders>
                    <w:top w:val="single" w:color="auto" w:sz="4" w:space="0"/>
                    <w:bottom w:val="single" w:color="auto" w:sz="4" w:space="0"/>
                  </w:tcBorders>
                  <w:noWrap w:val="0"/>
                  <w:vAlign w:val="center"/>
                </w:tcPr>
                <w:p w14:paraId="03718A16">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10</w:t>
                  </w:r>
                </w:p>
              </w:tc>
              <w:tc>
                <w:tcPr>
                  <w:tcW w:w="730" w:type="dxa"/>
                  <w:tcBorders>
                    <w:top w:val="single" w:color="auto" w:sz="4" w:space="0"/>
                    <w:bottom w:val="single" w:color="auto" w:sz="4" w:space="0"/>
                  </w:tcBorders>
                  <w:noWrap w:val="0"/>
                  <w:vAlign w:val="center"/>
                </w:tcPr>
                <w:p w14:paraId="3D108D7B">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0AFC38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35.6</w:t>
                  </w:r>
                </w:p>
              </w:tc>
              <w:tc>
                <w:tcPr>
                  <w:tcW w:w="1046" w:type="dxa"/>
                  <w:tcBorders>
                    <w:top w:val="single" w:color="auto" w:sz="4" w:space="0"/>
                    <w:bottom w:val="single" w:color="auto" w:sz="4" w:space="0"/>
                  </w:tcBorders>
                  <w:noWrap w:val="0"/>
                  <w:vAlign w:val="center"/>
                </w:tcPr>
                <w:p w14:paraId="53B473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53.52</w:t>
                  </w:r>
                </w:p>
              </w:tc>
            </w:tr>
            <w:tr w14:paraId="692BDB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1707B10D">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kern w:val="0"/>
                      <w:sz w:val="21"/>
                      <w:szCs w:val="21"/>
                      <w:highlight w:val="none"/>
                      <w:lang w:val="en-US" w:eastAsia="zh-CN"/>
                    </w:rPr>
                  </w:pPr>
                  <w:r>
                    <w:rPr>
                      <w:rFonts w:hint="eastAsia"/>
                      <w:bCs/>
                      <w:sz w:val="21"/>
                      <w:szCs w:val="21"/>
                      <w:lang w:val="en-US" w:eastAsia="zh-CN"/>
                    </w:rPr>
                    <w:t>3</w:t>
                  </w:r>
                </w:p>
              </w:tc>
              <w:tc>
                <w:tcPr>
                  <w:tcW w:w="670" w:type="dxa"/>
                  <w:vMerge w:val="continue"/>
                  <w:noWrap w:val="0"/>
                  <w:vAlign w:val="center"/>
                </w:tcPr>
                <w:p w14:paraId="04CBA868">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4F478CD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kern w:val="0"/>
                      <w:sz w:val="21"/>
                      <w:szCs w:val="21"/>
                      <w:highlight w:val="none"/>
                      <w:lang w:val="en-US" w:eastAsia="zh-CN"/>
                    </w:rPr>
                  </w:pPr>
                  <w:r>
                    <w:rPr>
                      <w:rFonts w:hint="eastAsia" w:hAnsi="宋体"/>
                      <w:color w:val="000000"/>
                      <w:sz w:val="21"/>
                      <w:szCs w:val="21"/>
                      <w:highlight w:val="none"/>
                      <w:lang w:val="en-US" w:eastAsia="zh-CN"/>
                    </w:rPr>
                    <w:t>加工中心3</w:t>
                  </w:r>
                </w:p>
              </w:tc>
              <w:tc>
                <w:tcPr>
                  <w:tcW w:w="790" w:type="dxa"/>
                  <w:tcBorders>
                    <w:top w:val="single" w:color="auto" w:sz="4" w:space="0"/>
                    <w:bottom w:val="single" w:color="auto" w:sz="4" w:space="0"/>
                  </w:tcBorders>
                  <w:noWrap w:val="0"/>
                  <w:vAlign w:val="center"/>
                </w:tcPr>
                <w:p w14:paraId="3BE4193B">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80</w:t>
                  </w:r>
                </w:p>
              </w:tc>
              <w:tc>
                <w:tcPr>
                  <w:tcW w:w="748" w:type="dxa"/>
                  <w:vMerge w:val="continue"/>
                  <w:noWrap w:val="0"/>
                  <w:vAlign w:val="center"/>
                </w:tcPr>
                <w:p w14:paraId="4855634C">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1F20BDF6">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8</w:t>
                  </w:r>
                </w:p>
              </w:tc>
              <w:tc>
                <w:tcPr>
                  <w:tcW w:w="728" w:type="dxa"/>
                  <w:tcBorders>
                    <w:top w:val="single" w:color="auto" w:sz="4" w:space="0"/>
                    <w:bottom w:val="single" w:color="auto" w:sz="4" w:space="0"/>
                  </w:tcBorders>
                  <w:noWrap w:val="0"/>
                  <w:vAlign w:val="center"/>
                </w:tcPr>
                <w:p w14:paraId="77B9F673">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30" w:type="dxa"/>
                  <w:tcBorders>
                    <w:top w:val="single" w:color="auto" w:sz="4" w:space="0"/>
                    <w:bottom w:val="single" w:color="auto" w:sz="4" w:space="0"/>
                  </w:tcBorders>
                  <w:noWrap w:val="0"/>
                  <w:vAlign w:val="center"/>
                </w:tcPr>
                <w:p w14:paraId="523186AD">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4B83E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36.1</w:t>
                  </w:r>
                </w:p>
              </w:tc>
              <w:tc>
                <w:tcPr>
                  <w:tcW w:w="1046" w:type="dxa"/>
                  <w:tcBorders>
                    <w:top w:val="single" w:color="auto" w:sz="4" w:space="0"/>
                    <w:bottom w:val="single" w:color="auto" w:sz="4" w:space="0"/>
                  </w:tcBorders>
                  <w:noWrap w:val="0"/>
                  <w:vAlign w:val="center"/>
                </w:tcPr>
                <w:p w14:paraId="6B0AB4E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53.51</w:t>
                  </w:r>
                </w:p>
              </w:tc>
            </w:tr>
            <w:tr w14:paraId="59155D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6129D320">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eastAsia="宋体"/>
                      <w:kern w:val="0"/>
                      <w:sz w:val="21"/>
                      <w:szCs w:val="21"/>
                      <w:highlight w:val="none"/>
                      <w:lang w:val="en-US" w:eastAsia="zh-CN"/>
                    </w:rPr>
                  </w:pPr>
                  <w:r>
                    <w:rPr>
                      <w:rFonts w:hint="eastAsia"/>
                      <w:kern w:val="0"/>
                      <w:sz w:val="21"/>
                      <w:szCs w:val="21"/>
                      <w:highlight w:val="none"/>
                      <w:lang w:val="en-US" w:eastAsia="zh-CN"/>
                    </w:rPr>
                    <w:t>4</w:t>
                  </w:r>
                </w:p>
              </w:tc>
              <w:tc>
                <w:tcPr>
                  <w:tcW w:w="670" w:type="dxa"/>
                  <w:vMerge w:val="continue"/>
                  <w:noWrap w:val="0"/>
                  <w:vAlign w:val="center"/>
                </w:tcPr>
                <w:p w14:paraId="6ECAD63A">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79A8D85A">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kern w:val="0"/>
                      <w:sz w:val="21"/>
                      <w:szCs w:val="21"/>
                      <w:highlight w:val="none"/>
                      <w:lang w:val="en-US" w:eastAsia="zh-CN"/>
                    </w:rPr>
                  </w:pPr>
                  <w:r>
                    <w:rPr>
                      <w:rFonts w:hint="eastAsia" w:hAnsi="宋体"/>
                      <w:color w:val="000000"/>
                      <w:sz w:val="21"/>
                      <w:szCs w:val="21"/>
                      <w:highlight w:val="none"/>
                      <w:lang w:val="en-US" w:eastAsia="zh-CN"/>
                    </w:rPr>
                    <w:t>加工中心4</w:t>
                  </w:r>
                </w:p>
              </w:tc>
              <w:tc>
                <w:tcPr>
                  <w:tcW w:w="790" w:type="dxa"/>
                  <w:tcBorders>
                    <w:top w:val="single" w:color="auto" w:sz="4" w:space="0"/>
                    <w:bottom w:val="single" w:color="auto" w:sz="4" w:space="0"/>
                  </w:tcBorders>
                  <w:noWrap w:val="0"/>
                  <w:vAlign w:val="center"/>
                </w:tcPr>
                <w:p w14:paraId="259352F2">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80</w:t>
                  </w:r>
                </w:p>
              </w:tc>
              <w:tc>
                <w:tcPr>
                  <w:tcW w:w="748" w:type="dxa"/>
                  <w:vMerge w:val="continue"/>
                  <w:noWrap w:val="0"/>
                  <w:vAlign w:val="center"/>
                </w:tcPr>
                <w:p w14:paraId="05899059">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6C23D2BC">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11</w:t>
                  </w:r>
                </w:p>
              </w:tc>
              <w:tc>
                <w:tcPr>
                  <w:tcW w:w="728" w:type="dxa"/>
                  <w:tcBorders>
                    <w:top w:val="single" w:color="auto" w:sz="4" w:space="0"/>
                    <w:bottom w:val="single" w:color="auto" w:sz="4" w:space="0"/>
                  </w:tcBorders>
                  <w:noWrap w:val="0"/>
                  <w:vAlign w:val="center"/>
                </w:tcPr>
                <w:p w14:paraId="264187EF">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w:t>
                  </w:r>
                </w:p>
              </w:tc>
              <w:tc>
                <w:tcPr>
                  <w:tcW w:w="730" w:type="dxa"/>
                  <w:tcBorders>
                    <w:top w:val="single" w:color="auto" w:sz="4" w:space="0"/>
                    <w:bottom w:val="single" w:color="auto" w:sz="4" w:space="0"/>
                  </w:tcBorders>
                  <w:noWrap w:val="0"/>
                  <w:vAlign w:val="center"/>
                </w:tcPr>
                <w:p w14:paraId="3E7F4A0E">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06A134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31.1</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046" w:type="dxa"/>
                  <w:tcBorders>
                    <w:top w:val="single" w:color="auto" w:sz="4" w:space="0"/>
                    <w:bottom w:val="single" w:color="auto" w:sz="4" w:space="0"/>
                  </w:tcBorders>
                  <w:noWrap w:val="0"/>
                  <w:vAlign w:val="center"/>
                </w:tcPr>
                <w:p w14:paraId="054B9D8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53.67</w:t>
                  </w:r>
                </w:p>
              </w:tc>
            </w:tr>
            <w:tr w14:paraId="75BBDA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45AC4CB3">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5</w:t>
                  </w:r>
                </w:p>
              </w:tc>
              <w:tc>
                <w:tcPr>
                  <w:tcW w:w="670" w:type="dxa"/>
                  <w:vMerge w:val="continue"/>
                  <w:noWrap w:val="0"/>
                  <w:vAlign w:val="center"/>
                </w:tcPr>
                <w:p w14:paraId="7B19EBFC">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7D8E3D41">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kern w:val="0"/>
                      <w:sz w:val="21"/>
                      <w:szCs w:val="21"/>
                      <w:highlight w:val="none"/>
                      <w:lang w:val="en-US" w:eastAsia="zh-CN"/>
                    </w:rPr>
                  </w:pPr>
                  <w:r>
                    <w:rPr>
                      <w:rFonts w:hint="eastAsia" w:hAnsi="宋体"/>
                      <w:color w:val="000000"/>
                      <w:sz w:val="21"/>
                      <w:szCs w:val="21"/>
                      <w:highlight w:val="none"/>
                      <w:lang w:val="en-US" w:eastAsia="zh-CN"/>
                    </w:rPr>
                    <w:t>加工中心5</w:t>
                  </w:r>
                </w:p>
              </w:tc>
              <w:tc>
                <w:tcPr>
                  <w:tcW w:w="790" w:type="dxa"/>
                  <w:tcBorders>
                    <w:top w:val="single" w:color="auto" w:sz="4" w:space="0"/>
                    <w:bottom w:val="single" w:color="auto" w:sz="4" w:space="0"/>
                  </w:tcBorders>
                  <w:noWrap w:val="0"/>
                  <w:vAlign w:val="center"/>
                </w:tcPr>
                <w:p w14:paraId="3F580A5F">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80</w:t>
                  </w:r>
                </w:p>
              </w:tc>
              <w:tc>
                <w:tcPr>
                  <w:tcW w:w="748" w:type="dxa"/>
                  <w:vMerge w:val="continue"/>
                  <w:noWrap w:val="0"/>
                  <w:vAlign w:val="center"/>
                </w:tcPr>
                <w:p w14:paraId="5539341B">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069E1A38">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11</w:t>
                  </w:r>
                </w:p>
              </w:tc>
              <w:tc>
                <w:tcPr>
                  <w:tcW w:w="728" w:type="dxa"/>
                  <w:tcBorders>
                    <w:top w:val="single" w:color="auto" w:sz="4" w:space="0"/>
                    <w:bottom w:val="single" w:color="auto" w:sz="4" w:space="0"/>
                  </w:tcBorders>
                  <w:noWrap w:val="0"/>
                  <w:vAlign w:val="center"/>
                </w:tcPr>
                <w:p w14:paraId="5B5B5E10">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10</w:t>
                  </w:r>
                </w:p>
              </w:tc>
              <w:tc>
                <w:tcPr>
                  <w:tcW w:w="730" w:type="dxa"/>
                  <w:tcBorders>
                    <w:top w:val="single" w:color="auto" w:sz="4" w:space="0"/>
                    <w:bottom w:val="single" w:color="auto" w:sz="4" w:space="0"/>
                  </w:tcBorders>
                  <w:noWrap w:val="0"/>
                  <w:vAlign w:val="center"/>
                </w:tcPr>
                <w:p w14:paraId="2FF4295A">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56D6E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31.6</w:t>
                  </w:r>
                </w:p>
              </w:tc>
              <w:tc>
                <w:tcPr>
                  <w:tcW w:w="1046" w:type="dxa"/>
                  <w:tcBorders>
                    <w:top w:val="single" w:color="auto" w:sz="4" w:space="0"/>
                    <w:bottom w:val="single" w:color="auto" w:sz="4" w:space="0"/>
                  </w:tcBorders>
                  <w:noWrap w:val="0"/>
                  <w:vAlign w:val="center"/>
                </w:tcPr>
                <w:p w14:paraId="570011B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53.65</w:t>
                  </w:r>
                </w:p>
              </w:tc>
            </w:tr>
            <w:tr w14:paraId="567617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28AAD0F4">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6</w:t>
                  </w:r>
                </w:p>
              </w:tc>
              <w:tc>
                <w:tcPr>
                  <w:tcW w:w="670" w:type="dxa"/>
                  <w:vMerge w:val="continue"/>
                  <w:noWrap w:val="0"/>
                  <w:vAlign w:val="center"/>
                </w:tcPr>
                <w:p w14:paraId="3FEBFC77">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4F289834">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kern w:val="0"/>
                      <w:sz w:val="21"/>
                      <w:szCs w:val="21"/>
                      <w:highlight w:val="none"/>
                      <w:lang w:val="en-US" w:eastAsia="zh-CN"/>
                    </w:rPr>
                  </w:pPr>
                  <w:r>
                    <w:rPr>
                      <w:rFonts w:hint="eastAsia" w:hAnsi="宋体"/>
                      <w:color w:val="000000"/>
                      <w:sz w:val="21"/>
                      <w:szCs w:val="21"/>
                      <w:highlight w:val="none"/>
                      <w:lang w:val="en-US" w:eastAsia="zh-CN"/>
                    </w:rPr>
                    <w:t>加工中心6</w:t>
                  </w:r>
                </w:p>
              </w:tc>
              <w:tc>
                <w:tcPr>
                  <w:tcW w:w="790" w:type="dxa"/>
                  <w:tcBorders>
                    <w:top w:val="single" w:color="auto" w:sz="4" w:space="0"/>
                    <w:bottom w:val="single" w:color="auto" w:sz="4" w:space="0"/>
                  </w:tcBorders>
                  <w:noWrap w:val="0"/>
                  <w:vAlign w:val="center"/>
                </w:tcPr>
                <w:p w14:paraId="57D83C14">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80</w:t>
                  </w:r>
                </w:p>
              </w:tc>
              <w:tc>
                <w:tcPr>
                  <w:tcW w:w="748" w:type="dxa"/>
                  <w:vMerge w:val="continue"/>
                  <w:noWrap w:val="0"/>
                  <w:vAlign w:val="center"/>
                </w:tcPr>
                <w:p w14:paraId="31A112DA">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28916EF0">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11</w:t>
                  </w:r>
                </w:p>
              </w:tc>
              <w:tc>
                <w:tcPr>
                  <w:tcW w:w="728" w:type="dxa"/>
                  <w:tcBorders>
                    <w:top w:val="single" w:color="auto" w:sz="4" w:space="0"/>
                    <w:bottom w:val="single" w:color="auto" w:sz="4" w:space="0"/>
                  </w:tcBorders>
                  <w:noWrap w:val="0"/>
                  <w:vAlign w:val="center"/>
                </w:tcPr>
                <w:p w14:paraId="5FB41E6D">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30" w:type="dxa"/>
                  <w:tcBorders>
                    <w:top w:val="single" w:color="auto" w:sz="4" w:space="0"/>
                    <w:bottom w:val="single" w:color="auto" w:sz="4" w:space="0"/>
                  </w:tcBorders>
                  <w:noWrap w:val="0"/>
                  <w:vAlign w:val="center"/>
                </w:tcPr>
                <w:p w14:paraId="3123B30D">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F656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31.8</w:t>
                  </w:r>
                </w:p>
              </w:tc>
              <w:tc>
                <w:tcPr>
                  <w:tcW w:w="1046" w:type="dxa"/>
                  <w:tcBorders>
                    <w:top w:val="single" w:color="auto" w:sz="4" w:space="0"/>
                    <w:bottom w:val="single" w:color="auto" w:sz="4" w:space="0"/>
                  </w:tcBorders>
                  <w:noWrap w:val="0"/>
                  <w:vAlign w:val="center"/>
                </w:tcPr>
                <w:p w14:paraId="2CBBFDA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53.65</w:t>
                  </w:r>
                </w:p>
              </w:tc>
            </w:tr>
            <w:tr w14:paraId="033EB1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68122D96">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7</w:t>
                  </w:r>
                </w:p>
              </w:tc>
              <w:tc>
                <w:tcPr>
                  <w:tcW w:w="670" w:type="dxa"/>
                  <w:vMerge w:val="continue"/>
                  <w:noWrap w:val="0"/>
                  <w:vAlign w:val="center"/>
                </w:tcPr>
                <w:p w14:paraId="789E1F2C">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7C754DD0">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color w:val="auto"/>
                      <w:sz w:val="21"/>
                      <w:szCs w:val="21"/>
                      <w:highlight w:val="none"/>
                      <w:lang w:val="en-US" w:eastAsia="zh-CN"/>
                    </w:rPr>
                  </w:pPr>
                  <w:r>
                    <w:rPr>
                      <w:rFonts w:hint="eastAsia"/>
                      <w:color w:val="auto"/>
                      <w:sz w:val="21"/>
                      <w:szCs w:val="21"/>
                      <w:highlight w:val="none"/>
                      <w:lang w:val="en-US" w:eastAsia="zh-CN"/>
                    </w:rPr>
                    <w:t>数控车床1</w:t>
                  </w:r>
                </w:p>
              </w:tc>
              <w:tc>
                <w:tcPr>
                  <w:tcW w:w="790" w:type="dxa"/>
                  <w:tcBorders>
                    <w:top w:val="single" w:color="auto" w:sz="4" w:space="0"/>
                    <w:bottom w:val="single" w:color="auto" w:sz="4" w:space="0"/>
                  </w:tcBorders>
                  <w:noWrap w:val="0"/>
                  <w:vAlign w:val="center"/>
                </w:tcPr>
                <w:p w14:paraId="68FE7475">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7CCFD1D5">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5BE9D4AF">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15</w:t>
                  </w:r>
                </w:p>
              </w:tc>
              <w:tc>
                <w:tcPr>
                  <w:tcW w:w="728" w:type="dxa"/>
                  <w:tcBorders>
                    <w:top w:val="single" w:color="auto" w:sz="4" w:space="0"/>
                    <w:bottom w:val="single" w:color="auto" w:sz="4" w:space="0"/>
                  </w:tcBorders>
                  <w:noWrap w:val="0"/>
                  <w:vAlign w:val="center"/>
                </w:tcPr>
                <w:p w14:paraId="4A055F61">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10</w:t>
                  </w:r>
                </w:p>
              </w:tc>
              <w:tc>
                <w:tcPr>
                  <w:tcW w:w="730" w:type="dxa"/>
                  <w:tcBorders>
                    <w:top w:val="single" w:color="auto" w:sz="4" w:space="0"/>
                    <w:bottom w:val="single" w:color="auto" w:sz="4" w:space="0"/>
                  </w:tcBorders>
                  <w:noWrap w:val="0"/>
                  <w:vAlign w:val="center"/>
                </w:tcPr>
                <w:p w14:paraId="59ECED13">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08CDC8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10.6</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046" w:type="dxa"/>
                  <w:tcBorders>
                    <w:top w:val="single" w:color="auto" w:sz="4" w:space="0"/>
                    <w:bottom w:val="single" w:color="auto" w:sz="4" w:space="0"/>
                  </w:tcBorders>
                  <w:noWrap w:val="0"/>
                  <w:vAlign w:val="center"/>
                </w:tcPr>
                <w:p w14:paraId="59CB292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61.84</w:t>
                  </w:r>
                </w:p>
              </w:tc>
            </w:tr>
            <w:tr w14:paraId="7836D3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0F5B65BB">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8</w:t>
                  </w:r>
                </w:p>
              </w:tc>
              <w:tc>
                <w:tcPr>
                  <w:tcW w:w="670" w:type="dxa"/>
                  <w:vMerge w:val="continue"/>
                  <w:noWrap w:val="0"/>
                  <w:vAlign w:val="center"/>
                </w:tcPr>
                <w:p w14:paraId="45AA33D3">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675FCB28">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数控车床2</w:t>
                  </w:r>
                </w:p>
              </w:tc>
              <w:tc>
                <w:tcPr>
                  <w:tcW w:w="790" w:type="dxa"/>
                  <w:tcBorders>
                    <w:top w:val="single" w:color="auto" w:sz="4" w:space="0"/>
                    <w:bottom w:val="single" w:color="auto" w:sz="4" w:space="0"/>
                  </w:tcBorders>
                  <w:noWrap w:val="0"/>
                  <w:vAlign w:val="center"/>
                </w:tcPr>
                <w:p w14:paraId="3C5E09AE">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23A76356">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67BA1648">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15</w:t>
                  </w:r>
                </w:p>
              </w:tc>
              <w:tc>
                <w:tcPr>
                  <w:tcW w:w="728" w:type="dxa"/>
                  <w:tcBorders>
                    <w:top w:val="single" w:color="auto" w:sz="4" w:space="0"/>
                    <w:bottom w:val="single" w:color="auto" w:sz="4" w:space="0"/>
                  </w:tcBorders>
                  <w:noWrap w:val="0"/>
                  <w:vAlign w:val="center"/>
                </w:tcPr>
                <w:p w14:paraId="2B3B165A">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13</w:t>
                  </w:r>
                </w:p>
              </w:tc>
              <w:tc>
                <w:tcPr>
                  <w:tcW w:w="730" w:type="dxa"/>
                  <w:tcBorders>
                    <w:top w:val="single" w:color="auto" w:sz="4" w:space="0"/>
                    <w:bottom w:val="single" w:color="auto" w:sz="4" w:space="0"/>
                  </w:tcBorders>
                  <w:noWrap w:val="0"/>
                  <w:vAlign w:val="center"/>
                </w:tcPr>
                <w:p w14:paraId="388C0474">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3C1598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10.3</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046" w:type="dxa"/>
                  <w:tcBorders>
                    <w:top w:val="single" w:color="auto" w:sz="4" w:space="0"/>
                    <w:bottom w:val="single" w:color="auto" w:sz="4" w:space="0"/>
                  </w:tcBorders>
                  <w:noWrap w:val="0"/>
                  <w:vAlign w:val="center"/>
                </w:tcPr>
                <w:p w14:paraId="4738719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61.99</w:t>
                  </w:r>
                </w:p>
              </w:tc>
            </w:tr>
            <w:tr w14:paraId="3E5FCF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0FAC6B72">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9</w:t>
                  </w:r>
                </w:p>
              </w:tc>
              <w:tc>
                <w:tcPr>
                  <w:tcW w:w="670" w:type="dxa"/>
                  <w:vMerge w:val="continue"/>
                  <w:noWrap w:val="0"/>
                  <w:vAlign w:val="center"/>
                </w:tcPr>
                <w:p w14:paraId="08E2FEE3">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5E2A6ADA">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数控车床3</w:t>
                  </w:r>
                </w:p>
              </w:tc>
              <w:tc>
                <w:tcPr>
                  <w:tcW w:w="790" w:type="dxa"/>
                  <w:tcBorders>
                    <w:top w:val="single" w:color="auto" w:sz="4" w:space="0"/>
                    <w:bottom w:val="single" w:color="auto" w:sz="4" w:space="0"/>
                  </w:tcBorders>
                  <w:noWrap w:val="0"/>
                  <w:vAlign w:val="center"/>
                </w:tcPr>
                <w:p w14:paraId="3289D2E3">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133AA0FC">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4A5C47B2">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18</w:t>
                  </w:r>
                </w:p>
              </w:tc>
              <w:tc>
                <w:tcPr>
                  <w:tcW w:w="728" w:type="dxa"/>
                  <w:tcBorders>
                    <w:top w:val="single" w:color="auto" w:sz="4" w:space="0"/>
                    <w:bottom w:val="single" w:color="auto" w:sz="4" w:space="0"/>
                  </w:tcBorders>
                  <w:noWrap w:val="0"/>
                  <w:vAlign w:val="center"/>
                </w:tcPr>
                <w:p w14:paraId="11001B9A">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10</w:t>
                  </w:r>
                </w:p>
              </w:tc>
              <w:tc>
                <w:tcPr>
                  <w:tcW w:w="730" w:type="dxa"/>
                  <w:tcBorders>
                    <w:top w:val="single" w:color="auto" w:sz="4" w:space="0"/>
                    <w:bottom w:val="single" w:color="auto" w:sz="4" w:space="0"/>
                  </w:tcBorders>
                  <w:noWrap w:val="0"/>
                  <w:vAlign w:val="center"/>
                </w:tcPr>
                <w:p w14:paraId="685C83A2">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C9EBB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11.4</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046" w:type="dxa"/>
                  <w:tcBorders>
                    <w:top w:val="single" w:color="auto" w:sz="4" w:space="0"/>
                    <w:bottom w:val="single" w:color="auto" w:sz="4" w:space="0"/>
                  </w:tcBorders>
                  <w:noWrap w:val="0"/>
                  <w:vAlign w:val="center"/>
                </w:tcPr>
                <w:p w14:paraId="19B23DF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61.48</w:t>
                  </w:r>
                </w:p>
              </w:tc>
            </w:tr>
            <w:tr w14:paraId="21544C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417EF59A">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kern w:val="0"/>
                      <w:sz w:val="21"/>
                      <w:szCs w:val="21"/>
                      <w:highlight w:val="none"/>
                      <w:lang w:val="en-US" w:eastAsia="zh-CN"/>
                    </w:rPr>
                  </w:pPr>
                  <w:r>
                    <w:rPr>
                      <w:rFonts w:hint="eastAsia"/>
                      <w:kern w:val="0"/>
                      <w:sz w:val="21"/>
                      <w:szCs w:val="21"/>
                      <w:highlight w:val="none"/>
                      <w:lang w:val="en-US" w:eastAsia="zh-CN"/>
                    </w:rPr>
                    <w:t>10</w:t>
                  </w:r>
                </w:p>
              </w:tc>
              <w:tc>
                <w:tcPr>
                  <w:tcW w:w="670" w:type="dxa"/>
                  <w:vMerge w:val="continue"/>
                  <w:noWrap w:val="0"/>
                  <w:vAlign w:val="center"/>
                </w:tcPr>
                <w:p w14:paraId="77A85794">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27AF9CF7">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数控车床4</w:t>
                  </w:r>
                </w:p>
              </w:tc>
              <w:tc>
                <w:tcPr>
                  <w:tcW w:w="790" w:type="dxa"/>
                  <w:tcBorders>
                    <w:top w:val="single" w:color="auto" w:sz="4" w:space="0"/>
                    <w:bottom w:val="single" w:color="auto" w:sz="4" w:space="0"/>
                  </w:tcBorders>
                  <w:noWrap w:val="0"/>
                  <w:vAlign w:val="center"/>
                </w:tcPr>
                <w:p w14:paraId="69E75A5B">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298A5CDC">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10F926A6">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18</w:t>
                  </w:r>
                </w:p>
              </w:tc>
              <w:tc>
                <w:tcPr>
                  <w:tcW w:w="728" w:type="dxa"/>
                  <w:tcBorders>
                    <w:top w:val="single" w:color="auto" w:sz="4" w:space="0"/>
                    <w:bottom w:val="single" w:color="auto" w:sz="4" w:space="0"/>
                  </w:tcBorders>
                  <w:noWrap w:val="0"/>
                  <w:vAlign w:val="center"/>
                </w:tcPr>
                <w:p w14:paraId="114255A2">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13</w:t>
                  </w:r>
                </w:p>
              </w:tc>
              <w:tc>
                <w:tcPr>
                  <w:tcW w:w="730" w:type="dxa"/>
                  <w:tcBorders>
                    <w:top w:val="single" w:color="auto" w:sz="4" w:space="0"/>
                    <w:bottom w:val="single" w:color="auto" w:sz="4" w:space="0"/>
                  </w:tcBorders>
                  <w:noWrap w:val="0"/>
                  <w:vAlign w:val="center"/>
                </w:tcPr>
                <w:p w14:paraId="0F10BD21">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18722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12.1</w:t>
                  </w:r>
                </w:p>
              </w:tc>
              <w:tc>
                <w:tcPr>
                  <w:tcW w:w="1046" w:type="dxa"/>
                  <w:tcBorders>
                    <w:top w:val="single" w:color="auto" w:sz="4" w:space="0"/>
                    <w:bottom w:val="single" w:color="auto" w:sz="4" w:space="0"/>
                  </w:tcBorders>
                  <w:noWrap w:val="0"/>
                  <w:vAlign w:val="center"/>
                </w:tcPr>
                <w:p w14:paraId="57309B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61.21</w:t>
                  </w:r>
                </w:p>
              </w:tc>
            </w:tr>
            <w:tr w14:paraId="77C8EE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26D54490">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kern w:val="0"/>
                      <w:sz w:val="21"/>
                      <w:szCs w:val="21"/>
                      <w:highlight w:val="none"/>
                      <w:lang w:val="en-US" w:eastAsia="zh-CN"/>
                    </w:rPr>
                  </w:pPr>
                  <w:r>
                    <w:rPr>
                      <w:rFonts w:hint="eastAsia"/>
                      <w:kern w:val="0"/>
                      <w:sz w:val="21"/>
                      <w:szCs w:val="21"/>
                      <w:highlight w:val="none"/>
                      <w:lang w:val="en-US" w:eastAsia="zh-CN"/>
                    </w:rPr>
                    <w:t>11</w:t>
                  </w:r>
                </w:p>
              </w:tc>
              <w:tc>
                <w:tcPr>
                  <w:tcW w:w="670" w:type="dxa"/>
                  <w:vMerge w:val="continue"/>
                  <w:noWrap w:val="0"/>
                  <w:vAlign w:val="center"/>
                </w:tcPr>
                <w:p w14:paraId="12C2EB1E">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73EB503B">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数控车床5</w:t>
                  </w:r>
                </w:p>
              </w:tc>
              <w:tc>
                <w:tcPr>
                  <w:tcW w:w="790" w:type="dxa"/>
                  <w:tcBorders>
                    <w:top w:val="single" w:color="auto" w:sz="4" w:space="0"/>
                    <w:bottom w:val="single" w:color="auto" w:sz="4" w:space="0"/>
                  </w:tcBorders>
                  <w:noWrap w:val="0"/>
                  <w:vAlign w:val="center"/>
                </w:tcPr>
                <w:p w14:paraId="4168B055">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4A579BD6">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39E13F0F">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21</w:t>
                  </w:r>
                </w:p>
              </w:tc>
              <w:tc>
                <w:tcPr>
                  <w:tcW w:w="728" w:type="dxa"/>
                  <w:tcBorders>
                    <w:top w:val="single" w:color="auto" w:sz="4" w:space="0"/>
                    <w:bottom w:val="single" w:color="auto" w:sz="4" w:space="0"/>
                  </w:tcBorders>
                  <w:noWrap w:val="0"/>
                  <w:vAlign w:val="center"/>
                </w:tcPr>
                <w:p w14:paraId="6A799C27">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10</w:t>
                  </w:r>
                </w:p>
              </w:tc>
              <w:tc>
                <w:tcPr>
                  <w:tcW w:w="730" w:type="dxa"/>
                  <w:tcBorders>
                    <w:top w:val="single" w:color="auto" w:sz="4" w:space="0"/>
                    <w:bottom w:val="single" w:color="auto" w:sz="4" w:space="0"/>
                  </w:tcBorders>
                  <w:noWrap w:val="0"/>
                  <w:vAlign w:val="center"/>
                </w:tcPr>
                <w:p w14:paraId="01E97C52">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3523FC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22.4</w:t>
                  </w:r>
                </w:p>
              </w:tc>
              <w:tc>
                <w:tcPr>
                  <w:tcW w:w="1046" w:type="dxa"/>
                  <w:tcBorders>
                    <w:top w:val="single" w:color="auto" w:sz="4" w:space="0"/>
                    <w:bottom w:val="single" w:color="auto" w:sz="4" w:space="0"/>
                  </w:tcBorders>
                  <w:noWrap w:val="0"/>
                  <w:vAlign w:val="center"/>
                </w:tcPr>
                <w:p w14:paraId="26142A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59.21</w:t>
                  </w:r>
                </w:p>
              </w:tc>
            </w:tr>
            <w:tr w14:paraId="190032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2B9FAC41">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kern w:val="0"/>
                      <w:sz w:val="21"/>
                      <w:szCs w:val="21"/>
                      <w:highlight w:val="none"/>
                      <w:lang w:val="en-US" w:eastAsia="zh-CN"/>
                    </w:rPr>
                  </w:pPr>
                  <w:r>
                    <w:rPr>
                      <w:rFonts w:hint="eastAsia"/>
                      <w:kern w:val="0"/>
                      <w:sz w:val="21"/>
                      <w:szCs w:val="21"/>
                      <w:highlight w:val="none"/>
                      <w:lang w:val="en-US" w:eastAsia="zh-CN"/>
                    </w:rPr>
                    <w:t>12</w:t>
                  </w:r>
                </w:p>
              </w:tc>
              <w:tc>
                <w:tcPr>
                  <w:tcW w:w="670" w:type="dxa"/>
                  <w:vMerge w:val="continue"/>
                  <w:noWrap w:val="0"/>
                  <w:vAlign w:val="center"/>
                </w:tcPr>
                <w:p w14:paraId="3DFEF293">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3C1BEA4B">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数控车床6</w:t>
                  </w:r>
                </w:p>
              </w:tc>
              <w:tc>
                <w:tcPr>
                  <w:tcW w:w="790" w:type="dxa"/>
                  <w:tcBorders>
                    <w:top w:val="single" w:color="auto" w:sz="4" w:space="0"/>
                    <w:bottom w:val="single" w:color="auto" w:sz="4" w:space="0"/>
                  </w:tcBorders>
                  <w:noWrap w:val="0"/>
                  <w:vAlign w:val="center"/>
                </w:tcPr>
                <w:p w14:paraId="6CF058AC">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167EE759">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6C42D510">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21</w:t>
                  </w:r>
                </w:p>
              </w:tc>
              <w:tc>
                <w:tcPr>
                  <w:tcW w:w="728" w:type="dxa"/>
                  <w:tcBorders>
                    <w:top w:val="single" w:color="auto" w:sz="4" w:space="0"/>
                    <w:bottom w:val="single" w:color="auto" w:sz="4" w:space="0"/>
                  </w:tcBorders>
                  <w:noWrap w:val="0"/>
                  <w:vAlign w:val="center"/>
                </w:tcPr>
                <w:p w14:paraId="4C01BD47">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13</w:t>
                  </w:r>
                </w:p>
              </w:tc>
              <w:tc>
                <w:tcPr>
                  <w:tcW w:w="730" w:type="dxa"/>
                  <w:tcBorders>
                    <w:top w:val="single" w:color="auto" w:sz="4" w:space="0"/>
                    <w:bottom w:val="single" w:color="auto" w:sz="4" w:space="0"/>
                  </w:tcBorders>
                  <w:noWrap w:val="0"/>
                  <w:vAlign w:val="center"/>
                </w:tcPr>
                <w:p w14:paraId="5CE77647">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6822CD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22.6</w:t>
                  </w:r>
                </w:p>
              </w:tc>
              <w:tc>
                <w:tcPr>
                  <w:tcW w:w="1046" w:type="dxa"/>
                  <w:tcBorders>
                    <w:top w:val="single" w:color="auto" w:sz="4" w:space="0"/>
                    <w:bottom w:val="single" w:color="auto" w:sz="4" w:space="0"/>
                  </w:tcBorders>
                  <w:noWrap w:val="0"/>
                  <w:vAlign w:val="center"/>
                </w:tcPr>
                <w:p w14:paraId="7F1255E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59.19</w:t>
                  </w:r>
                </w:p>
              </w:tc>
            </w:tr>
            <w:tr w14:paraId="2F8AD3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024BAE3A">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13</w:t>
                  </w:r>
                </w:p>
              </w:tc>
              <w:tc>
                <w:tcPr>
                  <w:tcW w:w="670" w:type="dxa"/>
                  <w:vMerge w:val="continue"/>
                  <w:noWrap w:val="0"/>
                  <w:vAlign w:val="center"/>
                </w:tcPr>
                <w:p w14:paraId="48F044E8">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04996D93">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数控车床7</w:t>
                  </w:r>
                </w:p>
              </w:tc>
              <w:tc>
                <w:tcPr>
                  <w:tcW w:w="790" w:type="dxa"/>
                  <w:tcBorders>
                    <w:top w:val="single" w:color="auto" w:sz="4" w:space="0"/>
                    <w:bottom w:val="single" w:color="auto" w:sz="4" w:space="0"/>
                  </w:tcBorders>
                  <w:noWrap w:val="0"/>
                  <w:vAlign w:val="center"/>
                </w:tcPr>
                <w:p w14:paraId="6089421F">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64E539C8">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3DD3DDF9">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24</w:t>
                  </w:r>
                </w:p>
              </w:tc>
              <w:tc>
                <w:tcPr>
                  <w:tcW w:w="728" w:type="dxa"/>
                  <w:tcBorders>
                    <w:top w:val="single" w:color="auto" w:sz="4" w:space="0"/>
                    <w:bottom w:val="single" w:color="auto" w:sz="4" w:space="0"/>
                  </w:tcBorders>
                  <w:noWrap w:val="0"/>
                  <w:vAlign w:val="center"/>
                </w:tcPr>
                <w:p w14:paraId="5FCF281E">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10</w:t>
                  </w:r>
                </w:p>
              </w:tc>
              <w:tc>
                <w:tcPr>
                  <w:tcW w:w="730" w:type="dxa"/>
                  <w:tcBorders>
                    <w:top w:val="single" w:color="auto" w:sz="4" w:space="0"/>
                    <w:bottom w:val="single" w:color="auto" w:sz="4" w:space="0"/>
                  </w:tcBorders>
                  <w:noWrap w:val="0"/>
                  <w:vAlign w:val="center"/>
                </w:tcPr>
                <w:p w14:paraId="6B944A8F">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97957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19.5</w:t>
                  </w:r>
                </w:p>
              </w:tc>
              <w:tc>
                <w:tcPr>
                  <w:tcW w:w="1046" w:type="dxa"/>
                  <w:tcBorders>
                    <w:top w:val="single" w:color="auto" w:sz="4" w:space="0"/>
                    <w:bottom w:val="single" w:color="auto" w:sz="4" w:space="0"/>
                  </w:tcBorders>
                  <w:noWrap w:val="0"/>
                  <w:vAlign w:val="center"/>
                </w:tcPr>
                <w:p w14:paraId="22166F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59.53</w:t>
                  </w:r>
                </w:p>
              </w:tc>
            </w:tr>
            <w:tr w14:paraId="3F1BD9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04A79EE4">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14</w:t>
                  </w:r>
                </w:p>
              </w:tc>
              <w:tc>
                <w:tcPr>
                  <w:tcW w:w="670" w:type="dxa"/>
                  <w:vMerge w:val="continue"/>
                  <w:noWrap w:val="0"/>
                  <w:vAlign w:val="center"/>
                </w:tcPr>
                <w:p w14:paraId="235DDBB8">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4BC1B506">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数控车床8</w:t>
                  </w:r>
                </w:p>
              </w:tc>
              <w:tc>
                <w:tcPr>
                  <w:tcW w:w="790" w:type="dxa"/>
                  <w:tcBorders>
                    <w:top w:val="single" w:color="auto" w:sz="4" w:space="0"/>
                    <w:bottom w:val="single" w:color="auto" w:sz="4" w:space="0"/>
                  </w:tcBorders>
                  <w:noWrap w:val="0"/>
                  <w:vAlign w:val="center"/>
                </w:tcPr>
                <w:p w14:paraId="186F823D">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580435EA">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5E92E87F">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24</w:t>
                  </w:r>
                </w:p>
              </w:tc>
              <w:tc>
                <w:tcPr>
                  <w:tcW w:w="728" w:type="dxa"/>
                  <w:tcBorders>
                    <w:top w:val="single" w:color="auto" w:sz="4" w:space="0"/>
                    <w:bottom w:val="single" w:color="auto" w:sz="4" w:space="0"/>
                  </w:tcBorders>
                  <w:noWrap w:val="0"/>
                  <w:vAlign w:val="center"/>
                </w:tcPr>
                <w:p w14:paraId="35BB0143">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13</w:t>
                  </w:r>
                </w:p>
              </w:tc>
              <w:tc>
                <w:tcPr>
                  <w:tcW w:w="730" w:type="dxa"/>
                  <w:tcBorders>
                    <w:top w:val="single" w:color="auto" w:sz="4" w:space="0"/>
                    <w:bottom w:val="single" w:color="auto" w:sz="4" w:space="0"/>
                  </w:tcBorders>
                  <w:noWrap w:val="0"/>
                  <w:vAlign w:val="center"/>
                </w:tcPr>
                <w:p w14:paraId="404ADE34">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A8B27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19.6</w:t>
                  </w:r>
                </w:p>
              </w:tc>
              <w:tc>
                <w:tcPr>
                  <w:tcW w:w="1046" w:type="dxa"/>
                  <w:tcBorders>
                    <w:top w:val="single" w:color="auto" w:sz="4" w:space="0"/>
                    <w:bottom w:val="single" w:color="auto" w:sz="4" w:space="0"/>
                  </w:tcBorders>
                  <w:noWrap w:val="0"/>
                  <w:vAlign w:val="center"/>
                </w:tcPr>
                <w:p w14:paraId="7895B5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59.52</w:t>
                  </w:r>
                </w:p>
              </w:tc>
            </w:tr>
            <w:tr w14:paraId="48BD36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1A2FD078">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15</w:t>
                  </w:r>
                </w:p>
              </w:tc>
              <w:tc>
                <w:tcPr>
                  <w:tcW w:w="670" w:type="dxa"/>
                  <w:vMerge w:val="continue"/>
                  <w:noWrap w:val="0"/>
                  <w:vAlign w:val="center"/>
                </w:tcPr>
                <w:p w14:paraId="4E87A365">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2C6F9B0C">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数控车床9</w:t>
                  </w:r>
                </w:p>
              </w:tc>
              <w:tc>
                <w:tcPr>
                  <w:tcW w:w="790" w:type="dxa"/>
                  <w:tcBorders>
                    <w:top w:val="single" w:color="auto" w:sz="4" w:space="0"/>
                    <w:bottom w:val="single" w:color="auto" w:sz="4" w:space="0"/>
                  </w:tcBorders>
                  <w:noWrap w:val="0"/>
                  <w:vAlign w:val="center"/>
                </w:tcPr>
                <w:p w14:paraId="58F12A7E">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161B911A">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3DE46022">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27</w:t>
                  </w:r>
                </w:p>
              </w:tc>
              <w:tc>
                <w:tcPr>
                  <w:tcW w:w="728" w:type="dxa"/>
                  <w:tcBorders>
                    <w:top w:val="single" w:color="auto" w:sz="4" w:space="0"/>
                    <w:bottom w:val="single" w:color="auto" w:sz="4" w:space="0"/>
                  </w:tcBorders>
                  <w:noWrap w:val="0"/>
                  <w:vAlign w:val="center"/>
                </w:tcPr>
                <w:p w14:paraId="75D4426E">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13</w:t>
                  </w:r>
                </w:p>
              </w:tc>
              <w:tc>
                <w:tcPr>
                  <w:tcW w:w="730" w:type="dxa"/>
                  <w:tcBorders>
                    <w:top w:val="single" w:color="auto" w:sz="4" w:space="0"/>
                    <w:bottom w:val="single" w:color="auto" w:sz="4" w:space="0"/>
                  </w:tcBorders>
                  <w:noWrap w:val="0"/>
                  <w:vAlign w:val="center"/>
                </w:tcPr>
                <w:p w14:paraId="6C5D3413">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5AC42D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18.4</w:t>
                  </w:r>
                </w:p>
              </w:tc>
              <w:tc>
                <w:tcPr>
                  <w:tcW w:w="1046" w:type="dxa"/>
                  <w:tcBorders>
                    <w:top w:val="single" w:color="auto" w:sz="4" w:space="0"/>
                    <w:bottom w:val="single" w:color="auto" w:sz="4" w:space="0"/>
                  </w:tcBorders>
                  <w:noWrap w:val="0"/>
                  <w:vAlign w:val="center"/>
                </w:tcPr>
                <w:p w14:paraId="1611C8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59.68</w:t>
                  </w:r>
                </w:p>
              </w:tc>
            </w:tr>
            <w:tr w14:paraId="537280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7557F3D0">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16</w:t>
                  </w:r>
                </w:p>
              </w:tc>
              <w:tc>
                <w:tcPr>
                  <w:tcW w:w="670" w:type="dxa"/>
                  <w:vMerge w:val="continue"/>
                  <w:noWrap w:val="0"/>
                  <w:vAlign w:val="center"/>
                </w:tcPr>
                <w:p w14:paraId="3C31F251">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15CD878A">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color w:val="auto"/>
                      <w:sz w:val="21"/>
                      <w:szCs w:val="21"/>
                      <w:highlight w:val="none"/>
                      <w:lang w:val="en-US" w:eastAsia="zh-CN"/>
                    </w:rPr>
                  </w:pPr>
                  <w:r>
                    <w:rPr>
                      <w:rFonts w:hint="eastAsia"/>
                      <w:color w:val="auto"/>
                      <w:sz w:val="21"/>
                      <w:szCs w:val="21"/>
                      <w:highlight w:val="none"/>
                      <w:lang w:val="en-US" w:eastAsia="zh-CN"/>
                    </w:rPr>
                    <w:t>数控车床10</w:t>
                  </w:r>
                </w:p>
              </w:tc>
              <w:tc>
                <w:tcPr>
                  <w:tcW w:w="790" w:type="dxa"/>
                  <w:tcBorders>
                    <w:top w:val="single" w:color="auto" w:sz="4" w:space="0"/>
                    <w:bottom w:val="single" w:color="auto" w:sz="4" w:space="0"/>
                  </w:tcBorders>
                  <w:noWrap w:val="0"/>
                  <w:vAlign w:val="center"/>
                </w:tcPr>
                <w:p w14:paraId="662B0D7C">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7E6B3759">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26AF863D">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30</w:t>
                  </w:r>
                </w:p>
              </w:tc>
              <w:tc>
                <w:tcPr>
                  <w:tcW w:w="728" w:type="dxa"/>
                  <w:tcBorders>
                    <w:top w:val="single" w:color="auto" w:sz="4" w:space="0"/>
                    <w:bottom w:val="single" w:color="auto" w:sz="4" w:space="0"/>
                  </w:tcBorders>
                  <w:noWrap w:val="0"/>
                  <w:vAlign w:val="center"/>
                </w:tcPr>
                <w:p w14:paraId="014BF0DA">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13</w:t>
                  </w:r>
                </w:p>
              </w:tc>
              <w:tc>
                <w:tcPr>
                  <w:tcW w:w="730" w:type="dxa"/>
                  <w:tcBorders>
                    <w:top w:val="single" w:color="auto" w:sz="4" w:space="0"/>
                    <w:bottom w:val="single" w:color="auto" w:sz="4" w:space="0"/>
                  </w:tcBorders>
                  <w:noWrap w:val="0"/>
                  <w:vAlign w:val="center"/>
                </w:tcPr>
                <w:p w14:paraId="17F48A01">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1D891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14.9</w:t>
                  </w:r>
                </w:p>
              </w:tc>
              <w:tc>
                <w:tcPr>
                  <w:tcW w:w="1046" w:type="dxa"/>
                  <w:tcBorders>
                    <w:top w:val="single" w:color="auto" w:sz="4" w:space="0"/>
                    <w:bottom w:val="single" w:color="auto" w:sz="4" w:space="0"/>
                  </w:tcBorders>
                  <w:noWrap w:val="0"/>
                  <w:vAlign w:val="center"/>
                </w:tcPr>
                <w:p w14:paraId="085CE5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60.36</w:t>
                  </w:r>
                </w:p>
              </w:tc>
            </w:tr>
            <w:tr w14:paraId="71E6F5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47D40834">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17</w:t>
                  </w:r>
                </w:p>
              </w:tc>
              <w:tc>
                <w:tcPr>
                  <w:tcW w:w="670" w:type="dxa"/>
                  <w:vMerge w:val="continue"/>
                  <w:noWrap w:val="0"/>
                  <w:vAlign w:val="center"/>
                </w:tcPr>
                <w:p w14:paraId="64BFF074">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3F973D10">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color w:val="auto"/>
                      <w:sz w:val="21"/>
                      <w:szCs w:val="21"/>
                      <w:highlight w:val="none"/>
                      <w:lang w:val="en-US" w:eastAsia="zh-CN"/>
                    </w:rPr>
                  </w:pPr>
                  <w:r>
                    <w:rPr>
                      <w:rFonts w:hint="eastAsia"/>
                      <w:color w:val="auto"/>
                      <w:sz w:val="21"/>
                      <w:szCs w:val="21"/>
                      <w:highlight w:val="none"/>
                      <w:lang w:val="en-US" w:eastAsia="zh-CN"/>
                    </w:rPr>
                    <w:t>喷砂机1</w:t>
                  </w:r>
                </w:p>
              </w:tc>
              <w:tc>
                <w:tcPr>
                  <w:tcW w:w="790" w:type="dxa"/>
                  <w:tcBorders>
                    <w:top w:val="single" w:color="auto" w:sz="4" w:space="0"/>
                    <w:bottom w:val="single" w:color="auto" w:sz="4" w:space="0"/>
                  </w:tcBorders>
                  <w:noWrap w:val="0"/>
                  <w:vAlign w:val="center"/>
                </w:tcPr>
                <w:p w14:paraId="42975C1E">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0A1CEE2E">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2176051D">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20</w:t>
                  </w:r>
                </w:p>
              </w:tc>
              <w:tc>
                <w:tcPr>
                  <w:tcW w:w="728" w:type="dxa"/>
                  <w:tcBorders>
                    <w:top w:val="single" w:color="auto" w:sz="4" w:space="0"/>
                    <w:bottom w:val="single" w:color="auto" w:sz="4" w:space="0"/>
                  </w:tcBorders>
                  <w:noWrap w:val="0"/>
                  <w:vAlign w:val="center"/>
                </w:tcPr>
                <w:p w14:paraId="6F6A7CAC">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5</w:t>
                  </w:r>
                </w:p>
              </w:tc>
              <w:tc>
                <w:tcPr>
                  <w:tcW w:w="730" w:type="dxa"/>
                  <w:tcBorders>
                    <w:top w:val="single" w:color="auto" w:sz="4" w:space="0"/>
                    <w:bottom w:val="single" w:color="auto" w:sz="4" w:space="0"/>
                  </w:tcBorders>
                  <w:noWrap w:val="0"/>
                  <w:vAlign w:val="center"/>
                </w:tcPr>
                <w:p w14:paraId="66BFDFAD">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C31B4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23.9</w:t>
                  </w:r>
                </w:p>
              </w:tc>
              <w:tc>
                <w:tcPr>
                  <w:tcW w:w="1046" w:type="dxa"/>
                  <w:tcBorders>
                    <w:top w:val="single" w:color="auto" w:sz="4" w:space="0"/>
                    <w:bottom w:val="single" w:color="auto" w:sz="4" w:space="0"/>
                  </w:tcBorders>
                  <w:noWrap w:val="0"/>
                  <w:vAlign w:val="center"/>
                </w:tcPr>
                <w:p w14:paraId="45F3FA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59.08</w:t>
                  </w:r>
                </w:p>
              </w:tc>
            </w:tr>
            <w:tr w14:paraId="6CA3A7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59257908">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18</w:t>
                  </w:r>
                </w:p>
              </w:tc>
              <w:tc>
                <w:tcPr>
                  <w:tcW w:w="670" w:type="dxa"/>
                  <w:vMerge w:val="continue"/>
                  <w:noWrap w:val="0"/>
                  <w:vAlign w:val="center"/>
                </w:tcPr>
                <w:p w14:paraId="632385C8">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54094DA7">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喷砂机2</w:t>
                  </w:r>
                </w:p>
              </w:tc>
              <w:tc>
                <w:tcPr>
                  <w:tcW w:w="790" w:type="dxa"/>
                  <w:tcBorders>
                    <w:top w:val="single" w:color="auto" w:sz="4" w:space="0"/>
                    <w:bottom w:val="single" w:color="auto" w:sz="4" w:space="0"/>
                  </w:tcBorders>
                  <w:noWrap w:val="0"/>
                  <w:vAlign w:val="center"/>
                </w:tcPr>
                <w:p w14:paraId="580404BA">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85</w:t>
                  </w:r>
                </w:p>
              </w:tc>
              <w:tc>
                <w:tcPr>
                  <w:tcW w:w="748" w:type="dxa"/>
                  <w:vMerge w:val="continue"/>
                  <w:noWrap w:val="0"/>
                  <w:vAlign w:val="center"/>
                </w:tcPr>
                <w:p w14:paraId="544116C8">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1A542104">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25</w:t>
                  </w:r>
                </w:p>
              </w:tc>
              <w:tc>
                <w:tcPr>
                  <w:tcW w:w="728" w:type="dxa"/>
                  <w:tcBorders>
                    <w:top w:val="single" w:color="auto" w:sz="4" w:space="0"/>
                    <w:bottom w:val="single" w:color="auto" w:sz="4" w:space="0"/>
                  </w:tcBorders>
                  <w:noWrap w:val="0"/>
                  <w:vAlign w:val="center"/>
                </w:tcPr>
                <w:p w14:paraId="5DDDE2C7">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5</w:t>
                  </w:r>
                </w:p>
              </w:tc>
              <w:tc>
                <w:tcPr>
                  <w:tcW w:w="730" w:type="dxa"/>
                  <w:tcBorders>
                    <w:top w:val="single" w:color="auto" w:sz="4" w:space="0"/>
                    <w:bottom w:val="single" w:color="auto" w:sz="4" w:space="0"/>
                  </w:tcBorders>
                  <w:noWrap w:val="0"/>
                  <w:vAlign w:val="center"/>
                </w:tcPr>
                <w:p w14:paraId="516C3C1F">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022A3C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18.6</w:t>
                  </w:r>
                </w:p>
              </w:tc>
              <w:tc>
                <w:tcPr>
                  <w:tcW w:w="1046" w:type="dxa"/>
                  <w:tcBorders>
                    <w:top w:val="single" w:color="auto" w:sz="4" w:space="0"/>
                    <w:bottom w:val="single" w:color="auto" w:sz="4" w:space="0"/>
                  </w:tcBorders>
                  <w:noWrap w:val="0"/>
                  <w:vAlign w:val="center"/>
                </w:tcPr>
                <w:p w14:paraId="43438C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59.65</w:t>
                  </w:r>
                </w:p>
              </w:tc>
            </w:tr>
            <w:tr w14:paraId="59ED02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0F1C39FA">
                  <w:pPr>
                    <w:keepNext w:val="0"/>
                    <w:keepLines w:val="0"/>
                    <w:suppressLineNumbers w:val="0"/>
                    <w:adjustRightInd w:val="0"/>
                    <w:snapToGrid w:val="0"/>
                    <w:spacing w:before="0" w:beforeAutospacing="0" w:after="0" w:afterAutospacing="0"/>
                    <w:ind w:left="0" w:right="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19</w:t>
                  </w:r>
                </w:p>
              </w:tc>
              <w:tc>
                <w:tcPr>
                  <w:tcW w:w="670" w:type="dxa"/>
                  <w:vMerge w:val="continue"/>
                  <w:noWrap w:val="0"/>
                  <w:vAlign w:val="center"/>
                </w:tcPr>
                <w:p w14:paraId="25881E15">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50C711C4">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color w:val="auto"/>
                      <w:sz w:val="21"/>
                      <w:szCs w:val="21"/>
                      <w:highlight w:val="none"/>
                      <w:lang w:val="en-US" w:eastAsia="zh-CN"/>
                    </w:rPr>
                  </w:pPr>
                  <w:r>
                    <w:rPr>
                      <w:rFonts w:hint="eastAsia"/>
                      <w:color w:val="auto"/>
                      <w:sz w:val="21"/>
                      <w:szCs w:val="21"/>
                      <w:highlight w:val="none"/>
                      <w:lang w:val="en-US" w:eastAsia="zh-CN"/>
                    </w:rPr>
                    <w:t>平面磨床1</w:t>
                  </w:r>
                </w:p>
              </w:tc>
              <w:tc>
                <w:tcPr>
                  <w:tcW w:w="790" w:type="dxa"/>
                  <w:tcBorders>
                    <w:top w:val="single" w:color="auto" w:sz="4" w:space="0"/>
                    <w:bottom w:val="single" w:color="auto" w:sz="4" w:space="0"/>
                  </w:tcBorders>
                  <w:noWrap w:val="0"/>
                  <w:vAlign w:val="center"/>
                </w:tcPr>
                <w:p w14:paraId="3026ECDD">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80</w:t>
                  </w:r>
                </w:p>
              </w:tc>
              <w:tc>
                <w:tcPr>
                  <w:tcW w:w="748" w:type="dxa"/>
                  <w:vMerge w:val="continue"/>
                  <w:noWrap w:val="0"/>
                  <w:vAlign w:val="center"/>
                </w:tcPr>
                <w:p w14:paraId="2C0FA553">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7428BE47">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30</w:t>
                  </w:r>
                </w:p>
              </w:tc>
              <w:tc>
                <w:tcPr>
                  <w:tcW w:w="728" w:type="dxa"/>
                  <w:tcBorders>
                    <w:top w:val="single" w:color="auto" w:sz="4" w:space="0"/>
                    <w:bottom w:val="single" w:color="auto" w:sz="4" w:space="0"/>
                  </w:tcBorders>
                  <w:noWrap w:val="0"/>
                  <w:vAlign w:val="center"/>
                </w:tcPr>
                <w:p w14:paraId="29E6217F">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5</w:t>
                  </w:r>
                </w:p>
              </w:tc>
              <w:tc>
                <w:tcPr>
                  <w:tcW w:w="730" w:type="dxa"/>
                  <w:tcBorders>
                    <w:top w:val="single" w:color="auto" w:sz="4" w:space="0"/>
                    <w:bottom w:val="single" w:color="auto" w:sz="4" w:space="0"/>
                  </w:tcBorders>
                  <w:noWrap w:val="0"/>
                  <w:vAlign w:val="center"/>
                </w:tcPr>
                <w:p w14:paraId="0641FBF4">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596A0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13.5</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046" w:type="dxa"/>
                  <w:tcBorders>
                    <w:top w:val="single" w:color="auto" w:sz="4" w:space="0"/>
                    <w:bottom w:val="single" w:color="auto" w:sz="4" w:space="0"/>
                  </w:tcBorders>
                  <w:noWrap w:val="0"/>
                  <w:vAlign w:val="center"/>
                </w:tcPr>
                <w:p w14:paraId="01633C9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55.74</w:t>
                  </w:r>
                </w:p>
              </w:tc>
            </w:tr>
            <w:tr w14:paraId="2F28B3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79BB335E">
                  <w:pPr>
                    <w:keepNext w:val="0"/>
                    <w:keepLines w:val="0"/>
                    <w:suppressLineNumbers w:val="0"/>
                    <w:adjustRightInd w:val="0"/>
                    <w:snapToGrid w:val="0"/>
                    <w:spacing w:before="0" w:beforeAutospacing="0" w:after="0" w:afterAutospacing="0"/>
                    <w:ind w:left="0" w:right="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20</w:t>
                  </w:r>
                </w:p>
              </w:tc>
              <w:tc>
                <w:tcPr>
                  <w:tcW w:w="670" w:type="dxa"/>
                  <w:vMerge w:val="continue"/>
                  <w:noWrap w:val="0"/>
                  <w:vAlign w:val="center"/>
                </w:tcPr>
                <w:p w14:paraId="4C100F1A">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0FCD69EE">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kern w:val="0"/>
                      <w:sz w:val="21"/>
                      <w:szCs w:val="21"/>
                      <w:highlight w:val="none"/>
                      <w:lang w:val="en-US" w:eastAsia="zh-CN"/>
                    </w:rPr>
                  </w:pPr>
                  <w:r>
                    <w:rPr>
                      <w:rFonts w:hint="eastAsia"/>
                      <w:color w:val="auto"/>
                      <w:sz w:val="21"/>
                      <w:szCs w:val="21"/>
                      <w:highlight w:val="none"/>
                      <w:lang w:val="en-US" w:eastAsia="zh-CN"/>
                    </w:rPr>
                    <w:t>平面磨床2</w:t>
                  </w:r>
                </w:p>
              </w:tc>
              <w:tc>
                <w:tcPr>
                  <w:tcW w:w="790" w:type="dxa"/>
                  <w:tcBorders>
                    <w:top w:val="single" w:color="auto" w:sz="4" w:space="0"/>
                    <w:bottom w:val="single" w:color="auto" w:sz="4" w:space="0"/>
                  </w:tcBorders>
                  <w:noWrap w:val="0"/>
                  <w:vAlign w:val="center"/>
                </w:tcPr>
                <w:p w14:paraId="0B87A57B">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80</w:t>
                  </w:r>
                </w:p>
              </w:tc>
              <w:tc>
                <w:tcPr>
                  <w:tcW w:w="748" w:type="dxa"/>
                  <w:vMerge w:val="continue"/>
                  <w:noWrap w:val="0"/>
                  <w:vAlign w:val="center"/>
                </w:tcPr>
                <w:p w14:paraId="2E527F59">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644AC7F1">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34</w:t>
                  </w:r>
                </w:p>
              </w:tc>
              <w:tc>
                <w:tcPr>
                  <w:tcW w:w="728" w:type="dxa"/>
                  <w:tcBorders>
                    <w:top w:val="single" w:color="auto" w:sz="4" w:space="0"/>
                    <w:bottom w:val="single" w:color="auto" w:sz="4" w:space="0"/>
                  </w:tcBorders>
                  <w:noWrap w:val="0"/>
                  <w:vAlign w:val="center"/>
                </w:tcPr>
                <w:p w14:paraId="2AF94F19">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lang w:val="en-US" w:eastAsia="zh-CN"/>
                    </w:rPr>
                  </w:pPr>
                  <w:r>
                    <w:rPr>
                      <w:rFonts w:hint="eastAsia"/>
                      <w:sz w:val="21"/>
                      <w:szCs w:val="21"/>
                      <w:highlight w:val="none"/>
                      <w:lang w:val="en-US" w:eastAsia="zh-CN"/>
                    </w:rPr>
                    <w:t>5</w:t>
                  </w:r>
                </w:p>
              </w:tc>
              <w:tc>
                <w:tcPr>
                  <w:tcW w:w="730" w:type="dxa"/>
                  <w:tcBorders>
                    <w:top w:val="single" w:color="auto" w:sz="4" w:space="0"/>
                    <w:bottom w:val="single" w:color="auto" w:sz="4" w:space="0"/>
                  </w:tcBorders>
                  <w:noWrap w:val="0"/>
                  <w:vAlign w:val="center"/>
                </w:tcPr>
                <w:p w14:paraId="14778CAF">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3C6A4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8.9</w:t>
                  </w:r>
                </w:p>
              </w:tc>
              <w:tc>
                <w:tcPr>
                  <w:tcW w:w="1046" w:type="dxa"/>
                  <w:tcBorders>
                    <w:top w:val="single" w:color="auto" w:sz="4" w:space="0"/>
                    <w:bottom w:val="single" w:color="auto" w:sz="4" w:space="0"/>
                  </w:tcBorders>
                  <w:noWrap w:val="0"/>
                  <w:vAlign w:val="center"/>
                </w:tcPr>
                <w:p w14:paraId="1AEBE4C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57.80</w:t>
                  </w:r>
                </w:p>
              </w:tc>
            </w:tr>
            <w:tr w14:paraId="0FFBBB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29108190">
                  <w:pPr>
                    <w:keepNext w:val="0"/>
                    <w:keepLines w:val="0"/>
                    <w:suppressLineNumbers w:val="0"/>
                    <w:adjustRightInd w:val="0"/>
                    <w:snapToGrid w:val="0"/>
                    <w:spacing w:before="0" w:beforeAutospacing="0" w:after="0" w:afterAutospacing="0"/>
                    <w:ind w:left="0" w:right="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21</w:t>
                  </w:r>
                </w:p>
              </w:tc>
              <w:tc>
                <w:tcPr>
                  <w:tcW w:w="670" w:type="dxa"/>
                  <w:vMerge w:val="continue"/>
                  <w:noWrap w:val="0"/>
                  <w:vAlign w:val="center"/>
                </w:tcPr>
                <w:p w14:paraId="05A96419">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4" w:space="0"/>
                  </w:tcBorders>
                  <w:noWrap w:val="0"/>
                  <w:vAlign w:val="center"/>
                </w:tcPr>
                <w:p w14:paraId="16A177B0">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kern w:val="0"/>
                      <w:sz w:val="21"/>
                      <w:szCs w:val="21"/>
                      <w:highlight w:val="none"/>
                      <w:lang w:val="en-US" w:eastAsia="zh-CN"/>
                    </w:rPr>
                  </w:pPr>
                  <w:r>
                    <w:rPr>
                      <w:rFonts w:hint="eastAsia"/>
                      <w:kern w:val="0"/>
                      <w:sz w:val="21"/>
                      <w:szCs w:val="21"/>
                      <w:highlight w:val="none"/>
                      <w:lang w:val="en-US" w:eastAsia="zh-CN"/>
                    </w:rPr>
                    <w:t>空压机</w:t>
                  </w:r>
                </w:p>
              </w:tc>
              <w:tc>
                <w:tcPr>
                  <w:tcW w:w="790" w:type="dxa"/>
                  <w:tcBorders>
                    <w:top w:val="single" w:color="auto" w:sz="4" w:space="0"/>
                    <w:bottom w:val="single" w:color="auto" w:sz="4" w:space="0"/>
                  </w:tcBorders>
                  <w:noWrap w:val="0"/>
                  <w:vAlign w:val="center"/>
                </w:tcPr>
                <w:p w14:paraId="1C943D98">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lang w:val="en-US" w:eastAsia="zh-CN"/>
                    </w:rPr>
                  </w:pPr>
                  <w:r>
                    <w:rPr>
                      <w:rFonts w:hint="eastAsia"/>
                      <w:sz w:val="21"/>
                      <w:szCs w:val="21"/>
                      <w:highlight w:val="none"/>
                      <w:lang w:val="en-US" w:eastAsia="zh-CN"/>
                    </w:rPr>
                    <w:t>90</w:t>
                  </w:r>
                </w:p>
              </w:tc>
              <w:tc>
                <w:tcPr>
                  <w:tcW w:w="748" w:type="dxa"/>
                  <w:vMerge w:val="continue"/>
                  <w:noWrap w:val="0"/>
                  <w:vAlign w:val="center"/>
                </w:tcPr>
                <w:p w14:paraId="297E5F64">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4" w:space="0"/>
                  </w:tcBorders>
                  <w:noWrap w:val="0"/>
                  <w:vAlign w:val="center"/>
                </w:tcPr>
                <w:p w14:paraId="5912C488">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5</w:t>
                  </w:r>
                </w:p>
              </w:tc>
              <w:tc>
                <w:tcPr>
                  <w:tcW w:w="728" w:type="dxa"/>
                  <w:tcBorders>
                    <w:top w:val="single" w:color="auto" w:sz="4" w:space="0"/>
                    <w:bottom w:val="single" w:color="auto" w:sz="4" w:space="0"/>
                  </w:tcBorders>
                  <w:noWrap w:val="0"/>
                  <w:vAlign w:val="center"/>
                </w:tcPr>
                <w:p w14:paraId="7665B6CD">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30" w:type="dxa"/>
                  <w:tcBorders>
                    <w:top w:val="single" w:color="auto" w:sz="4" w:space="0"/>
                    <w:bottom w:val="single" w:color="auto" w:sz="4" w:space="0"/>
                  </w:tcBorders>
                  <w:noWrap w:val="0"/>
                  <w:vAlign w:val="center"/>
                </w:tcPr>
                <w:p w14:paraId="215F2E1C">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8378D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cs="Times New Roman"/>
                      <w:sz w:val="21"/>
                      <w:szCs w:val="21"/>
                      <w:highlight w:val="none"/>
                      <w:lang w:val="en-US" w:eastAsia="zh-CN"/>
                    </w:rPr>
                  </w:pPr>
                  <w:r>
                    <w:rPr>
                      <w:rFonts w:hint="eastAsia" w:cs="Times New Roman"/>
                      <w:sz w:val="21"/>
                      <w:szCs w:val="21"/>
                      <w:highlight w:val="none"/>
                      <w:lang w:val="en-US" w:eastAsia="zh-CN"/>
                    </w:rPr>
                    <w:t>38.1</w:t>
                  </w:r>
                </w:p>
              </w:tc>
              <w:tc>
                <w:tcPr>
                  <w:tcW w:w="1046" w:type="dxa"/>
                  <w:tcBorders>
                    <w:top w:val="single" w:color="auto" w:sz="4" w:space="0"/>
                    <w:bottom w:val="single" w:color="auto" w:sz="4" w:space="0"/>
                  </w:tcBorders>
                  <w:noWrap w:val="0"/>
                  <w:vAlign w:val="center"/>
                </w:tcPr>
                <w:p w14:paraId="6FB7E4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63.46</w:t>
                  </w:r>
                </w:p>
              </w:tc>
            </w:tr>
            <w:tr w14:paraId="3BE121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8" w:space="0"/>
                  </w:tcBorders>
                  <w:noWrap w:val="0"/>
                  <w:vAlign w:val="center"/>
                </w:tcPr>
                <w:p w14:paraId="5F264437">
                  <w:pPr>
                    <w:keepNext w:val="0"/>
                    <w:keepLines w:val="0"/>
                    <w:suppressLineNumbers w:val="0"/>
                    <w:adjustRightInd w:val="0"/>
                    <w:snapToGrid w:val="0"/>
                    <w:spacing w:before="0" w:beforeAutospacing="0" w:after="0" w:afterAutospacing="0"/>
                    <w:ind w:left="0" w:right="0"/>
                    <w:jc w:val="center"/>
                    <w:textAlignment w:val="baseline"/>
                    <w:rPr>
                      <w:rFonts w:hint="default"/>
                      <w:kern w:val="0"/>
                      <w:sz w:val="21"/>
                      <w:szCs w:val="21"/>
                      <w:highlight w:val="none"/>
                      <w:lang w:val="en-US" w:eastAsia="zh-CN"/>
                    </w:rPr>
                  </w:pPr>
                  <w:r>
                    <w:rPr>
                      <w:rFonts w:hint="eastAsia"/>
                      <w:kern w:val="0"/>
                      <w:sz w:val="21"/>
                      <w:szCs w:val="21"/>
                      <w:highlight w:val="none"/>
                      <w:lang w:val="en-US" w:eastAsia="zh-CN"/>
                    </w:rPr>
                    <w:t>22</w:t>
                  </w:r>
                </w:p>
              </w:tc>
              <w:tc>
                <w:tcPr>
                  <w:tcW w:w="670" w:type="dxa"/>
                  <w:vMerge w:val="continue"/>
                  <w:tcBorders>
                    <w:bottom w:val="single" w:color="auto" w:sz="8" w:space="0"/>
                  </w:tcBorders>
                  <w:noWrap w:val="0"/>
                  <w:vAlign w:val="center"/>
                </w:tcPr>
                <w:p w14:paraId="437C29F5">
                  <w:pPr>
                    <w:keepNext w:val="0"/>
                    <w:keepLines w:val="0"/>
                    <w:suppressLineNumbers w:val="0"/>
                    <w:adjustRightInd w:val="0"/>
                    <w:snapToGrid w:val="0"/>
                    <w:spacing w:before="0" w:beforeAutospacing="0" w:after="0" w:afterAutospacing="0"/>
                    <w:ind w:left="0" w:right="0"/>
                    <w:jc w:val="center"/>
                    <w:textAlignment w:val="baseline"/>
                    <w:rPr>
                      <w:rFonts w:hint="eastAsia"/>
                      <w:sz w:val="21"/>
                      <w:szCs w:val="21"/>
                      <w:highlight w:val="none"/>
                      <w:lang w:val="en-US" w:eastAsia="zh-CN"/>
                    </w:rPr>
                  </w:pPr>
                </w:p>
              </w:tc>
              <w:tc>
                <w:tcPr>
                  <w:tcW w:w="1881" w:type="dxa"/>
                  <w:tcBorders>
                    <w:top w:val="single" w:color="auto" w:sz="4" w:space="0"/>
                    <w:bottom w:val="single" w:color="auto" w:sz="8" w:space="0"/>
                  </w:tcBorders>
                  <w:noWrap w:val="0"/>
                  <w:vAlign w:val="center"/>
                </w:tcPr>
                <w:p w14:paraId="5DB6984B">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风机</w:t>
                  </w:r>
                </w:p>
              </w:tc>
              <w:tc>
                <w:tcPr>
                  <w:tcW w:w="790" w:type="dxa"/>
                  <w:tcBorders>
                    <w:top w:val="single" w:color="auto" w:sz="4" w:space="0"/>
                    <w:bottom w:val="single" w:color="auto" w:sz="8" w:space="0"/>
                  </w:tcBorders>
                  <w:noWrap w:val="0"/>
                  <w:vAlign w:val="center"/>
                </w:tcPr>
                <w:p w14:paraId="3D47DF69">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w:t>
                  </w:r>
                </w:p>
              </w:tc>
              <w:tc>
                <w:tcPr>
                  <w:tcW w:w="748" w:type="dxa"/>
                  <w:vMerge w:val="continue"/>
                  <w:tcBorders>
                    <w:bottom w:val="single" w:color="auto" w:sz="8" w:space="0"/>
                  </w:tcBorders>
                  <w:noWrap w:val="0"/>
                  <w:vAlign w:val="center"/>
                </w:tcPr>
                <w:p w14:paraId="5A98DA44">
                  <w:pPr>
                    <w:keepNext w:val="0"/>
                    <w:keepLines w:val="0"/>
                    <w:suppressLineNumbers w:val="0"/>
                    <w:adjustRightInd w:val="0"/>
                    <w:snapToGrid w:val="0"/>
                    <w:spacing w:before="0" w:beforeAutospacing="0" w:after="0" w:afterAutospacing="0"/>
                    <w:ind w:left="0" w:right="0"/>
                    <w:jc w:val="center"/>
                    <w:textAlignment w:val="baseline"/>
                    <w:rPr>
                      <w:rFonts w:hint="eastAsia"/>
                      <w:kern w:val="0"/>
                      <w:sz w:val="21"/>
                      <w:szCs w:val="21"/>
                      <w:highlight w:val="none"/>
                    </w:rPr>
                  </w:pPr>
                </w:p>
              </w:tc>
              <w:tc>
                <w:tcPr>
                  <w:tcW w:w="772" w:type="dxa"/>
                  <w:tcBorders>
                    <w:top w:val="single" w:color="auto" w:sz="4" w:space="0"/>
                    <w:bottom w:val="single" w:color="auto" w:sz="8" w:space="0"/>
                  </w:tcBorders>
                  <w:noWrap w:val="0"/>
                  <w:vAlign w:val="center"/>
                </w:tcPr>
                <w:p w14:paraId="5B51F8AA">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15</w:t>
                  </w:r>
                </w:p>
              </w:tc>
              <w:tc>
                <w:tcPr>
                  <w:tcW w:w="728" w:type="dxa"/>
                  <w:tcBorders>
                    <w:top w:val="single" w:color="auto" w:sz="4" w:space="0"/>
                    <w:bottom w:val="single" w:color="auto" w:sz="8" w:space="0"/>
                  </w:tcBorders>
                  <w:noWrap w:val="0"/>
                  <w:vAlign w:val="center"/>
                </w:tcPr>
                <w:p w14:paraId="2F887BE0">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15</w:t>
                  </w:r>
                </w:p>
              </w:tc>
              <w:tc>
                <w:tcPr>
                  <w:tcW w:w="730" w:type="dxa"/>
                  <w:tcBorders>
                    <w:top w:val="single" w:color="auto" w:sz="4" w:space="0"/>
                    <w:bottom w:val="single" w:color="auto" w:sz="8" w:space="0"/>
                  </w:tcBorders>
                  <w:noWrap w:val="0"/>
                  <w:vAlign w:val="center"/>
                </w:tcPr>
                <w:p w14:paraId="386E4924">
                  <w:pPr>
                    <w:keepNext w:val="0"/>
                    <w:keepLines w:val="0"/>
                    <w:suppressLineNumbers w:val="0"/>
                    <w:adjustRightInd w:val="0"/>
                    <w:snapToGrid w:val="0"/>
                    <w:spacing w:before="0" w:beforeAutospacing="0" w:after="0" w:afterAutospacing="0"/>
                    <w:ind w:left="0" w:right="0"/>
                    <w:jc w:val="center"/>
                    <w:textAlignment w:val="baseline"/>
                    <w:rPr>
                      <w:rFonts w:hint="default"/>
                      <w:sz w:val="21"/>
                      <w:szCs w:val="21"/>
                      <w:highlight w:val="none"/>
                      <w:lang w:val="en-US" w:eastAsia="zh-CN"/>
                    </w:rPr>
                  </w:pPr>
                  <w:r>
                    <w:rPr>
                      <w:rFonts w:hint="eastAsia"/>
                      <w:sz w:val="21"/>
                      <w:szCs w:val="21"/>
                      <w:highlight w:val="none"/>
                      <w:lang w:val="en-US" w:eastAsia="zh-CN"/>
                    </w:rPr>
                    <w:t>1.2</w:t>
                  </w:r>
                </w:p>
              </w:tc>
              <w:tc>
                <w:tcPr>
                  <w:tcW w:w="790" w:type="dxa"/>
                  <w:tcBorders>
                    <w:top w:val="single" w:color="auto" w:sz="4" w:space="0"/>
                    <w:bottom w:val="single" w:color="auto" w:sz="8" w:space="0"/>
                  </w:tcBorders>
                  <w:noWrap w:val="0"/>
                  <w:vAlign w:val="center"/>
                </w:tcPr>
                <w:p w14:paraId="1800C9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18.6</w:t>
                  </w:r>
                </w:p>
              </w:tc>
              <w:tc>
                <w:tcPr>
                  <w:tcW w:w="1046" w:type="dxa"/>
                  <w:tcBorders>
                    <w:top w:val="single" w:color="auto" w:sz="4" w:space="0"/>
                    <w:bottom w:val="single" w:color="auto" w:sz="8" w:space="0"/>
                  </w:tcBorders>
                  <w:noWrap w:val="0"/>
                  <w:vAlign w:val="center"/>
                </w:tcPr>
                <w:p w14:paraId="67EFE98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64.65</w:t>
                  </w:r>
                </w:p>
              </w:tc>
            </w:tr>
          </w:tbl>
          <w:p w14:paraId="7D174F9E">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480" w:firstLineChars="200"/>
              <w:jc w:val="left"/>
              <w:rPr>
                <w:rFonts w:hint="default"/>
                <w:sz w:val="24"/>
              </w:rPr>
            </w:pPr>
            <w:r>
              <w:rPr>
                <w:rFonts w:hint="default"/>
                <w:sz w:val="24"/>
              </w:rPr>
              <w:t>然后按下式计算出所有室内声源在围护结构处产生的i倍频带叠加声压级：</w:t>
            </w:r>
          </w:p>
          <w:p w14:paraId="376C8134">
            <w:pPr>
              <w:keepNext w:val="0"/>
              <w:keepLines w:val="0"/>
              <w:suppressLineNumbers w:val="0"/>
              <w:spacing w:before="0" w:beforeAutospacing="0" w:after="0" w:afterAutospacing="0" w:line="360" w:lineRule="auto"/>
              <w:ind w:left="0" w:right="0"/>
              <w:jc w:val="center"/>
              <w:rPr>
                <w:rFonts w:hint="default"/>
                <w:sz w:val="28"/>
                <w:szCs w:val="28"/>
              </w:rPr>
            </w:pPr>
            <w:r>
              <w:rPr>
                <w:rFonts w:hint="default" w:ascii="Times New Roman" w:hAnsi="Times New Roman" w:cs="Times New Roman"/>
                <w:color w:val="0C0C0C"/>
                <w:sz w:val="28"/>
                <w:szCs w:val="28"/>
              </w:rPr>
              <w:t>L</w:t>
            </w:r>
            <w:r>
              <w:rPr>
                <w:rFonts w:hint="default" w:ascii="Times New Roman" w:hAnsi="Times New Roman" w:cs="Times New Roman"/>
                <w:color w:val="0C0C0C"/>
                <w:sz w:val="28"/>
                <w:szCs w:val="28"/>
                <w:vertAlign w:val="subscript"/>
              </w:rPr>
              <w:t>p1i</w:t>
            </w:r>
            <w:r>
              <w:rPr>
                <w:rFonts w:hint="default" w:ascii="Times New Roman" w:hAnsi="Times New Roman" w:cs="Times New Roman"/>
                <w:color w:val="0C0C0C"/>
                <w:sz w:val="28"/>
                <w:szCs w:val="28"/>
              </w:rPr>
              <w:t>(T)=10lg</w:t>
            </w:r>
            <m:oMath>
              <m:d>
                <m:dPr>
                  <m:begChr m:val="{"/>
                  <m:endChr m:val="}"/>
                  <m:ctrlPr>
                    <w:rPr>
                      <w:rFonts w:hint="default" w:ascii="Cambria Math" w:hAnsi="Cambria Math" w:cs="Times New Roman"/>
                      <w:color w:val="0C0C0C"/>
                      <w:sz w:val="28"/>
                      <w:szCs w:val="28"/>
                    </w:rPr>
                  </m:ctrlPr>
                </m:dPr>
                <m:e>
                  <m:limLow>
                    <m:limLowPr>
                      <m:ctrlPr>
                        <w:rPr>
                          <w:rFonts w:hint="default" w:ascii="Cambria Math" w:hAnsi="Cambria Math" w:cs="Times New Roman"/>
                          <w:color w:val="0C0C0C"/>
                          <w:sz w:val="28"/>
                          <w:szCs w:val="28"/>
                        </w:rPr>
                      </m:ctrlPr>
                    </m:limLowPr>
                    <m:e>
                      <m:limUpp>
                        <m:limUppPr>
                          <m:ctrlPr>
                            <w:rPr>
                              <w:rFonts w:hint="default" w:ascii="Cambria Math" w:hAnsi="Cambria Math" w:cs="Times New Roman"/>
                              <w:i/>
                              <w:color w:val="0C0C0C"/>
                              <w:sz w:val="28"/>
                              <w:szCs w:val="28"/>
                            </w:rPr>
                          </m:ctrlPr>
                        </m:limUppPr>
                        <m:e>
                          <m:r>
                            <m:rPr/>
                            <w:rPr>
                              <w:rFonts w:hint="default" w:ascii="Cambria Math" w:hAnsi="Cambria Math" w:cs="Times New Roman"/>
                              <w:color w:val="0C0C0C"/>
                              <w:sz w:val="28"/>
                              <w:szCs w:val="28"/>
                            </w:rPr>
                            <m:t>∑</m:t>
                          </m:r>
                          <m:ctrlPr>
                            <w:rPr>
                              <w:rFonts w:hint="default" w:ascii="Cambria Math" w:hAnsi="Cambria Math" w:cs="Times New Roman"/>
                              <w:i/>
                              <w:color w:val="0C0C0C"/>
                              <w:sz w:val="28"/>
                              <w:szCs w:val="28"/>
                            </w:rPr>
                          </m:ctrlPr>
                        </m:e>
                        <m:lim>
                          <m:r>
                            <m:rPr/>
                            <w:rPr>
                              <w:rFonts w:hint="default" w:ascii="Cambria Math" w:hAnsi="Cambria Math" w:cs="Times New Roman"/>
                              <w:color w:val="0C0C0C"/>
                              <w:sz w:val="28"/>
                              <w:szCs w:val="28"/>
                            </w:rPr>
                            <m:t>N</m:t>
                          </m:r>
                          <m:ctrlPr>
                            <w:rPr>
                              <w:rFonts w:hint="default" w:ascii="Cambria Math" w:hAnsi="Cambria Math" w:cs="Times New Roman"/>
                              <w:i/>
                              <w:color w:val="0C0C0C"/>
                              <w:sz w:val="28"/>
                              <w:szCs w:val="28"/>
                            </w:rPr>
                          </m:ctrlPr>
                        </m:lim>
                      </m:limUpp>
                      <m:ctrlPr>
                        <w:rPr>
                          <w:rFonts w:hint="default" w:ascii="Cambria Math" w:hAnsi="Cambria Math" w:cs="Times New Roman"/>
                          <w:i/>
                          <w:sz w:val="28"/>
                          <w:szCs w:val="28"/>
                        </w:rPr>
                      </m:ctrlPr>
                    </m:e>
                    <m:lim>
                      <m:r>
                        <m:rPr/>
                        <w:rPr>
                          <w:rFonts w:hint="default" w:ascii="Cambria Math" w:hAnsi="Cambria Math" w:cs="Times New Roman"/>
                          <w:sz w:val="28"/>
                          <w:szCs w:val="28"/>
                        </w:rPr>
                        <m:t>j=1</m:t>
                      </m:r>
                      <m:ctrlPr>
                        <w:rPr>
                          <w:rFonts w:hint="default" w:ascii="Cambria Math" w:hAnsi="Cambria Math" w:cs="Times New Roman"/>
                          <w:color w:val="0C0C0C"/>
                          <w:sz w:val="28"/>
                          <w:szCs w:val="28"/>
                        </w:rPr>
                      </m:ctrlPr>
                    </m:lim>
                  </m:limLow>
                  <m:sSup>
                    <m:sSupPr>
                      <m:ctrlPr>
                        <w:rPr>
                          <w:rFonts w:hint="default" w:ascii="Cambria Math" w:hAnsi="Cambria Math" w:cs="Times New Roman"/>
                          <w:i/>
                          <w:color w:val="0C0C0C"/>
                          <w:sz w:val="28"/>
                          <w:szCs w:val="28"/>
                        </w:rPr>
                      </m:ctrlPr>
                    </m:sSupPr>
                    <m:e>
                      <m:r>
                        <m:rPr/>
                        <w:rPr>
                          <w:rFonts w:hint="default" w:ascii="Cambria Math" w:hAnsi="Cambria Math" w:cs="Times New Roman"/>
                          <w:color w:val="0C0C0C"/>
                          <w:sz w:val="28"/>
                          <w:szCs w:val="28"/>
                        </w:rPr>
                        <m:t>10</m:t>
                      </m:r>
                      <m:ctrlPr>
                        <w:rPr>
                          <w:rFonts w:hint="default" w:ascii="Cambria Math" w:hAnsi="Cambria Math" w:cs="Times New Roman"/>
                          <w:i/>
                          <w:color w:val="0C0C0C"/>
                          <w:sz w:val="28"/>
                          <w:szCs w:val="28"/>
                        </w:rPr>
                      </m:ctrlPr>
                    </m:e>
                    <m:sup>
                      <m:r>
                        <m:rPr/>
                        <w:rPr>
                          <w:rFonts w:hint="default" w:ascii="Cambria Math" w:hAnsi="Cambria Math" w:cs="Times New Roman"/>
                          <w:color w:val="0C0C0C"/>
                          <w:sz w:val="28"/>
                          <w:szCs w:val="28"/>
                        </w:rPr>
                        <m:t>0.1</m:t>
                      </m:r>
                      <m:sSub>
                        <m:sSubPr>
                          <m:ctrlPr>
                            <w:rPr>
                              <w:rFonts w:hint="default" w:ascii="Cambria Math" w:hAnsi="Cambria Math" w:cs="Times New Roman"/>
                              <w:i/>
                              <w:color w:val="0C0C0C"/>
                              <w:sz w:val="28"/>
                              <w:szCs w:val="28"/>
                            </w:rPr>
                          </m:ctrlPr>
                        </m:sSubPr>
                        <m:e>
                          <m:r>
                            <m:rPr/>
                            <w:rPr>
                              <w:rFonts w:hint="default" w:ascii="Cambria Math" w:hAnsi="Cambria Math" w:cs="Times New Roman"/>
                              <w:color w:val="0C0C0C"/>
                              <w:sz w:val="28"/>
                              <w:szCs w:val="28"/>
                              <w:lang w:val="en-US" w:eastAsia="zh-CN"/>
                            </w:rPr>
                            <m:t>L</m:t>
                          </m:r>
                          <m:ctrlPr>
                            <w:rPr>
                              <w:rFonts w:hint="default" w:ascii="Cambria Math" w:hAnsi="Cambria Math" w:cs="Times New Roman"/>
                              <w:i/>
                              <w:color w:val="0C0C0C"/>
                              <w:sz w:val="28"/>
                              <w:szCs w:val="28"/>
                            </w:rPr>
                          </m:ctrlPr>
                        </m:e>
                        <m:sub>
                          <m:r>
                            <m:rPr/>
                            <w:rPr>
                              <w:rFonts w:hint="default" w:ascii="Cambria Math" w:hAnsi="Cambria Math" w:cs="Times New Roman"/>
                              <w:color w:val="0C0C0C"/>
                              <w:sz w:val="28"/>
                              <w:szCs w:val="28"/>
                              <w:lang w:val="en-US" w:eastAsia="zh-CN"/>
                            </w:rPr>
                            <m:t>p1ij</m:t>
                          </m:r>
                          <m:ctrlPr>
                            <w:rPr>
                              <w:rFonts w:hint="default" w:ascii="Cambria Math" w:hAnsi="Cambria Math" w:cs="Times New Roman"/>
                              <w:i/>
                              <w:color w:val="0C0C0C"/>
                              <w:sz w:val="28"/>
                              <w:szCs w:val="28"/>
                            </w:rPr>
                          </m:ctrlPr>
                        </m:sub>
                      </m:sSub>
                      <m:ctrlPr>
                        <w:rPr>
                          <w:rFonts w:hint="default" w:ascii="Cambria Math" w:hAnsi="Cambria Math" w:cs="Times New Roman"/>
                          <w:i/>
                          <w:color w:val="0C0C0C"/>
                          <w:sz w:val="28"/>
                          <w:szCs w:val="28"/>
                        </w:rPr>
                      </m:ctrlPr>
                    </m:sup>
                  </m:sSup>
                  <m:ctrlPr>
                    <w:rPr>
                      <w:rFonts w:hint="default" w:ascii="Cambria Math" w:hAnsi="Cambria Math" w:cs="Times New Roman"/>
                      <w:color w:val="0C0C0C"/>
                      <w:sz w:val="28"/>
                      <w:szCs w:val="28"/>
                    </w:rPr>
                  </m:ctrlPr>
                </m:e>
              </m:d>
            </m:oMath>
          </w:p>
          <w:p w14:paraId="48E58704">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left"/>
              <w:rPr>
                <w:rFonts w:hint="default"/>
                <w:sz w:val="24"/>
              </w:rPr>
            </w:pPr>
            <w:r>
              <w:rPr>
                <w:rFonts w:hint="default"/>
                <w:sz w:val="24"/>
              </w:rPr>
              <w:t>式中：Lp1i（T）—靠近围护结构处室内N个声源i倍频带的叠加声压级，dB；</w:t>
            </w:r>
          </w:p>
          <w:p w14:paraId="3A7955F0">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720" w:firstLineChars="300"/>
              <w:jc w:val="left"/>
              <w:rPr>
                <w:rFonts w:hint="default"/>
                <w:sz w:val="24"/>
              </w:rPr>
            </w:pPr>
            <w:r>
              <w:rPr>
                <w:rFonts w:hint="default"/>
                <w:sz w:val="24"/>
              </w:rPr>
              <w:t>Lp1ij—室内j声源i倍频带的声压级，dB；</w:t>
            </w:r>
          </w:p>
          <w:p w14:paraId="77AFFECD">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720" w:firstLineChars="300"/>
              <w:jc w:val="left"/>
              <w:rPr>
                <w:rFonts w:hint="default"/>
                <w:sz w:val="24"/>
              </w:rPr>
            </w:pPr>
            <w:r>
              <w:rPr>
                <w:rFonts w:hint="default"/>
                <w:sz w:val="24"/>
              </w:rPr>
              <w:t>N—室内声源总数。</w:t>
            </w:r>
          </w:p>
          <w:p w14:paraId="6744D6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left"/>
              <w:textAlignment w:val="baseline"/>
              <w:rPr>
                <w:rFonts w:hint="default"/>
                <w:sz w:val="24"/>
              </w:rPr>
            </w:pPr>
            <w:r>
              <w:rPr>
                <w:rFonts w:hint="default"/>
                <w:sz w:val="24"/>
              </w:rPr>
              <w:t>在室内近似为扩散声场时，按下式计算出靠近室外围护结构处的声压级：</w:t>
            </w:r>
          </w:p>
          <w:p w14:paraId="35CD85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jc w:val="left"/>
              <w:textAlignment w:val="baseline"/>
              <w:rPr>
                <w:rFonts w:hint="default"/>
                <w:sz w:val="24"/>
              </w:rPr>
            </w:pPr>
            <w:r>
              <w:rPr>
                <w:rFonts w:hint="default"/>
                <w:sz w:val="24"/>
              </w:rPr>
              <w:t xml:space="preserve">         </w:t>
            </w:r>
            <w:r>
              <w:rPr>
                <w:rFonts w:hint="eastAsia"/>
                <w:sz w:val="24"/>
              </w:rPr>
              <w:t xml:space="preserve">          </w:t>
            </w:r>
            <w:r>
              <w:rPr>
                <w:rFonts w:hint="default"/>
                <w:sz w:val="24"/>
              </w:rPr>
              <w:t>Lp2i（T）=Lp1i（T）-（TLi+6）</w:t>
            </w:r>
          </w:p>
          <w:p w14:paraId="27D067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left"/>
              <w:textAlignment w:val="baseline"/>
              <w:rPr>
                <w:rFonts w:hint="default"/>
                <w:sz w:val="24"/>
              </w:rPr>
            </w:pPr>
            <w:r>
              <w:rPr>
                <w:rFonts w:hint="default"/>
                <w:sz w:val="24"/>
              </w:rPr>
              <w:t>式中：Lp2i（T）—靠近围护结构处室外N个声源i倍频带的叠加声压级，dB；</w:t>
            </w:r>
          </w:p>
          <w:p w14:paraId="39E484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720" w:firstLineChars="300"/>
              <w:jc w:val="left"/>
              <w:textAlignment w:val="baseline"/>
              <w:rPr>
                <w:rFonts w:hint="default"/>
                <w:sz w:val="24"/>
              </w:rPr>
            </w:pPr>
            <w:r>
              <w:rPr>
                <w:rFonts w:hint="default"/>
                <w:sz w:val="24"/>
              </w:rPr>
              <w:t>Lp1i（T）—靠近围护结构处室内N个声源i倍频带的叠加声压级，dB；</w:t>
            </w:r>
          </w:p>
          <w:p w14:paraId="546A8C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720" w:firstLineChars="300"/>
              <w:jc w:val="left"/>
              <w:textAlignment w:val="baseline"/>
              <w:rPr>
                <w:rFonts w:hint="default"/>
                <w:sz w:val="24"/>
              </w:rPr>
            </w:pPr>
            <w:r>
              <w:rPr>
                <w:rFonts w:hint="default"/>
                <w:sz w:val="24"/>
              </w:rPr>
              <w:t>TLi—围护结构i倍频带的隔声量，dB；</w:t>
            </w:r>
          </w:p>
          <w:p w14:paraId="275158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left"/>
              <w:textAlignment w:val="baseline"/>
              <w:rPr>
                <w:rFonts w:hint="default"/>
                <w:sz w:val="24"/>
              </w:rPr>
            </w:pPr>
            <w:r>
              <w:rPr>
                <w:rFonts w:hint="default"/>
                <w:sz w:val="24"/>
              </w:rPr>
              <w:t>然后按下式将室外声源的声压级和透过面积换算成等效的室外声源，计算出中心位置位于透声面积（S）处的等效声源的倍频带声功率级：</w:t>
            </w:r>
          </w:p>
          <w:p w14:paraId="53DE78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baseline"/>
              <w:rPr>
                <w:rFonts w:hint="default"/>
                <w:sz w:val="24"/>
              </w:rPr>
            </w:pPr>
            <w:r>
              <w:rPr>
                <w:rFonts w:hint="eastAsia"/>
                <w:sz w:val="24"/>
              </w:rPr>
              <w:t>Lw2</w:t>
            </w:r>
            <w:r>
              <w:rPr>
                <w:rFonts w:hint="default"/>
                <w:sz w:val="24"/>
              </w:rPr>
              <w:t>=Lp2（T）+10lgS</w:t>
            </w:r>
          </w:p>
          <w:p w14:paraId="60395D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left"/>
              <w:textAlignment w:val="baseline"/>
              <w:rPr>
                <w:rFonts w:hint="default"/>
                <w:sz w:val="24"/>
              </w:rPr>
            </w:pPr>
            <w:r>
              <w:rPr>
                <w:rFonts w:hint="default"/>
                <w:sz w:val="24"/>
              </w:rPr>
              <w:t>式中：Lw2—中心位置位于透声面积（S）处的等效声源的倍频带声功率级，dB；</w:t>
            </w:r>
          </w:p>
          <w:p w14:paraId="783269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720" w:firstLineChars="300"/>
              <w:jc w:val="left"/>
              <w:textAlignment w:val="baseline"/>
              <w:rPr>
                <w:rFonts w:hint="default"/>
                <w:sz w:val="24"/>
              </w:rPr>
            </w:pPr>
            <w:r>
              <w:rPr>
                <w:rFonts w:hint="default"/>
                <w:sz w:val="24"/>
              </w:rPr>
              <w:t>Lp2（T）—靠近围护结构处室外声源的声压级，dB；</w:t>
            </w:r>
          </w:p>
          <w:p w14:paraId="6F6B32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720" w:firstLineChars="300"/>
              <w:jc w:val="left"/>
              <w:textAlignment w:val="baseline"/>
              <w:rPr>
                <w:rFonts w:hint="default"/>
                <w:sz w:val="24"/>
              </w:rPr>
            </w:pPr>
            <w:r>
              <w:rPr>
                <w:rFonts w:hint="default"/>
                <w:sz w:val="24"/>
              </w:rPr>
              <w:t>S—透声面积，m</w:t>
            </w:r>
            <w:r>
              <w:rPr>
                <w:rFonts w:hint="default"/>
                <w:sz w:val="24"/>
                <w:vertAlign w:val="superscript"/>
              </w:rPr>
              <w:t>2</w:t>
            </w:r>
            <w:r>
              <w:rPr>
                <w:rFonts w:hint="default"/>
                <w:sz w:val="24"/>
              </w:rPr>
              <w:t>。</w:t>
            </w:r>
            <w:r>
              <w:rPr>
                <w:rFonts w:hint="eastAsia"/>
                <w:sz w:val="24"/>
              </w:rPr>
              <w:t>（</w:t>
            </w:r>
            <w:r>
              <w:rPr>
                <w:rFonts w:hint="default"/>
                <w:sz w:val="24"/>
              </w:rPr>
              <w:t>车间</w:t>
            </w:r>
            <w:r>
              <w:rPr>
                <w:rFonts w:hint="eastAsia"/>
                <w:sz w:val="24"/>
              </w:rPr>
              <w:t>S=</w:t>
            </w:r>
            <w:r>
              <w:rPr>
                <w:rFonts w:hint="eastAsia"/>
                <w:sz w:val="24"/>
                <w:lang w:val="en-US" w:eastAsia="zh-CN"/>
              </w:rPr>
              <w:t>5</w:t>
            </w:r>
            <w:r>
              <w:rPr>
                <w:rFonts w:hint="eastAsia"/>
                <w:sz w:val="24"/>
              </w:rPr>
              <w:t>）</w:t>
            </w:r>
          </w:p>
          <w:p w14:paraId="0EF6D734">
            <w:pPr>
              <w:keepNext w:val="0"/>
              <w:keepLines w:val="0"/>
              <w:suppressLineNumbers w:val="0"/>
              <w:spacing w:before="0" w:beforeAutospacing="0" w:after="0" w:afterAutospacing="0" w:line="440" w:lineRule="exact"/>
              <w:ind w:left="0" w:right="0" w:firstLine="480" w:firstLineChars="200"/>
              <w:rPr>
                <w:rFonts w:hint="default"/>
                <w:b/>
                <w:bCs/>
                <w:color w:val="auto"/>
                <w:kern w:val="0"/>
                <w:sz w:val="24"/>
                <w:highlight w:val="none"/>
              </w:rPr>
            </w:pPr>
            <w:r>
              <w:rPr>
                <w:rFonts w:hint="default"/>
                <w:sz w:val="24"/>
                <w:highlight w:val="none"/>
              </w:rPr>
              <w:t>本项目主要噪声源的</w:t>
            </w:r>
            <w:r>
              <w:rPr>
                <w:rFonts w:hint="eastAsia"/>
                <w:sz w:val="24"/>
                <w:highlight w:val="none"/>
                <w:lang w:val="en-US" w:eastAsia="zh-CN"/>
              </w:rPr>
              <w:t>叠加</w:t>
            </w:r>
            <w:r>
              <w:rPr>
                <w:rFonts w:hint="default"/>
                <w:sz w:val="24"/>
                <w:highlight w:val="none"/>
              </w:rPr>
              <w:t>声级及治理情况见下表。</w:t>
            </w:r>
          </w:p>
          <w:p w14:paraId="1DF88AD2">
            <w:pPr>
              <w:keepNext w:val="0"/>
              <w:keepLines w:val="0"/>
              <w:suppressLineNumbers w:val="0"/>
              <w:spacing w:before="0" w:beforeAutospacing="0" w:after="0" w:afterAutospacing="0" w:line="440" w:lineRule="exact"/>
              <w:ind w:left="0" w:right="0"/>
              <w:jc w:val="center"/>
              <w:rPr>
                <w:rFonts w:hint="default"/>
                <w:b/>
                <w:bCs/>
                <w:color w:val="auto"/>
                <w:highlight w:val="none"/>
              </w:rPr>
            </w:pPr>
            <w:r>
              <w:rPr>
                <w:rFonts w:hint="default"/>
                <w:b/>
                <w:bCs/>
                <w:color w:val="auto"/>
                <w:kern w:val="0"/>
                <w:sz w:val="24"/>
                <w:highlight w:val="none"/>
              </w:rPr>
              <w:t>表</w:t>
            </w:r>
            <w:r>
              <w:rPr>
                <w:rFonts w:hint="eastAsia"/>
                <w:b/>
                <w:bCs/>
                <w:color w:val="auto"/>
                <w:kern w:val="0"/>
                <w:sz w:val="24"/>
                <w:highlight w:val="none"/>
                <w:lang w:val="en-US" w:eastAsia="zh-CN"/>
              </w:rPr>
              <w:t xml:space="preserve">32  </w:t>
            </w:r>
            <w:r>
              <w:rPr>
                <w:rFonts w:hint="default"/>
                <w:b/>
                <w:bCs/>
                <w:color w:val="auto"/>
                <w:kern w:val="0"/>
                <w:sz w:val="24"/>
                <w:highlight w:val="none"/>
              </w:rPr>
              <w:t>本项目主要设备</w:t>
            </w:r>
            <w:r>
              <w:rPr>
                <w:rFonts w:hint="eastAsia"/>
                <w:b/>
                <w:bCs/>
                <w:color w:val="auto"/>
                <w:sz w:val="24"/>
                <w:highlight w:val="none"/>
                <w:lang w:val="en-US" w:eastAsia="zh-CN"/>
              </w:rPr>
              <w:t>叠加</w:t>
            </w:r>
            <w:r>
              <w:rPr>
                <w:rFonts w:hint="default"/>
                <w:b/>
                <w:bCs/>
                <w:color w:val="auto"/>
                <w:sz w:val="24"/>
                <w:highlight w:val="none"/>
              </w:rPr>
              <w:t>声级及治理情况</w:t>
            </w:r>
          </w:p>
          <w:tbl>
            <w:tblPr>
              <w:tblStyle w:val="23"/>
              <w:tblW w:w="5000" w:type="pct"/>
              <w:jc w:val="center"/>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1104"/>
              <w:gridCol w:w="1304"/>
              <w:gridCol w:w="1434"/>
              <w:gridCol w:w="1875"/>
              <w:gridCol w:w="1776"/>
            </w:tblGrid>
            <w:tr w14:paraId="53228B09">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7" w:type="dxa"/>
                  <w:vMerge w:val="restart"/>
                  <w:tcBorders>
                    <w:top w:val="single" w:color="auto" w:sz="8" w:space="0"/>
                    <w:bottom w:val="single" w:color="auto" w:sz="4" w:space="0"/>
                    <w:right w:val="single" w:color="auto" w:sz="4" w:space="0"/>
                  </w:tcBorders>
                  <w:vAlign w:val="center"/>
                </w:tcPr>
                <w:p w14:paraId="6E52CE0B">
                  <w:pPr>
                    <w:keepNext w:val="0"/>
                    <w:keepLines w:val="0"/>
                    <w:suppressLineNumbers w:val="0"/>
                    <w:spacing w:before="0" w:beforeAutospacing="0" w:after="0" w:afterAutospacing="0" w:line="240" w:lineRule="auto"/>
                    <w:ind w:left="0" w:right="0"/>
                    <w:jc w:val="center"/>
                    <w:rPr>
                      <w:rFonts w:hint="eastAsia"/>
                      <w:b/>
                      <w:bCs w:val="0"/>
                      <w:kern w:val="0"/>
                      <w:sz w:val="21"/>
                      <w:szCs w:val="21"/>
                      <w:lang w:val="en-US" w:eastAsia="zh-CN"/>
                    </w:rPr>
                  </w:pPr>
                  <w:r>
                    <w:rPr>
                      <w:rFonts w:hint="eastAsia"/>
                      <w:b/>
                      <w:bCs w:val="0"/>
                      <w:kern w:val="0"/>
                      <w:sz w:val="21"/>
                      <w:szCs w:val="21"/>
                      <w:lang w:val="en-US" w:eastAsia="zh-CN"/>
                    </w:rPr>
                    <w:t>建筑物</w:t>
                  </w:r>
                </w:p>
                <w:p w14:paraId="5D5673A5">
                  <w:pPr>
                    <w:keepNext w:val="0"/>
                    <w:keepLines w:val="0"/>
                    <w:suppressLineNumbers w:val="0"/>
                    <w:spacing w:before="0" w:beforeAutospacing="0" w:after="0" w:afterAutospacing="0" w:line="240" w:lineRule="auto"/>
                    <w:ind w:left="0" w:right="0"/>
                    <w:jc w:val="center"/>
                    <w:rPr>
                      <w:rFonts w:hint="default" w:eastAsia="宋体"/>
                      <w:b/>
                      <w:bCs w:val="0"/>
                      <w:kern w:val="0"/>
                      <w:sz w:val="21"/>
                      <w:szCs w:val="21"/>
                      <w:lang w:val="en-US" w:eastAsia="zh-CN"/>
                    </w:rPr>
                  </w:pPr>
                  <w:r>
                    <w:rPr>
                      <w:rFonts w:hint="eastAsia"/>
                      <w:b/>
                      <w:bCs w:val="0"/>
                      <w:kern w:val="0"/>
                      <w:sz w:val="21"/>
                      <w:szCs w:val="21"/>
                      <w:lang w:val="en-US" w:eastAsia="zh-CN"/>
                    </w:rPr>
                    <w:t>名称</w:t>
                  </w:r>
                </w:p>
              </w:tc>
              <w:tc>
                <w:tcPr>
                  <w:tcW w:w="1103" w:type="dxa"/>
                  <w:vMerge w:val="restart"/>
                  <w:tcBorders>
                    <w:top w:val="single" w:color="auto" w:sz="8" w:space="0"/>
                    <w:left w:val="single" w:color="auto" w:sz="4" w:space="0"/>
                    <w:bottom w:val="single" w:color="auto" w:sz="4" w:space="0"/>
                    <w:right w:val="single" w:color="auto" w:sz="4" w:space="0"/>
                  </w:tcBorders>
                  <w:vAlign w:val="center"/>
                </w:tcPr>
                <w:p w14:paraId="30892D0D">
                  <w:pPr>
                    <w:keepNext w:val="0"/>
                    <w:keepLines w:val="0"/>
                    <w:suppressLineNumbers w:val="0"/>
                    <w:spacing w:before="0" w:beforeAutospacing="0" w:after="0" w:afterAutospacing="0" w:line="240" w:lineRule="auto"/>
                    <w:ind w:left="0" w:right="0"/>
                    <w:jc w:val="center"/>
                    <w:rPr>
                      <w:rFonts w:hint="default" w:eastAsia="宋体"/>
                      <w:b/>
                      <w:bCs w:val="0"/>
                      <w:kern w:val="0"/>
                      <w:sz w:val="21"/>
                      <w:szCs w:val="21"/>
                      <w:lang w:val="en-US" w:eastAsia="zh-CN"/>
                    </w:rPr>
                  </w:pPr>
                  <w:r>
                    <w:rPr>
                      <w:rFonts w:hint="default"/>
                      <w:b/>
                      <w:bCs w:val="0"/>
                      <w:kern w:val="0"/>
                      <w:sz w:val="21"/>
                      <w:szCs w:val="21"/>
                    </w:rPr>
                    <w:t>室内边界</w:t>
                  </w:r>
                  <w:r>
                    <w:rPr>
                      <w:rFonts w:hint="eastAsia"/>
                      <w:b/>
                      <w:bCs w:val="0"/>
                      <w:kern w:val="0"/>
                      <w:sz w:val="21"/>
                      <w:szCs w:val="21"/>
                    </w:rPr>
                    <w:t>叠加</w:t>
                  </w:r>
                  <w:r>
                    <w:rPr>
                      <w:rFonts w:hint="default"/>
                      <w:b/>
                      <w:bCs w:val="0"/>
                      <w:kern w:val="0"/>
                      <w:sz w:val="21"/>
                      <w:szCs w:val="21"/>
                    </w:rPr>
                    <w:t>声级/dB（A）</w:t>
                  </w:r>
                </w:p>
              </w:tc>
              <w:tc>
                <w:tcPr>
                  <w:tcW w:w="1303" w:type="dxa"/>
                  <w:vMerge w:val="restart"/>
                  <w:tcBorders>
                    <w:top w:val="single" w:color="auto" w:sz="8" w:space="0"/>
                    <w:left w:val="single" w:color="auto" w:sz="4" w:space="0"/>
                    <w:bottom w:val="single" w:color="auto" w:sz="4" w:space="0"/>
                    <w:right w:val="single" w:color="auto" w:sz="4" w:space="0"/>
                  </w:tcBorders>
                  <w:vAlign w:val="center"/>
                </w:tcPr>
                <w:p w14:paraId="17DAD7EA">
                  <w:pPr>
                    <w:keepNext w:val="0"/>
                    <w:keepLines w:val="0"/>
                    <w:suppressLineNumbers w:val="0"/>
                    <w:spacing w:before="0" w:beforeAutospacing="0" w:after="0" w:afterAutospacing="0" w:line="240" w:lineRule="auto"/>
                    <w:ind w:left="0" w:right="0"/>
                    <w:jc w:val="center"/>
                    <w:rPr>
                      <w:rFonts w:hint="default"/>
                      <w:b/>
                      <w:bCs w:val="0"/>
                      <w:sz w:val="21"/>
                      <w:szCs w:val="21"/>
                      <w:vertAlign w:val="baseline"/>
                    </w:rPr>
                  </w:pPr>
                  <w:r>
                    <w:rPr>
                      <w:rFonts w:hint="default"/>
                      <w:b/>
                      <w:bCs w:val="0"/>
                      <w:kern w:val="0"/>
                      <w:sz w:val="21"/>
                      <w:szCs w:val="21"/>
                    </w:rPr>
                    <w:t>运行时段</w:t>
                  </w:r>
                </w:p>
              </w:tc>
              <w:tc>
                <w:tcPr>
                  <w:tcW w:w="1433" w:type="dxa"/>
                  <w:vMerge w:val="restart"/>
                  <w:tcBorders>
                    <w:top w:val="single" w:color="auto" w:sz="8" w:space="0"/>
                    <w:left w:val="single" w:color="auto" w:sz="4" w:space="0"/>
                    <w:bottom w:val="single" w:color="auto" w:sz="4" w:space="0"/>
                    <w:right w:val="single" w:color="auto" w:sz="4" w:space="0"/>
                  </w:tcBorders>
                  <w:vAlign w:val="center"/>
                </w:tcPr>
                <w:p w14:paraId="2AB16575">
                  <w:pPr>
                    <w:keepNext w:val="0"/>
                    <w:keepLines w:val="0"/>
                    <w:suppressLineNumbers w:val="0"/>
                    <w:spacing w:before="0" w:beforeAutospacing="0" w:after="0" w:afterAutospacing="0" w:line="240" w:lineRule="auto"/>
                    <w:ind w:left="0" w:right="0"/>
                    <w:jc w:val="center"/>
                    <w:rPr>
                      <w:rFonts w:hint="default"/>
                      <w:b/>
                      <w:bCs w:val="0"/>
                      <w:sz w:val="21"/>
                      <w:szCs w:val="21"/>
                      <w:highlight w:val="none"/>
                      <w:vertAlign w:val="baseline"/>
                    </w:rPr>
                  </w:pPr>
                  <w:r>
                    <w:rPr>
                      <w:rFonts w:hint="default"/>
                      <w:b/>
                      <w:bCs w:val="0"/>
                      <w:kern w:val="0"/>
                      <w:sz w:val="21"/>
                      <w:szCs w:val="21"/>
                      <w:highlight w:val="none"/>
                    </w:rPr>
                    <w:t>建筑物插入损失/dB（A）</w:t>
                  </w:r>
                </w:p>
              </w:tc>
              <w:tc>
                <w:tcPr>
                  <w:tcW w:w="3649" w:type="dxa"/>
                  <w:gridSpan w:val="2"/>
                  <w:tcBorders>
                    <w:top w:val="single" w:color="auto" w:sz="8" w:space="0"/>
                    <w:left w:val="single" w:color="auto" w:sz="4" w:space="0"/>
                    <w:bottom w:val="single" w:color="auto" w:sz="4" w:space="0"/>
                    <w:right w:val="nil"/>
                  </w:tcBorders>
                  <w:vAlign w:val="center"/>
                </w:tcPr>
                <w:p w14:paraId="1F0284B3">
                  <w:pPr>
                    <w:keepNext w:val="0"/>
                    <w:keepLines w:val="0"/>
                    <w:suppressLineNumbers w:val="0"/>
                    <w:spacing w:before="0" w:beforeAutospacing="0" w:after="0" w:afterAutospacing="0" w:line="240" w:lineRule="auto"/>
                    <w:ind w:left="0" w:right="0"/>
                    <w:jc w:val="center"/>
                    <w:rPr>
                      <w:rFonts w:hint="default" w:eastAsia="宋体"/>
                      <w:b/>
                      <w:bCs w:val="0"/>
                      <w:sz w:val="21"/>
                      <w:szCs w:val="21"/>
                      <w:highlight w:val="none"/>
                      <w:vertAlign w:val="baseline"/>
                      <w:lang w:val="en-US" w:eastAsia="zh-CN"/>
                    </w:rPr>
                  </w:pPr>
                  <w:r>
                    <w:rPr>
                      <w:rFonts w:hint="default"/>
                      <w:b/>
                      <w:bCs w:val="0"/>
                      <w:kern w:val="0"/>
                      <w:sz w:val="21"/>
                      <w:szCs w:val="21"/>
                      <w:highlight w:val="none"/>
                    </w:rPr>
                    <w:t>建筑物外噪声</w:t>
                  </w:r>
                </w:p>
              </w:tc>
            </w:tr>
            <w:tr w14:paraId="70A5257A">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7" w:type="dxa"/>
                  <w:vMerge w:val="continue"/>
                  <w:tcBorders>
                    <w:top w:val="single" w:color="auto" w:sz="4" w:space="0"/>
                    <w:bottom w:val="single" w:color="auto" w:sz="8" w:space="0"/>
                    <w:right w:val="single" w:color="auto" w:sz="4" w:space="0"/>
                  </w:tcBorders>
                  <w:vAlign w:val="center"/>
                </w:tcPr>
                <w:p w14:paraId="7EC82E17">
                  <w:pPr>
                    <w:keepNext w:val="0"/>
                    <w:keepLines w:val="0"/>
                    <w:suppressLineNumbers w:val="0"/>
                    <w:spacing w:before="0" w:beforeAutospacing="0" w:after="0" w:afterAutospacing="0" w:line="240" w:lineRule="auto"/>
                    <w:ind w:left="0" w:right="0"/>
                    <w:jc w:val="center"/>
                    <w:rPr>
                      <w:rFonts w:hint="default"/>
                      <w:b/>
                      <w:bCs w:val="0"/>
                      <w:kern w:val="0"/>
                      <w:sz w:val="21"/>
                      <w:szCs w:val="21"/>
                    </w:rPr>
                  </w:pPr>
                </w:p>
              </w:tc>
              <w:tc>
                <w:tcPr>
                  <w:tcW w:w="1103" w:type="dxa"/>
                  <w:vMerge w:val="continue"/>
                  <w:tcBorders>
                    <w:top w:val="single" w:color="auto" w:sz="4" w:space="0"/>
                    <w:left w:val="single" w:color="auto" w:sz="4" w:space="0"/>
                    <w:bottom w:val="single" w:color="auto" w:sz="8" w:space="0"/>
                    <w:right w:val="single" w:color="auto" w:sz="4" w:space="0"/>
                  </w:tcBorders>
                  <w:vAlign w:val="center"/>
                </w:tcPr>
                <w:p w14:paraId="772DEB4C">
                  <w:pPr>
                    <w:keepNext w:val="0"/>
                    <w:keepLines w:val="0"/>
                    <w:suppressLineNumbers w:val="0"/>
                    <w:spacing w:before="0" w:beforeAutospacing="0" w:after="0" w:afterAutospacing="0" w:line="240" w:lineRule="auto"/>
                    <w:ind w:left="0" w:right="0"/>
                    <w:jc w:val="center"/>
                    <w:rPr>
                      <w:rFonts w:hint="default"/>
                      <w:b/>
                      <w:bCs w:val="0"/>
                      <w:kern w:val="0"/>
                      <w:sz w:val="21"/>
                      <w:szCs w:val="21"/>
                    </w:rPr>
                  </w:pPr>
                </w:p>
              </w:tc>
              <w:tc>
                <w:tcPr>
                  <w:tcW w:w="1303" w:type="dxa"/>
                  <w:vMerge w:val="continue"/>
                  <w:tcBorders>
                    <w:top w:val="single" w:color="auto" w:sz="4" w:space="0"/>
                    <w:left w:val="single" w:color="auto" w:sz="4" w:space="0"/>
                    <w:bottom w:val="single" w:color="auto" w:sz="8" w:space="0"/>
                    <w:right w:val="single" w:color="auto" w:sz="4" w:space="0"/>
                  </w:tcBorders>
                  <w:vAlign w:val="center"/>
                </w:tcPr>
                <w:p w14:paraId="0D8FAC10">
                  <w:pPr>
                    <w:keepNext w:val="0"/>
                    <w:keepLines w:val="0"/>
                    <w:suppressLineNumbers w:val="0"/>
                    <w:spacing w:before="0" w:beforeAutospacing="0" w:after="0" w:afterAutospacing="0" w:line="240" w:lineRule="auto"/>
                    <w:ind w:left="0" w:right="0"/>
                    <w:jc w:val="center"/>
                    <w:rPr>
                      <w:rFonts w:hint="default"/>
                      <w:b/>
                      <w:bCs w:val="0"/>
                      <w:kern w:val="0"/>
                      <w:sz w:val="21"/>
                      <w:szCs w:val="21"/>
                    </w:rPr>
                  </w:pPr>
                </w:p>
              </w:tc>
              <w:tc>
                <w:tcPr>
                  <w:tcW w:w="1433" w:type="dxa"/>
                  <w:vMerge w:val="continue"/>
                  <w:tcBorders>
                    <w:top w:val="single" w:color="auto" w:sz="4" w:space="0"/>
                    <w:left w:val="single" w:color="auto" w:sz="4" w:space="0"/>
                    <w:bottom w:val="single" w:color="auto" w:sz="8" w:space="0"/>
                    <w:right w:val="single" w:color="auto" w:sz="4" w:space="0"/>
                  </w:tcBorders>
                  <w:vAlign w:val="center"/>
                </w:tcPr>
                <w:p w14:paraId="391ECCB0">
                  <w:pPr>
                    <w:keepNext w:val="0"/>
                    <w:keepLines w:val="0"/>
                    <w:suppressLineNumbers w:val="0"/>
                    <w:spacing w:before="0" w:beforeAutospacing="0" w:after="0" w:afterAutospacing="0" w:line="240" w:lineRule="auto"/>
                    <w:ind w:left="0" w:right="0"/>
                    <w:jc w:val="center"/>
                    <w:rPr>
                      <w:rFonts w:hint="default"/>
                      <w:b/>
                      <w:bCs w:val="0"/>
                      <w:kern w:val="0"/>
                      <w:sz w:val="21"/>
                      <w:szCs w:val="21"/>
                      <w:highlight w:val="none"/>
                    </w:rPr>
                  </w:pPr>
                </w:p>
              </w:tc>
              <w:tc>
                <w:tcPr>
                  <w:tcW w:w="1874" w:type="dxa"/>
                  <w:tcBorders>
                    <w:top w:val="single" w:color="auto" w:sz="4" w:space="0"/>
                    <w:left w:val="single" w:color="auto" w:sz="4" w:space="0"/>
                    <w:bottom w:val="single" w:color="auto" w:sz="8" w:space="0"/>
                    <w:right w:val="single" w:color="auto" w:sz="4" w:space="0"/>
                  </w:tcBorders>
                  <w:vAlign w:val="center"/>
                </w:tcPr>
                <w:p w14:paraId="0F03519C">
                  <w:pPr>
                    <w:keepNext w:val="0"/>
                    <w:keepLines w:val="0"/>
                    <w:suppressLineNumbers w:val="0"/>
                    <w:spacing w:before="0" w:beforeAutospacing="0" w:after="0" w:afterAutospacing="0" w:line="240" w:lineRule="auto"/>
                    <w:ind w:left="0" w:right="0"/>
                    <w:jc w:val="center"/>
                    <w:rPr>
                      <w:rFonts w:hint="default"/>
                      <w:b/>
                      <w:bCs w:val="0"/>
                      <w:kern w:val="0"/>
                      <w:sz w:val="21"/>
                      <w:szCs w:val="21"/>
                      <w:highlight w:val="none"/>
                      <w:lang w:val="en-US" w:eastAsia="zh-CN"/>
                    </w:rPr>
                  </w:pPr>
                  <w:r>
                    <w:rPr>
                      <w:rFonts w:hint="eastAsia"/>
                      <w:b/>
                      <w:bCs w:val="0"/>
                      <w:kern w:val="0"/>
                      <w:sz w:val="21"/>
                      <w:szCs w:val="21"/>
                      <w:highlight w:val="none"/>
                      <w:lang w:val="en-US" w:eastAsia="zh-CN"/>
                    </w:rPr>
                    <w:t>声功率级</w:t>
                  </w:r>
                  <w:r>
                    <w:rPr>
                      <w:rFonts w:hint="default"/>
                      <w:b/>
                      <w:bCs w:val="0"/>
                      <w:kern w:val="0"/>
                      <w:sz w:val="21"/>
                      <w:szCs w:val="21"/>
                      <w:highlight w:val="none"/>
                    </w:rPr>
                    <w:t>/dB（A）</w:t>
                  </w:r>
                </w:p>
              </w:tc>
              <w:tc>
                <w:tcPr>
                  <w:tcW w:w="1775" w:type="dxa"/>
                  <w:tcBorders>
                    <w:top w:val="single" w:color="auto" w:sz="4" w:space="0"/>
                    <w:left w:val="single" w:color="auto" w:sz="4" w:space="0"/>
                    <w:bottom w:val="single" w:color="auto" w:sz="8" w:space="0"/>
                    <w:right w:val="nil"/>
                  </w:tcBorders>
                  <w:vAlign w:val="center"/>
                </w:tcPr>
                <w:p w14:paraId="17A23812">
                  <w:pPr>
                    <w:keepNext w:val="0"/>
                    <w:keepLines w:val="0"/>
                    <w:suppressLineNumbers w:val="0"/>
                    <w:spacing w:before="0" w:beforeAutospacing="0" w:after="0" w:afterAutospacing="0" w:line="240" w:lineRule="auto"/>
                    <w:ind w:left="0" w:right="0"/>
                    <w:jc w:val="center"/>
                    <w:rPr>
                      <w:rFonts w:hint="eastAsia"/>
                      <w:b/>
                      <w:bCs w:val="0"/>
                      <w:kern w:val="0"/>
                      <w:sz w:val="21"/>
                      <w:szCs w:val="21"/>
                      <w:highlight w:val="none"/>
                      <w:lang w:val="en-US" w:eastAsia="zh-CN"/>
                    </w:rPr>
                  </w:pPr>
                  <w:r>
                    <w:rPr>
                      <w:rFonts w:hint="default" w:ascii="Times New Roman" w:hAnsi="Times New Roman" w:cs="Times New Roman"/>
                      <w:b/>
                      <w:bCs w:val="0"/>
                      <w:color w:val="auto"/>
                      <w:kern w:val="2"/>
                      <w:sz w:val="21"/>
                      <w:szCs w:val="21"/>
                      <w:highlight w:val="none"/>
                    </w:rPr>
                    <w:t>建筑物外距离/m</w:t>
                  </w:r>
                </w:p>
              </w:tc>
            </w:tr>
            <w:tr w14:paraId="2823D64E">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7" w:type="dxa"/>
                  <w:tcBorders>
                    <w:top w:val="single" w:color="auto" w:sz="8" w:space="0"/>
                    <w:left w:val="nil"/>
                    <w:bottom w:val="single" w:color="auto" w:sz="8" w:space="0"/>
                    <w:right w:val="single" w:color="auto" w:sz="4" w:space="0"/>
                  </w:tcBorders>
                  <w:vAlign w:val="center"/>
                </w:tcPr>
                <w:p w14:paraId="45E555B6">
                  <w:pPr>
                    <w:keepNext w:val="0"/>
                    <w:keepLines w:val="0"/>
                    <w:suppressLineNumbers w:val="0"/>
                    <w:spacing w:before="0" w:beforeAutospacing="0" w:after="0" w:afterAutospacing="0" w:line="240" w:lineRule="auto"/>
                    <w:ind w:left="0" w:right="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生产车间</w:t>
                  </w:r>
                </w:p>
              </w:tc>
              <w:tc>
                <w:tcPr>
                  <w:tcW w:w="1103" w:type="dxa"/>
                  <w:tcBorders>
                    <w:top w:val="single" w:color="auto" w:sz="8" w:space="0"/>
                    <w:left w:val="single" w:color="auto" w:sz="4" w:space="0"/>
                    <w:bottom w:val="single" w:color="auto" w:sz="8" w:space="0"/>
                    <w:right w:val="single" w:color="auto" w:sz="4" w:space="0"/>
                  </w:tcBorders>
                  <w:vAlign w:val="center"/>
                </w:tcPr>
                <w:p w14:paraId="0F3B9FF3">
                  <w:pPr>
                    <w:keepNext w:val="0"/>
                    <w:keepLines w:val="0"/>
                    <w:suppressLineNumbers w:val="0"/>
                    <w:spacing w:before="0" w:beforeAutospacing="0" w:after="0" w:afterAutospacing="0" w:line="240" w:lineRule="auto"/>
                    <w:ind w:left="0" w:right="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73.1</w:t>
                  </w:r>
                </w:p>
              </w:tc>
              <w:tc>
                <w:tcPr>
                  <w:tcW w:w="1303" w:type="dxa"/>
                  <w:tcBorders>
                    <w:top w:val="single" w:color="auto" w:sz="8" w:space="0"/>
                    <w:left w:val="single" w:color="auto" w:sz="4" w:space="0"/>
                    <w:bottom w:val="single" w:color="auto" w:sz="8" w:space="0"/>
                    <w:right w:val="single" w:color="auto" w:sz="4" w:space="0"/>
                  </w:tcBorders>
                  <w:vAlign w:val="center"/>
                </w:tcPr>
                <w:p w14:paraId="4E8F907A">
                  <w:pPr>
                    <w:keepNext w:val="0"/>
                    <w:keepLines w:val="0"/>
                    <w:suppressLineNumbers w:val="0"/>
                    <w:spacing w:before="0" w:beforeAutospacing="0" w:after="0" w:afterAutospacing="0" w:line="240" w:lineRule="auto"/>
                    <w:ind w:left="0" w:right="0"/>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8:00—22:00</w:t>
                  </w:r>
                </w:p>
              </w:tc>
              <w:tc>
                <w:tcPr>
                  <w:tcW w:w="1433" w:type="dxa"/>
                  <w:tcBorders>
                    <w:top w:val="single" w:color="auto" w:sz="8" w:space="0"/>
                    <w:left w:val="single" w:color="auto" w:sz="4" w:space="0"/>
                    <w:bottom w:val="single" w:color="auto" w:sz="8" w:space="0"/>
                    <w:right w:val="single" w:color="auto" w:sz="4" w:space="0"/>
                  </w:tcBorders>
                  <w:vAlign w:val="center"/>
                </w:tcPr>
                <w:p w14:paraId="3E25CF5F">
                  <w:pPr>
                    <w:keepNext w:val="0"/>
                    <w:keepLines w:val="0"/>
                    <w:suppressLineNumbers w:val="0"/>
                    <w:spacing w:before="0" w:beforeAutospacing="0" w:after="0" w:afterAutospacing="0" w:line="240" w:lineRule="auto"/>
                    <w:ind w:left="0" w:right="0"/>
                    <w:jc w:val="center"/>
                    <w:rPr>
                      <w:rFonts w:hint="default" w:eastAsia="宋体"/>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26</w:t>
                  </w:r>
                </w:p>
              </w:tc>
              <w:tc>
                <w:tcPr>
                  <w:tcW w:w="1874" w:type="dxa"/>
                  <w:tcBorders>
                    <w:top w:val="single" w:color="auto" w:sz="8" w:space="0"/>
                    <w:left w:val="single" w:color="auto" w:sz="4" w:space="0"/>
                    <w:bottom w:val="single" w:color="auto" w:sz="8" w:space="0"/>
                    <w:right w:val="single" w:color="auto" w:sz="4" w:space="0"/>
                  </w:tcBorders>
                  <w:vAlign w:val="center"/>
                </w:tcPr>
                <w:p w14:paraId="4EE59D1F">
                  <w:pPr>
                    <w:keepNext w:val="0"/>
                    <w:keepLines w:val="0"/>
                    <w:suppressLineNumbers w:val="0"/>
                    <w:spacing w:before="0" w:beforeAutospacing="0" w:after="0" w:afterAutospacing="0" w:line="240" w:lineRule="auto"/>
                    <w:ind w:left="0" w:right="0"/>
                    <w:jc w:val="cente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59.1</w:t>
                  </w:r>
                </w:p>
              </w:tc>
              <w:tc>
                <w:tcPr>
                  <w:tcW w:w="1775" w:type="dxa"/>
                  <w:tcBorders>
                    <w:top w:val="single" w:color="auto" w:sz="8" w:space="0"/>
                    <w:left w:val="single" w:color="auto" w:sz="4" w:space="0"/>
                    <w:bottom w:val="single" w:color="auto" w:sz="8" w:space="0"/>
                    <w:right w:val="nil"/>
                  </w:tcBorders>
                  <w:vAlign w:val="center"/>
                </w:tcPr>
                <w:p w14:paraId="3C4B9919">
                  <w:pPr>
                    <w:keepNext w:val="0"/>
                    <w:keepLines w:val="0"/>
                    <w:suppressLineNumbers w:val="0"/>
                    <w:spacing w:before="0" w:beforeAutospacing="0" w:after="0" w:afterAutospacing="0" w:line="240" w:lineRule="auto"/>
                    <w:ind w:left="0" w:right="0"/>
                    <w:jc w:val="cente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w:t>
                  </w:r>
                </w:p>
              </w:tc>
            </w:tr>
          </w:tbl>
          <w:p w14:paraId="03034974">
            <w:pPr>
              <w:keepNext w:val="0"/>
              <w:keepLines w:val="0"/>
              <w:suppressLineNumbers w:val="0"/>
              <w:spacing w:before="0" w:beforeAutospacing="0" w:after="0" w:afterAutospacing="0" w:line="440" w:lineRule="exact"/>
              <w:ind w:left="0" w:right="0" w:firstLine="480" w:firstLineChars="200"/>
              <w:rPr>
                <w:rFonts w:hint="default"/>
                <w:sz w:val="24"/>
                <w:highlight w:val="none"/>
              </w:rPr>
            </w:pPr>
            <w:r>
              <w:rPr>
                <w:rFonts w:hint="default"/>
                <w:sz w:val="24"/>
                <w:highlight w:val="none"/>
              </w:rPr>
              <w:t>根据本项目主要高噪声设备的分布状况和房间外源强，</w:t>
            </w:r>
            <w:r>
              <w:rPr>
                <w:rFonts w:hint="eastAsia"/>
                <w:sz w:val="24"/>
                <w:highlight w:val="none"/>
              </w:rPr>
              <w:t>根据导则中</w:t>
            </w:r>
            <w:r>
              <w:rPr>
                <w:rFonts w:hint="default"/>
                <w:sz w:val="24"/>
                <w:highlight w:val="none"/>
              </w:rPr>
              <w:t>噪声预测模型</w:t>
            </w:r>
            <w:r>
              <w:rPr>
                <w:rFonts w:hint="eastAsia"/>
                <w:sz w:val="24"/>
                <w:highlight w:val="none"/>
              </w:rPr>
              <w:t>，</w:t>
            </w:r>
            <w:r>
              <w:rPr>
                <w:rFonts w:hint="default"/>
                <w:sz w:val="24"/>
                <w:highlight w:val="none"/>
              </w:rPr>
              <w:t>计算出各声源对</w:t>
            </w:r>
            <w:r>
              <w:rPr>
                <w:rFonts w:hint="eastAsia"/>
                <w:sz w:val="24"/>
                <w:highlight w:val="none"/>
              </w:rPr>
              <w:t>厂界的噪声</w:t>
            </w:r>
            <w:r>
              <w:rPr>
                <w:rFonts w:hint="default"/>
                <w:sz w:val="24"/>
                <w:highlight w:val="none"/>
              </w:rPr>
              <w:t>贡献值</w:t>
            </w:r>
            <w:r>
              <w:rPr>
                <w:rFonts w:hint="eastAsia"/>
                <w:sz w:val="24"/>
                <w:highlight w:val="none"/>
              </w:rPr>
              <w:t>。</w:t>
            </w:r>
          </w:p>
          <w:p w14:paraId="2F12FD14">
            <w:pPr>
              <w:keepNext w:val="0"/>
              <w:keepLines w:val="0"/>
              <w:suppressLineNumbers w:val="0"/>
              <w:spacing w:before="0" w:beforeAutospacing="0" w:after="0" w:afterAutospacing="0" w:line="440" w:lineRule="exact"/>
              <w:ind w:left="0" w:right="0" w:firstLine="480" w:firstLineChars="200"/>
              <w:rPr>
                <w:rFonts w:hint="default"/>
                <w:sz w:val="24"/>
                <w:highlight w:val="none"/>
              </w:rPr>
            </w:pPr>
            <w:r>
              <w:rPr>
                <w:rFonts w:hint="eastAsia"/>
                <w:sz w:val="24"/>
                <w:highlight w:val="none"/>
              </w:rPr>
              <w:t>点声源</w:t>
            </w:r>
            <w:r>
              <w:rPr>
                <w:rFonts w:hint="default"/>
                <w:sz w:val="24"/>
                <w:highlight w:val="none"/>
              </w:rPr>
              <w:t>的</w:t>
            </w:r>
            <w:r>
              <w:rPr>
                <w:rFonts w:hint="eastAsia"/>
                <w:sz w:val="24"/>
                <w:highlight w:val="none"/>
              </w:rPr>
              <w:t>几何</w:t>
            </w:r>
            <w:r>
              <w:rPr>
                <w:rFonts w:hint="default"/>
                <w:sz w:val="24"/>
                <w:highlight w:val="none"/>
              </w:rPr>
              <w:t>发散衰减的</w:t>
            </w:r>
            <w:r>
              <w:rPr>
                <w:rFonts w:hint="eastAsia"/>
                <w:sz w:val="24"/>
                <w:highlight w:val="none"/>
              </w:rPr>
              <w:t>基本公式</w:t>
            </w:r>
            <w:r>
              <w:rPr>
                <w:rFonts w:hint="default"/>
                <w:sz w:val="24"/>
                <w:highlight w:val="none"/>
              </w:rPr>
              <w:t>如下：</w:t>
            </w:r>
          </w:p>
          <w:p w14:paraId="31689314">
            <w:pPr>
              <w:keepNext w:val="0"/>
              <w:keepLines w:val="0"/>
              <w:suppressLineNumbers w:val="0"/>
              <w:spacing w:before="0" w:beforeAutospacing="0" w:after="0" w:afterAutospacing="0" w:line="440" w:lineRule="exact"/>
              <w:ind w:left="0" w:right="0"/>
              <w:jc w:val="center"/>
              <w:rPr>
                <w:rFonts w:hint="default"/>
                <w:sz w:val="24"/>
                <w:highlight w:val="none"/>
              </w:rPr>
            </w:pPr>
            <w:r>
              <w:rPr>
                <w:rFonts w:hint="default"/>
                <w:sz w:val="24"/>
                <w:highlight w:val="none"/>
              </w:rPr>
              <w:t>Lp（</w:t>
            </w:r>
            <w:r>
              <w:rPr>
                <w:rFonts w:hint="eastAsia"/>
                <w:sz w:val="24"/>
                <w:highlight w:val="none"/>
              </w:rPr>
              <w:t>r</w:t>
            </w:r>
            <w:r>
              <w:rPr>
                <w:rFonts w:hint="default"/>
                <w:sz w:val="24"/>
                <w:highlight w:val="none"/>
              </w:rPr>
              <w:t>）</w:t>
            </w:r>
            <w:r>
              <w:rPr>
                <w:rFonts w:hint="eastAsia"/>
                <w:sz w:val="24"/>
                <w:highlight w:val="none"/>
              </w:rPr>
              <w:t>=</w:t>
            </w:r>
            <w:r>
              <w:rPr>
                <w:rFonts w:hint="default"/>
                <w:sz w:val="24"/>
                <w:highlight w:val="none"/>
              </w:rPr>
              <w:t>L</w:t>
            </w:r>
            <w:r>
              <w:rPr>
                <w:rFonts w:hint="eastAsia"/>
                <w:sz w:val="24"/>
                <w:highlight w:val="none"/>
              </w:rPr>
              <w:t>w-20</w:t>
            </w:r>
            <w:r>
              <w:rPr>
                <w:rFonts w:hint="default"/>
                <w:sz w:val="24"/>
                <w:highlight w:val="none"/>
              </w:rPr>
              <w:t>lg</w:t>
            </w:r>
            <w:r>
              <w:rPr>
                <w:rFonts w:hint="eastAsia"/>
                <w:sz w:val="24"/>
                <w:highlight w:val="none"/>
              </w:rPr>
              <w:t>r-8</w:t>
            </w:r>
          </w:p>
          <w:p w14:paraId="68BC1F14">
            <w:pPr>
              <w:keepNext w:val="0"/>
              <w:keepLines w:val="0"/>
              <w:suppressLineNumbers w:val="0"/>
              <w:spacing w:before="0" w:beforeAutospacing="0" w:after="0" w:afterAutospacing="0" w:line="440" w:lineRule="exact"/>
              <w:ind w:left="0" w:right="0"/>
              <w:rPr>
                <w:rFonts w:hint="default"/>
                <w:sz w:val="24"/>
                <w:highlight w:val="none"/>
              </w:rPr>
            </w:pPr>
            <w:r>
              <w:rPr>
                <w:rFonts w:hint="eastAsia"/>
                <w:sz w:val="24"/>
                <w:highlight w:val="none"/>
              </w:rPr>
              <w:t>式中</w:t>
            </w:r>
            <w:r>
              <w:rPr>
                <w:rFonts w:hint="default"/>
                <w:sz w:val="24"/>
                <w:highlight w:val="none"/>
              </w:rPr>
              <w:t>：Lp（</w:t>
            </w:r>
            <w:r>
              <w:rPr>
                <w:rFonts w:hint="eastAsia"/>
                <w:sz w:val="24"/>
                <w:highlight w:val="none"/>
              </w:rPr>
              <w:t>r</w:t>
            </w:r>
            <w:r>
              <w:rPr>
                <w:rFonts w:hint="default"/>
                <w:sz w:val="24"/>
                <w:highlight w:val="none"/>
              </w:rPr>
              <w:t>）</w:t>
            </w:r>
            <w:r>
              <w:rPr>
                <w:rFonts w:hint="eastAsia"/>
                <w:sz w:val="24"/>
                <w:highlight w:val="none"/>
                <w:lang w:eastAsia="zh-CN"/>
              </w:rPr>
              <w:t>—</w:t>
            </w:r>
            <w:r>
              <w:rPr>
                <w:rFonts w:hint="eastAsia"/>
                <w:sz w:val="24"/>
                <w:highlight w:val="none"/>
              </w:rPr>
              <w:t>预测点处声压级，dB；</w:t>
            </w:r>
          </w:p>
          <w:p w14:paraId="677C8187">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L</w:t>
            </w:r>
            <w:r>
              <w:rPr>
                <w:rFonts w:hint="eastAsia"/>
                <w:sz w:val="24"/>
                <w:highlight w:val="none"/>
              </w:rPr>
              <w:t>w—由点声源产生的倍频带声功率级，dB；</w:t>
            </w:r>
          </w:p>
          <w:p w14:paraId="753CB494">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r—</w:t>
            </w:r>
            <w:r>
              <w:rPr>
                <w:rFonts w:hint="eastAsia"/>
                <w:sz w:val="24"/>
                <w:highlight w:val="none"/>
              </w:rPr>
              <w:t>预测点距声源的距离，</w:t>
            </w:r>
            <w:r>
              <w:rPr>
                <w:rFonts w:hint="default"/>
                <w:sz w:val="24"/>
                <w:highlight w:val="none"/>
              </w:rPr>
              <w:t>m；</w:t>
            </w:r>
          </w:p>
          <w:p w14:paraId="26999FCD">
            <w:pPr>
              <w:keepNext w:val="0"/>
              <w:keepLines w:val="0"/>
              <w:suppressLineNumbers w:val="0"/>
              <w:spacing w:before="0" w:beforeAutospacing="0" w:after="0" w:afterAutospacing="0" w:line="440" w:lineRule="exact"/>
              <w:ind w:left="0" w:right="0" w:firstLine="480" w:firstLineChars="200"/>
              <w:rPr>
                <w:rFonts w:hint="eastAsia"/>
                <w:sz w:val="24"/>
                <w:highlight w:val="none"/>
                <w:lang w:eastAsia="zh-CN"/>
              </w:rPr>
            </w:pPr>
            <w:r>
              <w:rPr>
                <w:rFonts w:hint="eastAsia"/>
                <w:sz w:val="24"/>
                <w:highlight w:val="none"/>
              </w:rPr>
              <w:t>本项目</w:t>
            </w:r>
            <w:r>
              <w:rPr>
                <w:rFonts w:hint="default"/>
                <w:sz w:val="24"/>
                <w:highlight w:val="none"/>
              </w:rPr>
              <w:t>声源在预测点产生的贡献值（Leqg）计算公式</w:t>
            </w:r>
            <w:r>
              <w:rPr>
                <w:rFonts w:hint="eastAsia"/>
                <w:sz w:val="24"/>
                <w:highlight w:val="none"/>
                <w:lang w:eastAsia="zh-CN"/>
              </w:rPr>
              <w:t>：</w:t>
            </w:r>
          </w:p>
          <w:p w14:paraId="149B31B9">
            <w:pPr>
              <w:keepNext w:val="0"/>
              <w:keepLines w:val="0"/>
              <w:suppressLineNumbers w:val="0"/>
              <w:spacing w:before="0" w:beforeAutospacing="0" w:after="0" w:afterAutospacing="0" w:line="360" w:lineRule="auto"/>
              <w:ind w:left="0" w:right="0"/>
              <w:jc w:val="center"/>
              <w:rPr>
                <w:rFonts w:hint="default" w:hAnsi="Cambria Math" w:cs="Times New Roman"/>
                <w:i w:val="0"/>
                <w:color w:val="0C0C0C"/>
                <w:sz w:val="24"/>
                <w:szCs w:val="24"/>
                <w:highlight w:val="none"/>
              </w:rPr>
            </w:pPr>
            <w:r>
              <w:rPr>
                <w:rFonts w:hint="default" w:ascii="Times New Roman" w:hAnsi="Times New Roman" w:cs="Times New Roman"/>
                <w:color w:val="0C0C0C"/>
                <w:sz w:val="24"/>
                <w:szCs w:val="24"/>
                <w:highlight w:val="none"/>
              </w:rPr>
              <w:t>L</w:t>
            </w:r>
            <w:r>
              <w:rPr>
                <w:rFonts w:hint="eastAsia" w:ascii="Times New Roman" w:hAnsi="Times New Roman" w:cs="Times New Roman"/>
                <w:color w:val="0C0C0C"/>
                <w:sz w:val="24"/>
                <w:szCs w:val="24"/>
                <w:highlight w:val="none"/>
                <w:vertAlign w:val="subscript"/>
              </w:rPr>
              <w:t>eqg</w:t>
            </w:r>
            <w:r>
              <w:rPr>
                <w:rFonts w:hint="default" w:ascii="Times New Roman" w:hAnsi="Times New Roman" w:cs="Times New Roman"/>
                <w:color w:val="0C0C0C"/>
                <w:sz w:val="24"/>
                <w:szCs w:val="24"/>
                <w:highlight w:val="none"/>
              </w:rPr>
              <w:t>=10lg</w:t>
            </w:r>
            <m:oMath>
              <m:d>
                <m:dPr>
                  <m:begChr m:val="["/>
                  <m:endChr m:val="]"/>
                  <m:ctrlPr>
                    <w:rPr>
                      <w:rFonts w:hint="default" w:ascii="Cambria Math" w:hAnsi="Cambria Math" w:cs="Times New Roman"/>
                      <w:color w:val="0C0C0C"/>
                      <w:sz w:val="24"/>
                      <w:szCs w:val="24"/>
                      <w:highlight w:val="none"/>
                    </w:rPr>
                  </m:ctrlPr>
                </m:dPr>
                <m:e>
                  <m:f>
                    <m:fPr>
                      <m:ctrlPr>
                        <w:rPr>
                          <w:rFonts w:hint="default" w:ascii="Cambria Math" w:hAnsi="Cambria Math" w:cs="Times New Roman"/>
                          <w:i/>
                          <w:color w:val="0C0C0C"/>
                          <w:sz w:val="24"/>
                          <w:szCs w:val="24"/>
                          <w:highlight w:val="none"/>
                        </w:rPr>
                      </m:ctrlPr>
                    </m:fPr>
                    <m:num>
                      <m:r>
                        <m:rPr/>
                        <w:rPr>
                          <w:rFonts w:hint="default" w:ascii="Cambria Math" w:hAnsi="Cambria Math" w:cs="Times New Roman"/>
                          <w:color w:val="0C0C0C"/>
                          <w:sz w:val="24"/>
                          <w:szCs w:val="24"/>
                          <w:highlight w:val="none"/>
                        </w:rPr>
                        <m:t>1</m:t>
                      </m:r>
                      <m:ctrlPr>
                        <w:rPr>
                          <w:rFonts w:hint="default" w:ascii="Cambria Math" w:hAnsi="Cambria Math" w:cs="Times New Roman"/>
                          <w:i/>
                          <w:color w:val="0C0C0C"/>
                          <w:sz w:val="24"/>
                          <w:szCs w:val="24"/>
                          <w:highlight w:val="none"/>
                        </w:rPr>
                      </m:ctrlPr>
                    </m:num>
                    <m:den>
                      <m:r>
                        <m:rPr/>
                        <w:rPr>
                          <w:rFonts w:hint="default" w:ascii="Cambria Math" w:hAnsi="Cambria Math" w:cs="Times New Roman"/>
                          <w:color w:val="0C0C0C"/>
                          <w:sz w:val="24"/>
                          <w:szCs w:val="24"/>
                          <w:highlight w:val="none"/>
                        </w:rPr>
                        <m:t>T</m:t>
                      </m:r>
                      <m:ctrlPr>
                        <w:rPr>
                          <w:rFonts w:hint="default" w:ascii="Cambria Math" w:hAnsi="Cambria Math" w:cs="Times New Roman"/>
                          <w:i/>
                          <w:color w:val="0C0C0C"/>
                          <w:sz w:val="24"/>
                          <w:szCs w:val="24"/>
                          <w:highlight w:val="none"/>
                        </w:rPr>
                      </m:ctrlPr>
                    </m:den>
                  </m:f>
                  <m:d>
                    <m:dPr>
                      <m:begChr m:val="{"/>
                      <m:endChr m:val="}"/>
                      <m:ctrlPr>
                        <w:rPr>
                          <w:rFonts w:hint="default" w:ascii="Cambria Math" w:hAnsi="Cambria Math" w:cs="Times New Roman"/>
                          <w:i/>
                          <w:color w:val="0C0C0C"/>
                          <w:sz w:val="24"/>
                          <w:szCs w:val="24"/>
                          <w:highlight w:val="none"/>
                        </w:rPr>
                      </m:ctrlPr>
                    </m:dPr>
                    <m:e>
                      <m:limLow>
                        <m:limLowPr>
                          <m:ctrlPr>
                            <w:rPr>
                              <w:rFonts w:hint="default" w:ascii="Cambria Math" w:hAnsi="Cambria Math" w:cs="Times New Roman"/>
                              <w:color w:val="0C0C0C"/>
                              <w:sz w:val="24"/>
                              <w:szCs w:val="24"/>
                              <w:highlight w:val="none"/>
                            </w:rPr>
                          </m:ctrlPr>
                        </m:limLowPr>
                        <m:e>
                          <m:limUpp>
                            <m:limUppPr>
                              <m:ctrlPr>
                                <w:rPr>
                                  <w:rFonts w:hint="default" w:ascii="Cambria Math" w:hAnsi="Cambria Math" w:cs="Times New Roman"/>
                                  <w:i/>
                                  <w:color w:val="0C0C0C"/>
                                  <w:sz w:val="24"/>
                                  <w:szCs w:val="24"/>
                                  <w:highlight w:val="none"/>
                                </w:rPr>
                              </m:ctrlPr>
                            </m:limUppPr>
                            <m:e>
                              <m:r>
                                <m:rPr/>
                                <w:rPr>
                                  <w:rFonts w:hint="default" w:ascii="Cambria Math" w:hAnsi="Cambria Math" w:cs="Times New Roman"/>
                                  <w:color w:val="0C0C0C"/>
                                  <w:sz w:val="24"/>
                                  <w:szCs w:val="24"/>
                                  <w:highlight w:val="none"/>
                                </w:rPr>
                                <m:t>∑</m:t>
                              </m:r>
                              <m:ctrlPr>
                                <w:rPr>
                                  <w:rFonts w:hint="default" w:ascii="Cambria Math" w:hAnsi="Cambria Math" w:cs="Times New Roman"/>
                                  <w:i/>
                                  <w:color w:val="0C0C0C"/>
                                  <w:sz w:val="24"/>
                                  <w:szCs w:val="24"/>
                                  <w:highlight w:val="none"/>
                                </w:rPr>
                              </m:ctrlPr>
                            </m:e>
                            <m:lim>
                              <m:r>
                                <m:rPr/>
                                <w:rPr>
                                  <w:rFonts w:hint="default" w:ascii="Cambria Math" w:hAnsi="Cambria Math" w:cs="Times New Roman"/>
                                  <w:color w:val="0C0C0C"/>
                                  <w:sz w:val="24"/>
                                  <w:szCs w:val="24"/>
                                  <w:highlight w:val="none"/>
                                </w:rPr>
                                <m:t>N</m:t>
                              </m:r>
                              <m:ctrlPr>
                                <w:rPr>
                                  <w:rFonts w:hint="default" w:ascii="Cambria Math" w:hAnsi="Cambria Math" w:cs="Times New Roman"/>
                                  <w:i/>
                                  <w:color w:val="0C0C0C"/>
                                  <w:sz w:val="24"/>
                                  <w:szCs w:val="24"/>
                                  <w:highlight w:val="none"/>
                                </w:rPr>
                              </m:ctrlPr>
                            </m:lim>
                          </m:limUpp>
                          <m:ctrlPr>
                            <w:rPr>
                              <w:rFonts w:hint="default" w:ascii="Cambria Math" w:hAnsi="Cambria Math" w:cs="Times New Roman"/>
                              <w:i/>
                              <w:sz w:val="24"/>
                              <w:szCs w:val="24"/>
                              <w:highlight w:val="none"/>
                            </w:rPr>
                          </m:ctrlPr>
                        </m:e>
                        <m:lim>
                          <m:r>
                            <m:rPr/>
                            <w:rPr>
                              <w:rFonts w:hint="default" w:ascii="Cambria Math" w:hAnsi="Cambria Math" w:cs="Times New Roman"/>
                              <w:sz w:val="24"/>
                              <w:szCs w:val="24"/>
                              <w:highlight w:val="none"/>
                            </w:rPr>
                            <m:t>i=1</m:t>
                          </m:r>
                          <m:ctrlPr>
                            <w:rPr>
                              <w:rFonts w:hint="default" w:ascii="Cambria Math" w:hAnsi="Cambria Math" w:cs="Times New Roman"/>
                              <w:color w:val="0C0C0C"/>
                              <w:sz w:val="24"/>
                              <w:szCs w:val="24"/>
                              <w:highlight w:val="none"/>
                            </w:rPr>
                          </m:ctrlPr>
                        </m:lim>
                      </m:limLow>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t</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i</m:t>
                          </m:r>
                          <m:ctrlPr>
                            <w:rPr>
                              <w:rFonts w:hint="default" w:ascii="Cambria Math" w:hAnsi="Cambria Math" w:cs="Times New Roman"/>
                              <w:i/>
                              <w:color w:val="0C0C0C"/>
                              <w:sz w:val="24"/>
                              <w:szCs w:val="24"/>
                              <w:highlight w:val="none"/>
                            </w:rPr>
                          </m:ctrlPr>
                        </m:sub>
                      </m:sSub>
                      <m:sSup>
                        <m:sSupPr>
                          <m:ctrlPr>
                            <w:rPr>
                              <w:rFonts w:hint="default" w:ascii="Cambria Math" w:hAnsi="Cambria Math" w:cs="Times New Roman"/>
                              <w:i/>
                              <w:color w:val="0C0C0C"/>
                              <w:sz w:val="24"/>
                              <w:szCs w:val="24"/>
                              <w:highlight w:val="none"/>
                            </w:rPr>
                          </m:ctrlPr>
                        </m:sSupPr>
                        <m:e>
                          <m:r>
                            <m:rPr/>
                            <w:rPr>
                              <w:rFonts w:hint="default" w:ascii="Cambria Math" w:hAnsi="Cambria Math" w:cs="Times New Roman"/>
                              <w:color w:val="0C0C0C"/>
                              <w:sz w:val="24"/>
                              <w:szCs w:val="24"/>
                              <w:highlight w:val="none"/>
                            </w:rPr>
                            <m:t>10</m:t>
                          </m:r>
                          <m:ctrlPr>
                            <w:rPr>
                              <w:rFonts w:hint="default" w:ascii="Cambria Math" w:hAnsi="Cambria Math" w:cs="Times New Roman"/>
                              <w:i/>
                              <w:color w:val="0C0C0C"/>
                              <w:sz w:val="24"/>
                              <w:szCs w:val="24"/>
                              <w:highlight w:val="none"/>
                            </w:rPr>
                          </m:ctrlPr>
                        </m:e>
                        <m:sup>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0.1L</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Ai</m:t>
                              </m:r>
                              <m:ctrlPr>
                                <w:rPr>
                                  <w:rFonts w:hint="default" w:ascii="Cambria Math" w:hAnsi="Cambria Math" w:cs="Times New Roman"/>
                                  <w:i/>
                                  <w:color w:val="0C0C0C"/>
                                  <w:sz w:val="24"/>
                                  <w:szCs w:val="24"/>
                                  <w:highlight w:val="none"/>
                                </w:rPr>
                              </m:ctrlPr>
                            </m:sub>
                          </m:sSub>
                          <m:ctrlPr>
                            <w:rPr>
                              <w:rFonts w:hint="default" w:ascii="Cambria Math" w:hAnsi="Cambria Math" w:cs="Times New Roman"/>
                              <w:i/>
                              <w:color w:val="0C0C0C"/>
                              <w:sz w:val="24"/>
                              <w:szCs w:val="24"/>
                              <w:highlight w:val="none"/>
                            </w:rPr>
                          </m:ctrlPr>
                        </m:sup>
                      </m:sSup>
                      <m:r>
                        <m:rPr/>
                        <w:rPr>
                          <w:rFonts w:hint="default" w:ascii="Cambria Math" w:hAnsi="Cambria Math" w:cs="Times New Roman"/>
                          <w:color w:val="0C0C0C"/>
                          <w:sz w:val="24"/>
                          <w:szCs w:val="24"/>
                          <w:highlight w:val="none"/>
                        </w:rPr>
                        <m:t>+</m:t>
                      </m:r>
                      <m:limLow>
                        <m:limLowPr>
                          <m:ctrlPr>
                            <w:rPr>
                              <w:rFonts w:hint="default" w:ascii="Cambria Math" w:hAnsi="Cambria Math" w:cs="Times New Roman"/>
                              <w:color w:val="0C0C0C"/>
                              <w:sz w:val="24"/>
                              <w:szCs w:val="24"/>
                              <w:highlight w:val="none"/>
                            </w:rPr>
                          </m:ctrlPr>
                        </m:limLowPr>
                        <m:e>
                          <m:limUpp>
                            <m:limUppPr>
                              <m:ctrlPr>
                                <w:rPr>
                                  <w:rFonts w:hint="default" w:ascii="Cambria Math" w:hAnsi="Cambria Math" w:cs="Times New Roman"/>
                                  <w:i/>
                                  <w:color w:val="0C0C0C"/>
                                  <w:sz w:val="24"/>
                                  <w:szCs w:val="24"/>
                                  <w:highlight w:val="none"/>
                                </w:rPr>
                              </m:ctrlPr>
                            </m:limUppPr>
                            <m:e>
                              <m:r>
                                <m:rPr/>
                                <w:rPr>
                                  <w:rFonts w:hint="default" w:ascii="Cambria Math" w:hAnsi="Cambria Math" w:cs="Times New Roman"/>
                                  <w:color w:val="0C0C0C"/>
                                  <w:sz w:val="24"/>
                                  <w:szCs w:val="24"/>
                                  <w:highlight w:val="none"/>
                                </w:rPr>
                                <m:t>∑</m:t>
                              </m:r>
                              <m:ctrlPr>
                                <w:rPr>
                                  <w:rFonts w:hint="default" w:ascii="Cambria Math" w:hAnsi="Cambria Math" w:cs="Times New Roman"/>
                                  <w:i/>
                                  <w:color w:val="0C0C0C"/>
                                  <w:sz w:val="24"/>
                                  <w:szCs w:val="24"/>
                                  <w:highlight w:val="none"/>
                                </w:rPr>
                              </m:ctrlPr>
                            </m:e>
                            <m:lim>
                              <m:r>
                                <m:rPr/>
                                <w:rPr>
                                  <w:rFonts w:hint="default" w:ascii="Cambria Math" w:hAnsi="Cambria Math" w:cs="Times New Roman"/>
                                  <w:color w:val="0C0C0C"/>
                                  <w:sz w:val="24"/>
                                  <w:szCs w:val="24"/>
                                  <w:highlight w:val="none"/>
                                </w:rPr>
                                <m:t>M</m:t>
                              </m:r>
                              <m:ctrlPr>
                                <w:rPr>
                                  <w:rFonts w:hint="default" w:ascii="Cambria Math" w:hAnsi="Cambria Math" w:cs="Times New Roman"/>
                                  <w:i/>
                                  <w:color w:val="0C0C0C"/>
                                  <w:sz w:val="24"/>
                                  <w:szCs w:val="24"/>
                                  <w:highlight w:val="none"/>
                                </w:rPr>
                              </m:ctrlPr>
                            </m:lim>
                          </m:limUpp>
                          <m:ctrlPr>
                            <w:rPr>
                              <w:rFonts w:hint="default" w:ascii="Cambria Math" w:hAnsi="Cambria Math" w:cs="Times New Roman"/>
                              <w:i/>
                              <w:sz w:val="24"/>
                              <w:szCs w:val="24"/>
                              <w:highlight w:val="none"/>
                            </w:rPr>
                          </m:ctrlPr>
                        </m:e>
                        <m:lim>
                          <m:r>
                            <m:rPr/>
                            <w:rPr>
                              <w:rFonts w:hint="default" w:ascii="Cambria Math" w:hAnsi="Cambria Math" w:cs="Times New Roman"/>
                              <w:sz w:val="24"/>
                              <w:szCs w:val="24"/>
                              <w:highlight w:val="none"/>
                            </w:rPr>
                            <m:t>j=1</m:t>
                          </m:r>
                          <m:ctrlPr>
                            <w:rPr>
                              <w:rFonts w:hint="default" w:ascii="Cambria Math" w:hAnsi="Cambria Math" w:cs="Times New Roman"/>
                              <w:color w:val="0C0C0C"/>
                              <w:sz w:val="24"/>
                              <w:szCs w:val="24"/>
                              <w:highlight w:val="none"/>
                            </w:rPr>
                          </m:ctrlPr>
                        </m:lim>
                      </m:limLow>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t</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j</m:t>
                          </m:r>
                          <m:ctrlPr>
                            <w:rPr>
                              <w:rFonts w:hint="default" w:ascii="Cambria Math" w:hAnsi="Cambria Math" w:cs="Times New Roman"/>
                              <w:i/>
                              <w:color w:val="0C0C0C"/>
                              <w:sz w:val="24"/>
                              <w:szCs w:val="24"/>
                              <w:highlight w:val="none"/>
                            </w:rPr>
                          </m:ctrlPr>
                        </m:sub>
                      </m:sSub>
                      <m:sSup>
                        <m:sSupPr>
                          <m:ctrlPr>
                            <w:rPr>
                              <w:rFonts w:hint="default" w:ascii="Cambria Math" w:hAnsi="Cambria Math" w:cs="Times New Roman"/>
                              <w:i/>
                              <w:color w:val="0C0C0C"/>
                              <w:sz w:val="24"/>
                              <w:szCs w:val="24"/>
                              <w:highlight w:val="none"/>
                            </w:rPr>
                          </m:ctrlPr>
                        </m:sSupPr>
                        <m:e>
                          <m:r>
                            <m:rPr/>
                            <w:rPr>
                              <w:rFonts w:hint="default" w:ascii="Cambria Math" w:hAnsi="Cambria Math" w:cs="Times New Roman"/>
                              <w:color w:val="0C0C0C"/>
                              <w:sz w:val="24"/>
                              <w:szCs w:val="24"/>
                              <w:highlight w:val="none"/>
                            </w:rPr>
                            <m:t>10</m:t>
                          </m:r>
                          <m:ctrlPr>
                            <w:rPr>
                              <w:rFonts w:hint="default" w:ascii="Cambria Math" w:hAnsi="Cambria Math" w:cs="Times New Roman"/>
                              <w:i/>
                              <w:color w:val="0C0C0C"/>
                              <w:sz w:val="24"/>
                              <w:szCs w:val="24"/>
                              <w:highlight w:val="none"/>
                            </w:rPr>
                          </m:ctrlPr>
                        </m:e>
                        <m:sup>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0.1L</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Aj</m:t>
                              </m:r>
                              <m:ctrlPr>
                                <w:rPr>
                                  <w:rFonts w:hint="default" w:ascii="Cambria Math" w:hAnsi="Cambria Math" w:cs="Times New Roman"/>
                                  <w:i/>
                                  <w:color w:val="0C0C0C"/>
                                  <w:sz w:val="24"/>
                                  <w:szCs w:val="24"/>
                                  <w:highlight w:val="none"/>
                                </w:rPr>
                              </m:ctrlPr>
                            </m:sub>
                          </m:sSub>
                          <m:ctrlPr>
                            <w:rPr>
                              <w:rFonts w:hint="default" w:ascii="Cambria Math" w:hAnsi="Cambria Math" w:cs="Times New Roman"/>
                              <w:i/>
                              <w:color w:val="0C0C0C"/>
                              <w:sz w:val="24"/>
                              <w:szCs w:val="24"/>
                              <w:highlight w:val="none"/>
                            </w:rPr>
                          </m:ctrlPr>
                        </m:sup>
                      </m:sSup>
                      <m:ctrlPr>
                        <w:rPr>
                          <w:rFonts w:hint="default" w:ascii="Cambria Math" w:hAnsi="Cambria Math" w:cs="Times New Roman"/>
                          <w:i/>
                          <w:color w:val="0C0C0C"/>
                          <w:sz w:val="24"/>
                          <w:szCs w:val="24"/>
                          <w:highlight w:val="none"/>
                        </w:rPr>
                      </m:ctrlPr>
                    </m:e>
                  </m:d>
                  <m:ctrlPr>
                    <w:rPr>
                      <w:rFonts w:hint="default" w:ascii="Cambria Math" w:hAnsi="Cambria Math" w:cs="Times New Roman"/>
                      <w:color w:val="0C0C0C"/>
                      <w:sz w:val="24"/>
                      <w:szCs w:val="24"/>
                      <w:highlight w:val="none"/>
                    </w:rPr>
                  </m:ctrlPr>
                </m:e>
              </m:d>
            </m:oMath>
          </w:p>
          <w:p w14:paraId="5ED595D5">
            <w:pPr>
              <w:keepNext w:val="0"/>
              <w:keepLines w:val="0"/>
              <w:suppressLineNumbers w:val="0"/>
              <w:spacing w:before="0" w:beforeAutospacing="0" w:after="0" w:afterAutospacing="0" w:line="440" w:lineRule="exact"/>
              <w:ind w:left="0" w:right="0"/>
              <w:rPr>
                <w:rFonts w:hint="default"/>
                <w:sz w:val="24"/>
                <w:highlight w:val="none"/>
              </w:rPr>
            </w:pPr>
            <w:r>
              <w:rPr>
                <w:rFonts w:hint="default"/>
                <w:sz w:val="24"/>
                <w:highlight w:val="none"/>
              </w:rPr>
              <w:t>式中：Leqg—建设项目声源在预测的产生的噪声贡献值，dB；</w:t>
            </w:r>
          </w:p>
          <w:p w14:paraId="71B36EF0">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T—用于计算等效声级的时间，s；</w:t>
            </w:r>
          </w:p>
          <w:p w14:paraId="0958BCA5">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N—室外声源个数；</w:t>
            </w:r>
          </w:p>
          <w:p w14:paraId="1267A191">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ti—在T时间内i声源内工作时间，s；</w:t>
            </w:r>
          </w:p>
          <w:p w14:paraId="40536033">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M—等效室外声源个数；</w:t>
            </w:r>
          </w:p>
          <w:p w14:paraId="67DEF54C">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ti—在T时间内j声源内工作时间，s；</w:t>
            </w:r>
          </w:p>
          <w:p w14:paraId="688775B4">
            <w:pPr>
              <w:keepNext w:val="0"/>
              <w:keepLines w:val="0"/>
              <w:suppressLineNumbers w:val="0"/>
              <w:tabs>
                <w:tab w:val="left" w:pos="8370"/>
                <w:tab w:val="left" w:pos="8600"/>
              </w:tabs>
              <w:spacing w:before="0" w:beforeAutospacing="0" w:after="0" w:afterAutospacing="0" w:line="440" w:lineRule="exact"/>
              <w:ind w:left="0" w:right="0" w:firstLine="480" w:firstLineChars="200"/>
              <w:rPr>
                <w:rFonts w:hint="eastAsia"/>
                <w:sz w:val="24"/>
                <w:highlight w:val="none"/>
              </w:rPr>
            </w:pPr>
            <w:r>
              <w:rPr>
                <w:rFonts w:hint="default"/>
                <w:sz w:val="24"/>
                <w:highlight w:val="none"/>
              </w:rPr>
              <w:t>根据本</w:t>
            </w:r>
            <w:r>
              <w:rPr>
                <w:rFonts w:hint="eastAsia"/>
                <w:sz w:val="24"/>
                <w:highlight w:val="none"/>
              </w:rPr>
              <w:t>项目</w:t>
            </w:r>
            <w:r>
              <w:rPr>
                <w:rFonts w:hint="default"/>
                <w:sz w:val="24"/>
                <w:highlight w:val="none"/>
              </w:rPr>
              <w:t>噪声源的分布，对项目四周厂界噪声</w:t>
            </w:r>
            <w:r>
              <w:rPr>
                <w:rFonts w:hint="eastAsia"/>
                <w:sz w:val="24"/>
                <w:highlight w:val="none"/>
              </w:rPr>
              <w:t>贡献值</w:t>
            </w:r>
            <w:r>
              <w:rPr>
                <w:rFonts w:hint="default"/>
                <w:sz w:val="24"/>
                <w:highlight w:val="none"/>
              </w:rPr>
              <w:t>进行计算，</w:t>
            </w:r>
            <w:r>
              <w:rPr>
                <w:rFonts w:hint="eastAsia"/>
                <w:sz w:val="24"/>
                <w:highlight w:val="none"/>
              </w:rPr>
              <w:t>本次评价</w:t>
            </w:r>
            <w:r>
              <w:rPr>
                <w:rFonts w:hint="default"/>
                <w:sz w:val="24"/>
                <w:highlight w:val="none"/>
              </w:rPr>
              <w:t>厂界噪声的预测结果见</w:t>
            </w:r>
            <w:r>
              <w:rPr>
                <w:rFonts w:hint="eastAsia"/>
                <w:sz w:val="24"/>
                <w:highlight w:val="none"/>
              </w:rPr>
              <w:t>下</w:t>
            </w:r>
            <w:r>
              <w:rPr>
                <w:rFonts w:hint="default"/>
                <w:sz w:val="24"/>
                <w:highlight w:val="none"/>
              </w:rPr>
              <w:t>表。</w:t>
            </w:r>
          </w:p>
          <w:p w14:paraId="76E4FBE5">
            <w:pPr>
              <w:keepNext w:val="0"/>
              <w:keepLines w:val="0"/>
              <w:suppressLineNumbers w:val="0"/>
              <w:adjustRightInd w:val="0"/>
              <w:snapToGrid w:val="0"/>
              <w:spacing w:before="0" w:beforeAutospacing="0" w:after="0" w:afterAutospacing="0" w:line="420" w:lineRule="exact"/>
              <w:ind w:left="0" w:right="0"/>
              <w:jc w:val="center"/>
              <w:textAlignment w:val="baseline"/>
              <w:rPr>
                <w:rFonts w:hint="default" w:eastAsia="黑体"/>
                <w:sz w:val="24"/>
                <w:highlight w:val="none"/>
              </w:rPr>
            </w:pPr>
            <w:r>
              <w:rPr>
                <w:rFonts w:hint="default" w:ascii="宋体" w:hAnsi="宋体"/>
                <w:b/>
                <w:color w:val="000000"/>
                <w:sz w:val="24"/>
                <w:highlight w:val="none"/>
              </w:rPr>
              <w:t>表</w:t>
            </w:r>
            <w:r>
              <w:rPr>
                <w:rFonts w:hint="eastAsia" w:cs="Times New Roman"/>
                <w:b/>
                <w:color w:val="000000"/>
                <w:sz w:val="24"/>
                <w:highlight w:val="none"/>
                <w:lang w:val="en-US" w:eastAsia="zh-CN"/>
              </w:rPr>
              <w:t xml:space="preserve">33  </w:t>
            </w:r>
            <w:r>
              <w:rPr>
                <w:rFonts w:hint="eastAsia" w:ascii="宋体" w:hAnsi="宋体"/>
                <w:b/>
                <w:color w:val="000000"/>
                <w:sz w:val="24"/>
                <w:highlight w:val="none"/>
              </w:rPr>
              <w:t>各厂界噪声预测值</w:t>
            </w:r>
            <w:r>
              <w:rPr>
                <w:rFonts w:hint="eastAsia" w:ascii="宋体" w:hAnsi="宋体"/>
                <w:b/>
                <w:color w:val="000000"/>
                <w:sz w:val="24"/>
                <w:highlight w:val="none"/>
                <w:lang w:val="en-US" w:eastAsia="zh-CN"/>
              </w:rPr>
              <w:t xml:space="preserve">  </w:t>
            </w:r>
            <w:r>
              <w:rPr>
                <w:rFonts w:hint="default" w:ascii="宋体" w:hAnsi="宋体"/>
                <w:b/>
                <w:color w:val="000000"/>
                <w:sz w:val="24"/>
                <w:highlight w:val="none"/>
              </w:rPr>
              <w:t>单位：</w:t>
            </w:r>
            <w:r>
              <w:rPr>
                <w:rFonts w:hint="default" w:ascii="Times New Roman" w:hAnsi="Times New Roman" w:cs="Times New Roman"/>
                <w:b/>
                <w:color w:val="000000"/>
                <w:sz w:val="24"/>
                <w:highlight w:val="none"/>
              </w:rPr>
              <w:t>dB（A）</w:t>
            </w:r>
          </w:p>
          <w:tbl>
            <w:tblPr>
              <w:tblStyle w:val="2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595"/>
              <w:gridCol w:w="1287"/>
              <w:gridCol w:w="1612"/>
              <w:gridCol w:w="1612"/>
              <w:gridCol w:w="1490"/>
            </w:tblGrid>
            <w:tr w14:paraId="02B808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5" w:type="dxa"/>
                  <w:tcBorders>
                    <w:top w:val="single" w:color="auto" w:sz="8" w:space="0"/>
                    <w:left w:val="nil"/>
                    <w:bottom w:val="single" w:color="auto" w:sz="8" w:space="0"/>
                    <w:right w:val="single" w:color="auto" w:sz="4" w:space="0"/>
                  </w:tcBorders>
                  <w:noWrap w:val="0"/>
                  <w:vAlign w:val="center"/>
                </w:tcPr>
                <w:p w14:paraId="7E0F07E3">
                  <w:pPr>
                    <w:keepNext w:val="0"/>
                    <w:keepLines w:val="0"/>
                    <w:suppressLineNumbers w:val="0"/>
                    <w:tabs>
                      <w:tab w:val="left" w:pos="8370"/>
                      <w:tab w:val="left" w:pos="8600"/>
                    </w:tabs>
                    <w:spacing w:before="0" w:beforeAutospacing="0" w:after="0" w:afterAutospacing="0"/>
                    <w:ind w:left="0" w:right="0"/>
                    <w:jc w:val="center"/>
                    <w:rPr>
                      <w:rFonts w:hint="default"/>
                      <w:b/>
                      <w:sz w:val="21"/>
                      <w:szCs w:val="21"/>
                      <w:highlight w:val="none"/>
                    </w:rPr>
                  </w:pPr>
                  <w:r>
                    <w:rPr>
                      <w:rFonts w:hint="default" w:hAnsi="宋体"/>
                      <w:b/>
                      <w:sz w:val="21"/>
                      <w:szCs w:val="21"/>
                      <w:highlight w:val="none"/>
                    </w:rPr>
                    <w:t>预测点</w:t>
                  </w:r>
                </w:p>
              </w:tc>
              <w:tc>
                <w:tcPr>
                  <w:tcW w:w="1287" w:type="dxa"/>
                  <w:tcBorders>
                    <w:top w:val="single" w:color="auto" w:sz="8" w:space="0"/>
                    <w:left w:val="single" w:color="auto" w:sz="4" w:space="0"/>
                    <w:bottom w:val="single" w:color="auto" w:sz="8" w:space="0"/>
                    <w:right w:val="single" w:color="auto" w:sz="4" w:space="0"/>
                  </w:tcBorders>
                  <w:noWrap w:val="0"/>
                  <w:vAlign w:val="center"/>
                </w:tcPr>
                <w:p w14:paraId="4604B9D5">
                  <w:pPr>
                    <w:keepNext w:val="0"/>
                    <w:keepLines w:val="0"/>
                    <w:suppressLineNumbers w:val="0"/>
                    <w:tabs>
                      <w:tab w:val="left" w:pos="8370"/>
                      <w:tab w:val="left" w:pos="8600"/>
                    </w:tabs>
                    <w:spacing w:before="0" w:beforeAutospacing="0" w:after="0" w:afterAutospacing="0"/>
                    <w:ind w:left="0" w:right="0"/>
                    <w:jc w:val="center"/>
                    <w:rPr>
                      <w:rFonts w:hint="default"/>
                      <w:b/>
                      <w:sz w:val="21"/>
                      <w:szCs w:val="21"/>
                      <w:highlight w:val="none"/>
                    </w:rPr>
                  </w:pPr>
                  <w:r>
                    <w:rPr>
                      <w:rFonts w:hint="eastAsia" w:hAnsi="宋体"/>
                      <w:b/>
                      <w:sz w:val="21"/>
                      <w:szCs w:val="21"/>
                      <w:highlight w:val="none"/>
                      <w:lang w:val="en-US" w:eastAsia="zh-CN"/>
                    </w:rPr>
                    <w:t>东</w:t>
                  </w:r>
                  <w:r>
                    <w:rPr>
                      <w:rFonts w:hint="default" w:hAnsi="宋体"/>
                      <w:b/>
                      <w:sz w:val="21"/>
                      <w:szCs w:val="21"/>
                      <w:highlight w:val="none"/>
                    </w:rPr>
                    <w:t>厂界</w:t>
                  </w:r>
                </w:p>
              </w:tc>
              <w:tc>
                <w:tcPr>
                  <w:tcW w:w="1612" w:type="dxa"/>
                  <w:tcBorders>
                    <w:top w:val="single" w:color="auto" w:sz="8" w:space="0"/>
                    <w:left w:val="single" w:color="auto" w:sz="4" w:space="0"/>
                    <w:bottom w:val="single" w:color="auto" w:sz="8" w:space="0"/>
                    <w:right w:val="single" w:color="auto" w:sz="4" w:space="0"/>
                  </w:tcBorders>
                  <w:noWrap w:val="0"/>
                  <w:vAlign w:val="center"/>
                </w:tcPr>
                <w:p w14:paraId="02CC23F1">
                  <w:pPr>
                    <w:keepNext w:val="0"/>
                    <w:keepLines w:val="0"/>
                    <w:suppressLineNumbers w:val="0"/>
                    <w:tabs>
                      <w:tab w:val="left" w:pos="8370"/>
                      <w:tab w:val="left" w:pos="8600"/>
                    </w:tabs>
                    <w:spacing w:before="0" w:beforeAutospacing="0" w:after="0" w:afterAutospacing="0"/>
                    <w:ind w:left="0" w:right="0"/>
                    <w:jc w:val="center"/>
                    <w:rPr>
                      <w:rFonts w:hint="default"/>
                      <w:b/>
                      <w:sz w:val="21"/>
                      <w:szCs w:val="21"/>
                      <w:highlight w:val="none"/>
                    </w:rPr>
                  </w:pPr>
                  <w:r>
                    <w:rPr>
                      <w:rFonts w:hint="default" w:hAnsi="宋体"/>
                      <w:b/>
                      <w:sz w:val="21"/>
                      <w:szCs w:val="21"/>
                      <w:highlight w:val="none"/>
                    </w:rPr>
                    <w:t>南厂界</w:t>
                  </w:r>
                </w:p>
              </w:tc>
              <w:tc>
                <w:tcPr>
                  <w:tcW w:w="1612" w:type="dxa"/>
                  <w:tcBorders>
                    <w:top w:val="single" w:color="auto" w:sz="8" w:space="0"/>
                    <w:left w:val="single" w:color="auto" w:sz="4" w:space="0"/>
                    <w:bottom w:val="single" w:color="auto" w:sz="8" w:space="0"/>
                    <w:right w:val="single" w:color="auto" w:sz="4" w:space="0"/>
                  </w:tcBorders>
                  <w:noWrap w:val="0"/>
                  <w:vAlign w:val="center"/>
                </w:tcPr>
                <w:p w14:paraId="69983AC8">
                  <w:pPr>
                    <w:keepNext w:val="0"/>
                    <w:keepLines w:val="0"/>
                    <w:suppressLineNumbers w:val="0"/>
                    <w:tabs>
                      <w:tab w:val="left" w:pos="8370"/>
                      <w:tab w:val="left" w:pos="8600"/>
                    </w:tabs>
                    <w:spacing w:before="0" w:beforeAutospacing="0" w:after="0" w:afterAutospacing="0"/>
                    <w:ind w:left="0" w:right="0"/>
                    <w:jc w:val="center"/>
                    <w:rPr>
                      <w:rFonts w:hint="default"/>
                      <w:b/>
                      <w:sz w:val="21"/>
                      <w:szCs w:val="21"/>
                      <w:highlight w:val="none"/>
                    </w:rPr>
                  </w:pPr>
                  <w:r>
                    <w:rPr>
                      <w:rFonts w:hint="default" w:hAnsi="宋体"/>
                      <w:b/>
                      <w:sz w:val="21"/>
                      <w:szCs w:val="21"/>
                      <w:highlight w:val="none"/>
                    </w:rPr>
                    <w:t>西厂界</w:t>
                  </w:r>
                </w:p>
              </w:tc>
              <w:tc>
                <w:tcPr>
                  <w:tcW w:w="1490" w:type="dxa"/>
                  <w:tcBorders>
                    <w:top w:val="single" w:color="auto" w:sz="8" w:space="0"/>
                    <w:left w:val="single" w:color="auto" w:sz="4" w:space="0"/>
                    <w:bottom w:val="single" w:color="auto" w:sz="8" w:space="0"/>
                    <w:right w:val="nil"/>
                  </w:tcBorders>
                  <w:noWrap w:val="0"/>
                  <w:vAlign w:val="center"/>
                </w:tcPr>
                <w:p w14:paraId="55E3BF0F">
                  <w:pPr>
                    <w:keepNext w:val="0"/>
                    <w:keepLines w:val="0"/>
                    <w:suppressLineNumbers w:val="0"/>
                    <w:tabs>
                      <w:tab w:val="left" w:pos="8370"/>
                      <w:tab w:val="left" w:pos="8600"/>
                    </w:tabs>
                    <w:spacing w:before="0" w:beforeAutospacing="0" w:after="0" w:afterAutospacing="0"/>
                    <w:ind w:left="0" w:right="0"/>
                    <w:jc w:val="center"/>
                    <w:rPr>
                      <w:rFonts w:hint="default"/>
                      <w:b/>
                      <w:sz w:val="21"/>
                      <w:szCs w:val="21"/>
                      <w:highlight w:val="none"/>
                    </w:rPr>
                  </w:pPr>
                  <w:r>
                    <w:rPr>
                      <w:rFonts w:hint="eastAsia" w:hAnsi="宋体"/>
                      <w:b/>
                      <w:sz w:val="21"/>
                      <w:szCs w:val="21"/>
                      <w:highlight w:val="none"/>
                      <w:lang w:val="en-US" w:eastAsia="zh-CN"/>
                    </w:rPr>
                    <w:t>北</w:t>
                  </w:r>
                  <w:r>
                    <w:rPr>
                      <w:rFonts w:hint="default" w:hAnsi="宋体"/>
                      <w:b/>
                      <w:sz w:val="21"/>
                      <w:szCs w:val="21"/>
                      <w:highlight w:val="none"/>
                    </w:rPr>
                    <w:t>厂界</w:t>
                  </w:r>
                </w:p>
              </w:tc>
            </w:tr>
            <w:tr w14:paraId="68A9EE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5" w:type="dxa"/>
                  <w:tcBorders>
                    <w:top w:val="single" w:color="auto" w:sz="8" w:space="0"/>
                    <w:left w:val="nil"/>
                    <w:bottom w:val="single" w:color="auto" w:sz="4" w:space="0"/>
                    <w:right w:val="single" w:color="auto" w:sz="4" w:space="0"/>
                  </w:tcBorders>
                  <w:noWrap w:val="0"/>
                  <w:vAlign w:val="center"/>
                </w:tcPr>
                <w:p w14:paraId="1DD66063">
                  <w:pPr>
                    <w:keepNext w:val="0"/>
                    <w:keepLines w:val="0"/>
                    <w:suppressLineNumbers w:val="0"/>
                    <w:tabs>
                      <w:tab w:val="left" w:pos="8370"/>
                      <w:tab w:val="left" w:pos="8600"/>
                    </w:tabs>
                    <w:spacing w:before="0" w:beforeAutospacing="0" w:after="0" w:afterAutospacing="0"/>
                    <w:ind w:left="0" w:leftChars="0" w:right="0" w:rightChars="0"/>
                    <w:jc w:val="center"/>
                    <w:rPr>
                      <w:rFonts w:hint="default" w:hAnsi="宋体" w:eastAsia="宋体"/>
                      <w:b/>
                      <w:sz w:val="21"/>
                      <w:szCs w:val="21"/>
                      <w:highlight w:val="none"/>
                      <w:lang w:val="en-US" w:eastAsia="zh-CN"/>
                    </w:rPr>
                  </w:pPr>
                  <w:r>
                    <w:rPr>
                      <w:rFonts w:hint="eastAsia"/>
                      <w:sz w:val="21"/>
                      <w:szCs w:val="21"/>
                      <w:highlight w:val="none"/>
                    </w:rPr>
                    <w:t>与噪声源距离（</w:t>
                  </w:r>
                  <w:r>
                    <w:rPr>
                      <w:rFonts w:hint="default"/>
                      <w:sz w:val="21"/>
                      <w:szCs w:val="21"/>
                      <w:highlight w:val="none"/>
                    </w:rPr>
                    <w:t>m</w:t>
                  </w:r>
                  <w:r>
                    <w:rPr>
                      <w:rFonts w:hint="eastAsia"/>
                      <w:sz w:val="21"/>
                      <w:szCs w:val="21"/>
                      <w:highlight w:val="none"/>
                    </w:rPr>
                    <w:t>）</w:t>
                  </w:r>
                </w:p>
              </w:tc>
              <w:tc>
                <w:tcPr>
                  <w:tcW w:w="1287" w:type="dxa"/>
                  <w:tcBorders>
                    <w:top w:val="single" w:color="auto" w:sz="8" w:space="0"/>
                    <w:left w:val="single" w:color="auto" w:sz="4" w:space="0"/>
                    <w:bottom w:val="single" w:color="auto" w:sz="4" w:space="0"/>
                    <w:right w:val="single" w:color="auto" w:sz="4" w:space="0"/>
                  </w:tcBorders>
                  <w:noWrap w:val="0"/>
                  <w:vAlign w:val="center"/>
                </w:tcPr>
                <w:p w14:paraId="71068849">
                  <w:pPr>
                    <w:keepNext w:val="0"/>
                    <w:keepLines w:val="0"/>
                    <w:suppressLineNumbers w:val="0"/>
                    <w:tabs>
                      <w:tab w:val="left" w:pos="8370"/>
                      <w:tab w:val="left" w:pos="8600"/>
                    </w:tabs>
                    <w:spacing w:before="0" w:beforeAutospacing="0" w:after="0" w:afterAutospacing="0"/>
                    <w:ind w:left="0" w:leftChars="0" w:right="0" w:rightChars="0"/>
                    <w:jc w:val="center"/>
                    <w:rPr>
                      <w:rFonts w:hint="default" w:hAnsi="宋体"/>
                      <w:b w:val="0"/>
                      <w:bCs/>
                      <w:sz w:val="21"/>
                      <w:szCs w:val="21"/>
                      <w:highlight w:val="none"/>
                      <w:lang w:val="en-US" w:eastAsia="zh-CN"/>
                    </w:rPr>
                  </w:pPr>
                  <w:r>
                    <w:rPr>
                      <w:rFonts w:hint="eastAsia" w:hAnsi="宋体"/>
                      <w:b w:val="0"/>
                      <w:bCs/>
                      <w:sz w:val="21"/>
                      <w:szCs w:val="21"/>
                      <w:highlight w:val="none"/>
                      <w:lang w:val="en-US" w:eastAsia="zh-CN"/>
                    </w:rPr>
                    <w:t>1</w:t>
                  </w:r>
                </w:p>
              </w:tc>
              <w:tc>
                <w:tcPr>
                  <w:tcW w:w="1612" w:type="dxa"/>
                  <w:tcBorders>
                    <w:top w:val="single" w:color="auto" w:sz="8" w:space="0"/>
                    <w:left w:val="single" w:color="auto" w:sz="4" w:space="0"/>
                    <w:bottom w:val="single" w:color="auto" w:sz="4" w:space="0"/>
                    <w:right w:val="single" w:color="auto" w:sz="4" w:space="0"/>
                  </w:tcBorders>
                  <w:noWrap w:val="0"/>
                  <w:vAlign w:val="center"/>
                </w:tcPr>
                <w:p w14:paraId="6B0867C6">
                  <w:pPr>
                    <w:keepNext w:val="0"/>
                    <w:keepLines w:val="0"/>
                    <w:suppressLineNumbers w:val="0"/>
                    <w:tabs>
                      <w:tab w:val="left" w:pos="8370"/>
                      <w:tab w:val="left" w:pos="8600"/>
                    </w:tabs>
                    <w:spacing w:before="0" w:beforeAutospacing="0" w:after="0" w:afterAutospacing="0"/>
                    <w:ind w:left="0" w:leftChars="0" w:right="0" w:rightChars="0"/>
                    <w:jc w:val="center"/>
                    <w:rPr>
                      <w:rFonts w:hint="default" w:hAnsi="宋体" w:eastAsia="宋体"/>
                      <w:b w:val="0"/>
                      <w:bCs/>
                      <w:sz w:val="21"/>
                      <w:szCs w:val="21"/>
                      <w:highlight w:val="none"/>
                      <w:lang w:val="en-US" w:eastAsia="zh-CN"/>
                    </w:rPr>
                  </w:pPr>
                  <w:r>
                    <w:rPr>
                      <w:rFonts w:hint="eastAsia" w:hAnsi="宋体"/>
                      <w:b w:val="0"/>
                      <w:bCs/>
                      <w:sz w:val="21"/>
                      <w:szCs w:val="21"/>
                      <w:highlight w:val="none"/>
                      <w:lang w:val="en-US" w:eastAsia="zh-CN"/>
                    </w:rPr>
                    <w:t>8</w:t>
                  </w:r>
                </w:p>
              </w:tc>
              <w:tc>
                <w:tcPr>
                  <w:tcW w:w="1612" w:type="dxa"/>
                  <w:tcBorders>
                    <w:top w:val="single" w:color="auto" w:sz="8" w:space="0"/>
                    <w:left w:val="single" w:color="auto" w:sz="4" w:space="0"/>
                    <w:bottom w:val="single" w:color="auto" w:sz="4" w:space="0"/>
                    <w:right w:val="single" w:color="auto" w:sz="4" w:space="0"/>
                  </w:tcBorders>
                  <w:noWrap w:val="0"/>
                  <w:vAlign w:val="center"/>
                </w:tcPr>
                <w:p w14:paraId="18762920">
                  <w:pPr>
                    <w:keepNext w:val="0"/>
                    <w:keepLines w:val="0"/>
                    <w:suppressLineNumbers w:val="0"/>
                    <w:tabs>
                      <w:tab w:val="left" w:pos="8370"/>
                      <w:tab w:val="left" w:pos="8600"/>
                    </w:tabs>
                    <w:spacing w:before="0" w:beforeAutospacing="0" w:after="0" w:afterAutospacing="0"/>
                    <w:ind w:left="0" w:leftChars="0" w:right="0" w:rightChars="0"/>
                    <w:jc w:val="center"/>
                    <w:rPr>
                      <w:rFonts w:hint="default" w:hAnsi="宋体" w:eastAsia="宋体"/>
                      <w:b w:val="0"/>
                      <w:bCs/>
                      <w:sz w:val="21"/>
                      <w:szCs w:val="21"/>
                      <w:highlight w:val="none"/>
                      <w:lang w:val="en-US" w:eastAsia="zh-CN"/>
                    </w:rPr>
                  </w:pPr>
                  <w:r>
                    <w:rPr>
                      <w:rFonts w:hint="eastAsia" w:hAnsi="宋体"/>
                      <w:b w:val="0"/>
                      <w:bCs/>
                      <w:sz w:val="21"/>
                      <w:szCs w:val="21"/>
                      <w:highlight w:val="none"/>
                      <w:lang w:val="en-US" w:eastAsia="zh-CN"/>
                    </w:rPr>
                    <w:t>44</w:t>
                  </w:r>
                </w:p>
              </w:tc>
              <w:tc>
                <w:tcPr>
                  <w:tcW w:w="1490" w:type="dxa"/>
                  <w:tcBorders>
                    <w:top w:val="single" w:color="auto" w:sz="8" w:space="0"/>
                    <w:left w:val="single" w:color="auto" w:sz="4" w:space="0"/>
                    <w:bottom w:val="single" w:color="auto" w:sz="4" w:space="0"/>
                    <w:right w:val="nil"/>
                  </w:tcBorders>
                  <w:noWrap w:val="0"/>
                  <w:vAlign w:val="center"/>
                </w:tcPr>
                <w:p w14:paraId="6E00B571">
                  <w:pPr>
                    <w:keepNext w:val="0"/>
                    <w:keepLines w:val="0"/>
                    <w:suppressLineNumbers w:val="0"/>
                    <w:tabs>
                      <w:tab w:val="left" w:pos="8370"/>
                      <w:tab w:val="left" w:pos="8600"/>
                    </w:tabs>
                    <w:spacing w:before="0" w:beforeAutospacing="0" w:after="0" w:afterAutospacing="0"/>
                    <w:ind w:left="0" w:leftChars="0" w:right="0" w:rightChars="0"/>
                    <w:jc w:val="center"/>
                    <w:rPr>
                      <w:rFonts w:hint="default" w:hAnsi="宋体"/>
                      <w:b w:val="0"/>
                      <w:bCs/>
                      <w:sz w:val="21"/>
                      <w:szCs w:val="21"/>
                      <w:highlight w:val="none"/>
                      <w:lang w:val="en-US" w:eastAsia="zh-CN"/>
                    </w:rPr>
                  </w:pPr>
                  <w:r>
                    <w:rPr>
                      <w:rFonts w:hint="eastAsia" w:hAnsi="宋体"/>
                      <w:b w:val="0"/>
                      <w:bCs/>
                      <w:sz w:val="21"/>
                      <w:szCs w:val="21"/>
                      <w:highlight w:val="none"/>
                      <w:lang w:val="en-US" w:eastAsia="zh-CN"/>
                    </w:rPr>
                    <w:t>7.5</w:t>
                  </w:r>
                </w:p>
              </w:tc>
            </w:tr>
            <w:tr w14:paraId="4FCB21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5" w:type="dxa"/>
                  <w:tcBorders>
                    <w:top w:val="single" w:color="auto" w:sz="4" w:space="0"/>
                    <w:left w:val="nil"/>
                    <w:bottom w:val="single" w:color="auto" w:sz="8" w:space="0"/>
                    <w:right w:val="single" w:color="auto" w:sz="4" w:space="0"/>
                  </w:tcBorders>
                  <w:noWrap w:val="0"/>
                  <w:vAlign w:val="center"/>
                </w:tcPr>
                <w:p w14:paraId="532FCDD6">
                  <w:pPr>
                    <w:keepNext w:val="0"/>
                    <w:keepLines w:val="0"/>
                    <w:suppressLineNumbers w:val="0"/>
                    <w:tabs>
                      <w:tab w:val="left" w:pos="8370"/>
                      <w:tab w:val="left" w:pos="8600"/>
                    </w:tabs>
                    <w:spacing w:before="0" w:beforeAutospacing="0" w:after="0" w:afterAutospacing="0"/>
                    <w:ind w:left="0" w:right="0"/>
                    <w:jc w:val="center"/>
                    <w:rPr>
                      <w:rFonts w:hint="default"/>
                      <w:sz w:val="21"/>
                      <w:szCs w:val="21"/>
                      <w:highlight w:val="none"/>
                      <w:lang w:val="en-US" w:eastAsia="zh-CN"/>
                    </w:rPr>
                  </w:pPr>
                  <w:r>
                    <w:rPr>
                      <w:rFonts w:hint="eastAsia"/>
                      <w:sz w:val="21"/>
                      <w:szCs w:val="21"/>
                      <w:highlight w:val="none"/>
                      <w:lang w:val="en-US" w:eastAsia="zh-CN"/>
                    </w:rPr>
                    <w:t>贡献值</w:t>
                  </w:r>
                </w:p>
              </w:tc>
              <w:tc>
                <w:tcPr>
                  <w:tcW w:w="1287" w:type="dxa"/>
                  <w:tcBorders>
                    <w:top w:val="single" w:color="auto" w:sz="4" w:space="0"/>
                    <w:left w:val="single" w:color="auto" w:sz="4" w:space="0"/>
                    <w:bottom w:val="single" w:color="auto" w:sz="8" w:space="0"/>
                    <w:right w:val="single" w:color="auto" w:sz="4" w:space="0"/>
                  </w:tcBorders>
                  <w:noWrap w:val="0"/>
                  <w:vAlign w:val="center"/>
                </w:tcPr>
                <w:p w14:paraId="54CE5994">
                  <w:pPr>
                    <w:keepNext w:val="0"/>
                    <w:keepLines w:val="0"/>
                    <w:suppressLineNumbers w:val="0"/>
                    <w:tabs>
                      <w:tab w:val="left" w:pos="8370"/>
                      <w:tab w:val="left" w:pos="8600"/>
                    </w:tabs>
                    <w:spacing w:before="0" w:beforeAutospacing="0" w:after="0" w:afterAutospacing="0"/>
                    <w:ind w:left="0" w:right="0"/>
                    <w:jc w:val="center"/>
                    <w:rPr>
                      <w:rFonts w:hint="default"/>
                      <w:sz w:val="21"/>
                      <w:szCs w:val="21"/>
                      <w:highlight w:val="none"/>
                      <w:lang w:val="en-US" w:eastAsia="zh-CN"/>
                    </w:rPr>
                  </w:pPr>
                  <w:r>
                    <w:rPr>
                      <w:rFonts w:hint="eastAsia"/>
                      <w:sz w:val="21"/>
                      <w:szCs w:val="21"/>
                      <w:highlight w:val="none"/>
                      <w:lang w:val="en-US" w:eastAsia="zh-CN"/>
                    </w:rPr>
                    <w:t>51.1</w:t>
                  </w:r>
                </w:p>
              </w:tc>
              <w:tc>
                <w:tcPr>
                  <w:tcW w:w="1612" w:type="dxa"/>
                  <w:tcBorders>
                    <w:top w:val="single" w:color="auto" w:sz="4" w:space="0"/>
                    <w:left w:val="single" w:color="auto" w:sz="4" w:space="0"/>
                    <w:bottom w:val="single" w:color="auto" w:sz="8" w:space="0"/>
                    <w:right w:val="single" w:color="auto" w:sz="4" w:space="0"/>
                  </w:tcBorders>
                  <w:noWrap w:val="0"/>
                  <w:vAlign w:val="center"/>
                </w:tcPr>
                <w:p w14:paraId="425ED0D6">
                  <w:pPr>
                    <w:keepNext w:val="0"/>
                    <w:keepLines w:val="0"/>
                    <w:suppressLineNumbers w:val="0"/>
                    <w:tabs>
                      <w:tab w:val="left" w:pos="8370"/>
                      <w:tab w:val="left" w:pos="8600"/>
                    </w:tabs>
                    <w:spacing w:before="0" w:beforeAutospacing="0" w:after="0" w:afterAutospacing="0"/>
                    <w:ind w:left="0" w:right="0"/>
                    <w:jc w:val="center"/>
                    <w:rPr>
                      <w:rFonts w:hint="default"/>
                      <w:sz w:val="21"/>
                      <w:szCs w:val="21"/>
                      <w:highlight w:val="none"/>
                      <w:lang w:val="en-US" w:eastAsia="zh-CN"/>
                    </w:rPr>
                  </w:pPr>
                  <w:r>
                    <w:rPr>
                      <w:rFonts w:hint="eastAsia"/>
                      <w:sz w:val="21"/>
                      <w:szCs w:val="21"/>
                      <w:highlight w:val="none"/>
                      <w:lang w:val="en-US" w:eastAsia="zh-CN"/>
                    </w:rPr>
                    <w:t>33.0</w:t>
                  </w:r>
                </w:p>
              </w:tc>
              <w:tc>
                <w:tcPr>
                  <w:tcW w:w="1612" w:type="dxa"/>
                  <w:tcBorders>
                    <w:top w:val="single" w:color="auto" w:sz="4" w:space="0"/>
                    <w:left w:val="single" w:color="auto" w:sz="4" w:space="0"/>
                    <w:bottom w:val="single" w:color="auto" w:sz="8" w:space="0"/>
                    <w:right w:val="single" w:color="auto" w:sz="4" w:space="0"/>
                  </w:tcBorders>
                  <w:noWrap w:val="0"/>
                  <w:vAlign w:val="center"/>
                </w:tcPr>
                <w:p w14:paraId="1D26BEF2">
                  <w:pPr>
                    <w:keepNext w:val="0"/>
                    <w:keepLines w:val="0"/>
                    <w:suppressLineNumbers w:val="0"/>
                    <w:tabs>
                      <w:tab w:val="left" w:pos="8370"/>
                      <w:tab w:val="left" w:pos="8600"/>
                    </w:tabs>
                    <w:spacing w:before="0" w:beforeAutospacing="0" w:after="0" w:afterAutospacing="0"/>
                    <w:ind w:left="0" w:right="0"/>
                    <w:jc w:val="center"/>
                    <w:rPr>
                      <w:rFonts w:hint="default"/>
                      <w:sz w:val="21"/>
                      <w:szCs w:val="21"/>
                      <w:highlight w:val="none"/>
                      <w:lang w:val="en-US" w:eastAsia="zh-CN"/>
                    </w:rPr>
                  </w:pPr>
                  <w:r>
                    <w:rPr>
                      <w:rFonts w:hint="eastAsia"/>
                      <w:sz w:val="21"/>
                      <w:szCs w:val="21"/>
                      <w:highlight w:val="none"/>
                      <w:lang w:val="en-US" w:eastAsia="zh-CN"/>
                    </w:rPr>
                    <w:t>18.2</w:t>
                  </w:r>
                </w:p>
              </w:tc>
              <w:tc>
                <w:tcPr>
                  <w:tcW w:w="1490" w:type="dxa"/>
                  <w:tcBorders>
                    <w:top w:val="single" w:color="auto" w:sz="4" w:space="0"/>
                    <w:left w:val="single" w:color="auto" w:sz="4" w:space="0"/>
                    <w:bottom w:val="single" w:color="auto" w:sz="8" w:space="0"/>
                    <w:right w:val="nil"/>
                  </w:tcBorders>
                  <w:noWrap w:val="0"/>
                  <w:vAlign w:val="center"/>
                </w:tcPr>
                <w:p w14:paraId="46E77E69">
                  <w:pPr>
                    <w:keepNext w:val="0"/>
                    <w:keepLines w:val="0"/>
                    <w:suppressLineNumbers w:val="0"/>
                    <w:tabs>
                      <w:tab w:val="left" w:pos="8370"/>
                      <w:tab w:val="left" w:pos="8600"/>
                    </w:tabs>
                    <w:spacing w:before="0" w:beforeAutospacing="0" w:after="0" w:afterAutospacing="0"/>
                    <w:ind w:left="0" w:right="0"/>
                    <w:jc w:val="center"/>
                    <w:rPr>
                      <w:rFonts w:hint="default"/>
                      <w:sz w:val="21"/>
                      <w:szCs w:val="21"/>
                      <w:highlight w:val="none"/>
                      <w:lang w:val="en-US" w:eastAsia="zh-CN"/>
                    </w:rPr>
                  </w:pPr>
                  <w:r>
                    <w:rPr>
                      <w:rFonts w:hint="eastAsia"/>
                      <w:sz w:val="21"/>
                      <w:szCs w:val="21"/>
                      <w:highlight w:val="none"/>
                      <w:lang w:val="en-US" w:eastAsia="zh-CN"/>
                    </w:rPr>
                    <w:t>33.6</w:t>
                  </w:r>
                </w:p>
              </w:tc>
            </w:tr>
          </w:tbl>
          <w:p w14:paraId="7F1A18C9">
            <w:pPr>
              <w:keepNext w:val="0"/>
              <w:keepLines w:val="0"/>
              <w:suppressLineNumbers w:val="0"/>
              <w:adjustRightInd w:val="0"/>
              <w:snapToGrid w:val="0"/>
              <w:spacing w:before="0" w:beforeAutospacing="0" w:after="0" w:afterAutospacing="0" w:line="440" w:lineRule="exact"/>
              <w:ind w:left="0" w:right="0" w:firstLine="480" w:firstLineChars="200"/>
              <w:rPr>
                <w:rFonts w:hint="default"/>
                <w:sz w:val="24"/>
                <w:highlight w:val="none"/>
              </w:rPr>
            </w:pPr>
            <w:r>
              <w:rPr>
                <w:rFonts w:hint="eastAsia"/>
                <w:sz w:val="24"/>
                <w:highlight w:val="none"/>
              </w:rPr>
              <w:t>由上表可知，</w:t>
            </w:r>
            <w:r>
              <w:rPr>
                <w:rFonts w:hint="default"/>
                <w:sz w:val="24"/>
                <w:highlight w:val="none"/>
              </w:rPr>
              <w:t>经过车间</w:t>
            </w:r>
            <w:r>
              <w:rPr>
                <w:rFonts w:hint="eastAsia"/>
                <w:sz w:val="24"/>
                <w:highlight w:val="none"/>
                <w:lang w:val="en-US" w:eastAsia="zh-CN"/>
              </w:rPr>
              <w:t>封闭</w:t>
            </w:r>
            <w:r>
              <w:rPr>
                <w:rFonts w:hint="default"/>
                <w:sz w:val="24"/>
                <w:highlight w:val="none"/>
              </w:rPr>
              <w:t>、距离衰减等措施后，项目厂区四周噪声值</w:t>
            </w:r>
            <w:r>
              <w:rPr>
                <w:rFonts w:hint="eastAsia"/>
                <w:sz w:val="24"/>
                <w:highlight w:val="none"/>
              </w:rPr>
              <w:t>均</w:t>
            </w:r>
            <w:r>
              <w:rPr>
                <w:rFonts w:hint="default"/>
                <w:sz w:val="24"/>
                <w:highlight w:val="none"/>
              </w:rPr>
              <w:t>满足《工业企业厂界环境噪声排放标准》（GB12348-2008）</w:t>
            </w:r>
            <w:r>
              <w:rPr>
                <w:rFonts w:hint="eastAsia"/>
                <w:sz w:val="24"/>
                <w:highlight w:val="none"/>
                <w:lang w:val="en-US" w:eastAsia="zh-CN"/>
              </w:rPr>
              <w:t>3</w:t>
            </w:r>
            <w:r>
              <w:rPr>
                <w:rFonts w:hint="default"/>
                <w:sz w:val="24"/>
                <w:highlight w:val="none"/>
              </w:rPr>
              <w:t>类标准</w:t>
            </w:r>
            <w:r>
              <w:rPr>
                <w:rFonts w:hint="eastAsia"/>
                <w:sz w:val="24"/>
                <w:highlight w:val="none"/>
                <w:lang w:val="en-US" w:eastAsia="zh-CN"/>
              </w:rPr>
              <w:t>昼间65</w:t>
            </w:r>
            <w:r>
              <w:rPr>
                <w:rFonts w:hint="default"/>
                <w:sz w:val="24"/>
                <w:highlight w:val="none"/>
              </w:rPr>
              <w:t>dB（A）的要求</w:t>
            </w:r>
            <w:r>
              <w:rPr>
                <w:rFonts w:hint="eastAsia"/>
                <w:sz w:val="24"/>
                <w:highlight w:val="none"/>
              </w:rPr>
              <w:t>。</w:t>
            </w:r>
          </w:p>
          <w:p w14:paraId="2CB7E0E2">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color w:val="auto"/>
                <w:sz w:val="24"/>
                <w:highlight w:val="none"/>
              </w:rPr>
            </w:pPr>
            <w:r>
              <w:rPr>
                <w:rFonts w:hint="eastAsia"/>
                <w:color w:val="auto"/>
                <w:sz w:val="24"/>
                <w:highlight w:val="none"/>
              </w:rPr>
              <w:t>根据</w:t>
            </w:r>
            <w:r>
              <w:rPr>
                <w:rFonts w:hint="eastAsia"/>
                <w:color w:val="auto"/>
                <w:sz w:val="24"/>
                <w:highlight w:val="none"/>
                <w:lang w:eastAsia="zh-CN"/>
              </w:rPr>
              <w:t>《</w:t>
            </w:r>
            <w:r>
              <w:rPr>
                <w:rFonts w:hint="eastAsia"/>
                <w:color w:val="auto"/>
                <w:sz w:val="24"/>
                <w:highlight w:val="none"/>
              </w:rPr>
              <w:t>排污许可证申请与核发技术规范 工业噪声</w:t>
            </w:r>
            <w:r>
              <w:rPr>
                <w:rFonts w:hint="eastAsia"/>
                <w:color w:val="auto"/>
                <w:sz w:val="24"/>
                <w:highlight w:val="none"/>
                <w:lang w:eastAsia="zh-CN"/>
              </w:rPr>
              <w:t>》</w:t>
            </w:r>
            <w:r>
              <w:rPr>
                <w:rFonts w:hint="eastAsia"/>
                <w:color w:val="auto"/>
                <w:sz w:val="24"/>
                <w:highlight w:val="none"/>
              </w:rPr>
              <w:t>（HJ 1301—2023）</w:t>
            </w:r>
            <w:r>
              <w:rPr>
                <w:rFonts w:hint="default"/>
                <w:color w:val="auto"/>
                <w:sz w:val="24"/>
                <w:highlight w:val="none"/>
              </w:rPr>
              <w:t>，本项目噪声监测要求见下表。</w:t>
            </w:r>
          </w:p>
          <w:p w14:paraId="7C8FEB65">
            <w:pPr>
              <w:keepNext w:val="0"/>
              <w:keepLines w:val="0"/>
              <w:suppressLineNumbers w:val="0"/>
              <w:adjustRightInd w:val="0"/>
              <w:snapToGrid w:val="0"/>
              <w:spacing w:before="0" w:beforeAutospacing="0" w:after="0" w:afterAutospacing="0" w:line="420" w:lineRule="exact"/>
              <w:ind w:left="0" w:right="0"/>
              <w:jc w:val="center"/>
              <w:textAlignment w:val="baseline"/>
              <w:rPr>
                <w:rFonts w:hint="default" w:ascii="宋体" w:hAnsi="宋体"/>
                <w:b/>
                <w:color w:val="auto"/>
                <w:sz w:val="24"/>
                <w:highlight w:val="none"/>
              </w:rPr>
            </w:pPr>
            <w:r>
              <w:rPr>
                <w:rFonts w:hint="default" w:ascii="宋体" w:hAnsi="宋体"/>
                <w:b/>
                <w:color w:val="auto"/>
                <w:sz w:val="24"/>
                <w:highlight w:val="none"/>
              </w:rPr>
              <w:t>表</w:t>
            </w:r>
            <w:r>
              <w:rPr>
                <w:rFonts w:hint="eastAsia" w:cs="Times New Roman"/>
                <w:b/>
                <w:color w:val="auto"/>
                <w:sz w:val="24"/>
                <w:highlight w:val="none"/>
                <w:lang w:val="en-US" w:eastAsia="zh-CN"/>
              </w:rPr>
              <w:t>34</w:t>
            </w:r>
            <w:r>
              <w:rPr>
                <w:rFonts w:hint="eastAsia" w:ascii="宋体" w:hAnsi="宋体"/>
                <w:b/>
                <w:color w:val="auto"/>
                <w:sz w:val="24"/>
                <w:highlight w:val="none"/>
                <w:lang w:val="en-US" w:eastAsia="zh-CN"/>
              </w:rPr>
              <w:t xml:space="preserve">  </w:t>
            </w:r>
            <w:r>
              <w:rPr>
                <w:rFonts w:hint="default" w:ascii="宋体" w:hAnsi="宋体"/>
                <w:b/>
                <w:color w:val="auto"/>
                <w:sz w:val="24"/>
                <w:highlight w:val="none"/>
              </w:rPr>
              <w:t>本项目噪声监测要求</w:t>
            </w:r>
          </w:p>
          <w:tbl>
            <w:tblPr>
              <w:tblStyle w:val="22"/>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85"/>
              <w:gridCol w:w="1883"/>
              <w:gridCol w:w="2597"/>
              <w:gridCol w:w="2251"/>
            </w:tblGrid>
            <w:tr w14:paraId="40CD0F3B">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4" w:type="pct"/>
                  <w:tcBorders>
                    <w:bottom w:val="single" w:color="auto" w:sz="8" w:space="0"/>
                    <w:right w:val="single" w:color="auto" w:sz="4" w:space="0"/>
                  </w:tcBorders>
                  <w:noWrap w:val="0"/>
                  <w:vAlign w:val="center"/>
                </w:tcPr>
                <w:p w14:paraId="78605D80">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污染物</w:t>
                  </w:r>
                </w:p>
              </w:tc>
              <w:tc>
                <w:tcPr>
                  <w:tcW w:w="1093" w:type="pct"/>
                  <w:tcBorders>
                    <w:left w:val="single" w:color="auto" w:sz="4" w:space="0"/>
                    <w:bottom w:val="single" w:color="auto" w:sz="8" w:space="0"/>
                    <w:right w:val="single" w:color="auto" w:sz="4" w:space="0"/>
                  </w:tcBorders>
                  <w:noWrap w:val="0"/>
                  <w:vAlign w:val="center"/>
                </w:tcPr>
                <w:p w14:paraId="7CF0072C">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监测点位</w:t>
                  </w:r>
                </w:p>
              </w:tc>
              <w:tc>
                <w:tcPr>
                  <w:tcW w:w="1507" w:type="pct"/>
                  <w:tcBorders>
                    <w:left w:val="single" w:color="auto" w:sz="4" w:space="0"/>
                    <w:bottom w:val="single" w:color="auto" w:sz="8" w:space="0"/>
                    <w:right w:val="single" w:color="auto" w:sz="4" w:space="0"/>
                  </w:tcBorders>
                  <w:noWrap w:val="0"/>
                  <w:vAlign w:val="center"/>
                </w:tcPr>
                <w:p w14:paraId="3EB629A2">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监测因子</w:t>
                  </w:r>
                </w:p>
              </w:tc>
              <w:tc>
                <w:tcPr>
                  <w:tcW w:w="1307" w:type="pct"/>
                  <w:tcBorders>
                    <w:left w:val="single" w:color="auto" w:sz="4" w:space="0"/>
                    <w:bottom w:val="single" w:color="auto" w:sz="8" w:space="0"/>
                  </w:tcBorders>
                  <w:noWrap w:val="0"/>
                  <w:vAlign w:val="center"/>
                </w:tcPr>
                <w:p w14:paraId="4FB75F1D">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监测频率</w:t>
                  </w:r>
                </w:p>
              </w:tc>
            </w:tr>
            <w:tr w14:paraId="36B413BD">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4" w:type="pct"/>
                  <w:tcBorders>
                    <w:top w:val="single" w:color="auto" w:sz="8" w:space="0"/>
                  </w:tcBorders>
                  <w:noWrap w:val="0"/>
                  <w:vAlign w:val="center"/>
                </w:tcPr>
                <w:p w14:paraId="41E89EA9">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rPr>
                  </w:pPr>
                  <w:r>
                    <w:rPr>
                      <w:rFonts w:hint="default" w:hAnsi="宋体"/>
                      <w:color w:val="auto"/>
                      <w:sz w:val="21"/>
                      <w:szCs w:val="21"/>
                      <w:highlight w:val="none"/>
                    </w:rPr>
                    <w:t>噪声</w:t>
                  </w:r>
                </w:p>
              </w:tc>
              <w:tc>
                <w:tcPr>
                  <w:tcW w:w="1093" w:type="pct"/>
                  <w:tcBorders>
                    <w:top w:val="single" w:color="auto" w:sz="8" w:space="0"/>
                  </w:tcBorders>
                  <w:noWrap w:val="0"/>
                  <w:vAlign w:val="center"/>
                </w:tcPr>
                <w:p w14:paraId="32C27762">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lang w:val="en-GB"/>
                    </w:rPr>
                  </w:pPr>
                  <w:r>
                    <w:rPr>
                      <w:rFonts w:hint="default" w:hAnsi="宋体"/>
                      <w:color w:val="auto"/>
                      <w:sz w:val="21"/>
                      <w:szCs w:val="21"/>
                      <w:highlight w:val="none"/>
                      <w:lang w:val="en-GB"/>
                    </w:rPr>
                    <w:t>厂界四周外</w:t>
                  </w:r>
                  <w:r>
                    <w:rPr>
                      <w:rFonts w:hint="default"/>
                      <w:color w:val="auto"/>
                      <w:sz w:val="21"/>
                      <w:szCs w:val="21"/>
                      <w:highlight w:val="none"/>
                      <w:lang w:val="en-GB"/>
                    </w:rPr>
                    <w:t>1</w:t>
                  </w:r>
                  <w:r>
                    <w:rPr>
                      <w:rFonts w:hint="default" w:hAnsi="宋体"/>
                      <w:color w:val="auto"/>
                      <w:sz w:val="21"/>
                      <w:szCs w:val="21"/>
                      <w:highlight w:val="none"/>
                      <w:lang w:val="en-GB"/>
                    </w:rPr>
                    <w:t>米</w:t>
                  </w:r>
                </w:p>
              </w:tc>
              <w:tc>
                <w:tcPr>
                  <w:tcW w:w="1507" w:type="pct"/>
                  <w:tcBorders>
                    <w:top w:val="single" w:color="auto" w:sz="8" w:space="0"/>
                  </w:tcBorders>
                  <w:noWrap w:val="0"/>
                  <w:vAlign w:val="center"/>
                </w:tcPr>
                <w:p w14:paraId="7E85649D">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lang w:val="en-GB"/>
                    </w:rPr>
                  </w:pPr>
                  <w:r>
                    <w:rPr>
                      <w:rFonts w:hint="default" w:hAnsi="宋体"/>
                      <w:color w:val="auto"/>
                      <w:sz w:val="21"/>
                      <w:szCs w:val="21"/>
                      <w:highlight w:val="none"/>
                      <w:lang w:val="en-GB"/>
                    </w:rPr>
                    <w:t>等效连续</w:t>
                  </w:r>
                  <w:r>
                    <w:rPr>
                      <w:rFonts w:hint="default"/>
                      <w:color w:val="auto"/>
                      <w:sz w:val="21"/>
                      <w:szCs w:val="21"/>
                      <w:highlight w:val="none"/>
                      <w:lang w:val="en-GB"/>
                    </w:rPr>
                    <w:t>A</w:t>
                  </w:r>
                  <w:r>
                    <w:rPr>
                      <w:rFonts w:hint="default" w:hAnsi="宋体"/>
                      <w:color w:val="auto"/>
                      <w:sz w:val="21"/>
                      <w:szCs w:val="21"/>
                      <w:highlight w:val="none"/>
                      <w:lang w:val="en-GB"/>
                    </w:rPr>
                    <w:t>声级</w:t>
                  </w:r>
                </w:p>
              </w:tc>
              <w:tc>
                <w:tcPr>
                  <w:tcW w:w="1307" w:type="pct"/>
                  <w:tcBorders>
                    <w:top w:val="single" w:color="auto" w:sz="8" w:space="0"/>
                  </w:tcBorders>
                  <w:noWrap w:val="0"/>
                  <w:vAlign w:val="center"/>
                </w:tcPr>
                <w:p w14:paraId="7885B6E4">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lang w:val="en-GB"/>
                    </w:rPr>
                  </w:pPr>
                  <w:r>
                    <w:rPr>
                      <w:rFonts w:hint="default" w:hAnsi="宋体"/>
                      <w:color w:val="auto"/>
                      <w:sz w:val="21"/>
                      <w:szCs w:val="21"/>
                      <w:highlight w:val="none"/>
                      <w:lang w:val="en-GB"/>
                    </w:rPr>
                    <w:t>每季度</w:t>
                  </w:r>
                  <w:r>
                    <w:rPr>
                      <w:rFonts w:hint="default" w:hAnsi="宋体"/>
                      <w:color w:val="auto"/>
                      <w:sz w:val="21"/>
                      <w:szCs w:val="21"/>
                      <w:highlight w:val="none"/>
                    </w:rPr>
                    <w:t>一</w:t>
                  </w:r>
                  <w:r>
                    <w:rPr>
                      <w:rFonts w:hint="default" w:hAnsi="宋体"/>
                      <w:color w:val="auto"/>
                      <w:sz w:val="21"/>
                      <w:szCs w:val="21"/>
                      <w:highlight w:val="none"/>
                      <w:lang w:val="en-GB"/>
                    </w:rPr>
                    <w:t>次</w:t>
                  </w:r>
                </w:p>
              </w:tc>
            </w:tr>
          </w:tbl>
          <w:p w14:paraId="78DCD9D6">
            <w:pPr>
              <w:keepNext w:val="0"/>
              <w:keepLines w:val="0"/>
              <w:suppressLineNumbers w:val="0"/>
              <w:shd w:val="clear"/>
              <w:tabs>
                <w:tab w:val="left" w:pos="3620"/>
              </w:tabs>
              <w:adjustRightInd w:val="0"/>
              <w:snapToGrid w:val="0"/>
              <w:spacing w:before="0" w:beforeAutospacing="0" w:after="0" w:afterAutospacing="0" w:line="440" w:lineRule="exact"/>
              <w:ind w:left="0" w:right="0" w:firstLine="482" w:firstLineChars="200"/>
              <w:rPr>
                <w:rFonts w:hint="default"/>
                <w:color w:val="auto"/>
                <w:sz w:val="24"/>
                <w:highlight w:val="none"/>
                <w:lang w:val="en-US" w:eastAsia="zh-CN"/>
              </w:rPr>
            </w:pPr>
            <w:r>
              <w:rPr>
                <w:rFonts w:hint="eastAsia" w:ascii="宋体" w:hAnsi="宋体"/>
                <w:b/>
                <w:sz w:val="24"/>
                <w:highlight w:val="none"/>
              </w:rPr>
              <w:t>四、固废</w:t>
            </w:r>
          </w:p>
          <w:p w14:paraId="7E65DFAA">
            <w:pPr>
              <w:keepNext w:val="0"/>
              <w:keepLines w:val="0"/>
              <w:pageBreakBefore w:val="0"/>
              <w:widowControl w:val="0"/>
              <w:suppressLineNumbers w:val="0"/>
              <w:kinsoku/>
              <w:wordWrap/>
              <w:overflowPunct/>
              <w:topLinePunct w:val="0"/>
              <w:bidi w:val="0"/>
              <w:snapToGrid/>
              <w:spacing w:before="0" w:beforeAutospacing="0" w:after="0" w:afterAutospacing="0" w:line="440" w:lineRule="exact"/>
              <w:ind w:left="0" w:right="0" w:firstLine="480" w:firstLineChars="200"/>
              <w:contextualSpacing/>
              <w:jc w:val="both"/>
              <w:textAlignment w:val="auto"/>
              <w:rPr>
                <w:rFonts w:hint="default"/>
                <w:color w:val="auto"/>
                <w:sz w:val="24"/>
                <w:lang w:val="en-US"/>
              </w:rPr>
            </w:pPr>
            <w:r>
              <w:rPr>
                <w:rFonts w:hint="eastAsia"/>
                <w:color w:val="auto"/>
                <w:sz w:val="24"/>
                <w:lang w:val="en-US" w:eastAsia="zh-CN"/>
              </w:rPr>
              <w:t>本项目运营期固体废物包括一般固废</w:t>
            </w:r>
            <w:r>
              <w:rPr>
                <w:rFonts w:hint="eastAsia"/>
                <w:color w:val="000000" w:themeColor="text1"/>
                <w:sz w:val="24"/>
                <w:lang w:val="en-US" w:eastAsia="zh-CN"/>
                <w14:textFill>
                  <w14:solidFill>
                    <w14:schemeClr w14:val="tx1"/>
                  </w14:solidFill>
                </w14:textFill>
              </w:rPr>
              <w:t>和危险废物。一般固废主要为废边角料、废除尘滤芯和袋式除尘器收集尘。危险废物为废包装桶、废金属屑（含切削液）、废机油。</w:t>
            </w:r>
          </w:p>
          <w:p w14:paraId="3B4826FA">
            <w:pPr>
              <w:keepNext w:val="0"/>
              <w:keepLines w:val="0"/>
              <w:suppressLineNumbers w:val="0"/>
              <w:adjustRightInd w:val="0"/>
              <w:snapToGrid w:val="0"/>
              <w:spacing w:before="0" w:beforeAutospacing="0" w:after="0" w:afterAutospacing="0" w:line="440" w:lineRule="exact"/>
              <w:ind w:left="0" w:right="0" w:firstLine="482" w:firstLineChars="200"/>
              <w:rPr>
                <w:rFonts w:hint="default" w:ascii="Times New Roman" w:hAnsi="Times New Roman" w:eastAsia="宋体" w:cs="Times New Roman"/>
                <w:b/>
                <w:bCs/>
                <w:color w:val="auto"/>
                <w:sz w:val="24"/>
                <w:lang w:val="en-US" w:eastAsia="zh-CN"/>
              </w:rPr>
            </w:pPr>
            <w:r>
              <w:rPr>
                <w:rFonts w:hint="eastAsia" w:cs="Times New Roman"/>
                <w:b/>
                <w:bCs/>
                <w:color w:val="auto"/>
                <w:sz w:val="24"/>
                <w:lang w:val="en-US" w:eastAsia="zh-CN"/>
              </w:rPr>
              <w:t>1、一般固废</w:t>
            </w:r>
          </w:p>
          <w:p w14:paraId="6EAB5C91">
            <w:pPr>
              <w:keepNext w:val="0"/>
              <w:keepLines w:val="0"/>
              <w:suppressLineNumbers w:val="0"/>
              <w:adjustRightInd w:val="0"/>
              <w:snapToGrid w:val="0"/>
              <w:spacing w:before="0" w:beforeAutospacing="0" w:after="0" w:afterAutospacing="0" w:line="440" w:lineRule="exact"/>
              <w:ind w:left="0" w:right="0" w:firstLine="480" w:firstLineChars="200"/>
              <w:jc w:val="both"/>
              <w:rPr>
                <w:rFonts w:hint="default" w:eastAsia="宋体"/>
                <w:color w:val="auto"/>
                <w:sz w:val="24"/>
                <w:lang w:val="en-US" w:eastAsia="zh-CN"/>
              </w:rPr>
            </w:pPr>
            <w:r>
              <w:rPr>
                <w:rFonts w:hint="eastAsia" w:cs="Times New Roman"/>
                <w:color w:val="auto"/>
                <w:sz w:val="24"/>
                <w:lang w:val="en-US" w:eastAsia="zh-CN"/>
              </w:rPr>
              <w:t>（1）废边角料</w:t>
            </w:r>
            <w:r>
              <w:rPr>
                <w:rFonts w:hint="eastAsia"/>
                <w:color w:val="auto"/>
                <w:sz w:val="24"/>
                <w:lang w:val="en-US" w:eastAsia="zh-CN"/>
              </w:rPr>
              <w:t>：本项目在下料、机加工、粗车、精车、平磨过程中会产生金属边角废料。废边角料产生量约为原料的20%，则本项目废边角料产生量为49.99</w:t>
            </w:r>
            <w:r>
              <w:rPr>
                <w:rFonts w:hint="eastAsia"/>
                <w:color w:val="000000"/>
                <w:sz w:val="24"/>
                <w:lang w:val="en-US" w:eastAsia="zh-CN"/>
              </w:rPr>
              <w:t>t/a</w:t>
            </w:r>
            <w:r>
              <w:rPr>
                <w:rFonts w:hint="eastAsia"/>
                <w:color w:val="000000"/>
                <w:sz w:val="24"/>
                <w:lang w:eastAsia="zh-CN"/>
              </w:rPr>
              <w:t>。</w:t>
            </w:r>
            <w:r>
              <w:rPr>
                <w:rFonts w:hint="eastAsia" w:cs="Times New Roman"/>
                <w:color w:val="auto"/>
                <w:sz w:val="24"/>
                <w:lang w:val="en-US" w:eastAsia="zh-CN"/>
              </w:rPr>
              <w:t>废边角料</w:t>
            </w:r>
            <w:r>
              <w:rPr>
                <w:rFonts w:hint="default"/>
                <w:bCs/>
                <w:color w:val="000000"/>
                <w:sz w:val="24"/>
              </w:rPr>
              <w:t>属于一般固废，</w:t>
            </w:r>
            <w:r>
              <w:rPr>
                <w:rFonts w:hint="eastAsia"/>
                <w:sz w:val="24"/>
                <w:lang w:val="en-US" w:eastAsia="zh-CN"/>
              </w:rPr>
              <w:t>经集中收集后一般固废间暂存，定期外售。</w:t>
            </w:r>
          </w:p>
          <w:p w14:paraId="6246D935">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cs="Times New Roman"/>
                <w:color w:val="auto"/>
                <w:sz w:val="24"/>
                <w:lang w:val="en-US" w:eastAsia="zh-CN"/>
              </w:rPr>
              <w:t>（2）</w:t>
            </w:r>
            <w:r>
              <w:rPr>
                <w:rFonts w:hint="eastAsia"/>
                <w:color w:val="auto"/>
                <w:sz w:val="24"/>
                <w:lang w:val="en-US" w:eastAsia="zh-CN"/>
              </w:rPr>
              <w:t>除尘器收集尘</w:t>
            </w:r>
            <w:r>
              <w:rPr>
                <w:rFonts w:hint="eastAsia"/>
                <w:sz w:val="24"/>
                <w:lang w:val="en-US" w:eastAsia="zh-CN"/>
              </w:rPr>
              <w:t>：除尘器收集尘总量约为0.4076t/a，该部分除尘灰经集中收集后一般固废间暂存，定期外售。</w:t>
            </w:r>
          </w:p>
          <w:p w14:paraId="468194DE">
            <w:pPr>
              <w:keepNext w:val="0"/>
              <w:keepLines w:val="0"/>
              <w:suppressLineNumbers w:val="0"/>
              <w:adjustRightInd w:val="0"/>
              <w:snapToGrid w:val="0"/>
              <w:spacing w:before="0" w:beforeAutospacing="0" w:after="0" w:afterAutospacing="0" w:line="440" w:lineRule="exact"/>
              <w:ind w:left="0" w:right="0" w:firstLine="480" w:firstLineChars="200"/>
              <w:jc w:val="both"/>
              <w:rPr>
                <w:rFonts w:hint="default"/>
                <w:sz w:val="24"/>
                <w:lang w:val="en-US" w:eastAsia="zh-CN"/>
              </w:rPr>
            </w:pPr>
            <w:r>
              <w:rPr>
                <w:rFonts w:hint="eastAsia"/>
                <w:sz w:val="24"/>
                <w:lang w:val="en-US" w:eastAsia="zh-CN"/>
              </w:rPr>
              <w:t>（3）</w:t>
            </w:r>
            <w:r>
              <w:rPr>
                <w:rFonts w:hint="eastAsia" w:cs="Times New Roman"/>
                <w:color w:val="auto"/>
                <w:sz w:val="24"/>
                <w:lang w:val="en-US" w:eastAsia="zh-CN"/>
              </w:rPr>
              <w:t>废滤芯</w:t>
            </w:r>
            <w:r>
              <w:rPr>
                <w:rFonts w:hint="eastAsia"/>
                <w:color w:val="auto"/>
                <w:sz w:val="24"/>
                <w:lang w:val="en-US" w:eastAsia="zh-CN"/>
              </w:rPr>
              <w:t>：本项目打毛工段采用滤筒除尘器治理，滤筒除尘器含有滤芯</w:t>
            </w:r>
            <w:r>
              <w:rPr>
                <w:rFonts w:hint="eastAsia" w:cs="Times New Roman"/>
                <w:b w:val="0"/>
                <w:bCs w:val="0"/>
                <w:sz w:val="24"/>
                <w:highlight w:val="none"/>
                <w:lang w:val="en-US" w:eastAsia="zh-CN"/>
              </w:rPr>
              <w:t>。系统会自动完成滤芯的清灰，延长滤芯的使用寿命。滤芯使用量约为0.15t，每3年更换一次，则废滤芯产生量约为0.05</w:t>
            </w:r>
            <w:r>
              <w:rPr>
                <w:rFonts w:hint="eastAsia"/>
                <w:color w:val="auto"/>
                <w:sz w:val="24"/>
                <w:highlight w:val="none"/>
                <w:lang w:val="en-US" w:eastAsia="zh-CN"/>
              </w:rPr>
              <w:t>t/a。</w:t>
            </w:r>
            <w:r>
              <w:rPr>
                <w:rFonts w:hint="eastAsia"/>
                <w:sz w:val="24"/>
                <w:lang w:val="en-US" w:eastAsia="zh-CN"/>
              </w:rPr>
              <w:t>经集中收集后一般固废间暂存，定期外售。</w:t>
            </w:r>
          </w:p>
          <w:p w14:paraId="4F3FDB2D">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cs="Times New Roman"/>
                <w:b/>
                <w:bCs/>
                <w:color w:val="auto"/>
                <w:sz w:val="24"/>
                <w:lang w:val="en-US" w:eastAsia="zh-CN"/>
              </w:rPr>
            </w:pPr>
            <w:r>
              <w:rPr>
                <w:rFonts w:hint="eastAsia"/>
                <w:sz w:val="24"/>
                <w:lang w:val="en-US" w:eastAsia="zh-CN"/>
              </w:rPr>
              <w:t>评价要求：企业应严格按照《一般工业固体废物贮存和填埋污染控制标准》（GB18599-2020）的相关要求对一般固废进行暂存，一般固废暂存间面积为10m</w:t>
            </w:r>
            <w:r>
              <w:rPr>
                <w:rFonts w:hint="eastAsia"/>
                <w:sz w:val="24"/>
                <w:vertAlign w:val="superscript"/>
                <w:lang w:val="en-US" w:eastAsia="zh-CN"/>
              </w:rPr>
              <w:t>2</w:t>
            </w:r>
            <w:r>
              <w:rPr>
                <w:rFonts w:hint="eastAsia"/>
                <w:sz w:val="24"/>
                <w:lang w:val="en-US" w:eastAsia="zh-CN"/>
              </w:rPr>
              <w:t>，一般固废暂存间应做到防风、防雨、防渗漏等措施。综上所述，本项目所产生的固体废物经收集后外可以妥善处理，能够避免固体废物排放对环境的二次污染，不会对当地环境产生不利影响。</w:t>
            </w:r>
          </w:p>
          <w:p w14:paraId="1053EE22">
            <w:pPr>
              <w:keepNext w:val="0"/>
              <w:keepLines w:val="0"/>
              <w:suppressLineNumbers w:val="0"/>
              <w:adjustRightInd w:val="0"/>
              <w:snapToGrid w:val="0"/>
              <w:spacing w:before="0" w:beforeAutospacing="0" w:after="0" w:afterAutospacing="0" w:line="440" w:lineRule="exact"/>
              <w:ind w:left="0" w:right="0" w:firstLine="482" w:firstLineChars="200"/>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2、危险废物</w:t>
            </w:r>
          </w:p>
          <w:p w14:paraId="353C1654">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cs="Times New Roman"/>
                <w:color w:val="auto"/>
                <w:sz w:val="24"/>
                <w:lang w:eastAsia="zh-CN"/>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w:t>
            </w:r>
            <w:r>
              <w:rPr>
                <w:rFonts w:hint="eastAsia" w:ascii="Times New Roman" w:hAnsi="Times New Roman" w:eastAsia="宋体" w:cs="Times New Roman"/>
                <w:color w:val="auto"/>
                <w:sz w:val="24"/>
                <w:lang w:eastAsia="zh-CN"/>
              </w:rPr>
              <w:t>）</w:t>
            </w:r>
            <w:r>
              <w:rPr>
                <w:rFonts w:hint="eastAsia"/>
                <w:color w:val="auto"/>
                <w:sz w:val="24"/>
                <w:lang w:val="en-US" w:eastAsia="zh-CN"/>
              </w:rPr>
              <w:t>废包装桶：项目生产时产生废包装桶</w:t>
            </w:r>
            <w:r>
              <w:rPr>
                <w:rFonts w:hint="eastAsia"/>
                <w:color w:val="auto"/>
                <w:sz w:val="24"/>
                <w:highlight w:val="none"/>
                <w:lang w:val="en-US" w:eastAsia="zh-CN"/>
              </w:rPr>
              <w:t>，经计算，</w:t>
            </w:r>
            <w:r>
              <w:rPr>
                <w:rFonts w:hint="eastAsia"/>
                <w:color w:val="auto"/>
                <w:sz w:val="24"/>
                <w:lang w:val="en-US" w:eastAsia="zh-CN"/>
              </w:rPr>
              <w:t>废包装桶</w:t>
            </w:r>
            <w:r>
              <w:rPr>
                <w:rFonts w:hint="eastAsia"/>
                <w:sz w:val="24"/>
                <w:highlight w:val="none"/>
                <w:lang w:val="en-US" w:eastAsia="zh-CN"/>
              </w:rPr>
              <w:t>的产生量约为0.055t/a。</w:t>
            </w:r>
            <w:r>
              <w:rPr>
                <w:rFonts w:hint="eastAsia" w:ascii="Times New Roman" w:hAnsi="Times New Roman" w:eastAsia="宋体" w:cs="Times New Roman"/>
                <w:color w:val="auto"/>
                <w:sz w:val="24"/>
                <w:highlight w:val="none"/>
                <w:lang w:eastAsia="zh-CN"/>
              </w:rPr>
              <w:t>根据《国家危险废物名录》（20</w:t>
            </w:r>
            <w:r>
              <w:rPr>
                <w:rFonts w:hint="eastAsia" w:ascii="Times New Roman" w:hAnsi="Times New Roman" w:eastAsia="宋体" w:cs="Times New Roman"/>
                <w:color w:val="auto"/>
                <w:sz w:val="24"/>
                <w:highlight w:val="none"/>
                <w:lang w:val="en-US" w:eastAsia="zh-CN"/>
              </w:rPr>
              <w:t>25</w:t>
            </w:r>
            <w:r>
              <w:rPr>
                <w:rFonts w:hint="eastAsia" w:ascii="Times New Roman" w:hAnsi="Times New Roman" w:eastAsia="宋体" w:cs="Times New Roman"/>
                <w:color w:val="auto"/>
                <w:sz w:val="24"/>
                <w:highlight w:val="none"/>
                <w:lang w:eastAsia="zh-CN"/>
              </w:rPr>
              <w:t>年版）可知，</w:t>
            </w:r>
            <w:r>
              <w:rPr>
                <w:rFonts w:hint="eastAsia"/>
                <w:color w:val="auto"/>
                <w:sz w:val="24"/>
                <w:lang w:val="en-US" w:eastAsia="zh-CN"/>
              </w:rPr>
              <w:t>废包装桶</w:t>
            </w:r>
            <w:r>
              <w:rPr>
                <w:rFonts w:hint="eastAsia" w:ascii="Times New Roman" w:hAnsi="Times New Roman" w:eastAsia="宋体" w:cs="Times New Roman"/>
                <w:color w:val="auto"/>
                <w:sz w:val="24"/>
                <w:highlight w:val="none"/>
                <w:lang w:eastAsia="zh-CN"/>
              </w:rPr>
              <w:t>属于《国家危险废物名录》中HW49“其他废物”，废物代码为“900-0</w:t>
            </w:r>
            <w:r>
              <w:rPr>
                <w:rFonts w:hint="eastAsia" w:cs="Times New Roman"/>
                <w:color w:val="auto"/>
                <w:sz w:val="24"/>
                <w:highlight w:val="none"/>
                <w:lang w:val="en-US" w:eastAsia="zh-CN"/>
              </w:rPr>
              <w:t>41</w:t>
            </w:r>
            <w:r>
              <w:rPr>
                <w:rFonts w:hint="eastAsia" w:ascii="Times New Roman" w:hAnsi="Times New Roman" w:eastAsia="宋体" w:cs="Times New Roman"/>
                <w:color w:val="auto"/>
                <w:sz w:val="24"/>
                <w:highlight w:val="none"/>
                <w:lang w:eastAsia="zh-CN"/>
              </w:rPr>
              <w:t>-49”“含有或沾染毒性、感染性危险废物的废弃包装物、容器、过滤吸附介质</w:t>
            </w:r>
            <w:r>
              <w:rPr>
                <w:rFonts w:hint="eastAsia" w:ascii="Times New Roman" w:hAnsi="Times New Roman" w:eastAsia="宋体" w:cs="Times New Roman"/>
                <w:color w:val="auto"/>
                <w:sz w:val="24"/>
                <w:lang w:eastAsia="zh-CN"/>
              </w:rPr>
              <w:t>”</w:t>
            </w:r>
            <w:r>
              <w:rPr>
                <w:rFonts w:hint="eastAsia" w:cs="Times New Roman"/>
                <w:color w:val="auto"/>
                <w:sz w:val="24"/>
                <w:lang w:eastAsia="zh-CN"/>
              </w:rPr>
              <w:t>。</w:t>
            </w:r>
            <w:r>
              <w:rPr>
                <w:rFonts w:hint="eastAsia"/>
                <w:sz w:val="24"/>
                <w:lang w:val="en-US" w:eastAsia="zh-CN"/>
              </w:rPr>
              <w:t>经集中收集后危废暂存间暂存，</w:t>
            </w:r>
            <w:r>
              <w:rPr>
                <w:rFonts w:hint="eastAsia"/>
                <w:bCs/>
                <w:color w:val="000000"/>
                <w:sz w:val="24"/>
              </w:rPr>
              <w:t>定期交由有</w:t>
            </w:r>
            <w:r>
              <w:rPr>
                <w:rFonts w:hint="eastAsia"/>
                <w:bCs/>
                <w:color w:val="000000"/>
                <w:sz w:val="24"/>
                <w:lang w:val="en-US" w:eastAsia="zh-CN"/>
              </w:rPr>
              <w:t>危废处理</w:t>
            </w:r>
            <w:r>
              <w:rPr>
                <w:rFonts w:hint="eastAsia"/>
                <w:bCs/>
                <w:color w:val="000000"/>
                <w:sz w:val="24"/>
              </w:rPr>
              <w:t>资质的单位处置</w:t>
            </w:r>
            <w:r>
              <w:rPr>
                <w:rFonts w:hint="eastAsia" w:cs="Times New Roman"/>
                <w:color w:val="auto"/>
                <w:sz w:val="24"/>
                <w:lang w:eastAsia="zh-CN"/>
              </w:rPr>
              <w:t>。</w:t>
            </w:r>
          </w:p>
          <w:p w14:paraId="774318C6">
            <w:pPr>
              <w:keepNext/>
              <w:keepLines w:val="0"/>
              <w:pageBreakBefore w:val="0"/>
              <w:widowControl w:val="0"/>
              <w:suppressLineNumbers w:val="0"/>
              <w:tabs>
                <w:tab w:val="left" w:pos="1039"/>
              </w:tabs>
              <w:kinsoku/>
              <w:wordWrap/>
              <w:overflowPunct w:val="0"/>
              <w:topLinePunct w:val="0"/>
              <w:autoSpaceDE/>
              <w:autoSpaceDN/>
              <w:bidi w:val="0"/>
              <w:adjustRightInd/>
              <w:snapToGrid w:val="0"/>
              <w:spacing w:before="0" w:beforeAutospacing="0" w:after="0" w:afterAutospacing="0" w:line="440" w:lineRule="atLeast"/>
              <w:ind w:left="0" w:right="0" w:firstLine="480" w:firstLineChars="200"/>
              <w:jc w:val="both"/>
              <w:textAlignment w:val="auto"/>
              <w:outlineLvl w:val="9"/>
              <w:rPr>
                <w:rFonts w:hint="eastAsia" w:cs="宋体"/>
              </w:rPr>
            </w:pPr>
            <w:r>
              <w:rPr>
                <w:rFonts w:hint="eastAsia" w:cs="Times New Roman"/>
                <w:color w:val="auto"/>
                <w:sz w:val="24"/>
                <w:lang w:eastAsia="zh-CN"/>
              </w:rPr>
              <w:t>（</w:t>
            </w:r>
            <w:r>
              <w:rPr>
                <w:rFonts w:hint="eastAsia" w:cs="Times New Roman"/>
                <w:color w:val="auto"/>
                <w:sz w:val="24"/>
                <w:lang w:val="en-US" w:eastAsia="zh-CN"/>
              </w:rPr>
              <w:t>2</w:t>
            </w:r>
            <w:r>
              <w:rPr>
                <w:rFonts w:hint="eastAsia" w:cs="Times New Roman"/>
                <w:color w:val="auto"/>
                <w:sz w:val="24"/>
                <w:lang w:eastAsia="zh-CN"/>
              </w:rPr>
              <w:t>）</w:t>
            </w:r>
            <w:r>
              <w:rPr>
                <w:rFonts w:hint="eastAsia" w:cs="Times New Roman"/>
                <w:color w:val="auto"/>
                <w:sz w:val="24"/>
                <w:lang w:val="en-US" w:eastAsia="zh-CN"/>
              </w:rPr>
              <w:t>废机油：</w:t>
            </w:r>
            <w:r>
              <w:rPr>
                <w:rFonts w:hint="eastAsia"/>
              </w:rPr>
              <w:t>项目定期对生产设备进行维修，维修过程会产生废机油，</w:t>
            </w:r>
            <w:r>
              <w:rPr>
                <w:rFonts w:hint="eastAsia" w:cs="宋体"/>
              </w:rPr>
              <w:t>废机油产生量为</w:t>
            </w:r>
            <w:r>
              <w:rPr>
                <w:rFonts w:hint="default"/>
                <w:highlight w:val="none"/>
              </w:rPr>
              <w:t>0</w:t>
            </w:r>
            <w:r>
              <w:rPr>
                <w:rFonts w:hint="eastAsia"/>
                <w:highlight w:val="none"/>
                <w:lang w:val="en-US" w:eastAsia="zh-CN"/>
              </w:rPr>
              <w:t>.15</w:t>
            </w:r>
            <w:r>
              <w:rPr>
                <w:rFonts w:hint="default"/>
                <w:highlight w:val="none"/>
              </w:rPr>
              <w:t>t/a</w:t>
            </w:r>
            <w:r>
              <w:rPr>
                <w:rFonts w:hint="eastAsia" w:cs="宋体"/>
                <w:highlight w:val="none"/>
              </w:rPr>
              <w:t>，</w:t>
            </w:r>
            <w:r>
              <w:rPr>
                <w:rFonts w:hint="eastAsia" w:cs="宋体"/>
              </w:rPr>
              <w:t>属于《国家危险废物名录》（</w:t>
            </w:r>
            <w:r>
              <w:rPr>
                <w:rFonts w:hint="default"/>
              </w:rPr>
              <w:t>202</w:t>
            </w:r>
            <w:r>
              <w:rPr>
                <w:rFonts w:hint="eastAsia"/>
                <w:lang w:val="en-US" w:eastAsia="zh-CN"/>
              </w:rPr>
              <w:t>5</w:t>
            </w:r>
            <w:r>
              <w:rPr>
                <w:rFonts w:hint="default"/>
              </w:rPr>
              <w:t xml:space="preserve"> </w:t>
            </w:r>
            <w:r>
              <w:rPr>
                <w:rFonts w:hint="eastAsia" w:cs="宋体"/>
              </w:rPr>
              <w:t>版）中规定的“</w:t>
            </w:r>
            <w:r>
              <w:rPr>
                <w:rFonts w:hint="default"/>
              </w:rPr>
              <w:t>HW</w:t>
            </w:r>
            <w:r>
              <w:rPr>
                <w:rFonts w:hint="eastAsia"/>
              </w:rPr>
              <w:t>08废矿物油与含矿物油废物</w:t>
            </w:r>
            <w:r>
              <w:rPr>
                <w:rFonts w:hint="eastAsia" w:cs="宋体"/>
              </w:rPr>
              <w:t>”中“900-214-08：车辆、轮船及其它机械维修过程中产生的废发动机油、制动器油、自动变速器油、齿轮油等废润滑油”。属于危险废物，集中收集后暂存于危险废物暂存间，定期委托有危废处理资质的单位处理。</w:t>
            </w:r>
          </w:p>
          <w:p w14:paraId="1D3F3851">
            <w:pPr>
              <w:keepNext/>
              <w:keepLines w:val="0"/>
              <w:pageBreakBefore w:val="0"/>
              <w:widowControl w:val="0"/>
              <w:suppressLineNumbers w:val="0"/>
              <w:tabs>
                <w:tab w:val="left" w:pos="1039"/>
              </w:tabs>
              <w:kinsoku/>
              <w:wordWrap/>
              <w:overflowPunct w:val="0"/>
              <w:topLinePunct w:val="0"/>
              <w:autoSpaceDE/>
              <w:autoSpaceDN/>
              <w:bidi w:val="0"/>
              <w:adjustRightInd/>
              <w:snapToGrid w:val="0"/>
              <w:spacing w:before="0" w:beforeAutospacing="0" w:after="0" w:afterAutospacing="0" w:line="440" w:lineRule="atLeast"/>
              <w:ind w:left="0" w:right="0" w:firstLine="480" w:firstLineChars="200"/>
              <w:jc w:val="both"/>
              <w:textAlignment w:val="auto"/>
              <w:outlineLvl w:val="9"/>
              <w:rPr>
                <w:rFonts w:hint="eastAsia" w:cs="宋体"/>
              </w:rPr>
            </w:pPr>
            <w:r>
              <w:rPr>
                <w:rFonts w:hint="eastAsia" w:cs="Times New Roman"/>
                <w:color w:val="auto"/>
                <w:sz w:val="24"/>
                <w:lang w:eastAsia="zh-CN"/>
              </w:rPr>
              <w:t>（</w:t>
            </w:r>
            <w:r>
              <w:rPr>
                <w:rFonts w:hint="eastAsia" w:cs="Times New Roman"/>
                <w:color w:val="auto"/>
                <w:sz w:val="24"/>
                <w:lang w:val="en-US" w:eastAsia="zh-CN"/>
              </w:rPr>
              <w:t>3</w:t>
            </w:r>
            <w:r>
              <w:rPr>
                <w:rFonts w:hint="eastAsia" w:cs="Times New Roman"/>
                <w:color w:val="auto"/>
                <w:sz w:val="24"/>
                <w:lang w:eastAsia="zh-CN"/>
              </w:rPr>
              <w:t>）</w:t>
            </w:r>
            <w:r>
              <w:rPr>
                <w:rFonts w:hint="eastAsia" w:cs="Times New Roman"/>
                <w:color w:val="auto"/>
                <w:sz w:val="24"/>
                <w:highlight w:val="none"/>
                <w:lang w:val="en-US" w:eastAsia="zh-CN"/>
              </w:rPr>
              <w:t>废金属屑（含切削液）：本</w:t>
            </w:r>
            <w:r>
              <w:rPr>
                <w:rFonts w:hint="eastAsia"/>
                <w:highlight w:val="none"/>
              </w:rPr>
              <w:t>项目</w:t>
            </w:r>
            <w:r>
              <w:rPr>
                <w:rFonts w:hint="eastAsia"/>
                <w:highlight w:val="none"/>
                <w:lang w:val="en-US" w:eastAsia="zh-CN"/>
              </w:rPr>
              <w:t>下料、粗车、机加工、精车、平磨等工序使用切削液，该工序产生含切削液的废金属屑</w:t>
            </w:r>
            <w:r>
              <w:rPr>
                <w:rFonts w:hint="eastAsia"/>
                <w:highlight w:val="none"/>
              </w:rPr>
              <w:t>，</w:t>
            </w:r>
            <w:r>
              <w:rPr>
                <w:rFonts w:hint="eastAsia"/>
                <w:highlight w:val="none"/>
                <w:lang w:val="en-US" w:eastAsia="zh-CN"/>
              </w:rPr>
              <w:t>切削液产生损失，定期补充。废金属屑</w:t>
            </w:r>
            <w:r>
              <w:rPr>
                <w:rFonts w:hint="eastAsia" w:cs="宋体"/>
                <w:highlight w:val="none"/>
              </w:rPr>
              <w:t>产生量</w:t>
            </w:r>
            <w:r>
              <w:rPr>
                <w:rFonts w:hint="eastAsia" w:cs="宋体"/>
                <w:highlight w:val="none"/>
                <w:lang w:val="en-US" w:eastAsia="zh-CN"/>
              </w:rPr>
              <w:t>约</w:t>
            </w:r>
            <w:r>
              <w:rPr>
                <w:rFonts w:hint="eastAsia" w:cs="宋体"/>
                <w:highlight w:val="none"/>
              </w:rPr>
              <w:t>为</w:t>
            </w:r>
            <w:r>
              <w:rPr>
                <w:rFonts w:hint="default"/>
                <w:highlight w:val="none"/>
              </w:rPr>
              <w:t>0</w:t>
            </w:r>
            <w:r>
              <w:rPr>
                <w:rFonts w:hint="eastAsia"/>
                <w:highlight w:val="none"/>
                <w:lang w:val="en-US" w:eastAsia="zh-CN"/>
              </w:rPr>
              <w:t>.5</w:t>
            </w:r>
            <w:r>
              <w:rPr>
                <w:rFonts w:hint="default"/>
                <w:highlight w:val="none"/>
              </w:rPr>
              <w:t>t/a</w:t>
            </w:r>
            <w:r>
              <w:rPr>
                <w:rFonts w:hint="eastAsia" w:cs="宋体"/>
                <w:highlight w:val="none"/>
              </w:rPr>
              <w:t>，</w:t>
            </w:r>
            <w:r>
              <w:rPr>
                <w:rFonts w:hint="eastAsia" w:cs="宋体"/>
              </w:rPr>
              <w:t>属于《国家危险废物名录》（</w:t>
            </w:r>
            <w:r>
              <w:rPr>
                <w:rFonts w:hint="default"/>
              </w:rPr>
              <w:t>20</w:t>
            </w:r>
            <w:r>
              <w:rPr>
                <w:rFonts w:hint="eastAsia"/>
                <w:lang w:val="en-US" w:eastAsia="zh-CN"/>
              </w:rPr>
              <w:t>25</w:t>
            </w:r>
            <w:r>
              <w:rPr>
                <w:rFonts w:hint="default"/>
              </w:rPr>
              <w:t xml:space="preserve"> </w:t>
            </w:r>
            <w:r>
              <w:rPr>
                <w:rFonts w:hint="eastAsia" w:cs="宋体"/>
              </w:rPr>
              <w:t>版）中</w:t>
            </w:r>
            <w:r>
              <w:rPr>
                <w:rFonts w:hint="eastAsia" w:ascii="Times New Roman" w:hAnsi="Times New Roman" w:eastAsia="宋体" w:cs="Times New Roman"/>
                <w:color w:val="auto"/>
                <w:sz w:val="24"/>
                <w:highlight w:val="none"/>
                <w:lang w:eastAsia="zh-CN"/>
              </w:rPr>
              <w:t>HW49“其他废物”，废物代码为“900-0</w:t>
            </w:r>
            <w:r>
              <w:rPr>
                <w:rFonts w:hint="eastAsia" w:cs="Times New Roman"/>
                <w:color w:val="auto"/>
                <w:sz w:val="24"/>
                <w:highlight w:val="none"/>
                <w:lang w:val="en-US" w:eastAsia="zh-CN"/>
              </w:rPr>
              <w:t>41</w:t>
            </w:r>
            <w:r>
              <w:rPr>
                <w:rFonts w:hint="eastAsia" w:ascii="Times New Roman" w:hAnsi="Times New Roman" w:eastAsia="宋体" w:cs="Times New Roman"/>
                <w:color w:val="auto"/>
                <w:sz w:val="24"/>
                <w:highlight w:val="none"/>
                <w:lang w:eastAsia="zh-CN"/>
              </w:rPr>
              <w:t>-49”“含有或沾染毒性、感染性危险废物的废弃包装物、容器、过滤吸附介质</w:t>
            </w:r>
            <w:r>
              <w:rPr>
                <w:rFonts w:hint="eastAsia" w:ascii="Times New Roman" w:hAnsi="Times New Roman" w:eastAsia="宋体" w:cs="Times New Roman"/>
                <w:color w:val="auto"/>
                <w:sz w:val="24"/>
                <w:lang w:eastAsia="zh-CN"/>
              </w:rPr>
              <w:t>”</w:t>
            </w:r>
            <w:r>
              <w:rPr>
                <w:rFonts w:hint="eastAsia" w:cs="Times New Roman"/>
                <w:color w:val="auto"/>
                <w:sz w:val="24"/>
                <w:lang w:eastAsia="zh-CN"/>
              </w:rPr>
              <w:t>。</w:t>
            </w:r>
            <w:r>
              <w:rPr>
                <w:rFonts w:hint="eastAsia"/>
                <w:sz w:val="24"/>
                <w:lang w:val="en-US" w:eastAsia="zh-CN"/>
              </w:rPr>
              <w:t>经集中收集后危废暂存间暂存，</w:t>
            </w:r>
            <w:r>
              <w:rPr>
                <w:rFonts w:hint="eastAsia"/>
                <w:bCs/>
                <w:color w:val="000000"/>
                <w:sz w:val="24"/>
              </w:rPr>
              <w:t>定期交由有</w:t>
            </w:r>
            <w:r>
              <w:rPr>
                <w:rFonts w:hint="eastAsia"/>
                <w:bCs/>
                <w:color w:val="000000"/>
                <w:sz w:val="24"/>
                <w:lang w:val="en-US" w:eastAsia="zh-CN"/>
              </w:rPr>
              <w:t>危废处理</w:t>
            </w:r>
            <w:r>
              <w:rPr>
                <w:rFonts w:hint="eastAsia"/>
                <w:bCs/>
                <w:color w:val="000000"/>
                <w:sz w:val="24"/>
              </w:rPr>
              <w:t>资质的单位处置</w:t>
            </w:r>
            <w:r>
              <w:rPr>
                <w:rFonts w:hint="eastAsia" w:cs="Times New Roman"/>
                <w:color w:val="auto"/>
                <w:sz w:val="24"/>
                <w:lang w:eastAsia="zh-CN"/>
              </w:rPr>
              <w:t>。</w:t>
            </w:r>
          </w:p>
          <w:p w14:paraId="3BD121B6">
            <w:pPr>
              <w:keepNext/>
              <w:keepLines w:val="0"/>
              <w:pageBreakBefore w:val="0"/>
              <w:widowControl w:val="0"/>
              <w:suppressLineNumbers w:val="0"/>
              <w:tabs>
                <w:tab w:val="left" w:pos="679"/>
              </w:tabs>
              <w:kinsoku/>
              <w:wordWrap/>
              <w:overflowPunct w:val="0"/>
              <w:topLinePunct w:val="0"/>
              <w:autoSpaceDE/>
              <w:autoSpaceDN/>
              <w:bidi w:val="0"/>
              <w:adjustRightInd/>
              <w:snapToGrid w:val="0"/>
              <w:spacing w:before="0" w:beforeAutospacing="0" w:after="0" w:afterAutospacing="0" w:line="440" w:lineRule="exact"/>
              <w:ind w:left="0" w:right="0" w:firstLine="480" w:firstLineChars="200"/>
              <w:jc w:val="both"/>
              <w:textAlignment w:val="auto"/>
              <w:outlineLvl w:val="9"/>
              <w:rPr>
                <w:rFonts w:hint="eastAsia"/>
                <w:sz w:val="24"/>
                <w:lang w:val="en-US" w:eastAsia="zh-CN"/>
              </w:rPr>
            </w:pPr>
            <w:r>
              <w:rPr>
                <w:rFonts w:hint="eastAsia"/>
                <w:lang w:val="en-US" w:eastAsia="zh-CN"/>
              </w:rPr>
              <w:tab/>
            </w:r>
            <w:r>
              <w:rPr>
                <w:rFonts w:hint="eastAsia"/>
                <w:sz w:val="24"/>
                <w:lang w:val="en-US" w:eastAsia="zh-CN"/>
              </w:rPr>
              <w:t>按照《危险废物贮存污染控制标准》（GB 18597-2023）规定，将废机油桶加盖存放在厂区内危险废物暂存间内，贮存期间注意防风、防晒、防雨、防渗措施，并设立危险废物标志。建设单位须做好危险废物情况的记录，记录上注明危险废物的名称、来源、数量、特征和包装容器的类别、入库日期、存放库位、废物出库日期及接受单位名称；必须定期对贮存危险废物的包装容器及危废暂存间进行检查，发现破损应及时采取措施清理更换</w:t>
            </w:r>
            <w:r>
              <w:rPr>
                <w:rFonts w:hint="eastAsia"/>
                <w:sz w:val="24"/>
                <w:highlight w:val="none"/>
                <w:lang w:val="en-US" w:eastAsia="zh-CN"/>
              </w:rPr>
              <w:t>。本项目危险废物暂存间面积约10m</w:t>
            </w:r>
            <w:r>
              <w:rPr>
                <w:rFonts w:hint="eastAsia"/>
                <w:sz w:val="24"/>
                <w:highlight w:val="none"/>
                <w:vertAlign w:val="superscript"/>
                <w:lang w:val="en-US" w:eastAsia="zh-CN"/>
              </w:rPr>
              <w:t>2</w:t>
            </w:r>
            <w:r>
              <w:rPr>
                <w:rFonts w:hint="eastAsia"/>
                <w:sz w:val="24"/>
                <w:highlight w:val="none"/>
                <w:lang w:val="en-US" w:eastAsia="zh-CN"/>
              </w:rPr>
              <w:t>，危险废物统一收集后定期送往有资</w:t>
            </w:r>
            <w:r>
              <w:rPr>
                <w:rFonts w:hint="eastAsia"/>
                <w:sz w:val="24"/>
                <w:lang w:val="en-US" w:eastAsia="zh-CN"/>
              </w:rPr>
              <w:t>质单位进行处理。</w:t>
            </w:r>
          </w:p>
          <w:p w14:paraId="298AC79F">
            <w:pPr>
              <w:keepNext w:val="0"/>
              <w:keepLines w:val="0"/>
              <w:suppressLineNumbers w:val="0"/>
              <w:adjustRightInd w:val="0"/>
              <w:snapToGrid w:val="0"/>
              <w:spacing w:before="0" w:beforeAutospacing="0" w:after="0" w:afterAutospacing="0" w:line="440" w:lineRule="exact"/>
              <w:ind w:left="0" w:right="0"/>
              <w:jc w:val="center"/>
              <w:rPr>
                <w:rFonts w:hint="eastAsia"/>
                <w:b/>
                <w:bCs/>
                <w:sz w:val="24"/>
                <w:lang w:val="en-US" w:eastAsia="zh-CN"/>
              </w:rPr>
            </w:pPr>
            <w:r>
              <w:rPr>
                <w:rFonts w:hint="eastAsia"/>
                <w:b/>
                <w:bCs/>
                <w:sz w:val="24"/>
                <w:lang w:val="en-US" w:eastAsia="zh-CN"/>
              </w:rPr>
              <w:t>表35  项目危险废物汇总一览表</w:t>
            </w:r>
          </w:p>
          <w:tbl>
            <w:tblPr>
              <w:tblStyle w:val="22"/>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7" w:type="dxa"/>
                <w:bottom w:w="0" w:type="dxa"/>
                <w:right w:w="17" w:type="dxa"/>
              </w:tblCellMar>
            </w:tblPr>
            <w:tblGrid>
              <w:gridCol w:w="365"/>
              <w:gridCol w:w="946"/>
              <w:gridCol w:w="931"/>
              <w:gridCol w:w="1157"/>
              <w:gridCol w:w="916"/>
              <w:gridCol w:w="555"/>
              <w:gridCol w:w="1142"/>
              <w:gridCol w:w="616"/>
              <w:gridCol w:w="1107"/>
              <w:gridCol w:w="878"/>
            </w:tblGrid>
            <w:tr w14:paraId="14ACFC1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211" w:type="pct"/>
                  <w:tcBorders>
                    <w:bottom w:val="single" w:color="auto" w:sz="8" w:space="0"/>
                    <w:right w:val="single" w:color="auto" w:sz="4" w:space="0"/>
                  </w:tcBorders>
                  <w:noWrap w:val="0"/>
                  <w:vAlign w:val="center"/>
                </w:tcPr>
                <w:p w14:paraId="2F92FAA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549" w:type="pct"/>
                  <w:tcBorders>
                    <w:left w:val="single" w:color="auto" w:sz="4" w:space="0"/>
                    <w:bottom w:val="single" w:color="auto" w:sz="8" w:space="0"/>
                    <w:right w:val="single" w:color="auto" w:sz="4" w:space="0"/>
                  </w:tcBorders>
                  <w:noWrap w:val="0"/>
                  <w:vAlign w:val="center"/>
                </w:tcPr>
                <w:p w14:paraId="6E04571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危险废物名称</w:t>
                  </w:r>
                </w:p>
              </w:tc>
              <w:tc>
                <w:tcPr>
                  <w:tcW w:w="540" w:type="pct"/>
                  <w:tcBorders>
                    <w:left w:val="single" w:color="auto" w:sz="4" w:space="0"/>
                    <w:bottom w:val="single" w:color="auto" w:sz="8" w:space="0"/>
                    <w:right w:val="single" w:color="auto" w:sz="4" w:space="0"/>
                  </w:tcBorders>
                  <w:noWrap w:val="0"/>
                  <w:vAlign w:val="center"/>
                </w:tcPr>
                <w:p w14:paraId="674F0DC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危险废物类别</w:t>
                  </w:r>
                </w:p>
              </w:tc>
              <w:tc>
                <w:tcPr>
                  <w:tcW w:w="671" w:type="pct"/>
                  <w:tcBorders>
                    <w:left w:val="single" w:color="auto" w:sz="4" w:space="0"/>
                    <w:bottom w:val="single" w:color="auto" w:sz="8" w:space="0"/>
                    <w:right w:val="single" w:color="auto" w:sz="4" w:space="0"/>
                  </w:tcBorders>
                  <w:noWrap w:val="0"/>
                  <w:vAlign w:val="center"/>
                </w:tcPr>
                <w:p w14:paraId="64A0495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w:t>
                  </w:r>
                </w:p>
                <w:p w14:paraId="281F773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代码</w:t>
                  </w:r>
                </w:p>
              </w:tc>
              <w:tc>
                <w:tcPr>
                  <w:tcW w:w="531" w:type="pct"/>
                  <w:tcBorders>
                    <w:left w:val="single" w:color="auto" w:sz="4" w:space="0"/>
                    <w:bottom w:val="single" w:color="auto" w:sz="8" w:space="0"/>
                    <w:right w:val="single" w:color="auto" w:sz="4" w:space="0"/>
                  </w:tcBorders>
                  <w:noWrap w:val="0"/>
                  <w:vAlign w:val="center"/>
                </w:tcPr>
                <w:p w14:paraId="49D3B874">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sz w:val="21"/>
                      <w:szCs w:val="21"/>
                      <w:lang w:val="en-US" w:eastAsia="zh-CN"/>
                    </w:rPr>
                    <w:t>年</w:t>
                  </w:r>
                  <w:r>
                    <w:rPr>
                      <w:rFonts w:hint="default" w:ascii="Times New Roman" w:hAnsi="Times New Roman" w:eastAsia="宋体" w:cs="Times New Roman"/>
                      <w:b/>
                      <w:bCs/>
                      <w:color w:val="auto"/>
                      <w:sz w:val="21"/>
                      <w:szCs w:val="21"/>
                    </w:rPr>
                    <w:t>产生量</w:t>
                  </w:r>
                  <w:r>
                    <w:rPr>
                      <w:rFonts w:hint="eastAsia" w:cs="Times New Roman"/>
                      <w:b/>
                      <w:bCs/>
                      <w:color w:val="auto"/>
                      <w:sz w:val="21"/>
                      <w:szCs w:val="21"/>
                      <w:lang w:val="en-US" w:eastAsia="zh-CN"/>
                    </w:rPr>
                    <w:t>t/a</w:t>
                  </w:r>
                </w:p>
              </w:tc>
              <w:tc>
                <w:tcPr>
                  <w:tcW w:w="322" w:type="pct"/>
                  <w:tcBorders>
                    <w:left w:val="single" w:color="auto" w:sz="4" w:space="0"/>
                    <w:bottom w:val="single" w:color="auto" w:sz="8" w:space="0"/>
                    <w:right w:val="single" w:color="auto" w:sz="4" w:space="0"/>
                  </w:tcBorders>
                  <w:noWrap w:val="0"/>
                  <w:vAlign w:val="center"/>
                </w:tcPr>
                <w:p w14:paraId="3A07973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形态</w:t>
                  </w:r>
                </w:p>
              </w:tc>
              <w:tc>
                <w:tcPr>
                  <w:tcW w:w="662" w:type="pct"/>
                  <w:tcBorders>
                    <w:left w:val="single" w:color="auto" w:sz="4" w:space="0"/>
                    <w:bottom w:val="single" w:color="auto" w:sz="8" w:space="0"/>
                    <w:right w:val="single" w:color="auto" w:sz="4" w:space="0"/>
                  </w:tcBorders>
                  <w:noWrap w:val="0"/>
                  <w:vAlign w:val="center"/>
                </w:tcPr>
                <w:p w14:paraId="11D64B3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主要有毒有害物质名称</w:t>
                  </w:r>
                </w:p>
              </w:tc>
              <w:tc>
                <w:tcPr>
                  <w:tcW w:w="357" w:type="pct"/>
                  <w:tcBorders>
                    <w:left w:val="single" w:color="auto" w:sz="4" w:space="0"/>
                    <w:bottom w:val="single" w:color="auto" w:sz="8" w:space="0"/>
                    <w:right w:val="single" w:color="auto" w:sz="4" w:space="0"/>
                  </w:tcBorders>
                  <w:noWrap w:val="0"/>
                  <w:vAlign w:val="center"/>
                </w:tcPr>
                <w:p w14:paraId="1852743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危险特性</w:t>
                  </w:r>
                </w:p>
              </w:tc>
              <w:tc>
                <w:tcPr>
                  <w:tcW w:w="642" w:type="pct"/>
                  <w:tcBorders>
                    <w:left w:val="single" w:color="auto" w:sz="4" w:space="0"/>
                    <w:bottom w:val="single" w:color="auto" w:sz="8" w:space="0"/>
                    <w:right w:val="single" w:color="auto" w:sz="4" w:space="0"/>
                  </w:tcBorders>
                  <w:noWrap w:val="0"/>
                  <w:vAlign w:val="center"/>
                </w:tcPr>
                <w:p w14:paraId="5E13638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污染防治措施</w:t>
                  </w:r>
                </w:p>
              </w:tc>
              <w:tc>
                <w:tcPr>
                  <w:tcW w:w="509" w:type="pct"/>
                  <w:tcBorders>
                    <w:left w:val="single" w:color="auto" w:sz="4" w:space="0"/>
                    <w:bottom w:val="single" w:color="auto" w:sz="8" w:space="0"/>
                  </w:tcBorders>
                  <w:noWrap w:val="0"/>
                  <w:vAlign w:val="center"/>
                </w:tcPr>
                <w:p w14:paraId="6AF34121">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利用或处置t/a</w:t>
                  </w:r>
                </w:p>
              </w:tc>
            </w:tr>
            <w:tr w14:paraId="1DA9C33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211" w:type="pct"/>
                  <w:tcBorders>
                    <w:top w:val="single" w:color="auto" w:sz="8" w:space="0"/>
                    <w:bottom w:val="single" w:color="auto" w:sz="4" w:space="0"/>
                  </w:tcBorders>
                  <w:noWrap w:val="0"/>
                  <w:vAlign w:val="center"/>
                </w:tcPr>
                <w:p w14:paraId="2057E46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rPr>
                  </w:pPr>
                  <w:r>
                    <w:rPr>
                      <w:rFonts w:hint="eastAsia" w:ascii="Times New Roman" w:hAnsi="Times New Roman" w:eastAsia="宋体" w:cs="Times New Roman"/>
                      <w:color w:val="auto"/>
                      <w:sz w:val="21"/>
                      <w:szCs w:val="21"/>
                      <w:lang w:val="en-US" w:eastAsia="zh-CN"/>
                    </w:rPr>
                    <w:t>1</w:t>
                  </w:r>
                </w:p>
              </w:tc>
              <w:tc>
                <w:tcPr>
                  <w:tcW w:w="549" w:type="pct"/>
                  <w:tcBorders>
                    <w:top w:val="single" w:color="auto" w:sz="8" w:space="0"/>
                    <w:bottom w:val="single" w:color="auto" w:sz="4" w:space="0"/>
                  </w:tcBorders>
                  <w:noWrap w:val="0"/>
                  <w:vAlign w:val="center"/>
                </w:tcPr>
                <w:p w14:paraId="792EAA0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废包装桶</w:t>
                  </w:r>
                </w:p>
              </w:tc>
              <w:tc>
                <w:tcPr>
                  <w:tcW w:w="540" w:type="pct"/>
                  <w:tcBorders>
                    <w:top w:val="single" w:color="auto" w:sz="8" w:space="0"/>
                    <w:bottom w:val="single" w:color="auto" w:sz="4" w:space="0"/>
                  </w:tcBorders>
                  <w:noWrap w:val="0"/>
                  <w:vAlign w:val="center"/>
                </w:tcPr>
                <w:p w14:paraId="0865422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HW49</w:t>
                  </w:r>
                </w:p>
              </w:tc>
              <w:tc>
                <w:tcPr>
                  <w:tcW w:w="671" w:type="pct"/>
                  <w:tcBorders>
                    <w:top w:val="single" w:color="auto" w:sz="8" w:space="0"/>
                    <w:bottom w:val="single" w:color="auto" w:sz="4" w:space="0"/>
                  </w:tcBorders>
                  <w:noWrap w:val="0"/>
                  <w:vAlign w:val="center"/>
                </w:tcPr>
                <w:p w14:paraId="2F8BA22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900-041-49</w:t>
                  </w:r>
                </w:p>
              </w:tc>
              <w:tc>
                <w:tcPr>
                  <w:tcW w:w="531" w:type="pct"/>
                  <w:tcBorders>
                    <w:top w:val="single" w:color="auto" w:sz="8" w:space="0"/>
                    <w:bottom w:val="single" w:color="auto" w:sz="4" w:space="0"/>
                  </w:tcBorders>
                  <w:noWrap w:val="0"/>
                  <w:vAlign w:val="center"/>
                </w:tcPr>
                <w:p w14:paraId="438C0FDF">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0.055</w:t>
                  </w:r>
                </w:p>
              </w:tc>
              <w:tc>
                <w:tcPr>
                  <w:tcW w:w="322" w:type="pct"/>
                  <w:tcBorders>
                    <w:top w:val="single" w:color="auto" w:sz="8" w:space="0"/>
                    <w:bottom w:val="single" w:color="auto" w:sz="4" w:space="0"/>
                  </w:tcBorders>
                  <w:noWrap w:val="0"/>
                  <w:vAlign w:val="center"/>
                </w:tcPr>
                <w:p w14:paraId="2C9AEB0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宋体"/>
                      <w:color w:val="auto"/>
                      <w:kern w:val="2"/>
                      <w:sz w:val="21"/>
                      <w:szCs w:val="21"/>
                      <w:lang w:val="en-US" w:eastAsia="zh-CN" w:bidi="ar"/>
                    </w:rPr>
                    <w:t>固态</w:t>
                  </w:r>
                </w:p>
              </w:tc>
              <w:tc>
                <w:tcPr>
                  <w:tcW w:w="662" w:type="pct"/>
                  <w:tcBorders>
                    <w:top w:val="single" w:color="auto" w:sz="8" w:space="0"/>
                    <w:bottom w:val="single" w:color="auto" w:sz="4" w:space="0"/>
                  </w:tcBorders>
                  <w:noWrap w:val="0"/>
                  <w:vAlign w:val="center"/>
                </w:tcPr>
                <w:p w14:paraId="6D48CD5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矿物质油</w:t>
                  </w:r>
                </w:p>
              </w:tc>
              <w:tc>
                <w:tcPr>
                  <w:tcW w:w="357" w:type="pct"/>
                  <w:tcBorders>
                    <w:top w:val="single" w:color="auto" w:sz="8" w:space="0"/>
                    <w:bottom w:val="single" w:color="auto" w:sz="4" w:space="0"/>
                  </w:tcBorders>
                  <w:noWrap w:val="0"/>
                  <w:vAlign w:val="center"/>
                </w:tcPr>
                <w:p w14:paraId="11F63A2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T/In</w:t>
                  </w:r>
                </w:p>
              </w:tc>
              <w:tc>
                <w:tcPr>
                  <w:tcW w:w="642" w:type="pct"/>
                  <w:vMerge w:val="restart"/>
                  <w:tcBorders>
                    <w:top w:val="single" w:color="auto" w:sz="8" w:space="0"/>
                    <w:bottom w:val="single" w:color="auto" w:sz="4" w:space="0"/>
                  </w:tcBorders>
                  <w:noWrap w:val="0"/>
                  <w:vAlign w:val="center"/>
                </w:tcPr>
                <w:p w14:paraId="2B91DA5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color w:val="auto"/>
                      <w:sz w:val="21"/>
                      <w:szCs w:val="21"/>
                    </w:rPr>
                    <w:t>分区存放于危废暂存间</w:t>
                  </w:r>
                  <w:r>
                    <w:rPr>
                      <w:rFonts w:hint="eastAsia" w:ascii="Times New Roman" w:hAnsi="Times New Roman" w:eastAsia="宋体" w:cs="Times New Roman"/>
                      <w:color w:val="auto"/>
                      <w:sz w:val="21"/>
                      <w:szCs w:val="21"/>
                      <w:lang w:eastAsia="zh-CN"/>
                    </w:rPr>
                    <w:t>（</w:t>
                  </w:r>
                  <w:r>
                    <w:rPr>
                      <w:rFonts w:hint="eastAsia" w:cs="Times New Roman"/>
                      <w:color w:val="auto"/>
                      <w:sz w:val="21"/>
                      <w:szCs w:val="21"/>
                      <w:lang w:val="en-US" w:eastAsia="zh-CN"/>
                    </w:rPr>
                    <w:t>10</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，交由具有资质的单位</w:t>
                  </w:r>
                  <w:r>
                    <w:rPr>
                      <w:rFonts w:hint="eastAsia" w:ascii="Times New Roman" w:hAnsi="Times New Roman" w:eastAsia="宋体" w:cs="Times New Roman"/>
                      <w:color w:val="auto"/>
                      <w:sz w:val="21"/>
                      <w:szCs w:val="21"/>
                      <w:lang w:val="en-US" w:eastAsia="zh-CN"/>
                    </w:rPr>
                    <w:t>处置</w:t>
                  </w:r>
                </w:p>
              </w:tc>
              <w:tc>
                <w:tcPr>
                  <w:tcW w:w="509" w:type="pct"/>
                  <w:tcBorders>
                    <w:top w:val="single" w:color="auto" w:sz="8" w:space="0"/>
                    <w:bottom w:val="single" w:color="auto" w:sz="4" w:space="0"/>
                  </w:tcBorders>
                  <w:noWrap w:val="0"/>
                  <w:vAlign w:val="center"/>
                </w:tcPr>
                <w:p w14:paraId="163AEAF6">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0.055</w:t>
                  </w:r>
                </w:p>
              </w:tc>
            </w:tr>
            <w:tr w14:paraId="1681BA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211" w:type="pct"/>
                  <w:tcBorders>
                    <w:top w:val="single" w:color="auto" w:sz="4" w:space="0"/>
                    <w:bottom w:val="single" w:color="auto" w:sz="4" w:space="0"/>
                  </w:tcBorders>
                  <w:noWrap w:val="0"/>
                  <w:vAlign w:val="center"/>
                </w:tcPr>
                <w:p w14:paraId="1AD0663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549" w:type="pct"/>
                  <w:tcBorders>
                    <w:top w:val="single" w:color="auto" w:sz="4" w:space="0"/>
                    <w:bottom w:val="single" w:color="auto" w:sz="4" w:space="0"/>
                  </w:tcBorders>
                  <w:noWrap w:val="0"/>
                  <w:vAlign w:val="center"/>
                </w:tcPr>
                <w:p w14:paraId="5FB434D9">
                  <w:pPr>
                    <w:keepNext w:val="0"/>
                    <w:keepLines w:val="0"/>
                    <w:suppressLineNumbers w:val="0"/>
                    <w:autoSpaceDE w:val="0"/>
                    <w:autoSpaceDN w:val="0"/>
                    <w:adjustRightInd w:val="0"/>
                    <w:snapToGrid w:val="0"/>
                    <w:spacing w:before="0" w:beforeAutospacing="0" w:after="0" w:afterAutospacing="0"/>
                    <w:ind w:left="0" w:right="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废机油</w:t>
                  </w:r>
                </w:p>
              </w:tc>
              <w:tc>
                <w:tcPr>
                  <w:tcW w:w="540" w:type="pct"/>
                  <w:tcBorders>
                    <w:top w:val="single" w:color="auto" w:sz="4" w:space="0"/>
                    <w:bottom w:val="single" w:color="auto" w:sz="4" w:space="0"/>
                  </w:tcBorders>
                  <w:noWrap w:val="0"/>
                  <w:vAlign w:val="center"/>
                </w:tcPr>
                <w:p w14:paraId="261920E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HW08</w:t>
                  </w:r>
                </w:p>
              </w:tc>
              <w:tc>
                <w:tcPr>
                  <w:tcW w:w="671" w:type="pct"/>
                  <w:tcBorders>
                    <w:top w:val="single" w:color="auto" w:sz="4" w:space="0"/>
                    <w:bottom w:val="single" w:color="auto" w:sz="4" w:space="0"/>
                  </w:tcBorders>
                  <w:noWrap w:val="0"/>
                  <w:vAlign w:val="center"/>
                </w:tcPr>
                <w:p w14:paraId="7DD74C0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900-214-08</w:t>
                  </w:r>
                </w:p>
              </w:tc>
              <w:tc>
                <w:tcPr>
                  <w:tcW w:w="531" w:type="pct"/>
                  <w:tcBorders>
                    <w:top w:val="single" w:color="auto" w:sz="4" w:space="0"/>
                    <w:bottom w:val="single" w:color="auto" w:sz="4" w:space="0"/>
                  </w:tcBorders>
                  <w:noWrap w:val="0"/>
                  <w:vAlign w:val="center"/>
                </w:tcPr>
                <w:p w14:paraId="21B0261C">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0.2</w:t>
                  </w:r>
                </w:p>
              </w:tc>
              <w:tc>
                <w:tcPr>
                  <w:tcW w:w="322" w:type="pct"/>
                  <w:tcBorders>
                    <w:top w:val="single" w:color="auto" w:sz="4" w:space="0"/>
                    <w:bottom w:val="single" w:color="auto" w:sz="4" w:space="0"/>
                  </w:tcBorders>
                  <w:noWrap w:val="0"/>
                  <w:vAlign w:val="center"/>
                </w:tcPr>
                <w:p w14:paraId="0766CBA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宋体"/>
                      <w:color w:val="auto"/>
                      <w:kern w:val="2"/>
                      <w:sz w:val="21"/>
                      <w:szCs w:val="21"/>
                      <w:lang w:val="en-US" w:eastAsia="zh-CN" w:bidi="ar"/>
                    </w:rPr>
                  </w:pPr>
                  <w:r>
                    <w:rPr>
                      <w:rFonts w:hint="eastAsia" w:ascii="Times New Roman" w:hAnsi="Times New Roman" w:eastAsia="宋体" w:cs="宋体"/>
                      <w:color w:val="auto"/>
                      <w:kern w:val="2"/>
                      <w:sz w:val="21"/>
                      <w:szCs w:val="21"/>
                      <w:lang w:val="en-US" w:eastAsia="zh-CN" w:bidi="ar"/>
                    </w:rPr>
                    <w:t>液态</w:t>
                  </w:r>
                </w:p>
              </w:tc>
              <w:tc>
                <w:tcPr>
                  <w:tcW w:w="662" w:type="pct"/>
                  <w:tcBorders>
                    <w:top w:val="single" w:color="auto" w:sz="4" w:space="0"/>
                    <w:bottom w:val="single" w:color="auto" w:sz="4" w:space="0"/>
                  </w:tcBorders>
                  <w:noWrap w:val="0"/>
                  <w:vAlign w:val="center"/>
                </w:tcPr>
                <w:p w14:paraId="66B9BEDC">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矿物质油</w:t>
                  </w:r>
                </w:p>
              </w:tc>
              <w:tc>
                <w:tcPr>
                  <w:tcW w:w="357" w:type="pct"/>
                  <w:tcBorders>
                    <w:top w:val="single" w:color="auto" w:sz="4" w:space="0"/>
                    <w:bottom w:val="single" w:color="auto" w:sz="4" w:space="0"/>
                  </w:tcBorders>
                  <w:noWrap w:val="0"/>
                  <w:vAlign w:val="center"/>
                </w:tcPr>
                <w:p w14:paraId="0FC05AEA">
                  <w:pPr>
                    <w:keepNext w:val="0"/>
                    <w:keepLines w:val="0"/>
                    <w:suppressLineNumbers w:val="0"/>
                    <w:autoSpaceDE w:val="0"/>
                    <w:autoSpaceDN w:val="0"/>
                    <w:adjustRightInd w:val="0"/>
                    <w:snapToGrid w:val="0"/>
                    <w:spacing w:before="0" w:beforeAutospacing="0" w:after="0" w:afterAutospacing="0"/>
                    <w:ind w:left="0" w:right="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T/I</w:t>
                  </w:r>
                </w:p>
              </w:tc>
              <w:tc>
                <w:tcPr>
                  <w:tcW w:w="642" w:type="pct"/>
                  <w:vMerge w:val="continue"/>
                  <w:tcBorders>
                    <w:top w:val="single" w:color="auto" w:sz="4" w:space="0"/>
                    <w:bottom w:val="single" w:color="auto" w:sz="4" w:space="0"/>
                  </w:tcBorders>
                  <w:noWrap w:val="0"/>
                  <w:vAlign w:val="center"/>
                </w:tcPr>
                <w:p w14:paraId="2CFBB95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09" w:type="pct"/>
                  <w:tcBorders>
                    <w:top w:val="single" w:color="auto" w:sz="4" w:space="0"/>
                    <w:bottom w:val="single" w:color="auto" w:sz="4" w:space="0"/>
                  </w:tcBorders>
                  <w:noWrap w:val="0"/>
                  <w:vAlign w:val="center"/>
                </w:tcPr>
                <w:p w14:paraId="43D8F0DF">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0.2</w:t>
                  </w:r>
                </w:p>
              </w:tc>
            </w:tr>
            <w:tr w14:paraId="577FD0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211" w:type="pct"/>
                  <w:tcBorders>
                    <w:top w:val="single" w:color="auto" w:sz="4" w:space="0"/>
                    <w:bottom w:val="single" w:color="auto" w:sz="8" w:space="0"/>
                  </w:tcBorders>
                  <w:noWrap w:val="0"/>
                  <w:vAlign w:val="center"/>
                </w:tcPr>
                <w:p w14:paraId="0052099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549" w:type="pct"/>
                  <w:tcBorders>
                    <w:top w:val="single" w:color="auto" w:sz="4" w:space="0"/>
                    <w:bottom w:val="single" w:color="auto" w:sz="8" w:space="0"/>
                  </w:tcBorders>
                  <w:noWrap w:val="0"/>
                  <w:vAlign w:val="center"/>
                </w:tcPr>
                <w:p w14:paraId="3A9F5EF8">
                  <w:pPr>
                    <w:keepNext w:val="0"/>
                    <w:keepLines w:val="0"/>
                    <w:suppressLineNumbers w:val="0"/>
                    <w:autoSpaceDE w:val="0"/>
                    <w:autoSpaceDN w:val="0"/>
                    <w:adjustRightInd w:val="0"/>
                    <w:snapToGrid w:val="0"/>
                    <w:spacing w:before="0" w:beforeAutospacing="0" w:after="0" w:afterAutospacing="0"/>
                    <w:ind w:left="0" w:right="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废金属屑（含切削液）</w:t>
                  </w:r>
                </w:p>
              </w:tc>
              <w:tc>
                <w:tcPr>
                  <w:tcW w:w="931" w:type="dxa"/>
                  <w:tcBorders>
                    <w:top w:val="single" w:color="auto" w:sz="4" w:space="0"/>
                    <w:bottom w:val="single" w:color="auto" w:sz="8" w:space="0"/>
                  </w:tcBorders>
                  <w:noWrap w:val="0"/>
                  <w:vAlign w:val="center"/>
                </w:tcPr>
                <w:p w14:paraId="3C4DAB61">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HW49</w:t>
                  </w:r>
                </w:p>
              </w:tc>
              <w:tc>
                <w:tcPr>
                  <w:tcW w:w="1157" w:type="dxa"/>
                  <w:tcBorders>
                    <w:top w:val="single" w:color="auto" w:sz="4" w:space="0"/>
                    <w:bottom w:val="single" w:color="auto" w:sz="8" w:space="0"/>
                  </w:tcBorders>
                  <w:noWrap w:val="0"/>
                  <w:vAlign w:val="center"/>
                </w:tcPr>
                <w:p w14:paraId="31AF9EAD">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900-041-49</w:t>
                  </w:r>
                </w:p>
              </w:tc>
              <w:tc>
                <w:tcPr>
                  <w:tcW w:w="531" w:type="pct"/>
                  <w:tcBorders>
                    <w:top w:val="single" w:color="auto" w:sz="4" w:space="0"/>
                    <w:bottom w:val="single" w:color="auto" w:sz="8" w:space="0"/>
                  </w:tcBorders>
                  <w:noWrap w:val="0"/>
                  <w:vAlign w:val="center"/>
                </w:tcPr>
                <w:p w14:paraId="6A62504C">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0.5</w:t>
                  </w:r>
                </w:p>
              </w:tc>
              <w:tc>
                <w:tcPr>
                  <w:tcW w:w="322" w:type="pct"/>
                  <w:tcBorders>
                    <w:top w:val="single" w:color="auto" w:sz="4" w:space="0"/>
                    <w:bottom w:val="single" w:color="auto" w:sz="8" w:space="0"/>
                  </w:tcBorders>
                  <w:noWrap w:val="0"/>
                  <w:vAlign w:val="center"/>
                </w:tcPr>
                <w:p w14:paraId="2973DE1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宋体"/>
                      <w:color w:val="auto"/>
                      <w:kern w:val="2"/>
                      <w:sz w:val="21"/>
                      <w:szCs w:val="21"/>
                      <w:lang w:val="en-US" w:eastAsia="zh-CN" w:bidi="ar"/>
                    </w:rPr>
                  </w:pPr>
                  <w:r>
                    <w:rPr>
                      <w:rFonts w:hint="eastAsia" w:ascii="Times New Roman" w:hAnsi="Times New Roman" w:eastAsia="宋体" w:cs="宋体"/>
                      <w:color w:val="auto"/>
                      <w:kern w:val="2"/>
                      <w:sz w:val="21"/>
                      <w:szCs w:val="21"/>
                      <w:lang w:val="en-US" w:eastAsia="zh-CN" w:bidi="ar"/>
                    </w:rPr>
                    <w:t>固态</w:t>
                  </w:r>
                </w:p>
              </w:tc>
              <w:tc>
                <w:tcPr>
                  <w:tcW w:w="662" w:type="pct"/>
                  <w:tcBorders>
                    <w:top w:val="single" w:color="auto" w:sz="4" w:space="0"/>
                    <w:bottom w:val="single" w:color="auto" w:sz="8" w:space="0"/>
                  </w:tcBorders>
                  <w:noWrap w:val="0"/>
                  <w:vAlign w:val="center"/>
                </w:tcPr>
                <w:p w14:paraId="34EDBE22">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矿物质油</w:t>
                  </w:r>
                </w:p>
              </w:tc>
              <w:tc>
                <w:tcPr>
                  <w:tcW w:w="357" w:type="pct"/>
                  <w:tcBorders>
                    <w:top w:val="single" w:color="auto" w:sz="4" w:space="0"/>
                    <w:bottom w:val="single" w:color="auto" w:sz="8" w:space="0"/>
                  </w:tcBorders>
                  <w:noWrap w:val="0"/>
                  <w:vAlign w:val="center"/>
                </w:tcPr>
                <w:p w14:paraId="2D213B18">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T/In</w:t>
                  </w:r>
                </w:p>
              </w:tc>
              <w:tc>
                <w:tcPr>
                  <w:tcW w:w="642" w:type="pct"/>
                  <w:vMerge w:val="continue"/>
                  <w:tcBorders>
                    <w:top w:val="single" w:color="auto" w:sz="4" w:space="0"/>
                    <w:bottom w:val="single" w:color="auto" w:sz="8" w:space="0"/>
                  </w:tcBorders>
                  <w:noWrap w:val="0"/>
                  <w:vAlign w:val="center"/>
                </w:tcPr>
                <w:p w14:paraId="768F619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09" w:type="pct"/>
                  <w:tcBorders>
                    <w:top w:val="single" w:color="auto" w:sz="4" w:space="0"/>
                    <w:bottom w:val="single" w:color="auto" w:sz="8" w:space="0"/>
                  </w:tcBorders>
                  <w:noWrap w:val="0"/>
                  <w:vAlign w:val="center"/>
                </w:tcPr>
                <w:p w14:paraId="3D5ECEFB">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0.5</w:t>
                  </w:r>
                </w:p>
              </w:tc>
            </w:tr>
          </w:tbl>
          <w:p w14:paraId="07BD74B8">
            <w:pPr>
              <w:keepNext w:val="0"/>
              <w:keepLines w:val="0"/>
              <w:suppressLineNumbers w:val="0"/>
              <w:adjustRightInd w:val="0"/>
              <w:snapToGrid w:val="0"/>
              <w:spacing w:before="0" w:beforeAutospacing="0" w:after="0" w:afterAutospacing="0" w:line="440" w:lineRule="exact"/>
              <w:ind w:left="0" w:right="0"/>
              <w:jc w:val="center"/>
              <w:rPr>
                <w:rFonts w:hint="eastAsia"/>
                <w:sz w:val="24"/>
                <w:lang w:val="en-US" w:eastAsia="zh-CN"/>
              </w:rPr>
            </w:pPr>
            <w:r>
              <w:rPr>
                <w:rFonts w:hint="default" w:ascii="Times New Roman" w:hAnsi="Times New Roman" w:eastAsia="宋体" w:cs="Times New Roman"/>
                <w:b/>
                <w:bCs/>
                <w:color w:val="auto"/>
                <w:sz w:val="24"/>
              </w:rPr>
              <w:t>表</w:t>
            </w:r>
            <w:r>
              <w:rPr>
                <w:rFonts w:hint="eastAsia" w:cs="Times New Roman"/>
                <w:b/>
                <w:bCs/>
                <w:color w:val="auto"/>
                <w:sz w:val="24"/>
                <w:lang w:val="en-US" w:eastAsia="zh-CN"/>
              </w:rPr>
              <w:t>36</w:t>
            </w:r>
            <w:r>
              <w:rPr>
                <w:rFonts w:hint="eastAsia" w:ascii="Times New Roman" w:hAnsi="Times New Roman" w:eastAsia="宋体" w:cs="Times New Roman"/>
                <w:b/>
                <w:bCs/>
                <w:color w:val="auto"/>
                <w:sz w:val="24"/>
                <w:lang w:val="en-US" w:eastAsia="zh-CN"/>
              </w:rPr>
              <w:t xml:space="preserve">  </w:t>
            </w:r>
            <w:r>
              <w:rPr>
                <w:rFonts w:hint="default" w:ascii="Times New Roman" w:hAnsi="Times New Roman" w:eastAsia="宋体" w:cs="Times New Roman"/>
                <w:b/>
                <w:bCs/>
                <w:color w:val="auto"/>
                <w:sz w:val="24"/>
              </w:rPr>
              <w:t>建设项目危险废物贮存场所（设施）基本情况表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1349"/>
              <w:gridCol w:w="1092"/>
              <w:gridCol w:w="970"/>
              <w:gridCol w:w="1268"/>
              <w:gridCol w:w="794"/>
              <w:gridCol w:w="999"/>
              <w:gridCol w:w="782"/>
              <w:gridCol w:w="937"/>
            </w:tblGrid>
            <w:tr w14:paraId="4B7E7FD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 w:type="pct"/>
                  <w:tcBorders>
                    <w:bottom w:val="single" w:color="auto" w:sz="8" w:space="0"/>
                    <w:right w:val="single" w:color="auto" w:sz="4" w:space="0"/>
                  </w:tcBorders>
                  <w:noWrap w:val="0"/>
                  <w:vAlign w:val="center"/>
                </w:tcPr>
                <w:p w14:paraId="05EC051C">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782" w:type="pct"/>
                  <w:tcBorders>
                    <w:left w:val="single" w:color="auto" w:sz="4" w:space="0"/>
                    <w:bottom w:val="single" w:color="auto" w:sz="8" w:space="0"/>
                    <w:right w:val="single" w:color="auto" w:sz="4" w:space="0"/>
                  </w:tcBorders>
                  <w:noWrap w:val="0"/>
                  <w:vAlign w:val="center"/>
                </w:tcPr>
                <w:p w14:paraId="72BAA080">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贮存场所（设施）名称</w:t>
                  </w:r>
                </w:p>
              </w:tc>
              <w:tc>
                <w:tcPr>
                  <w:tcW w:w="633" w:type="pct"/>
                  <w:tcBorders>
                    <w:left w:val="single" w:color="auto" w:sz="4" w:space="0"/>
                    <w:bottom w:val="single" w:color="auto" w:sz="8" w:space="0"/>
                    <w:right w:val="single" w:color="auto" w:sz="4" w:space="0"/>
                  </w:tcBorders>
                  <w:noWrap w:val="0"/>
                  <w:vAlign w:val="center"/>
                </w:tcPr>
                <w:p w14:paraId="4C425787">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w:t>
                  </w:r>
                </w:p>
                <w:p w14:paraId="098B4D07">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562" w:type="pct"/>
                  <w:tcBorders>
                    <w:left w:val="single" w:color="auto" w:sz="4" w:space="0"/>
                    <w:bottom w:val="single" w:color="auto" w:sz="8" w:space="0"/>
                    <w:right w:val="single" w:color="auto" w:sz="4" w:space="0"/>
                  </w:tcBorders>
                  <w:noWrap w:val="0"/>
                  <w:vAlign w:val="center"/>
                </w:tcPr>
                <w:p w14:paraId="7C424D64">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危险废物类别</w:t>
                  </w:r>
                </w:p>
              </w:tc>
              <w:tc>
                <w:tcPr>
                  <w:tcW w:w="735" w:type="pct"/>
                  <w:tcBorders>
                    <w:left w:val="single" w:color="auto" w:sz="4" w:space="0"/>
                    <w:bottom w:val="single" w:color="auto" w:sz="8" w:space="0"/>
                    <w:right w:val="single" w:color="auto" w:sz="4" w:space="0"/>
                  </w:tcBorders>
                  <w:noWrap w:val="0"/>
                  <w:vAlign w:val="center"/>
                </w:tcPr>
                <w:p w14:paraId="29A5FD81">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危险废物代码</w:t>
                  </w:r>
                </w:p>
              </w:tc>
              <w:tc>
                <w:tcPr>
                  <w:tcW w:w="460" w:type="pct"/>
                  <w:tcBorders>
                    <w:left w:val="single" w:color="auto" w:sz="4" w:space="0"/>
                    <w:bottom w:val="single" w:color="auto" w:sz="8" w:space="0"/>
                    <w:right w:val="single" w:color="auto" w:sz="4" w:space="0"/>
                  </w:tcBorders>
                  <w:noWrap w:val="0"/>
                  <w:vAlign w:val="center"/>
                </w:tcPr>
                <w:p w14:paraId="2C35A0F2">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占地面积</w:t>
                  </w:r>
                </w:p>
              </w:tc>
              <w:tc>
                <w:tcPr>
                  <w:tcW w:w="579" w:type="pct"/>
                  <w:tcBorders>
                    <w:left w:val="single" w:color="auto" w:sz="4" w:space="0"/>
                    <w:bottom w:val="single" w:color="auto" w:sz="8" w:space="0"/>
                    <w:right w:val="single" w:color="auto" w:sz="4" w:space="0"/>
                  </w:tcBorders>
                  <w:noWrap w:val="0"/>
                  <w:vAlign w:val="center"/>
                </w:tcPr>
                <w:p w14:paraId="19E00EB2">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贮存</w:t>
                  </w:r>
                </w:p>
                <w:p w14:paraId="218F1A3E">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方式</w:t>
                  </w:r>
                </w:p>
              </w:tc>
              <w:tc>
                <w:tcPr>
                  <w:tcW w:w="453" w:type="pct"/>
                  <w:tcBorders>
                    <w:left w:val="single" w:color="auto" w:sz="4" w:space="0"/>
                    <w:bottom w:val="single" w:color="auto" w:sz="8" w:space="0"/>
                    <w:right w:val="single" w:color="auto" w:sz="4" w:space="0"/>
                  </w:tcBorders>
                  <w:noWrap w:val="0"/>
                  <w:vAlign w:val="center"/>
                </w:tcPr>
                <w:p w14:paraId="2161D515">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贮存</w:t>
                  </w:r>
                </w:p>
                <w:p w14:paraId="12D5146C">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能力</w:t>
                  </w:r>
                </w:p>
              </w:tc>
              <w:tc>
                <w:tcPr>
                  <w:tcW w:w="543" w:type="pct"/>
                  <w:tcBorders>
                    <w:left w:val="single" w:color="auto" w:sz="4" w:space="0"/>
                    <w:bottom w:val="single" w:color="auto" w:sz="8" w:space="0"/>
                  </w:tcBorders>
                  <w:noWrap w:val="0"/>
                  <w:vAlign w:val="center"/>
                </w:tcPr>
                <w:p w14:paraId="4025035B">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贮存</w:t>
                  </w:r>
                </w:p>
                <w:p w14:paraId="5090D7CD">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周期</w:t>
                  </w:r>
                </w:p>
              </w:tc>
            </w:tr>
            <w:tr w14:paraId="11CE4C9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 w:type="pct"/>
                  <w:tcBorders>
                    <w:top w:val="single" w:color="auto" w:sz="8" w:space="0"/>
                    <w:bottom w:val="single" w:color="auto" w:sz="4" w:space="0"/>
                  </w:tcBorders>
                  <w:noWrap w:val="0"/>
                  <w:vAlign w:val="center"/>
                </w:tcPr>
                <w:p w14:paraId="5FB11865">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82" w:type="pct"/>
                  <w:vMerge w:val="restart"/>
                  <w:tcBorders>
                    <w:top w:val="single" w:color="auto" w:sz="8" w:space="0"/>
                    <w:bottom w:val="single" w:color="auto" w:sz="4" w:space="0"/>
                  </w:tcBorders>
                  <w:noWrap w:val="0"/>
                  <w:vAlign w:val="center"/>
                </w:tcPr>
                <w:p w14:paraId="3466263B">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危废暂存间</w:t>
                  </w:r>
                </w:p>
              </w:tc>
              <w:tc>
                <w:tcPr>
                  <w:tcW w:w="633" w:type="pct"/>
                  <w:tcBorders>
                    <w:top w:val="single" w:color="auto" w:sz="8" w:space="0"/>
                    <w:bottom w:val="single" w:color="auto" w:sz="4" w:space="0"/>
                  </w:tcBorders>
                  <w:noWrap w:val="0"/>
                  <w:vAlign w:val="center"/>
                </w:tcPr>
                <w:p w14:paraId="0BCC7A00">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eastAsia" w:cs="Times New Roman"/>
                      <w:b w:val="0"/>
                      <w:bCs w:val="0"/>
                      <w:color w:val="auto"/>
                      <w:sz w:val="21"/>
                      <w:szCs w:val="21"/>
                      <w:lang w:val="en-US" w:eastAsia="zh-CN"/>
                    </w:rPr>
                    <w:t>废包装桶</w:t>
                  </w:r>
                </w:p>
              </w:tc>
              <w:tc>
                <w:tcPr>
                  <w:tcW w:w="562" w:type="pct"/>
                  <w:tcBorders>
                    <w:top w:val="single" w:color="auto" w:sz="8" w:space="0"/>
                    <w:bottom w:val="single" w:color="auto" w:sz="4" w:space="0"/>
                  </w:tcBorders>
                  <w:noWrap w:val="0"/>
                  <w:vAlign w:val="center"/>
                </w:tcPr>
                <w:p w14:paraId="6C8EDE8E">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b w:val="0"/>
                      <w:bCs w:val="0"/>
                      <w:color w:val="auto"/>
                      <w:sz w:val="21"/>
                      <w:szCs w:val="21"/>
                    </w:rPr>
                    <w:t>HW49</w:t>
                  </w:r>
                </w:p>
              </w:tc>
              <w:tc>
                <w:tcPr>
                  <w:tcW w:w="735" w:type="pct"/>
                  <w:tcBorders>
                    <w:top w:val="single" w:color="auto" w:sz="8" w:space="0"/>
                    <w:bottom w:val="single" w:color="auto" w:sz="4" w:space="0"/>
                  </w:tcBorders>
                  <w:noWrap w:val="0"/>
                  <w:vAlign w:val="center"/>
                </w:tcPr>
                <w:p w14:paraId="144F25DB">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b w:val="0"/>
                      <w:bCs w:val="0"/>
                      <w:color w:val="auto"/>
                      <w:sz w:val="21"/>
                      <w:szCs w:val="21"/>
                    </w:rPr>
                    <w:t>900-041-49</w:t>
                  </w:r>
                </w:p>
              </w:tc>
              <w:tc>
                <w:tcPr>
                  <w:tcW w:w="460" w:type="pct"/>
                  <w:vMerge w:val="restart"/>
                  <w:tcBorders>
                    <w:top w:val="single" w:color="auto" w:sz="8" w:space="0"/>
                    <w:bottom w:val="single" w:color="auto" w:sz="4" w:space="0"/>
                  </w:tcBorders>
                  <w:noWrap w:val="0"/>
                  <w:vAlign w:val="center"/>
                </w:tcPr>
                <w:p w14:paraId="45787459">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10</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2</w:t>
                  </w:r>
                </w:p>
              </w:tc>
              <w:tc>
                <w:tcPr>
                  <w:tcW w:w="579" w:type="pct"/>
                  <w:tcBorders>
                    <w:top w:val="single" w:color="auto" w:sz="8" w:space="0"/>
                    <w:bottom w:val="single" w:color="auto" w:sz="4" w:space="0"/>
                  </w:tcBorders>
                  <w:noWrap w:val="0"/>
                  <w:vAlign w:val="center"/>
                </w:tcPr>
                <w:p w14:paraId="6CE7A80D">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原包装加盖</w:t>
                  </w:r>
                </w:p>
              </w:tc>
              <w:tc>
                <w:tcPr>
                  <w:tcW w:w="453" w:type="pct"/>
                  <w:vMerge w:val="restart"/>
                  <w:tcBorders>
                    <w:top w:val="single" w:color="auto" w:sz="8" w:space="0"/>
                    <w:bottom w:val="single" w:color="auto" w:sz="4" w:space="0"/>
                  </w:tcBorders>
                  <w:noWrap w:val="0"/>
                  <w:vAlign w:val="center"/>
                </w:tcPr>
                <w:p w14:paraId="257D628A">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10</w:t>
                  </w:r>
                  <w:r>
                    <w:rPr>
                      <w:rFonts w:hint="eastAsia" w:ascii="Times New Roman" w:hAnsi="Times New Roman" w:eastAsia="宋体" w:cs="Times New Roman"/>
                      <w:color w:val="auto"/>
                      <w:sz w:val="21"/>
                      <w:szCs w:val="21"/>
                      <w:lang w:val="en-US" w:eastAsia="zh-CN"/>
                    </w:rPr>
                    <w:t>t</w:t>
                  </w:r>
                </w:p>
              </w:tc>
              <w:tc>
                <w:tcPr>
                  <w:tcW w:w="543" w:type="pct"/>
                  <w:tcBorders>
                    <w:top w:val="single" w:color="auto" w:sz="8" w:space="0"/>
                    <w:bottom w:val="single" w:color="auto" w:sz="4" w:space="0"/>
                  </w:tcBorders>
                  <w:noWrap w:val="0"/>
                  <w:vAlign w:val="center"/>
                </w:tcPr>
                <w:p w14:paraId="73BF6784">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≤1年</w:t>
                  </w:r>
                </w:p>
              </w:tc>
            </w:tr>
            <w:tr w14:paraId="0AF4F3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 w:type="pct"/>
                  <w:tcBorders>
                    <w:top w:val="single" w:color="auto" w:sz="4" w:space="0"/>
                    <w:bottom w:val="single" w:color="auto" w:sz="4" w:space="0"/>
                  </w:tcBorders>
                  <w:noWrap w:val="0"/>
                  <w:vAlign w:val="center"/>
                </w:tcPr>
                <w:p w14:paraId="365B205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782" w:type="pct"/>
                  <w:vMerge w:val="continue"/>
                  <w:tcBorders>
                    <w:top w:val="single" w:color="auto" w:sz="4" w:space="0"/>
                    <w:bottom w:val="single" w:color="auto" w:sz="4" w:space="0"/>
                  </w:tcBorders>
                  <w:noWrap w:val="0"/>
                  <w:vAlign w:val="center"/>
                </w:tcPr>
                <w:p w14:paraId="760FA45E">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p>
              </w:tc>
              <w:tc>
                <w:tcPr>
                  <w:tcW w:w="633" w:type="pct"/>
                  <w:tcBorders>
                    <w:top w:val="single" w:color="auto" w:sz="4" w:space="0"/>
                    <w:bottom w:val="single" w:color="auto" w:sz="4" w:space="0"/>
                  </w:tcBorders>
                  <w:noWrap w:val="0"/>
                  <w:vAlign w:val="center"/>
                </w:tcPr>
                <w:p w14:paraId="151ED4EF">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废机油</w:t>
                  </w:r>
                </w:p>
              </w:tc>
              <w:tc>
                <w:tcPr>
                  <w:tcW w:w="562" w:type="pct"/>
                  <w:tcBorders>
                    <w:top w:val="single" w:color="auto" w:sz="4" w:space="0"/>
                    <w:bottom w:val="single" w:color="auto" w:sz="4" w:space="0"/>
                  </w:tcBorders>
                  <w:noWrap w:val="0"/>
                  <w:vAlign w:val="center"/>
                </w:tcPr>
                <w:p w14:paraId="30226280">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HW08</w:t>
                  </w:r>
                </w:p>
              </w:tc>
              <w:tc>
                <w:tcPr>
                  <w:tcW w:w="735" w:type="pct"/>
                  <w:tcBorders>
                    <w:top w:val="single" w:color="auto" w:sz="4" w:space="0"/>
                    <w:bottom w:val="single" w:color="auto" w:sz="4" w:space="0"/>
                  </w:tcBorders>
                  <w:noWrap w:val="0"/>
                  <w:vAlign w:val="center"/>
                </w:tcPr>
                <w:p w14:paraId="1C09EA92">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900-214-08</w:t>
                  </w:r>
                </w:p>
              </w:tc>
              <w:tc>
                <w:tcPr>
                  <w:tcW w:w="460" w:type="pct"/>
                  <w:vMerge w:val="continue"/>
                  <w:tcBorders>
                    <w:top w:val="single" w:color="auto" w:sz="4" w:space="0"/>
                    <w:bottom w:val="single" w:color="auto" w:sz="4" w:space="0"/>
                  </w:tcBorders>
                  <w:noWrap w:val="0"/>
                  <w:vAlign w:val="center"/>
                </w:tcPr>
                <w:p w14:paraId="5302B7C1">
                  <w:pPr>
                    <w:keepNext w:val="0"/>
                    <w:keepLines w:val="0"/>
                    <w:suppressLineNumbers w:val="0"/>
                    <w:snapToGrid w:val="0"/>
                    <w:spacing w:before="0" w:beforeAutospacing="0" w:after="0" w:afterAutospacing="0"/>
                    <w:ind w:left="0" w:leftChars="0" w:right="0" w:rightChars="0"/>
                    <w:jc w:val="center"/>
                    <w:rPr>
                      <w:rFonts w:hint="eastAsia" w:cs="Times New Roman"/>
                      <w:color w:val="auto"/>
                      <w:sz w:val="21"/>
                      <w:szCs w:val="21"/>
                      <w:lang w:val="en-US" w:eastAsia="zh-CN"/>
                    </w:rPr>
                  </w:pPr>
                </w:p>
              </w:tc>
              <w:tc>
                <w:tcPr>
                  <w:tcW w:w="579" w:type="pct"/>
                  <w:tcBorders>
                    <w:top w:val="single" w:color="auto" w:sz="4" w:space="0"/>
                    <w:bottom w:val="single" w:color="auto" w:sz="4" w:space="0"/>
                  </w:tcBorders>
                  <w:noWrap w:val="0"/>
                  <w:vAlign w:val="center"/>
                </w:tcPr>
                <w:p w14:paraId="2D6AB12F">
                  <w:pPr>
                    <w:keepNext w:val="0"/>
                    <w:keepLines w:val="0"/>
                    <w:suppressLineNumbers w:val="0"/>
                    <w:snapToGrid w:val="0"/>
                    <w:spacing w:before="0" w:beforeAutospacing="0" w:after="0" w:afterAutospacing="0"/>
                    <w:ind w:left="0" w:leftChars="0" w:right="0" w:rightChars="0"/>
                    <w:jc w:val="center"/>
                    <w:rPr>
                      <w:rFonts w:hint="default" w:cs="Times New Roman"/>
                      <w:color w:val="auto"/>
                      <w:sz w:val="21"/>
                      <w:szCs w:val="21"/>
                      <w:lang w:val="en-US" w:eastAsia="zh-CN"/>
                    </w:rPr>
                  </w:pPr>
                  <w:r>
                    <w:rPr>
                      <w:rFonts w:hint="eastAsia" w:cs="Times New Roman"/>
                      <w:color w:val="auto"/>
                      <w:sz w:val="21"/>
                      <w:szCs w:val="21"/>
                      <w:lang w:val="en-US" w:eastAsia="zh-CN"/>
                    </w:rPr>
                    <w:t>密闭桶装</w:t>
                  </w:r>
                </w:p>
              </w:tc>
              <w:tc>
                <w:tcPr>
                  <w:tcW w:w="453" w:type="pct"/>
                  <w:vMerge w:val="continue"/>
                  <w:tcBorders>
                    <w:top w:val="single" w:color="auto" w:sz="4" w:space="0"/>
                    <w:bottom w:val="single" w:color="auto" w:sz="4" w:space="0"/>
                  </w:tcBorders>
                  <w:noWrap w:val="0"/>
                  <w:vAlign w:val="center"/>
                </w:tcPr>
                <w:p w14:paraId="5FC209E6">
                  <w:pPr>
                    <w:keepNext w:val="0"/>
                    <w:keepLines w:val="0"/>
                    <w:suppressLineNumbers w:val="0"/>
                    <w:snapToGrid w:val="0"/>
                    <w:spacing w:before="0" w:beforeAutospacing="0" w:after="0" w:afterAutospacing="0"/>
                    <w:ind w:left="0" w:leftChars="0" w:right="0" w:rightChars="0"/>
                    <w:jc w:val="center"/>
                    <w:rPr>
                      <w:rFonts w:hint="eastAsia" w:cs="Times New Roman"/>
                      <w:color w:val="auto"/>
                      <w:sz w:val="21"/>
                      <w:szCs w:val="21"/>
                      <w:lang w:val="en-US" w:eastAsia="zh-CN"/>
                    </w:rPr>
                  </w:pPr>
                </w:p>
              </w:tc>
              <w:tc>
                <w:tcPr>
                  <w:tcW w:w="543" w:type="pct"/>
                  <w:tcBorders>
                    <w:top w:val="single" w:color="auto" w:sz="4" w:space="0"/>
                    <w:bottom w:val="single" w:color="auto" w:sz="4" w:space="0"/>
                  </w:tcBorders>
                  <w:noWrap w:val="0"/>
                  <w:vAlign w:val="center"/>
                </w:tcPr>
                <w:p w14:paraId="2B86E058">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≤1年</w:t>
                  </w:r>
                </w:p>
              </w:tc>
            </w:tr>
            <w:tr w14:paraId="7A783C2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 w:type="pct"/>
                  <w:tcBorders>
                    <w:top w:val="single" w:color="auto" w:sz="4" w:space="0"/>
                    <w:bottom w:val="single" w:color="auto" w:sz="8" w:space="0"/>
                  </w:tcBorders>
                  <w:noWrap w:val="0"/>
                  <w:vAlign w:val="center"/>
                </w:tcPr>
                <w:p w14:paraId="1DE7422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782" w:type="pct"/>
                  <w:vMerge w:val="continue"/>
                  <w:tcBorders>
                    <w:top w:val="single" w:color="auto" w:sz="4" w:space="0"/>
                    <w:bottom w:val="single" w:color="auto" w:sz="8" w:space="0"/>
                  </w:tcBorders>
                  <w:noWrap w:val="0"/>
                  <w:vAlign w:val="center"/>
                </w:tcPr>
                <w:p w14:paraId="6DEAA8BF">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lang w:val="en-US" w:eastAsia="zh-CN"/>
                    </w:rPr>
                  </w:pPr>
                </w:p>
              </w:tc>
              <w:tc>
                <w:tcPr>
                  <w:tcW w:w="633" w:type="pct"/>
                  <w:tcBorders>
                    <w:top w:val="single" w:color="auto" w:sz="4" w:space="0"/>
                    <w:bottom w:val="single" w:color="auto" w:sz="8" w:space="0"/>
                  </w:tcBorders>
                  <w:noWrap w:val="0"/>
                  <w:vAlign w:val="center"/>
                </w:tcPr>
                <w:p w14:paraId="1D03D7DA">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废金属屑（含切削液）</w:t>
                  </w:r>
                </w:p>
              </w:tc>
              <w:tc>
                <w:tcPr>
                  <w:tcW w:w="970" w:type="dxa"/>
                  <w:tcBorders>
                    <w:top w:val="single" w:color="auto" w:sz="4" w:space="0"/>
                    <w:bottom w:val="single" w:color="auto" w:sz="8" w:space="0"/>
                  </w:tcBorders>
                  <w:noWrap w:val="0"/>
                  <w:vAlign w:val="center"/>
                </w:tcPr>
                <w:p w14:paraId="192ACDA1">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HW49</w:t>
                  </w:r>
                </w:p>
              </w:tc>
              <w:tc>
                <w:tcPr>
                  <w:tcW w:w="1268" w:type="dxa"/>
                  <w:tcBorders>
                    <w:top w:val="single" w:color="auto" w:sz="4" w:space="0"/>
                    <w:bottom w:val="single" w:color="auto" w:sz="8" w:space="0"/>
                  </w:tcBorders>
                  <w:noWrap w:val="0"/>
                  <w:vAlign w:val="center"/>
                </w:tcPr>
                <w:p w14:paraId="0CE0E5B0">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900-041-49</w:t>
                  </w:r>
                </w:p>
              </w:tc>
              <w:tc>
                <w:tcPr>
                  <w:tcW w:w="460" w:type="pct"/>
                  <w:vMerge w:val="continue"/>
                  <w:tcBorders>
                    <w:top w:val="single" w:color="auto" w:sz="4" w:space="0"/>
                    <w:bottom w:val="single" w:color="auto" w:sz="8" w:space="0"/>
                  </w:tcBorders>
                  <w:noWrap w:val="0"/>
                  <w:vAlign w:val="center"/>
                </w:tcPr>
                <w:p w14:paraId="1121FACE">
                  <w:pPr>
                    <w:keepNext w:val="0"/>
                    <w:keepLines w:val="0"/>
                    <w:suppressLineNumbers w:val="0"/>
                    <w:snapToGrid w:val="0"/>
                    <w:spacing w:before="0" w:beforeAutospacing="0" w:after="0" w:afterAutospacing="0"/>
                    <w:ind w:left="0" w:leftChars="0" w:right="0" w:rightChars="0"/>
                    <w:jc w:val="center"/>
                    <w:rPr>
                      <w:rFonts w:hint="eastAsia" w:cs="Times New Roman"/>
                      <w:color w:val="auto"/>
                      <w:sz w:val="21"/>
                      <w:szCs w:val="21"/>
                      <w:lang w:val="en-US" w:eastAsia="zh-CN"/>
                    </w:rPr>
                  </w:pPr>
                </w:p>
              </w:tc>
              <w:tc>
                <w:tcPr>
                  <w:tcW w:w="579" w:type="pct"/>
                  <w:tcBorders>
                    <w:top w:val="single" w:color="auto" w:sz="4" w:space="0"/>
                    <w:bottom w:val="single" w:color="auto" w:sz="8" w:space="0"/>
                  </w:tcBorders>
                  <w:noWrap w:val="0"/>
                  <w:vAlign w:val="center"/>
                </w:tcPr>
                <w:p w14:paraId="238C5F37">
                  <w:pPr>
                    <w:keepNext w:val="0"/>
                    <w:keepLines w:val="0"/>
                    <w:suppressLineNumbers w:val="0"/>
                    <w:snapToGrid w:val="0"/>
                    <w:spacing w:before="0" w:beforeAutospacing="0" w:after="0" w:afterAutospacing="0"/>
                    <w:ind w:left="0" w:leftChars="0" w:right="0" w:rightChars="0"/>
                    <w:jc w:val="center"/>
                    <w:rPr>
                      <w:rFonts w:hint="default" w:cs="Times New Roman"/>
                      <w:color w:val="auto"/>
                      <w:sz w:val="21"/>
                      <w:szCs w:val="21"/>
                      <w:lang w:val="en-US" w:eastAsia="zh-CN"/>
                    </w:rPr>
                  </w:pPr>
                  <w:r>
                    <w:rPr>
                      <w:rFonts w:hint="eastAsia" w:cs="Times New Roman"/>
                      <w:color w:val="auto"/>
                      <w:sz w:val="21"/>
                      <w:szCs w:val="21"/>
                      <w:lang w:val="en-US" w:eastAsia="zh-CN"/>
                    </w:rPr>
                    <w:t>密闭桶装</w:t>
                  </w:r>
                </w:p>
              </w:tc>
              <w:tc>
                <w:tcPr>
                  <w:tcW w:w="453" w:type="pct"/>
                  <w:vMerge w:val="continue"/>
                  <w:tcBorders>
                    <w:top w:val="single" w:color="auto" w:sz="4" w:space="0"/>
                    <w:bottom w:val="single" w:color="auto" w:sz="8" w:space="0"/>
                  </w:tcBorders>
                  <w:noWrap w:val="0"/>
                  <w:vAlign w:val="center"/>
                </w:tcPr>
                <w:p w14:paraId="2EB0F9BC">
                  <w:pPr>
                    <w:keepNext w:val="0"/>
                    <w:keepLines w:val="0"/>
                    <w:suppressLineNumbers w:val="0"/>
                    <w:snapToGrid w:val="0"/>
                    <w:spacing w:before="0" w:beforeAutospacing="0" w:after="0" w:afterAutospacing="0"/>
                    <w:ind w:left="0" w:leftChars="0" w:right="0" w:rightChars="0"/>
                    <w:jc w:val="center"/>
                    <w:rPr>
                      <w:rFonts w:hint="eastAsia" w:cs="Times New Roman"/>
                      <w:color w:val="auto"/>
                      <w:sz w:val="21"/>
                      <w:szCs w:val="21"/>
                      <w:lang w:val="en-US" w:eastAsia="zh-CN"/>
                    </w:rPr>
                  </w:pPr>
                </w:p>
              </w:tc>
              <w:tc>
                <w:tcPr>
                  <w:tcW w:w="543" w:type="pct"/>
                  <w:tcBorders>
                    <w:top w:val="single" w:color="auto" w:sz="4" w:space="0"/>
                    <w:bottom w:val="single" w:color="auto" w:sz="8" w:space="0"/>
                  </w:tcBorders>
                  <w:noWrap w:val="0"/>
                  <w:vAlign w:val="center"/>
                </w:tcPr>
                <w:p w14:paraId="710BC003">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≤1年</w:t>
                  </w:r>
                </w:p>
              </w:tc>
            </w:tr>
          </w:tbl>
          <w:p w14:paraId="363DB157">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本项目危险废物暂存间（建筑面积10m</w:t>
            </w:r>
            <w:r>
              <w:rPr>
                <w:rFonts w:hint="eastAsia"/>
                <w:sz w:val="24"/>
                <w:vertAlign w:val="superscript"/>
                <w:lang w:val="en-US" w:eastAsia="zh-CN"/>
              </w:rPr>
              <w:t>2</w:t>
            </w:r>
            <w:r>
              <w:rPr>
                <w:rFonts w:hint="eastAsia"/>
                <w:sz w:val="24"/>
                <w:lang w:val="en-US" w:eastAsia="zh-CN"/>
              </w:rPr>
              <w:t>），按照《危险废物贮存污染控制标准》（GB 18597-2023）规定进行建设：</w:t>
            </w:r>
          </w:p>
          <w:p w14:paraId="3831D686">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A、危废暂存间按《危险废物识别标志设置技术规范》（HJ 1276-2022）的规定设置危险废物贮存设施或场所标志、危险废物贮存分区标志和危险废物标签等危险废物识别标志；</w:t>
            </w:r>
          </w:p>
          <w:p w14:paraId="66FA53DA">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B、危废暂存间配备通讯设备、照明设施、安全防护服装及工具，并设有应急防护设施；</w:t>
            </w:r>
          </w:p>
          <w:p w14:paraId="5046CC32">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C、危险废物收集后设置分装于专门的容器内，危废贮存设施内清理出来的泄漏物，一律按危险废物处理；</w:t>
            </w:r>
          </w:p>
          <w:p w14:paraId="31F0B056">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D、危险废物暂存场地应防风、防晒、防雨、防漏、防渗、防腐以及其他环境污染防治措施，不露天堆放危险废物；</w:t>
            </w:r>
          </w:p>
          <w:p w14:paraId="1CFEA9F2">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E、危险废物贮存过程产生的液态废物和固态废物应分类收集，按其环境管理要求妥善处理；</w:t>
            </w:r>
          </w:p>
          <w:p w14:paraId="60383D72">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F、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sz w:val="24"/>
                <w:vertAlign w:val="superscript"/>
                <w:lang w:val="en-US" w:eastAsia="zh-CN"/>
              </w:rPr>
              <w:t>-7</w:t>
            </w:r>
            <w:r>
              <w:rPr>
                <w:rFonts w:hint="eastAsia"/>
                <w:sz w:val="24"/>
                <w:lang w:val="en-US" w:eastAsia="zh-CN"/>
              </w:rPr>
              <w:t>cm/s），或至少2mm厚高密度聚乙烯膜等人工防渗材料（渗透系数不大于10</w:t>
            </w:r>
            <w:r>
              <w:rPr>
                <w:rFonts w:hint="eastAsia"/>
                <w:sz w:val="24"/>
                <w:vertAlign w:val="superscript"/>
                <w:lang w:val="en-US" w:eastAsia="zh-CN"/>
              </w:rPr>
              <w:t>-10</w:t>
            </w:r>
            <w:r>
              <w:rPr>
                <w:rFonts w:hint="eastAsia"/>
                <w:sz w:val="24"/>
                <w:lang w:val="en-US" w:eastAsia="zh-CN"/>
              </w:rPr>
              <w:t>cm/s），或其他防渗性能等效的材料；</w:t>
            </w:r>
          </w:p>
          <w:p w14:paraId="3B3BE9FD">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G、危险废物的日常管理要求按照《危险废物收集贮存运输技术规范》（HJ2025-2012）的有关规定执行，定期外运至有资质单位安全处置；</w:t>
            </w:r>
          </w:p>
          <w:p w14:paraId="2FAA4AB1">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H、制定危废管理制度、应急预案、培训计划、年度管理计划，定期进行应急演练、培训，并及时送环保局备案；</w:t>
            </w:r>
          </w:p>
          <w:p w14:paraId="2DD384D7">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I、做好危险废物情况的记录，记录上须注明危险废物的名称、来源、数量、特性、入库日期、废物出库日期及接收单位名称。危险废物的记录和货单在危险废物回取后应继续保留五年。</w:t>
            </w:r>
          </w:p>
          <w:p w14:paraId="27EDABE9">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J、危险废物暂存仓库地面、裙脚要用坚固、防渗的材料建造，建筑材料必须与危险废物相容，衬里能够覆盖危险废物可能涉及到的范围，衬里材料与堆放危险废物相容。</w:t>
            </w:r>
          </w:p>
          <w:p w14:paraId="714B1C2C">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K、定期检查危险废物的贮存状况，及时清理贮存设施地面，更换破损泄漏的危险废物贮存容器和包装物，保证堆存危险废物的防雨、防风、防扬尘等设施功能完好。</w:t>
            </w:r>
          </w:p>
          <w:p w14:paraId="762CE9CB">
            <w:pPr>
              <w:keepNext w:val="0"/>
              <w:keepLines w:val="0"/>
              <w:widowControl/>
              <w:suppressLineNumbers w:val="0"/>
              <w:spacing w:before="0" w:beforeAutospacing="0" w:after="0" w:afterAutospacing="0" w:line="440" w:lineRule="exact"/>
              <w:ind w:left="0" w:right="0" w:firstLine="480" w:firstLineChars="200"/>
              <w:jc w:val="both"/>
              <w:rPr>
                <w:rFonts w:hint="eastAsia"/>
                <w:sz w:val="24"/>
                <w:highlight w:val="none"/>
                <w:lang w:val="en-US" w:eastAsia="zh-CN"/>
              </w:rPr>
            </w:pPr>
            <w:r>
              <w:rPr>
                <w:rFonts w:hint="eastAsia"/>
                <w:sz w:val="24"/>
                <w:lang w:val="en-US" w:eastAsia="zh-CN"/>
              </w:rPr>
              <w:t>综上所述，项目产生的固体废物均能得到妥善的处理和处置，不会对周围环境造成二次污染</w:t>
            </w:r>
            <w:r>
              <w:rPr>
                <w:rFonts w:hint="default" w:ascii="Times New Roman" w:hAnsi="Times New Roman" w:eastAsia="宋体" w:cs="Times New Roman"/>
                <w:sz w:val="24"/>
                <w:lang w:val="zh-CN"/>
              </w:rPr>
              <w:t>。</w:t>
            </w:r>
          </w:p>
          <w:p w14:paraId="20879EE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left"/>
              <w:textAlignment w:val="auto"/>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五、</w:t>
            </w:r>
            <w:r>
              <w:rPr>
                <w:rFonts w:hint="eastAsia" w:ascii="宋体" w:hAnsi="宋体" w:cs="宋体"/>
                <w:b/>
                <w:bCs/>
                <w:sz w:val="24"/>
                <w:szCs w:val="24"/>
                <w:lang w:val="en-US" w:eastAsia="zh-CN"/>
              </w:rPr>
              <w:t>地下水、土壤</w:t>
            </w:r>
          </w:p>
          <w:p w14:paraId="0F4267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根据《建设项目环境影响报告表编制技术指南(污染影响类)(试行)》原则上不开展地下水和土壤环境质量现状调查。本项目不存在土壤、地下水环境污染途径。因此不进行地下水、土壤质量现状调查。</w:t>
            </w:r>
          </w:p>
          <w:p w14:paraId="067479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eastAsia"/>
                <w:b/>
                <w:bCs/>
                <w:lang w:val="en-US" w:eastAsia="zh-CN"/>
              </w:rPr>
            </w:pPr>
            <w:r>
              <w:rPr>
                <w:rFonts w:hint="eastAsia"/>
                <w:b/>
                <w:bCs/>
                <w:lang w:val="en-US" w:eastAsia="zh-CN"/>
              </w:rPr>
              <w:t>六、生态</w:t>
            </w:r>
          </w:p>
          <w:p w14:paraId="61A557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rPr>
            </w:pPr>
            <w:r>
              <w:rPr>
                <w:rFonts w:hint="default"/>
              </w:rPr>
              <w:t>本项目位于</w:t>
            </w:r>
            <w:r>
              <w:rPr>
                <w:rFonts w:hint="eastAsia" w:cs="Times New Roman"/>
                <w:color w:val="auto"/>
                <w:sz w:val="24"/>
                <w:szCs w:val="24"/>
                <w:lang w:val="en-US" w:eastAsia="zh-CN"/>
              </w:rPr>
              <w:t>河南省新乡市新乡县中央大道兴隆路交叉路口西南角处</w:t>
            </w:r>
            <w:r>
              <w:rPr>
                <w:rFonts w:hint="eastAsia"/>
              </w:rPr>
              <w:t>，</w:t>
            </w:r>
            <w:r>
              <w:rPr>
                <w:rFonts w:hint="default"/>
              </w:rPr>
              <w:t>项目周围500m范围内无重点保护的野生动植物、风景名胜区、自然保护区及文化遗产等特殊保护目标</w:t>
            </w:r>
            <w:r>
              <w:rPr>
                <w:rFonts w:hint="eastAsia"/>
                <w:lang w:eastAsia="zh-CN"/>
              </w:rPr>
              <w:t>，</w:t>
            </w:r>
            <w:r>
              <w:rPr>
                <w:rFonts w:hint="eastAsia"/>
              </w:rPr>
              <w:t>因此不再对生态进行分析。</w:t>
            </w:r>
          </w:p>
          <w:p w14:paraId="7C2C05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b/>
                <w:bCs/>
                <w:lang w:val="en-US" w:eastAsia="zh-CN"/>
              </w:rPr>
            </w:pPr>
            <w:r>
              <w:rPr>
                <w:rFonts w:hint="eastAsia"/>
                <w:b/>
                <w:bCs/>
                <w:lang w:val="en-US" w:eastAsia="zh-CN"/>
              </w:rPr>
              <w:t>七、环境风险</w:t>
            </w:r>
          </w:p>
          <w:p w14:paraId="04BF7A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sz w:val="24"/>
              </w:rPr>
            </w:pPr>
            <w:r>
              <w:rPr>
                <w:rFonts w:hint="default"/>
                <w:sz w:val="24"/>
              </w:rPr>
              <w:t>经查阅《建设项目环境风险评价技术导则》（HJ169-2018）附录B和《企业突发环境事件风险分级方法》（HJ941-2018）附录A</w:t>
            </w:r>
            <w:r>
              <w:rPr>
                <w:rFonts w:hint="eastAsia"/>
                <w:sz w:val="24"/>
                <w:lang w:eastAsia="zh-CN"/>
              </w:rPr>
              <w:t>可知</w:t>
            </w:r>
            <w:r>
              <w:rPr>
                <w:rFonts w:hint="default"/>
                <w:sz w:val="24"/>
              </w:rPr>
              <w:t>，</w:t>
            </w:r>
            <w:r>
              <w:rPr>
                <w:rFonts w:hint="eastAsia"/>
                <w:sz w:val="24"/>
                <w:lang w:eastAsia="zh-CN"/>
              </w:rPr>
              <w:t>本项目涉及的风险物质为</w:t>
            </w:r>
            <w:r>
              <w:rPr>
                <w:rFonts w:hint="eastAsia"/>
                <w:sz w:val="24"/>
                <w:lang w:val="en-US" w:eastAsia="zh-CN"/>
              </w:rPr>
              <w:t>机</w:t>
            </w:r>
            <w:r>
              <w:rPr>
                <w:rFonts w:hint="eastAsia"/>
                <w:sz w:val="24"/>
                <w:lang w:eastAsia="zh-CN"/>
              </w:rPr>
              <w:t>油。</w:t>
            </w:r>
            <w:r>
              <w:rPr>
                <w:rFonts w:hint="default"/>
                <w:sz w:val="24"/>
              </w:rPr>
              <w:t>风险源为风险物质储存区</w:t>
            </w:r>
            <w:r>
              <w:rPr>
                <w:rFonts w:hint="eastAsia"/>
                <w:sz w:val="24"/>
                <w:lang w:eastAsia="zh-CN"/>
              </w:rPr>
              <w:t>、</w:t>
            </w:r>
            <w:r>
              <w:rPr>
                <w:rFonts w:hint="default"/>
                <w:sz w:val="24"/>
              </w:rPr>
              <w:t>危废暂存间等。本次风险评价通过认识本项目的风险程度、危险环节和事故后果影响大小，从中提高风险管理的意识，采取必要的防范措施以减少环境危害，并提出事故应急措施和预案，达到安全生产、发展经济的目的。</w:t>
            </w:r>
          </w:p>
          <w:p w14:paraId="7937AC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sz w:val="24"/>
              </w:rPr>
            </w:pPr>
            <w:r>
              <w:rPr>
                <w:rFonts w:hint="default"/>
                <w:sz w:val="24"/>
              </w:rPr>
              <w:t>一、风险调查</w:t>
            </w:r>
          </w:p>
          <w:p w14:paraId="6032A5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sz w:val="24"/>
              </w:rPr>
            </w:pPr>
            <w:r>
              <w:rPr>
                <w:rFonts w:hint="default"/>
                <w:sz w:val="24"/>
              </w:rPr>
              <w:t>根据原辅材料、工艺流程、设备及其污染物产排分析，本项目各风险物质最大储存量见下表。</w:t>
            </w:r>
          </w:p>
          <w:p w14:paraId="3259AA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表</w:t>
            </w:r>
            <w:r>
              <w:rPr>
                <w:rFonts w:hint="eastAsia" w:ascii="Times New Roman" w:hAnsi="Times New Roman" w:eastAsia="宋体" w:cs="Times New Roman"/>
                <w:b/>
                <w:bCs/>
                <w:sz w:val="24"/>
                <w:lang w:val="en-US" w:eastAsia="zh-CN"/>
              </w:rPr>
              <w:t>3</w:t>
            </w:r>
            <w:r>
              <w:rPr>
                <w:rFonts w:hint="eastAsia" w:cs="Times New Roman"/>
                <w:b/>
                <w:bCs/>
                <w:sz w:val="24"/>
                <w:lang w:val="en-US" w:eastAsia="zh-CN"/>
              </w:rPr>
              <w:t>7</w:t>
            </w:r>
            <w:r>
              <w:rPr>
                <w:rFonts w:hint="default" w:ascii="Times New Roman" w:hAnsi="Times New Roman" w:eastAsia="宋体" w:cs="Times New Roman"/>
                <w:b/>
                <w:bCs/>
                <w:sz w:val="24"/>
              </w:rPr>
              <w:t xml:space="preserve">             企业涉及风险物质数量与临界量比值</w:t>
            </w:r>
          </w:p>
          <w:tbl>
            <w:tblPr>
              <w:tblStyle w:val="22"/>
              <w:tblW w:w="4994"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31"/>
              <w:gridCol w:w="1178"/>
              <w:gridCol w:w="1453"/>
              <w:gridCol w:w="1451"/>
              <w:gridCol w:w="1014"/>
              <w:gridCol w:w="1016"/>
              <w:gridCol w:w="873"/>
              <w:gridCol w:w="890"/>
            </w:tblGrid>
            <w:tr w14:paraId="3A7EBD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25" w:type="pct"/>
                  <w:tcBorders>
                    <w:top w:val="single" w:color="auto" w:sz="8" w:space="0"/>
                    <w:left w:val="nil"/>
                    <w:bottom w:val="single" w:color="auto" w:sz="8" w:space="0"/>
                  </w:tcBorders>
                  <w:noWrap w:val="0"/>
                  <w:vAlign w:val="center"/>
                </w:tcPr>
                <w:p w14:paraId="66B4BF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bCs/>
                      <w:sz w:val="21"/>
                      <w:szCs w:val="21"/>
                    </w:rPr>
                  </w:pPr>
                  <w:r>
                    <w:rPr>
                      <w:rFonts w:hint="default"/>
                      <w:b/>
                      <w:bCs/>
                      <w:sz w:val="21"/>
                      <w:szCs w:val="21"/>
                    </w:rPr>
                    <w:t>序号</w:t>
                  </w:r>
                </w:p>
              </w:tc>
              <w:tc>
                <w:tcPr>
                  <w:tcW w:w="684" w:type="pct"/>
                  <w:tcBorders>
                    <w:top w:val="single" w:color="auto" w:sz="8" w:space="0"/>
                    <w:bottom w:val="single" w:color="auto" w:sz="8" w:space="0"/>
                  </w:tcBorders>
                  <w:noWrap w:val="0"/>
                  <w:vAlign w:val="center"/>
                </w:tcPr>
                <w:p w14:paraId="3EB20A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bCs/>
                      <w:sz w:val="21"/>
                      <w:szCs w:val="21"/>
                    </w:rPr>
                  </w:pPr>
                  <w:r>
                    <w:rPr>
                      <w:rFonts w:hint="default"/>
                      <w:b/>
                      <w:bCs/>
                      <w:sz w:val="21"/>
                      <w:szCs w:val="21"/>
                    </w:rPr>
                    <w:t>项目</w:t>
                  </w:r>
                </w:p>
              </w:tc>
              <w:tc>
                <w:tcPr>
                  <w:tcW w:w="844" w:type="pct"/>
                  <w:tcBorders>
                    <w:top w:val="single" w:color="auto" w:sz="8" w:space="0"/>
                    <w:bottom w:val="single" w:color="auto" w:sz="8" w:space="0"/>
                  </w:tcBorders>
                  <w:noWrap w:val="0"/>
                  <w:vAlign w:val="center"/>
                </w:tcPr>
                <w:p w14:paraId="40F66F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bCs/>
                      <w:sz w:val="21"/>
                      <w:szCs w:val="21"/>
                    </w:rPr>
                  </w:pPr>
                  <w:r>
                    <w:rPr>
                      <w:rFonts w:hint="default"/>
                      <w:b/>
                      <w:bCs/>
                      <w:sz w:val="21"/>
                      <w:szCs w:val="21"/>
                    </w:rPr>
                    <w:t>规格型号</w:t>
                  </w:r>
                </w:p>
              </w:tc>
              <w:tc>
                <w:tcPr>
                  <w:tcW w:w="843" w:type="pct"/>
                  <w:tcBorders>
                    <w:top w:val="single" w:color="auto" w:sz="8" w:space="0"/>
                    <w:bottom w:val="single" w:color="auto" w:sz="8" w:space="0"/>
                  </w:tcBorders>
                  <w:noWrap w:val="0"/>
                  <w:vAlign w:val="center"/>
                </w:tcPr>
                <w:p w14:paraId="20B68B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bCs/>
                      <w:sz w:val="21"/>
                      <w:szCs w:val="21"/>
                    </w:rPr>
                  </w:pPr>
                  <w:r>
                    <w:rPr>
                      <w:rFonts w:hint="default"/>
                      <w:b/>
                      <w:bCs/>
                      <w:sz w:val="21"/>
                      <w:szCs w:val="21"/>
                    </w:rPr>
                    <w:t>规格容积</w:t>
                  </w:r>
                </w:p>
              </w:tc>
              <w:tc>
                <w:tcPr>
                  <w:tcW w:w="589" w:type="pct"/>
                  <w:tcBorders>
                    <w:top w:val="single" w:color="auto" w:sz="8" w:space="0"/>
                    <w:bottom w:val="single" w:color="auto" w:sz="8" w:space="0"/>
                    <w:right w:val="single" w:color="auto" w:sz="4" w:space="0"/>
                  </w:tcBorders>
                  <w:noWrap w:val="0"/>
                  <w:vAlign w:val="center"/>
                </w:tcPr>
                <w:p w14:paraId="4627B6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bCs/>
                      <w:sz w:val="21"/>
                      <w:szCs w:val="21"/>
                    </w:rPr>
                  </w:pPr>
                  <w:r>
                    <w:rPr>
                      <w:rFonts w:hint="default"/>
                      <w:b/>
                      <w:bCs/>
                      <w:sz w:val="21"/>
                      <w:szCs w:val="21"/>
                    </w:rPr>
                    <w:t>最大储存量（桶）</w:t>
                  </w:r>
                </w:p>
              </w:tc>
              <w:tc>
                <w:tcPr>
                  <w:tcW w:w="590" w:type="pct"/>
                  <w:tcBorders>
                    <w:top w:val="single" w:color="auto" w:sz="8" w:space="0"/>
                    <w:bottom w:val="single" w:color="auto" w:sz="8" w:space="0"/>
                    <w:right w:val="single" w:color="auto" w:sz="4" w:space="0"/>
                  </w:tcBorders>
                  <w:noWrap w:val="0"/>
                  <w:vAlign w:val="center"/>
                </w:tcPr>
                <w:p w14:paraId="0EBE0D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bCs/>
                      <w:sz w:val="21"/>
                      <w:szCs w:val="21"/>
                    </w:rPr>
                  </w:pPr>
                  <w:r>
                    <w:rPr>
                      <w:rFonts w:hint="default"/>
                      <w:b/>
                      <w:bCs/>
                      <w:sz w:val="21"/>
                      <w:szCs w:val="21"/>
                    </w:rPr>
                    <w:t>最大储存量（t）</w:t>
                  </w:r>
                </w:p>
              </w:tc>
              <w:tc>
                <w:tcPr>
                  <w:tcW w:w="504" w:type="pct"/>
                  <w:tcBorders>
                    <w:top w:val="single" w:color="auto" w:sz="8" w:space="0"/>
                    <w:bottom w:val="single" w:color="auto" w:sz="8" w:space="0"/>
                    <w:right w:val="single" w:color="auto" w:sz="4" w:space="0"/>
                  </w:tcBorders>
                  <w:noWrap w:val="0"/>
                  <w:vAlign w:val="center"/>
                </w:tcPr>
                <w:p w14:paraId="430BA7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bCs/>
                      <w:sz w:val="21"/>
                      <w:szCs w:val="21"/>
                    </w:rPr>
                  </w:pPr>
                  <w:r>
                    <w:rPr>
                      <w:rFonts w:hint="default"/>
                      <w:b/>
                      <w:bCs/>
                      <w:sz w:val="21"/>
                      <w:szCs w:val="21"/>
                    </w:rPr>
                    <w:t>临界量（t）</w:t>
                  </w:r>
                </w:p>
              </w:tc>
              <w:tc>
                <w:tcPr>
                  <w:tcW w:w="517" w:type="pct"/>
                  <w:tcBorders>
                    <w:top w:val="single" w:color="auto" w:sz="8" w:space="0"/>
                    <w:bottom w:val="single" w:color="auto" w:sz="8" w:space="0"/>
                    <w:right w:val="nil"/>
                  </w:tcBorders>
                  <w:noWrap w:val="0"/>
                  <w:vAlign w:val="center"/>
                </w:tcPr>
                <w:p w14:paraId="5FFB26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bCs/>
                      <w:sz w:val="21"/>
                      <w:szCs w:val="21"/>
                    </w:rPr>
                  </w:pPr>
                  <w:r>
                    <w:rPr>
                      <w:rFonts w:hint="default"/>
                      <w:b/>
                      <w:bCs/>
                      <w:sz w:val="21"/>
                      <w:szCs w:val="21"/>
                    </w:rPr>
                    <w:t>Q值</w:t>
                  </w:r>
                </w:p>
              </w:tc>
            </w:tr>
            <w:tr w14:paraId="18DA5F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25" w:type="pct"/>
                  <w:tcBorders>
                    <w:left w:val="nil"/>
                  </w:tcBorders>
                  <w:noWrap w:val="0"/>
                  <w:vAlign w:val="center"/>
                </w:tcPr>
                <w:p w14:paraId="0629C3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sz w:val="21"/>
                      <w:szCs w:val="21"/>
                    </w:rPr>
                  </w:pPr>
                  <w:r>
                    <w:rPr>
                      <w:rFonts w:hint="default"/>
                      <w:sz w:val="21"/>
                      <w:szCs w:val="21"/>
                    </w:rPr>
                    <w:t>1</w:t>
                  </w:r>
                </w:p>
              </w:tc>
              <w:tc>
                <w:tcPr>
                  <w:tcW w:w="684" w:type="pct"/>
                  <w:noWrap w:val="0"/>
                  <w:vAlign w:val="center"/>
                </w:tcPr>
                <w:p w14:paraId="4A1179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sz w:val="21"/>
                      <w:szCs w:val="21"/>
                      <w:lang w:eastAsia="zh-CN"/>
                    </w:rPr>
                  </w:pPr>
                  <w:r>
                    <w:rPr>
                      <w:rFonts w:hint="eastAsia"/>
                      <w:sz w:val="21"/>
                      <w:szCs w:val="21"/>
                      <w:lang w:eastAsia="zh-CN"/>
                    </w:rPr>
                    <w:t>生产工序</w:t>
                  </w:r>
                </w:p>
              </w:tc>
              <w:tc>
                <w:tcPr>
                  <w:tcW w:w="844" w:type="pct"/>
                  <w:noWrap w:val="0"/>
                  <w:vAlign w:val="center"/>
                </w:tcPr>
                <w:p w14:paraId="24CEA2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rPr>
                  </w:pPr>
                  <w:r>
                    <w:rPr>
                      <w:rFonts w:hint="eastAsia"/>
                      <w:sz w:val="21"/>
                      <w:szCs w:val="21"/>
                      <w:lang w:val="en-US" w:eastAsia="zh-CN"/>
                    </w:rPr>
                    <w:t>机</w:t>
                  </w:r>
                  <w:r>
                    <w:rPr>
                      <w:rFonts w:hint="eastAsia"/>
                      <w:sz w:val="21"/>
                      <w:szCs w:val="21"/>
                      <w:lang w:eastAsia="zh-CN"/>
                    </w:rPr>
                    <w:t>油</w:t>
                  </w:r>
                </w:p>
              </w:tc>
              <w:tc>
                <w:tcPr>
                  <w:tcW w:w="843" w:type="pct"/>
                  <w:noWrap w:val="0"/>
                  <w:vAlign w:val="center"/>
                </w:tcPr>
                <w:p w14:paraId="4F2E5D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rPr>
                  </w:pPr>
                  <w:r>
                    <w:rPr>
                      <w:rFonts w:hint="default"/>
                      <w:sz w:val="21"/>
                      <w:szCs w:val="21"/>
                    </w:rPr>
                    <w:t>200kg/桶</w:t>
                  </w:r>
                </w:p>
              </w:tc>
              <w:tc>
                <w:tcPr>
                  <w:tcW w:w="589" w:type="pct"/>
                  <w:tcBorders>
                    <w:right w:val="single" w:color="auto" w:sz="4" w:space="0"/>
                  </w:tcBorders>
                  <w:noWrap w:val="0"/>
                  <w:vAlign w:val="center"/>
                </w:tcPr>
                <w:p w14:paraId="161911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eastAsia="宋体"/>
                      <w:sz w:val="21"/>
                      <w:szCs w:val="21"/>
                      <w:lang w:val="en-US" w:eastAsia="zh-CN"/>
                    </w:rPr>
                  </w:pPr>
                  <w:r>
                    <w:rPr>
                      <w:rFonts w:hint="eastAsia"/>
                      <w:sz w:val="21"/>
                      <w:szCs w:val="21"/>
                      <w:lang w:val="en-US" w:eastAsia="zh-CN"/>
                    </w:rPr>
                    <w:t>1</w:t>
                  </w:r>
                </w:p>
              </w:tc>
              <w:tc>
                <w:tcPr>
                  <w:tcW w:w="590" w:type="pct"/>
                  <w:tcBorders>
                    <w:right w:val="single" w:color="auto" w:sz="4" w:space="0"/>
                  </w:tcBorders>
                  <w:noWrap w:val="0"/>
                  <w:vAlign w:val="center"/>
                </w:tcPr>
                <w:p w14:paraId="2178A9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eastAsia="宋体"/>
                      <w:sz w:val="21"/>
                      <w:szCs w:val="21"/>
                      <w:lang w:val="en-US" w:eastAsia="zh-CN"/>
                    </w:rPr>
                  </w:pPr>
                  <w:r>
                    <w:rPr>
                      <w:rFonts w:hint="eastAsia"/>
                      <w:sz w:val="21"/>
                      <w:szCs w:val="21"/>
                      <w:lang w:val="en-US" w:eastAsia="zh-CN"/>
                    </w:rPr>
                    <w:t>0.2</w:t>
                  </w:r>
                </w:p>
              </w:tc>
              <w:tc>
                <w:tcPr>
                  <w:tcW w:w="504" w:type="pct"/>
                  <w:tcBorders>
                    <w:right w:val="single" w:color="auto" w:sz="4" w:space="0"/>
                  </w:tcBorders>
                  <w:noWrap w:val="0"/>
                  <w:vAlign w:val="center"/>
                </w:tcPr>
                <w:p w14:paraId="769F8B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rPr>
                  </w:pPr>
                  <w:r>
                    <w:rPr>
                      <w:rFonts w:hint="eastAsia"/>
                      <w:sz w:val="21"/>
                      <w:szCs w:val="21"/>
                      <w:lang w:val="en-US" w:eastAsia="zh-CN"/>
                    </w:rPr>
                    <w:t>25</w:t>
                  </w:r>
                  <w:r>
                    <w:rPr>
                      <w:rFonts w:hint="default"/>
                      <w:sz w:val="21"/>
                      <w:szCs w:val="21"/>
                    </w:rPr>
                    <w:t>00</w:t>
                  </w:r>
                </w:p>
              </w:tc>
              <w:tc>
                <w:tcPr>
                  <w:tcW w:w="517" w:type="pct"/>
                  <w:tcBorders>
                    <w:right w:val="nil"/>
                  </w:tcBorders>
                  <w:noWrap w:val="0"/>
                  <w:vAlign w:val="center"/>
                </w:tcPr>
                <w:p w14:paraId="20C7E6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eastAsia="宋体"/>
                      <w:sz w:val="21"/>
                      <w:szCs w:val="21"/>
                      <w:lang w:val="en-US" w:eastAsia="zh-CN"/>
                    </w:rPr>
                  </w:pPr>
                  <w:r>
                    <w:rPr>
                      <w:rFonts w:hint="default"/>
                      <w:sz w:val="21"/>
                      <w:szCs w:val="21"/>
                    </w:rPr>
                    <w:t>0.00</w:t>
                  </w:r>
                  <w:r>
                    <w:rPr>
                      <w:rFonts w:hint="eastAsia"/>
                      <w:sz w:val="21"/>
                      <w:szCs w:val="21"/>
                      <w:lang w:val="en-US" w:eastAsia="zh-CN"/>
                    </w:rPr>
                    <w:t>008</w:t>
                  </w:r>
                </w:p>
              </w:tc>
            </w:tr>
            <w:tr w14:paraId="4B55D8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482" w:type="pct"/>
                  <w:gridSpan w:val="7"/>
                  <w:tcBorders>
                    <w:left w:val="nil"/>
                    <w:bottom w:val="single" w:color="auto" w:sz="8" w:space="0"/>
                    <w:right w:val="single" w:color="auto" w:sz="4" w:space="0"/>
                  </w:tcBorders>
                  <w:noWrap w:val="0"/>
                  <w:vAlign w:val="center"/>
                </w:tcPr>
                <w:p w14:paraId="334978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sz w:val="21"/>
                      <w:szCs w:val="21"/>
                    </w:rPr>
                  </w:pPr>
                  <w:r>
                    <w:rPr>
                      <w:rFonts w:hint="default"/>
                      <w:sz w:val="21"/>
                      <w:szCs w:val="21"/>
                    </w:rPr>
                    <w:t>总计（注：储存量已包含生产及输送环节在线量）</w:t>
                  </w:r>
                </w:p>
              </w:tc>
              <w:tc>
                <w:tcPr>
                  <w:tcW w:w="517" w:type="pct"/>
                  <w:tcBorders>
                    <w:bottom w:val="single" w:color="auto" w:sz="8" w:space="0"/>
                    <w:right w:val="nil"/>
                  </w:tcBorders>
                  <w:noWrap w:val="0"/>
                  <w:vAlign w:val="center"/>
                </w:tcPr>
                <w:p w14:paraId="44D7E0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sz w:val="21"/>
                      <w:szCs w:val="21"/>
                      <w:lang w:val="en-US" w:eastAsia="zh-CN"/>
                    </w:rPr>
                  </w:pPr>
                  <w:r>
                    <w:rPr>
                      <w:rFonts w:hint="eastAsia"/>
                      <w:sz w:val="21"/>
                      <w:szCs w:val="21"/>
                      <w:lang w:val="en-US" w:eastAsia="zh-CN"/>
                    </w:rPr>
                    <w:t>0.00008</w:t>
                  </w:r>
                </w:p>
              </w:tc>
            </w:tr>
          </w:tbl>
          <w:p w14:paraId="3B888E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sz w:val="24"/>
              </w:rPr>
            </w:pPr>
            <w:r>
              <w:rPr>
                <w:rFonts w:hint="default"/>
                <w:sz w:val="24"/>
              </w:rPr>
              <w:t>经核算本项目厂区内风险物质总储存量与临界量比值Q&lt;1，根据《建设项目环境影响报告表编制技术指南（污染影响类）（试行）》表1，本项目易燃易爆危险物质存储量不超过临界量，无需设置环境风险专项评价。</w:t>
            </w:r>
          </w:p>
          <w:p w14:paraId="1352F8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sz w:val="24"/>
              </w:rPr>
            </w:pPr>
            <w:r>
              <w:rPr>
                <w:rFonts w:hint="default"/>
                <w:sz w:val="24"/>
              </w:rPr>
              <w:t>二、风险影响途径及风险防范措施</w:t>
            </w:r>
          </w:p>
          <w:p w14:paraId="4A33FD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sz w:val="24"/>
                <w:lang w:val="en-US" w:eastAsia="zh-CN"/>
              </w:rPr>
            </w:pPr>
            <w:r>
              <w:rPr>
                <w:rFonts w:hint="eastAsia"/>
                <w:sz w:val="24"/>
                <w:lang w:val="en-US" w:eastAsia="zh-CN"/>
              </w:rPr>
              <w:t>本项目机油泄露途径主要为储存容器破损、操作不当等引起的泄露事件。本项目机油最大储存量较小，机油储存时应在机油桶下方设置托盘，机油储存区及危废间设有专人进行监管。当发生泄漏时，应及时切断泄露源，用砂土或其他不燃材料吸收。本项目机油使用量较小，不会对周边环境造成较大污染。</w:t>
            </w:r>
          </w:p>
          <w:p w14:paraId="68E0CC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eastAsia="宋体"/>
                <w:lang w:val="en-US" w:eastAsia="zh-CN"/>
              </w:rPr>
            </w:pPr>
            <w:r>
              <w:rPr>
                <w:rFonts w:hint="eastAsia"/>
                <w:b/>
                <w:bCs/>
                <w:lang w:val="en-US" w:eastAsia="zh-CN"/>
              </w:rPr>
              <w:t>八、电磁辐射</w:t>
            </w:r>
          </w:p>
          <w:p w14:paraId="3EC492E6">
            <w:pPr>
              <w:pStyle w:val="10"/>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rightChars="0"/>
              <w:jc w:val="both"/>
              <w:textAlignment w:val="auto"/>
              <w:rPr>
                <w:rFonts w:hint="eastAsia" w:cs="Times New Roman"/>
                <w:b w:val="0"/>
                <w:bCs/>
                <w:color w:val="000000"/>
                <w:sz w:val="24"/>
                <w:highlight w:val="none"/>
                <w:lang w:val="en-US" w:eastAsia="zh-CN"/>
              </w:rPr>
            </w:pPr>
            <w:r>
              <w:rPr>
                <w:rFonts w:hint="default" w:ascii="Times New Roman" w:hAnsi="Times New Roman" w:eastAsia="宋体" w:cs="Times New Roman"/>
                <w:b w:val="0"/>
                <w:bCs/>
                <w:color w:val="000000"/>
                <w:sz w:val="24"/>
                <w:highlight w:val="none"/>
                <w:lang w:val="en-US" w:eastAsia="zh-CN"/>
              </w:rPr>
              <w:t>本项目不涉及辐射源，故不对电磁辐射做评价分析</w:t>
            </w:r>
            <w:r>
              <w:rPr>
                <w:rFonts w:hint="eastAsia" w:cs="Times New Roman"/>
                <w:b w:val="0"/>
                <w:bCs/>
                <w:color w:val="000000"/>
                <w:sz w:val="24"/>
                <w:highlight w:val="none"/>
                <w:lang w:val="en-US" w:eastAsia="zh-CN"/>
              </w:rPr>
              <w:t>。</w:t>
            </w:r>
          </w:p>
          <w:p w14:paraId="092F1E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b/>
                <w:bCs/>
                <w:lang w:val="en-US" w:eastAsia="zh-CN"/>
              </w:rPr>
            </w:pPr>
            <w:r>
              <w:rPr>
                <w:rFonts w:hint="eastAsia"/>
                <w:b/>
                <w:bCs/>
                <w:lang w:val="en-US" w:eastAsia="zh-CN"/>
              </w:rPr>
              <w:t>九、环保治理措施及投资金额</w:t>
            </w:r>
          </w:p>
          <w:p w14:paraId="6B6D43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color w:val="000000" w:themeColor="text1"/>
                <w:sz w:val="24"/>
                <w:szCs w:val="24"/>
                <w:highlight w:val="none"/>
                <w:u w:val="none"/>
                <w14:textFill>
                  <w14:solidFill>
                    <w14:schemeClr w14:val="tx1"/>
                  </w14:solidFill>
                </w14:textFill>
              </w:rPr>
            </w:pPr>
            <w:r>
              <w:rPr>
                <w:rFonts w:hint="default" w:ascii="Times New Roman" w:hAnsi="Times New Roman" w:eastAsia="宋体" w:cs="Times New Roman"/>
                <w:b w:val="0"/>
                <w:bCs w:val="0"/>
                <w:sz w:val="24"/>
                <w:szCs w:val="24"/>
                <w:lang w:val="en-US" w:eastAsia="zh-CN"/>
              </w:rPr>
              <w:t>本项目总投资为200万元，环保</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投资为</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万元，环保投资占总投资的</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%。环保投资详见下表：</w:t>
            </w:r>
          </w:p>
          <w:p w14:paraId="1BA5DBCE">
            <w:pPr>
              <w:pStyle w:val="6"/>
              <w:keepNext w:val="0"/>
              <w:keepLines w:val="0"/>
              <w:suppressLineNumbers w:val="0"/>
              <w:bidi w:val="0"/>
              <w:spacing w:before="0" w:beforeAutospacing="0" w:after="0" w:afterAutospacing="0"/>
              <w:ind w:left="0" w:right="0"/>
              <w:rPr>
                <w:rFonts w:hint="default"/>
                <w:color w:val="000000" w:themeColor="text1"/>
                <w:u w:val="none"/>
                <w14:textFill>
                  <w14:solidFill>
                    <w14:schemeClr w14:val="tx1"/>
                  </w14:solidFill>
                </w14:textFill>
              </w:rPr>
            </w:pPr>
            <w:r>
              <w:rPr>
                <w:rFonts w:hint="default"/>
                <w:color w:val="000000" w:themeColor="text1"/>
                <w:u w:val="none"/>
                <w14:textFill>
                  <w14:solidFill>
                    <w14:schemeClr w14:val="tx1"/>
                  </w14:solidFill>
                </w14:textFill>
              </w:rPr>
              <w:t>表</w:t>
            </w:r>
            <w:r>
              <w:rPr>
                <w:rFonts w:hint="eastAsia"/>
                <w:color w:val="000000" w:themeColor="text1"/>
                <w:u w:val="none"/>
                <w:lang w:val="en-US" w:eastAsia="zh-CN"/>
                <w14:textFill>
                  <w14:solidFill>
                    <w14:schemeClr w14:val="tx1"/>
                  </w14:solidFill>
                </w14:textFill>
              </w:rPr>
              <w:t>38     项目</w:t>
            </w:r>
            <w:r>
              <w:rPr>
                <w:rFonts w:hint="default"/>
                <w:color w:val="000000" w:themeColor="text1"/>
                <w:u w:val="none"/>
                <w14:textFill>
                  <w14:solidFill>
                    <w14:schemeClr w14:val="tx1"/>
                  </w14:solidFill>
                </w14:textFill>
              </w:rPr>
              <w:t>环保投资</w:t>
            </w:r>
            <w:r>
              <w:rPr>
                <w:rFonts w:hint="eastAsia"/>
                <w:color w:val="000000" w:themeColor="text1"/>
                <w:u w:val="none"/>
                <w14:textFill>
                  <w14:solidFill>
                    <w14:schemeClr w14:val="tx1"/>
                  </w14:solidFill>
                </w14:textFill>
              </w:rPr>
              <w:t>概算</w:t>
            </w:r>
            <w:r>
              <w:rPr>
                <w:rFonts w:hint="default"/>
                <w:color w:val="000000" w:themeColor="text1"/>
                <w:u w:val="none"/>
                <w14:textFill>
                  <w14:solidFill>
                    <w14:schemeClr w14:val="tx1"/>
                  </w14:solidFill>
                </w14:textFill>
              </w:rPr>
              <w:t>一览表</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4"/>
              <w:gridCol w:w="783"/>
              <w:gridCol w:w="1020"/>
              <w:gridCol w:w="1846"/>
              <w:gridCol w:w="3546"/>
              <w:gridCol w:w="947"/>
            </w:tblGrid>
            <w:tr w14:paraId="1DEB38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 w:type="pct"/>
                  <w:tcBorders>
                    <w:top w:val="single" w:color="auto" w:sz="8" w:space="0"/>
                    <w:bottom w:val="single" w:color="auto" w:sz="8" w:space="0"/>
                  </w:tcBorders>
                  <w:vAlign w:val="center"/>
                </w:tcPr>
                <w:p w14:paraId="2CC7493A">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序号</w:t>
                  </w:r>
                </w:p>
              </w:tc>
              <w:tc>
                <w:tcPr>
                  <w:tcW w:w="454" w:type="pct"/>
                  <w:tcBorders>
                    <w:top w:val="single" w:color="auto" w:sz="8" w:space="0"/>
                    <w:bottom w:val="single" w:color="auto" w:sz="8" w:space="0"/>
                  </w:tcBorders>
                  <w:vAlign w:val="center"/>
                </w:tcPr>
                <w:p w14:paraId="4CC073A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eastAsia="zh-CN"/>
                      <w14:textFill>
                        <w14:solidFill>
                          <w14:schemeClr w14:val="tx1"/>
                        </w14:solidFill>
                      </w14:textFill>
                    </w:rPr>
                  </w:pP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污染源</w:t>
                  </w:r>
                </w:p>
              </w:tc>
              <w:tc>
                <w:tcPr>
                  <w:tcW w:w="592" w:type="pct"/>
                  <w:tcBorders>
                    <w:top w:val="single" w:color="auto" w:sz="8" w:space="0"/>
                    <w:bottom w:val="single" w:color="auto" w:sz="8" w:space="0"/>
                  </w:tcBorders>
                  <w:vAlign w:val="center"/>
                </w:tcPr>
                <w:p w14:paraId="2CF36A70">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污染防治措施</w:t>
                  </w:r>
                </w:p>
              </w:tc>
              <w:tc>
                <w:tcPr>
                  <w:tcW w:w="1071" w:type="pct"/>
                  <w:tcBorders>
                    <w:top w:val="single" w:color="auto" w:sz="8" w:space="0"/>
                    <w:bottom w:val="single" w:color="auto" w:sz="8" w:space="0"/>
                  </w:tcBorders>
                  <w:vAlign w:val="center"/>
                </w:tcPr>
                <w:p w14:paraId="74AA096A">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污染防治措施</w:t>
                  </w:r>
                </w:p>
              </w:tc>
              <w:tc>
                <w:tcPr>
                  <w:tcW w:w="2057" w:type="pct"/>
                  <w:tcBorders>
                    <w:top w:val="single" w:color="auto" w:sz="8" w:space="0"/>
                    <w:bottom w:val="single" w:color="auto" w:sz="8" w:space="0"/>
                  </w:tcBorders>
                  <w:vAlign w:val="center"/>
                </w:tcPr>
                <w:p w14:paraId="6ABEAC3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验收标准</w:t>
                  </w:r>
                </w:p>
              </w:tc>
              <w:tc>
                <w:tcPr>
                  <w:tcW w:w="549" w:type="pct"/>
                  <w:tcBorders>
                    <w:top w:val="single" w:color="auto" w:sz="8" w:space="0"/>
                    <w:bottom w:val="single" w:color="auto" w:sz="8" w:space="0"/>
                  </w:tcBorders>
                  <w:vAlign w:val="center"/>
                </w:tcPr>
                <w:p w14:paraId="4B43B91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14:textFill>
                        <w14:solidFill>
                          <w14:schemeClr w14:val="tx1"/>
                        </w14:solidFill>
                      </w14:textFill>
                    </w:rPr>
                    <w:t>投资</w:t>
                  </w: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估算（万元）</w:t>
                  </w:r>
                </w:p>
              </w:tc>
            </w:tr>
            <w:tr w14:paraId="13F81C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8" w:hRule="atLeast"/>
                <w:jc w:val="center"/>
              </w:trPr>
              <w:tc>
                <w:tcPr>
                  <w:tcW w:w="274" w:type="pct"/>
                  <w:tcBorders>
                    <w:top w:val="single" w:color="auto" w:sz="8" w:space="0"/>
                    <w:tl2br w:val="nil"/>
                    <w:tr2bl w:val="nil"/>
                  </w:tcBorders>
                  <w:vAlign w:val="center"/>
                </w:tcPr>
                <w:p w14:paraId="62540D4A">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1</w:t>
                  </w:r>
                </w:p>
              </w:tc>
              <w:tc>
                <w:tcPr>
                  <w:tcW w:w="454" w:type="pct"/>
                  <w:tcBorders>
                    <w:top w:val="single" w:color="auto" w:sz="8" w:space="0"/>
                    <w:tl2br w:val="nil"/>
                    <w:tr2bl w:val="nil"/>
                  </w:tcBorders>
                  <w:vAlign w:val="center"/>
                </w:tcPr>
                <w:p w14:paraId="758B9C0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废气治理</w:t>
                  </w:r>
                </w:p>
              </w:tc>
              <w:tc>
                <w:tcPr>
                  <w:tcW w:w="592" w:type="pct"/>
                  <w:tcBorders>
                    <w:top w:val="single" w:color="auto" w:sz="8" w:space="0"/>
                    <w:tl2br w:val="nil"/>
                    <w:tr2bl w:val="nil"/>
                  </w:tcBorders>
                  <w:vAlign w:val="center"/>
                </w:tcPr>
                <w:p w14:paraId="4D09EC56">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颗粒物</w:t>
                  </w:r>
                </w:p>
              </w:tc>
              <w:tc>
                <w:tcPr>
                  <w:tcW w:w="1071" w:type="pct"/>
                  <w:tcBorders>
                    <w:top w:val="single" w:color="auto" w:sz="8" w:space="0"/>
                    <w:tl2br w:val="nil"/>
                    <w:tr2bl w:val="nil"/>
                  </w:tcBorders>
                  <w:vAlign w:val="center"/>
                </w:tcPr>
                <w:p w14:paraId="392D365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废气经设备自带滤筒除尘器治理，尾气经1根15米高排气筒排放。</w:t>
                  </w:r>
                </w:p>
              </w:tc>
              <w:tc>
                <w:tcPr>
                  <w:tcW w:w="2057" w:type="pct"/>
                  <w:tcBorders>
                    <w:top w:val="single" w:color="auto" w:sz="8" w:space="0"/>
                    <w:tl2br w:val="nil"/>
                    <w:tr2bl w:val="nil"/>
                  </w:tcBorders>
                  <w:vAlign w:val="center"/>
                </w:tcPr>
                <w:p w14:paraId="12ABF153">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b w:val="0"/>
                      <w:bCs/>
                      <w:color w:val="auto"/>
                      <w:kern w:val="2"/>
                      <w:sz w:val="21"/>
                      <w:szCs w:val="21"/>
                      <w:highlight w:val="none"/>
                      <w:lang w:val="en-US" w:eastAsia="zh-CN" w:bidi="ar-SA"/>
                    </w:rPr>
                    <w:t>《大气污染物综合排放标准》（GB16297-</w:t>
                  </w:r>
                  <w:r>
                    <w:rPr>
                      <w:rFonts w:hint="eastAsia" w:ascii="Times New Roman" w:hAnsi="Times New Roman" w:eastAsia="宋体" w:cs="Times New Roman"/>
                      <w:b w:val="0"/>
                      <w:bCs/>
                      <w:color w:val="auto"/>
                      <w:kern w:val="2"/>
                      <w:sz w:val="21"/>
                      <w:szCs w:val="21"/>
                      <w:highlight w:val="none"/>
                      <w:lang w:val="en-US" w:eastAsia="zh-CN" w:bidi="ar-SA"/>
                    </w:rPr>
                    <w:t xml:space="preserve"> </w:t>
                  </w:r>
                  <w:r>
                    <w:rPr>
                      <w:rFonts w:hint="default" w:ascii="Times New Roman" w:hAnsi="Times New Roman" w:eastAsia="宋体" w:cs="Times New Roman"/>
                      <w:b w:val="0"/>
                      <w:bCs/>
                      <w:color w:val="auto"/>
                      <w:kern w:val="2"/>
                      <w:sz w:val="21"/>
                      <w:szCs w:val="21"/>
                      <w:highlight w:val="none"/>
                      <w:lang w:val="en-US" w:eastAsia="zh-CN" w:bidi="ar-SA"/>
                    </w:rPr>
                    <w:t>1996）</w:t>
                  </w:r>
                  <w:r>
                    <w:rPr>
                      <w:rFonts w:hint="eastAsia" w:ascii="Times New Roman" w:hAnsi="Times New Roman" w:eastAsia="宋体" w:cs="Times New Roman"/>
                      <w:b w:val="0"/>
                      <w:bCs/>
                      <w:color w:val="auto"/>
                      <w:kern w:val="2"/>
                      <w:sz w:val="21"/>
                      <w:szCs w:val="21"/>
                      <w:highlight w:val="none"/>
                      <w:lang w:val="en-US" w:eastAsia="zh-CN" w:bidi="ar-SA"/>
                    </w:rPr>
                    <w:t>、</w:t>
                  </w:r>
                  <w:r>
                    <w:rPr>
                      <w:rFonts w:hint="default" w:ascii="Times New Roman" w:hAnsi="Times New Roman" w:eastAsia="宋体" w:cs="Times New Roman"/>
                      <w:b w:val="0"/>
                      <w:bCs/>
                      <w:color w:val="auto"/>
                      <w:kern w:val="2"/>
                      <w:sz w:val="21"/>
                      <w:szCs w:val="21"/>
                      <w:highlight w:val="none"/>
                      <w:lang w:val="en-US" w:eastAsia="zh-CN" w:bidi="ar-SA"/>
                    </w:rPr>
                    <w:t>《新乡市生态环境局关于进一步规范工业企业颗粒物放限值的通知》</w:t>
                  </w:r>
                </w:p>
              </w:tc>
              <w:tc>
                <w:tcPr>
                  <w:tcW w:w="549" w:type="pct"/>
                  <w:tcBorders>
                    <w:top w:val="single" w:color="auto" w:sz="8" w:space="0"/>
                    <w:tl2br w:val="nil"/>
                    <w:tr2bl w:val="nil"/>
                  </w:tcBorders>
                  <w:vAlign w:val="center"/>
                </w:tcPr>
                <w:p w14:paraId="5DBFCE9F">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r>
                    <w:rPr>
                      <w:rFonts w:hint="eastAsia" w:ascii="Times New Roman" w:cs="Times New Roman"/>
                      <w:b w:val="0"/>
                      <w:bCs/>
                      <w:color w:val="000000" w:themeColor="text1"/>
                      <w:sz w:val="21"/>
                      <w:szCs w:val="21"/>
                      <w:highlight w:val="none"/>
                      <w:u w:val="none"/>
                      <w:lang w:val="en-US" w:eastAsia="zh-CN"/>
                      <w14:textFill>
                        <w14:solidFill>
                          <w14:schemeClr w14:val="tx1"/>
                        </w14:solidFill>
                      </w14:textFill>
                    </w:rPr>
                    <w:t>5.0</w:t>
                  </w:r>
                </w:p>
              </w:tc>
            </w:tr>
            <w:tr w14:paraId="77E7D8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8" w:hRule="atLeast"/>
                <w:jc w:val="center"/>
              </w:trPr>
              <w:tc>
                <w:tcPr>
                  <w:tcW w:w="274" w:type="pct"/>
                  <w:tcBorders>
                    <w:tl2br w:val="nil"/>
                    <w:tr2bl w:val="nil"/>
                  </w:tcBorders>
                  <w:vAlign w:val="center"/>
                </w:tcPr>
                <w:p w14:paraId="30961AC3">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2</w:t>
                  </w:r>
                </w:p>
              </w:tc>
              <w:tc>
                <w:tcPr>
                  <w:tcW w:w="454" w:type="pct"/>
                  <w:tcBorders>
                    <w:tl2br w:val="nil"/>
                    <w:tr2bl w:val="nil"/>
                  </w:tcBorders>
                  <w:vAlign w:val="center"/>
                </w:tcPr>
                <w:p w14:paraId="4133786D">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废水治理</w:t>
                  </w:r>
                </w:p>
              </w:tc>
              <w:tc>
                <w:tcPr>
                  <w:tcW w:w="592" w:type="pct"/>
                  <w:tcBorders>
                    <w:tl2br w:val="nil"/>
                    <w:tr2bl w:val="nil"/>
                  </w:tcBorders>
                  <w:vAlign w:val="center"/>
                </w:tcPr>
                <w:p w14:paraId="21F07DC1">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pH、COD、NH</w:t>
                  </w:r>
                  <w:r>
                    <w:rPr>
                      <w:rFonts w:hint="default" w:ascii="Times New Roman" w:hAnsi="Times New Roman" w:cs="Times New Roman"/>
                      <w:color w:val="000000" w:themeColor="text1"/>
                      <w:sz w:val="21"/>
                      <w:szCs w:val="21"/>
                      <w:u w:val="none"/>
                      <w:vertAlign w:val="subscript"/>
                      <w:lang w:val="en-US" w:eastAsia="zh-CN"/>
                      <w14:textFill>
                        <w14:solidFill>
                          <w14:schemeClr w14:val="tx1"/>
                        </w14:solidFill>
                      </w14:textFill>
                    </w:rPr>
                    <w:t>3</w:t>
                  </w:r>
                  <w:r>
                    <w:rPr>
                      <w:rFonts w:hint="default" w:ascii="Times New Roman" w:hAnsi="Times New Roman" w:cs="Times New Roman"/>
                      <w:color w:val="000000" w:themeColor="text1"/>
                      <w:sz w:val="21"/>
                      <w:szCs w:val="21"/>
                      <w:u w:val="none"/>
                      <w:lang w:val="en-US" w:eastAsia="zh-CN"/>
                      <w14:textFill>
                        <w14:solidFill>
                          <w14:schemeClr w14:val="tx1"/>
                        </w14:solidFill>
                      </w14:textFill>
                    </w:rPr>
                    <w:t>-N、TN、TP</w:t>
                  </w:r>
                </w:p>
              </w:tc>
              <w:tc>
                <w:tcPr>
                  <w:tcW w:w="1071" w:type="pct"/>
                  <w:tcBorders>
                    <w:tl2br w:val="nil"/>
                    <w:tr2bl w:val="nil"/>
                  </w:tcBorders>
                  <w:vAlign w:val="center"/>
                </w:tcPr>
                <w:p w14:paraId="7B6FA6A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生活污水经化粪池处理后由污水管网排至新乡县综合污水处理厂进一步治理。</w:t>
                  </w:r>
                </w:p>
              </w:tc>
              <w:tc>
                <w:tcPr>
                  <w:tcW w:w="2057" w:type="pct"/>
                  <w:tcBorders>
                    <w:tl2br w:val="nil"/>
                    <w:tr2bl w:val="nil"/>
                  </w:tcBorders>
                  <w:vAlign w:val="center"/>
                </w:tcPr>
                <w:p w14:paraId="635EB7A6">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新乡县综合污水处理厂收水标准、《污水排入城镇下水道水质标准》（GB/T31962-2015）</w:t>
                  </w:r>
                </w:p>
              </w:tc>
              <w:tc>
                <w:tcPr>
                  <w:tcW w:w="549" w:type="pct"/>
                  <w:tcBorders>
                    <w:tl2br w:val="nil"/>
                    <w:tr2bl w:val="nil"/>
                  </w:tcBorders>
                  <w:vAlign w:val="center"/>
                </w:tcPr>
                <w:p w14:paraId="79CE43FF">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r>
                    <w:rPr>
                      <w:rFonts w:hint="eastAsia" w:ascii="Times New Roman" w:cs="Times New Roman"/>
                      <w:b w:val="0"/>
                      <w:bCs/>
                      <w:color w:val="000000" w:themeColor="text1"/>
                      <w:sz w:val="21"/>
                      <w:szCs w:val="21"/>
                      <w:highlight w:val="none"/>
                      <w:u w:val="none"/>
                      <w:lang w:val="en-US" w:eastAsia="zh-CN"/>
                      <w14:textFill>
                        <w14:solidFill>
                          <w14:schemeClr w14:val="tx1"/>
                        </w14:solidFill>
                      </w14:textFill>
                    </w:rPr>
                    <w:t>2.0</w:t>
                  </w:r>
                </w:p>
              </w:tc>
            </w:tr>
            <w:tr w14:paraId="618708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 w:type="pct"/>
                  <w:tcBorders>
                    <w:tl2br w:val="nil"/>
                    <w:tr2bl w:val="nil"/>
                  </w:tcBorders>
                  <w:vAlign w:val="center"/>
                </w:tcPr>
                <w:p w14:paraId="55467A9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3</w:t>
                  </w:r>
                </w:p>
              </w:tc>
              <w:tc>
                <w:tcPr>
                  <w:tcW w:w="454" w:type="pct"/>
                  <w:tcBorders>
                    <w:tl2br w:val="nil"/>
                    <w:tr2bl w:val="nil"/>
                  </w:tcBorders>
                  <w:vAlign w:val="center"/>
                </w:tcPr>
                <w:p w14:paraId="6D48C6B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噪声</w:t>
                  </w:r>
                </w:p>
              </w:tc>
              <w:tc>
                <w:tcPr>
                  <w:tcW w:w="592" w:type="pct"/>
                  <w:tcBorders>
                    <w:tl2br w:val="nil"/>
                    <w:tr2bl w:val="nil"/>
                  </w:tcBorders>
                  <w:vAlign w:val="center"/>
                </w:tcPr>
                <w:p w14:paraId="1C6A322F">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lang w:val="en-US"/>
                      <w14:textFill>
                        <w14:solidFill>
                          <w14:schemeClr w14:val="tx1"/>
                        </w14:solidFill>
                      </w14:textFill>
                    </w:rPr>
                  </w:pPr>
                  <w:r>
                    <w:rPr>
                      <w:rFonts w:hint="eastAsia" w:ascii="Times New Roman" w:cs="Times New Roman"/>
                      <w:color w:val="000000" w:themeColor="text1"/>
                      <w:sz w:val="21"/>
                      <w:szCs w:val="21"/>
                      <w:highlight w:val="none"/>
                      <w:u w:val="none"/>
                      <w:vertAlign w:val="baseline"/>
                      <w:lang w:val="en-US" w:eastAsia="zh-CN"/>
                      <w14:textFill>
                        <w14:solidFill>
                          <w14:schemeClr w14:val="tx1"/>
                        </w14:solidFill>
                      </w14:textFill>
                    </w:rPr>
                    <w:t>加工中心、数控车床、喷砂机、平面磨床、空压机、风机等</w:t>
                  </w:r>
                </w:p>
              </w:tc>
              <w:tc>
                <w:tcPr>
                  <w:tcW w:w="1071" w:type="pct"/>
                  <w:tcBorders>
                    <w:tl2br w:val="nil"/>
                    <w:tr2bl w:val="nil"/>
                  </w:tcBorders>
                  <w:vAlign w:val="center"/>
                </w:tcPr>
                <w:p w14:paraId="7493C2E5">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厂房采取隔音材料、距离衰减</w:t>
                  </w:r>
                </w:p>
              </w:tc>
              <w:tc>
                <w:tcPr>
                  <w:tcW w:w="2057" w:type="pct"/>
                  <w:tcBorders>
                    <w:tl2br w:val="nil"/>
                    <w:tr2bl w:val="nil"/>
                  </w:tcBorders>
                  <w:vAlign w:val="center"/>
                </w:tcPr>
                <w:p w14:paraId="16978AAD">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《工业企业厂界环境噪声排放标准》（GB12348-2008）</w:t>
                  </w:r>
                  <w:r>
                    <w:rPr>
                      <w:rFonts w:hint="eastAsia" w:ascii="Times New Roman" w:cs="Times New Roman"/>
                      <w:color w:val="000000" w:themeColor="text1"/>
                      <w:sz w:val="21"/>
                      <w:szCs w:val="21"/>
                      <w:highlight w:val="none"/>
                      <w:u w:val="no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类标准（昼间≤6</w:t>
                  </w:r>
                  <w:r>
                    <w:rPr>
                      <w:rFonts w:hint="eastAsia" w:ascii="Times New Roman" w:cs="Times New Roman"/>
                      <w:color w:val="000000" w:themeColor="text1"/>
                      <w:sz w:val="21"/>
                      <w:szCs w:val="21"/>
                      <w:highlight w:val="none"/>
                      <w:u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dB（A））</w:t>
                  </w:r>
                </w:p>
              </w:tc>
              <w:tc>
                <w:tcPr>
                  <w:tcW w:w="549" w:type="pct"/>
                  <w:tcBorders>
                    <w:tl2br w:val="nil"/>
                    <w:tr2bl w:val="nil"/>
                  </w:tcBorders>
                  <w:vAlign w:val="center"/>
                </w:tcPr>
                <w:p w14:paraId="4831E5E4">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2.0</w:t>
                  </w:r>
                </w:p>
              </w:tc>
            </w:tr>
            <w:tr w14:paraId="34AFD2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 w:type="pct"/>
                  <w:vMerge w:val="restart"/>
                  <w:tcBorders>
                    <w:tl2br w:val="nil"/>
                    <w:tr2bl w:val="nil"/>
                  </w:tcBorders>
                  <w:vAlign w:val="center"/>
                </w:tcPr>
                <w:p w14:paraId="4E951AF9">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4</w:t>
                  </w:r>
                </w:p>
              </w:tc>
              <w:tc>
                <w:tcPr>
                  <w:tcW w:w="454" w:type="pct"/>
                  <w:vMerge w:val="restart"/>
                  <w:tcBorders>
                    <w:tl2br w:val="nil"/>
                    <w:tr2bl w:val="nil"/>
                  </w:tcBorders>
                  <w:vAlign w:val="center"/>
                </w:tcPr>
                <w:p w14:paraId="42741E8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固废</w:t>
                  </w:r>
                </w:p>
              </w:tc>
              <w:tc>
                <w:tcPr>
                  <w:tcW w:w="592" w:type="pct"/>
                  <w:tcBorders>
                    <w:tl2br w:val="nil"/>
                    <w:tr2bl w:val="nil"/>
                  </w:tcBorders>
                  <w:vAlign w:val="center"/>
                </w:tcPr>
                <w:p w14:paraId="34A9BFC0">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yellow"/>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金属边角料</w:t>
                  </w:r>
                </w:p>
              </w:tc>
              <w:tc>
                <w:tcPr>
                  <w:tcW w:w="1071" w:type="pct"/>
                  <w:vMerge w:val="restart"/>
                  <w:tcBorders>
                    <w:tl2br w:val="nil"/>
                    <w:tr2bl w:val="nil"/>
                  </w:tcBorders>
                  <w:vAlign w:val="center"/>
                </w:tcPr>
                <w:p w14:paraId="66D80EE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yellow"/>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新建1座10m</w:t>
                  </w:r>
                  <w:r>
                    <w:rPr>
                      <w:rFonts w:hint="default" w:ascii="Times New Roman" w:hAnsi="Times New Roman" w:cs="Times New Roman"/>
                      <w:color w:val="000000" w:themeColor="text1"/>
                      <w:sz w:val="21"/>
                      <w:szCs w:val="21"/>
                      <w:highlight w:val="none"/>
                      <w:u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一般固废间暂存，定期出售</w:t>
                  </w:r>
                </w:p>
              </w:tc>
              <w:tc>
                <w:tcPr>
                  <w:tcW w:w="2057" w:type="pct"/>
                  <w:vMerge w:val="restart"/>
                  <w:tcBorders>
                    <w:tl2br w:val="nil"/>
                    <w:tr2bl w:val="nil"/>
                  </w:tcBorders>
                  <w:vAlign w:val="center"/>
                </w:tcPr>
                <w:p w14:paraId="40BBF56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yellow"/>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《一般工业固体废物贮存和填埋污染控制标准》（GB18599-2020）</w:t>
                  </w:r>
                </w:p>
              </w:tc>
              <w:tc>
                <w:tcPr>
                  <w:tcW w:w="549" w:type="pct"/>
                  <w:vMerge w:val="restart"/>
                  <w:tcBorders>
                    <w:tl2br w:val="nil"/>
                    <w:tr2bl w:val="nil"/>
                  </w:tcBorders>
                  <w:vAlign w:val="center"/>
                </w:tcPr>
                <w:p w14:paraId="61970FC0">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1.0</w:t>
                  </w:r>
                </w:p>
              </w:tc>
            </w:tr>
            <w:tr w14:paraId="4CC134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 w:type="pct"/>
                  <w:vMerge w:val="continue"/>
                  <w:tcBorders>
                    <w:tl2br w:val="nil"/>
                    <w:tr2bl w:val="nil"/>
                  </w:tcBorders>
                  <w:vAlign w:val="center"/>
                </w:tcPr>
                <w:p w14:paraId="2695BB1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p>
              </w:tc>
              <w:tc>
                <w:tcPr>
                  <w:tcW w:w="454" w:type="pct"/>
                  <w:vMerge w:val="continue"/>
                  <w:tcBorders>
                    <w:tl2br w:val="nil"/>
                    <w:tr2bl w:val="nil"/>
                  </w:tcBorders>
                  <w:vAlign w:val="center"/>
                </w:tcPr>
                <w:p w14:paraId="3B379F80">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p>
              </w:tc>
              <w:tc>
                <w:tcPr>
                  <w:tcW w:w="592" w:type="pct"/>
                  <w:tcBorders>
                    <w:tl2br w:val="nil"/>
                    <w:tr2bl w:val="nil"/>
                  </w:tcBorders>
                  <w:vAlign w:val="center"/>
                </w:tcPr>
                <w:p w14:paraId="32DB6BCC">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yellow"/>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除尘器除尘、除尘器滤芯</w:t>
                  </w:r>
                </w:p>
              </w:tc>
              <w:tc>
                <w:tcPr>
                  <w:tcW w:w="1071" w:type="pct"/>
                  <w:vMerge w:val="continue"/>
                  <w:tcBorders>
                    <w:tl2br w:val="nil"/>
                    <w:tr2bl w:val="nil"/>
                  </w:tcBorders>
                  <w:vAlign w:val="center"/>
                </w:tcPr>
                <w:p w14:paraId="53B4541A">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yellow"/>
                      <w:u w:val="none"/>
                      <w:lang w:val="en-US" w:eastAsia="zh-CN"/>
                      <w14:textFill>
                        <w14:solidFill>
                          <w14:schemeClr w14:val="tx1"/>
                        </w14:solidFill>
                      </w14:textFill>
                    </w:rPr>
                  </w:pPr>
                </w:p>
              </w:tc>
              <w:tc>
                <w:tcPr>
                  <w:tcW w:w="2057" w:type="pct"/>
                  <w:vMerge w:val="continue"/>
                  <w:tcBorders>
                    <w:tl2br w:val="nil"/>
                    <w:tr2bl w:val="nil"/>
                  </w:tcBorders>
                  <w:vAlign w:val="center"/>
                </w:tcPr>
                <w:p w14:paraId="6D41DE2E">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yellow"/>
                      <w:u w:val="none"/>
                      <w:lang w:val="en-US" w:eastAsia="zh-CN"/>
                      <w14:textFill>
                        <w14:solidFill>
                          <w14:schemeClr w14:val="tx1"/>
                        </w14:solidFill>
                      </w14:textFill>
                    </w:rPr>
                  </w:pPr>
                </w:p>
              </w:tc>
              <w:tc>
                <w:tcPr>
                  <w:tcW w:w="549" w:type="pct"/>
                  <w:vMerge w:val="continue"/>
                  <w:tcBorders>
                    <w:tl2br w:val="nil"/>
                    <w:tr2bl w:val="nil"/>
                  </w:tcBorders>
                  <w:vAlign w:val="center"/>
                </w:tcPr>
                <w:p w14:paraId="7382A3C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yellow"/>
                      <w:u w:val="none"/>
                      <w:lang w:val="en-US" w:eastAsia="zh-CN"/>
                      <w14:textFill>
                        <w14:solidFill>
                          <w14:schemeClr w14:val="tx1"/>
                        </w14:solidFill>
                      </w14:textFill>
                    </w:rPr>
                  </w:pPr>
                </w:p>
              </w:tc>
            </w:tr>
            <w:tr w14:paraId="36B218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 w:type="pct"/>
                  <w:vMerge w:val="continue"/>
                  <w:tcBorders>
                    <w:tl2br w:val="nil"/>
                    <w:tr2bl w:val="nil"/>
                  </w:tcBorders>
                  <w:vAlign w:val="center"/>
                </w:tcPr>
                <w:p w14:paraId="184E8D2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454" w:type="pct"/>
                  <w:vMerge w:val="continue"/>
                  <w:tcBorders>
                    <w:tl2br w:val="nil"/>
                    <w:tr2bl w:val="nil"/>
                  </w:tcBorders>
                  <w:vAlign w:val="center"/>
                </w:tcPr>
                <w:p w14:paraId="6107433D">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p>
              </w:tc>
              <w:tc>
                <w:tcPr>
                  <w:tcW w:w="592" w:type="pct"/>
                  <w:tcBorders>
                    <w:tl2br w:val="nil"/>
                    <w:tr2bl w:val="nil"/>
                  </w:tcBorders>
                  <w:vAlign w:val="center"/>
                </w:tcPr>
                <w:p w14:paraId="5B0D8784">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yellow"/>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废包装</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桶</w:t>
                  </w:r>
                </w:p>
              </w:tc>
              <w:tc>
                <w:tcPr>
                  <w:tcW w:w="1071" w:type="pct"/>
                  <w:vMerge w:val="restart"/>
                  <w:tcBorders>
                    <w:tl2br w:val="nil"/>
                    <w:tr2bl w:val="nil"/>
                  </w:tcBorders>
                  <w:vAlign w:val="center"/>
                </w:tcPr>
                <w:p w14:paraId="46430385">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yellow"/>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新</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建1座</w:t>
                  </w:r>
                  <w:r>
                    <w:rPr>
                      <w:rFonts w:hint="eastAsia" w:ascii="Times New Roman" w:hAnsi="Times New Roman" w:cs="Times New Roman"/>
                      <w:color w:val="000000" w:themeColor="text1"/>
                      <w:sz w:val="21"/>
                      <w:szCs w:val="21"/>
                      <w:highlight w:val="none"/>
                      <w:u w:val="none"/>
                      <w:lang w:val="en-US" w:eastAsia="zh-CN"/>
                      <w14:textFill>
                        <w14:solidFill>
                          <w14:schemeClr w14:val="tx1"/>
                        </w14:solidFill>
                      </w14:textFill>
                    </w:rPr>
                    <w:t>10</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m</w:t>
                  </w:r>
                  <w:r>
                    <w:rPr>
                      <w:rFonts w:hint="default" w:ascii="Times New Roman" w:hAnsi="Times New Roman" w:cs="Times New Roman"/>
                      <w:color w:val="000000" w:themeColor="text1"/>
                      <w:sz w:val="21"/>
                      <w:szCs w:val="21"/>
                      <w:highlight w:val="none"/>
                      <w:u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危险废物暂存间暂存，定期委托有资质单位处置</w:t>
                  </w:r>
                </w:p>
              </w:tc>
              <w:tc>
                <w:tcPr>
                  <w:tcW w:w="2057" w:type="pct"/>
                  <w:vMerge w:val="restart"/>
                  <w:tcBorders>
                    <w:tl2br w:val="nil"/>
                    <w:tr2bl w:val="nil"/>
                  </w:tcBorders>
                  <w:vAlign w:val="center"/>
                </w:tcPr>
                <w:p w14:paraId="2B8E427E">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《危险废物贮存污染控制标准》（GB 18597—2023）</w:t>
                  </w:r>
                </w:p>
              </w:tc>
              <w:tc>
                <w:tcPr>
                  <w:tcW w:w="549" w:type="pct"/>
                  <w:vMerge w:val="restart"/>
                  <w:tcBorders>
                    <w:tl2br w:val="nil"/>
                    <w:tr2bl w:val="nil"/>
                  </w:tcBorders>
                  <w:vAlign w:val="center"/>
                </w:tcPr>
                <w:p w14:paraId="0C956D5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2.0</w:t>
                  </w:r>
                </w:p>
              </w:tc>
            </w:tr>
            <w:tr w14:paraId="078AE1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 w:type="pct"/>
                  <w:vMerge w:val="continue"/>
                  <w:tcBorders>
                    <w:tl2br w:val="nil"/>
                    <w:tr2bl w:val="nil"/>
                  </w:tcBorders>
                  <w:vAlign w:val="center"/>
                </w:tcPr>
                <w:p w14:paraId="5B6C3D0A">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454" w:type="pct"/>
                  <w:vMerge w:val="continue"/>
                  <w:tcBorders>
                    <w:tl2br w:val="nil"/>
                    <w:tr2bl w:val="nil"/>
                  </w:tcBorders>
                  <w:vAlign w:val="center"/>
                </w:tcPr>
                <w:p w14:paraId="6482CC1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p>
              </w:tc>
              <w:tc>
                <w:tcPr>
                  <w:tcW w:w="592" w:type="pct"/>
                  <w:tcBorders>
                    <w:tl2br w:val="nil"/>
                    <w:tr2bl w:val="nil"/>
                  </w:tcBorders>
                  <w:vAlign w:val="center"/>
                </w:tcPr>
                <w:p w14:paraId="3019A22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废金属屑（含切削液）</w:t>
                  </w:r>
                </w:p>
              </w:tc>
              <w:tc>
                <w:tcPr>
                  <w:tcW w:w="1071" w:type="pct"/>
                  <w:vMerge w:val="continue"/>
                  <w:tcBorders>
                    <w:tl2br w:val="nil"/>
                    <w:tr2bl w:val="nil"/>
                  </w:tcBorders>
                  <w:vAlign w:val="center"/>
                </w:tcPr>
                <w:p w14:paraId="391018FD">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cs="Times New Roman"/>
                      <w:color w:val="000000" w:themeColor="text1"/>
                      <w:sz w:val="21"/>
                      <w:szCs w:val="21"/>
                      <w:highlight w:val="none"/>
                      <w:u w:val="none"/>
                      <w:lang w:val="en-US" w:eastAsia="zh-CN"/>
                      <w14:textFill>
                        <w14:solidFill>
                          <w14:schemeClr w14:val="tx1"/>
                        </w14:solidFill>
                      </w14:textFill>
                    </w:rPr>
                  </w:pPr>
                </w:p>
              </w:tc>
              <w:tc>
                <w:tcPr>
                  <w:tcW w:w="2057" w:type="pct"/>
                  <w:vMerge w:val="continue"/>
                  <w:tcBorders>
                    <w:tl2br w:val="nil"/>
                    <w:tr2bl w:val="nil"/>
                  </w:tcBorders>
                  <w:vAlign w:val="center"/>
                </w:tcPr>
                <w:p w14:paraId="01FB55D4">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549" w:type="pct"/>
                  <w:vMerge w:val="continue"/>
                  <w:tcBorders>
                    <w:tl2br w:val="nil"/>
                    <w:tr2bl w:val="nil"/>
                  </w:tcBorders>
                  <w:vAlign w:val="center"/>
                </w:tcPr>
                <w:p w14:paraId="05AF7405">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p>
              </w:tc>
            </w:tr>
            <w:tr w14:paraId="3D3B1F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 w:type="pct"/>
                  <w:vMerge w:val="continue"/>
                  <w:tcBorders>
                    <w:tl2br w:val="nil"/>
                    <w:tr2bl w:val="nil"/>
                  </w:tcBorders>
                  <w:vAlign w:val="center"/>
                </w:tcPr>
                <w:p w14:paraId="254E91F5">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454" w:type="pct"/>
                  <w:vMerge w:val="continue"/>
                  <w:tcBorders>
                    <w:tl2br w:val="nil"/>
                    <w:tr2bl w:val="nil"/>
                  </w:tcBorders>
                  <w:vAlign w:val="center"/>
                </w:tcPr>
                <w:p w14:paraId="2476671D">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p>
              </w:tc>
              <w:tc>
                <w:tcPr>
                  <w:tcW w:w="592" w:type="pct"/>
                  <w:tcBorders>
                    <w:tl2br w:val="nil"/>
                    <w:tr2bl w:val="nil"/>
                  </w:tcBorders>
                  <w:vAlign w:val="center"/>
                </w:tcPr>
                <w:p w14:paraId="32932ED0">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废机油</w:t>
                  </w:r>
                </w:p>
              </w:tc>
              <w:tc>
                <w:tcPr>
                  <w:tcW w:w="1071" w:type="pct"/>
                  <w:vMerge w:val="continue"/>
                  <w:tcBorders>
                    <w:tl2br w:val="nil"/>
                    <w:tr2bl w:val="nil"/>
                  </w:tcBorders>
                  <w:vAlign w:val="center"/>
                </w:tcPr>
                <w:p w14:paraId="7706E58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cs="Times New Roman"/>
                      <w:color w:val="000000" w:themeColor="text1"/>
                      <w:sz w:val="21"/>
                      <w:szCs w:val="21"/>
                      <w:highlight w:val="none"/>
                      <w:u w:val="none"/>
                      <w:lang w:val="en-US" w:eastAsia="zh-CN"/>
                      <w14:textFill>
                        <w14:solidFill>
                          <w14:schemeClr w14:val="tx1"/>
                        </w14:solidFill>
                      </w14:textFill>
                    </w:rPr>
                  </w:pPr>
                </w:p>
              </w:tc>
              <w:tc>
                <w:tcPr>
                  <w:tcW w:w="2057" w:type="pct"/>
                  <w:vMerge w:val="continue"/>
                  <w:tcBorders>
                    <w:tl2br w:val="nil"/>
                    <w:tr2bl w:val="nil"/>
                  </w:tcBorders>
                  <w:vAlign w:val="center"/>
                </w:tcPr>
                <w:p w14:paraId="2C250D7C">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549" w:type="pct"/>
                  <w:vMerge w:val="continue"/>
                  <w:tcBorders>
                    <w:tl2br w:val="nil"/>
                    <w:tr2bl w:val="nil"/>
                  </w:tcBorders>
                  <w:vAlign w:val="center"/>
                </w:tcPr>
                <w:p w14:paraId="10D3DA09">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p>
              </w:tc>
            </w:tr>
            <w:tr w14:paraId="22D799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 w:type="pct"/>
                  <w:tcBorders>
                    <w:bottom w:val="single" w:color="auto" w:sz="8" w:space="0"/>
                  </w:tcBorders>
                  <w:vAlign w:val="center"/>
                </w:tcPr>
                <w:p w14:paraId="24850819">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5</w:t>
                  </w:r>
                </w:p>
              </w:tc>
              <w:tc>
                <w:tcPr>
                  <w:tcW w:w="1046" w:type="pct"/>
                  <w:gridSpan w:val="2"/>
                  <w:tcBorders>
                    <w:bottom w:val="single" w:color="auto" w:sz="8" w:space="0"/>
                  </w:tcBorders>
                  <w:vAlign w:val="center"/>
                </w:tcPr>
                <w:p w14:paraId="69E5516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合计</w:t>
                  </w:r>
                </w:p>
              </w:tc>
              <w:tc>
                <w:tcPr>
                  <w:tcW w:w="1071" w:type="pct"/>
                  <w:tcBorders>
                    <w:bottom w:val="single" w:color="auto" w:sz="8" w:space="0"/>
                  </w:tcBorders>
                  <w:vAlign w:val="center"/>
                </w:tcPr>
                <w:p w14:paraId="1E9A3C9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w:t>
                  </w:r>
                </w:p>
              </w:tc>
              <w:tc>
                <w:tcPr>
                  <w:tcW w:w="2057" w:type="pct"/>
                  <w:tcBorders>
                    <w:bottom w:val="single" w:color="auto" w:sz="8" w:space="0"/>
                  </w:tcBorders>
                  <w:vAlign w:val="center"/>
                </w:tcPr>
                <w:p w14:paraId="40A73D7B">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w:t>
                  </w:r>
                </w:p>
              </w:tc>
              <w:tc>
                <w:tcPr>
                  <w:tcW w:w="549" w:type="pct"/>
                  <w:tcBorders>
                    <w:bottom w:val="single" w:color="auto" w:sz="8" w:space="0"/>
                  </w:tcBorders>
                  <w:vAlign w:val="center"/>
                </w:tcPr>
                <w:p w14:paraId="79A8EA5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12</w:t>
                  </w:r>
                </w:p>
              </w:tc>
            </w:tr>
          </w:tbl>
          <w:p w14:paraId="542F4774">
            <w:pPr>
              <w:pStyle w:val="10"/>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leftChars="0" w:right="0" w:rightChars="0" w:firstLine="0" w:firstLineChars="0"/>
              <w:jc w:val="both"/>
              <w:textAlignment w:val="auto"/>
              <w:rPr>
                <w:rFonts w:hint="eastAsia" w:cs="Times New Roman"/>
                <w:b w:val="0"/>
                <w:bCs/>
                <w:color w:val="000000"/>
                <w:sz w:val="24"/>
                <w:highlight w:val="none"/>
                <w:lang w:val="en-US" w:eastAsia="zh-CN"/>
              </w:rPr>
            </w:pPr>
          </w:p>
          <w:p w14:paraId="024E50A3">
            <w:pPr>
              <w:keepNext w:val="0"/>
              <w:keepLines w:val="0"/>
              <w:suppressLineNumbers w:val="0"/>
              <w:adjustRightInd w:val="0"/>
              <w:snapToGrid w:val="0"/>
              <w:spacing w:before="0" w:beforeAutospacing="0" w:after="0" w:afterAutospacing="0" w:line="440" w:lineRule="exact"/>
              <w:ind w:left="0" w:right="0" w:firstLine="440" w:firstLineChars="200"/>
              <w:rPr>
                <w:rFonts w:hint="eastAsia" w:eastAsia="宋体"/>
                <w:bCs/>
                <w:spacing w:val="-10"/>
                <w:sz w:val="24"/>
                <w:lang w:eastAsia="zh-CN"/>
              </w:rPr>
            </w:pPr>
          </w:p>
          <w:p w14:paraId="5B4EDD86">
            <w:pPr>
              <w:pStyle w:val="2"/>
              <w:keepLines w:val="0"/>
              <w:suppressLineNumbers w:val="0"/>
              <w:spacing w:beforeAutospacing="0" w:afterAutospacing="0"/>
              <w:ind w:right="0"/>
              <w:rPr>
                <w:rFonts w:hint="eastAsia" w:eastAsia="宋体"/>
                <w:bCs/>
                <w:spacing w:val="-10"/>
                <w:sz w:val="24"/>
                <w:lang w:eastAsia="zh-CN"/>
              </w:rPr>
            </w:pPr>
          </w:p>
          <w:p w14:paraId="77868D9A">
            <w:pPr>
              <w:keepNext w:val="0"/>
              <w:keepLines w:val="0"/>
              <w:suppressLineNumbers w:val="0"/>
              <w:spacing w:before="0" w:beforeAutospacing="0" w:after="0" w:afterAutospacing="0"/>
              <w:ind w:left="0" w:right="0"/>
              <w:rPr>
                <w:rFonts w:hint="eastAsia" w:eastAsia="宋体"/>
                <w:bCs/>
                <w:spacing w:val="-10"/>
                <w:sz w:val="24"/>
                <w:lang w:eastAsia="zh-CN"/>
              </w:rPr>
            </w:pPr>
          </w:p>
          <w:p w14:paraId="362267CF">
            <w:pPr>
              <w:pStyle w:val="2"/>
              <w:keepLines w:val="0"/>
              <w:suppressLineNumbers w:val="0"/>
              <w:spacing w:beforeAutospacing="0" w:afterAutospacing="0"/>
              <w:ind w:right="0"/>
              <w:rPr>
                <w:rFonts w:hint="eastAsia" w:eastAsia="宋体"/>
                <w:bCs/>
                <w:spacing w:val="-10"/>
                <w:sz w:val="24"/>
                <w:lang w:eastAsia="zh-CN"/>
              </w:rPr>
            </w:pPr>
          </w:p>
          <w:p w14:paraId="301D0FE2">
            <w:pPr>
              <w:keepNext w:val="0"/>
              <w:keepLines w:val="0"/>
              <w:suppressLineNumbers w:val="0"/>
              <w:spacing w:before="0" w:beforeAutospacing="0" w:after="0" w:afterAutospacing="0"/>
              <w:ind w:left="0" w:right="0"/>
              <w:rPr>
                <w:rFonts w:hint="eastAsia" w:eastAsia="宋体"/>
                <w:bCs/>
                <w:spacing w:val="-10"/>
                <w:sz w:val="24"/>
                <w:lang w:eastAsia="zh-CN"/>
              </w:rPr>
            </w:pPr>
          </w:p>
          <w:p w14:paraId="77A92D1A">
            <w:pPr>
              <w:pStyle w:val="2"/>
              <w:keepLines w:val="0"/>
              <w:suppressLineNumbers w:val="0"/>
              <w:spacing w:beforeAutospacing="0" w:afterAutospacing="0"/>
              <w:ind w:right="0"/>
              <w:rPr>
                <w:rFonts w:hint="eastAsia" w:eastAsia="宋体"/>
                <w:bCs/>
                <w:spacing w:val="-10"/>
                <w:sz w:val="24"/>
                <w:lang w:eastAsia="zh-CN"/>
              </w:rPr>
            </w:pPr>
          </w:p>
          <w:p w14:paraId="63E6B0D7">
            <w:pPr>
              <w:keepNext w:val="0"/>
              <w:keepLines w:val="0"/>
              <w:suppressLineNumbers w:val="0"/>
              <w:spacing w:before="0" w:beforeAutospacing="0" w:after="0" w:afterAutospacing="0"/>
              <w:ind w:left="0" w:right="0"/>
              <w:rPr>
                <w:rFonts w:hint="eastAsia" w:eastAsia="宋体"/>
                <w:bCs/>
                <w:spacing w:val="-10"/>
                <w:sz w:val="24"/>
                <w:lang w:eastAsia="zh-CN"/>
              </w:rPr>
            </w:pPr>
          </w:p>
          <w:p w14:paraId="0C5A9485">
            <w:pPr>
              <w:pStyle w:val="2"/>
              <w:keepLines w:val="0"/>
              <w:suppressLineNumbers w:val="0"/>
              <w:spacing w:beforeAutospacing="0" w:afterAutospacing="0"/>
              <w:ind w:right="0"/>
              <w:rPr>
                <w:rFonts w:hint="eastAsia" w:eastAsia="宋体"/>
                <w:bCs/>
                <w:spacing w:val="-10"/>
                <w:sz w:val="24"/>
                <w:lang w:eastAsia="zh-CN"/>
              </w:rPr>
            </w:pPr>
          </w:p>
          <w:p w14:paraId="54BC133D">
            <w:pPr>
              <w:keepNext w:val="0"/>
              <w:keepLines w:val="0"/>
              <w:suppressLineNumbers w:val="0"/>
              <w:spacing w:before="0" w:beforeAutospacing="0" w:after="0" w:afterAutospacing="0"/>
              <w:ind w:left="0" w:right="0"/>
              <w:rPr>
                <w:rFonts w:hint="eastAsia" w:eastAsia="宋体"/>
                <w:bCs/>
                <w:spacing w:val="-10"/>
                <w:sz w:val="24"/>
                <w:lang w:eastAsia="zh-CN"/>
              </w:rPr>
            </w:pPr>
          </w:p>
          <w:p w14:paraId="0D4DBAC8">
            <w:pPr>
              <w:pStyle w:val="2"/>
              <w:keepLines w:val="0"/>
              <w:suppressLineNumbers w:val="0"/>
              <w:tabs>
                <w:tab w:val="left" w:pos="838"/>
              </w:tabs>
              <w:spacing w:beforeAutospacing="0" w:afterAutospacing="0"/>
              <w:ind w:right="0"/>
              <w:rPr>
                <w:rFonts w:hint="eastAsia"/>
                <w:bCs/>
                <w:spacing w:val="-10"/>
                <w:sz w:val="24"/>
                <w:lang w:eastAsia="zh-CN"/>
              </w:rPr>
            </w:pPr>
            <w:r>
              <w:rPr>
                <w:rFonts w:hint="eastAsia"/>
                <w:bCs/>
                <w:spacing w:val="-10"/>
                <w:sz w:val="24"/>
                <w:lang w:eastAsia="zh-CN"/>
              </w:rPr>
              <w:tab/>
            </w:r>
          </w:p>
          <w:p w14:paraId="425FA5D4">
            <w:pPr>
              <w:keepNext w:val="0"/>
              <w:keepLines w:val="0"/>
              <w:suppressLineNumbers w:val="0"/>
              <w:spacing w:before="0" w:beforeAutospacing="0" w:after="0" w:afterAutospacing="0"/>
              <w:ind w:left="0" w:right="0"/>
              <w:rPr>
                <w:rFonts w:hint="eastAsia"/>
                <w:bCs/>
                <w:spacing w:val="-10"/>
                <w:sz w:val="24"/>
                <w:lang w:eastAsia="zh-CN"/>
              </w:rPr>
            </w:pPr>
          </w:p>
          <w:p w14:paraId="10C9D5A2">
            <w:pPr>
              <w:pStyle w:val="2"/>
              <w:keepLines w:val="0"/>
              <w:suppressLineNumbers w:val="0"/>
              <w:spacing w:beforeAutospacing="0" w:afterAutospacing="0"/>
              <w:ind w:right="0"/>
              <w:rPr>
                <w:rFonts w:hint="eastAsia"/>
                <w:bCs/>
                <w:spacing w:val="-10"/>
                <w:sz w:val="24"/>
                <w:lang w:eastAsia="zh-CN"/>
              </w:rPr>
            </w:pPr>
          </w:p>
          <w:p w14:paraId="541C2332">
            <w:pPr>
              <w:keepNext w:val="0"/>
              <w:keepLines w:val="0"/>
              <w:suppressLineNumbers w:val="0"/>
              <w:spacing w:before="0" w:beforeAutospacing="0" w:after="0" w:afterAutospacing="0"/>
              <w:ind w:left="0" w:right="0"/>
              <w:rPr>
                <w:rFonts w:hint="eastAsia"/>
                <w:lang w:eastAsia="zh-CN"/>
              </w:rPr>
            </w:pPr>
          </w:p>
          <w:p w14:paraId="13CA44D6">
            <w:pPr>
              <w:keepNext w:val="0"/>
              <w:keepLines w:val="0"/>
              <w:suppressLineNumbers w:val="0"/>
              <w:spacing w:before="0" w:beforeAutospacing="0" w:after="0" w:afterAutospacing="0"/>
              <w:ind w:left="0" w:right="0"/>
              <w:rPr>
                <w:rFonts w:hint="default"/>
                <w:lang w:val="en-US" w:eastAsia="zh-CN"/>
              </w:rPr>
            </w:pPr>
          </w:p>
        </w:tc>
      </w:tr>
    </w:tbl>
    <w:p w14:paraId="148B4D00">
      <w:pPr>
        <w:adjustRightInd w:val="0"/>
        <w:snapToGrid w:val="0"/>
        <w:spacing w:line="360" w:lineRule="auto"/>
        <w:rPr>
          <w:rFonts w:hint="eastAsia" w:ascii="宋体" w:cs="宋体"/>
          <w:b/>
          <w:kern w:val="0"/>
          <w:sz w:val="28"/>
          <w:szCs w:val="28"/>
        </w:rPr>
        <w:sectPr>
          <w:pgSz w:w="11907" w:h="16840"/>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07862A2">
      <w:pPr>
        <w:pStyle w:val="18"/>
        <w:jc w:val="center"/>
        <w:outlineLvl w:val="0"/>
        <w:rPr>
          <w:rFonts w:hint="eastAsia" w:ascii="黑体" w:hAnsi="黑体" w:eastAsia="黑体" w:cs="黑体"/>
          <w:b w:val="0"/>
          <w:bCs w:val="0"/>
          <w:snapToGrid w:val="0"/>
          <w:sz w:val="30"/>
          <w:szCs w:val="30"/>
        </w:rPr>
      </w:pPr>
      <w:r>
        <w:rPr>
          <w:rFonts w:hint="eastAsia" w:ascii="黑体" w:hAnsi="黑体" w:eastAsia="黑体" w:cs="黑体"/>
          <w:b w:val="0"/>
          <w:bCs w:val="0"/>
          <w:snapToGrid w:val="0"/>
          <w:sz w:val="30"/>
          <w:szCs w:val="30"/>
        </w:rPr>
        <w:t>五、</w:t>
      </w:r>
      <w:bookmarkStart w:id="4" w:name="_Hlk54167917"/>
      <w:r>
        <w:rPr>
          <w:rFonts w:hint="eastAsia" w:ascii="黑体" w:hAnsi="黑体" w:eastAsia="黑体" w:cs="黑体"/>
          <w:b w:val="0"/>
          <w:bCs w:val="0"/>
          <w:snapToGrid w:val="0"/>
          <w:sz w:val="30"/>
          <w:szCs w:val="30"/>
        </w:rPr>
        <w:t>环境保护措施监督检查清单</w:t>
      </w:r>
      <w:bookmarkEnd w:id="4"/>
    </w:p>
    <w:tbl>
      <w:tblPr>
        <w:tblStyle w:val="22"/>
        <w:tblW w:w="532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2"/>
        <w:gridCol w:w="1707"/>
        <w:gridCol w:w="1015"/>
        <w:gridCol w:w="3337"/>
        <w:gridCol w:w="2900"/>
      </w:tblGrid>
      <w:tr w14:paraId="5FC861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2" w:type="dxa"/>
            <w:tcBorders>
              <w:tl2br w:val="single" w:color="auto" w:sz="4" w:space="0"/>
            </w:tcBorders>
            <w:noWrap w:val="0"/>
            <w:vAlign w:val="center"/>
          </w:tcPr>
          <w:p w14:paraId="66282DC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right"/>
              <w:rPr>
                <w:rFonts w:hint="default" w:hAnsi="宋体"/>
                <w:b/>
                <w:sz w:val="24"/>
                <w:szCs w:val="24"/>
                <w:highlight w:val="none"/>
              </w:rPr>
            </w:pPr>
            <w:r>
              <w:rPr>
                <w:rFonts w:hint="default" w:hAnsi="宋体"/>
                <w:b/>
                <w:sz w:val="24"/>
                <w:szCs w:val="24"/>
                <w:highlight w:val="none"/>
              </w:rPr>
              <w:t>内容</w:t>
            </w:r>
          </w:p>
          <w:p w14:paraId="6C46791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rPr>
                <w:rFonts w:hint="default"/>
                <w:b/>
                <w:sz w:val="24"/>
                <w:szCs w:val="24"/>
                <w:highlight w:val="none"/>
              </w:rPr>
            </w:pPr>
            <w:r>
              <w:rPr>
                <w:rFonts w:hint="default" w:hAnsi="宋体"/>
                <w:b/>
                <w:sz w:val="24"/>
                <w:szCs w:val="24"/>
                <w:highlight w:val="none"/>
              </w:rPr>
              <w:t>要素</w:t>
            </w:r>
          </w:p>
        </w:tc>
        <w:tc>
          <w:tcPr>
            <w:tcW w:w="1707" w:type="dxa"/>
            <w:noWrap w:val="0"/>
            <w:vAlign w:val="center"/>
          </w:tcPr>
          <w:p w14:paraId="45AEE8D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排放口</w:t>
            </w:r>
            <w:r>
              <w:rPr>
                <w:rFonts w:hint="default"/>
                <w:b/>
                <w:sz w:val="24"/>
                <w:szCs w:val="24"/>
                <w:highlight w:val="none"/>
              </w:rPr>
              <w:t>(</w:t>
            </w:r>
            <w:r>
              <w:rPr>
                <w:rFonts w:hint="default" w:hAnsi="宋体"/>
                <w:b/>
                <w:sz w:val="24"/>
                <w:szCs w:val="24"/>
                <w:highlight w:val="none"/>
              </w:rPr>
              <w:t>编号、名称</w:t>
            </w:r>
            <w:r>
              <w:rPr>
                <w:rFonts w:hint="default"/>
                <w:b/>
                <w:sz w:val="24"/>
                <w:szCs w:val="24"/>
                <w:highlight w:val="none"/>
              </w:rPr>
              <w:t>)/</w:t>
            </w:r>
            <w:r>
              <w:rPr>
                <w:rFonts w:hint="default" w:hAnsi="宋体"/>
                <w:b/>
                <w:sz w:val="24"/>
                <w:szCs w:val="24"/>
                <w:highlight w:val="none"/>
              </w:rPr>
              <w:t>污染源</w:t>
            </w:r>
          </w:p>
        </w:tc>
        <w:tc>
          <w:tcPr>
            <w:tcW w:w="1015" w:type="dxa"/>
            <w:noWrap w:val="0"/>
            <w:vAlign w:val="center"/>
          </w:tcPr>
          <w:p w14:paraId="06617CB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污染物项目</w:t>
            </w:r>
          </w:p>
        </w:tc>
        <w:tc>
          <w:tcPr>
            <w:tcW w:w="3337" w:type="dxa"/>
            <w:noWrap w:val="0"/>
            <w:vAlign w:val="center"/>
          </w:tcPr>
          <w:p w14:paraId="0D4471C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环境保护措施</w:t>
            </w:r>
          </w:p>
        </w:tc>
        <w:tc>
          <w:tcPr>
            <w:tcW w:w="2900" w:type="dxa"/>
            <w:noWrap w:val="0"/>
            <w:vAlign w:val="center"/>
          </w:tcPr>
          <w:p w14:paraId="29B1F93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执行标准</w:t>
            </w:r>
          </w:p>
        </w:tc>
      </w:tr>
      <w:tr w14:paraId="6D6E88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05" w:hRule="atLeast"/>
          <w:jc w:val="center"/>
        </w:trPr>
        <w:tc>
          <w:tcPr>
            <w:tcW w:w="932" w:type="dxa"/>
            <w:vMerge w:val="restart"/>
            <w:noWrap w:val="0"/>
            <w:vAlign w:val="center"/>
          </w:tcPr>
          <w:p w14:paraId="5248A94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大气</w:t>
            </w:r>
          </w:p>
          <w:p w14:paraId="0FACD34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default" w:hAnsi="宋体"/>
                <w:sz w:val="24"/>
                <w:szCs w:val="24"/>
                <w:highlight w:val="none"/>
              </w:rPr>
              <w:t>环境</w:t>
            </w:r>
          </w:p>
        </w:tc>
        <w:tc>
          <w:tcPr>
            <w:tcW w:w="1707" w:type="dxa"/>
            <w:noWrap w:val="0"/>
            <w:vAlign w:val="center"/>
          </w:tcPr>
          <w:p w14:paraId="17D86AFA">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40" w:lineRule="exact"/>
              <w:ind w:left="0" w:leftChars="0" w:right="0" w:rightChars="0"/>
              <w:jc w:val="center"/>
              <w:textAlignment w:val="auto"/>
              <w:rPr>
                <w:rFonts w:hint="eastAsia"/>
                <w:sz w:val="24"/>
                <w:szCs w:val="24"/>
                <w:highlight w:val="none"/>
              </w:rPr>
            </w:pPr>
            <w:r>
              <w:rPr>
                <w:rFonts w:hint="eastAsia"/>
                <w:sz w:val="24"/>
                <w:szCs w:val="24"/>
                <w:highlight w:val="none"/>
              </w:rPr>
              <w:t>排气</w:t>
            </w:r>
            <w:r>
              <w:rPr>
                <w:rFonts w:hint="eastAsia"/>
                <w:sz w:val="24"/>
                <w:szCs w:val="24"/>
                <w:highlight w:val="none"/>
                <w:lang w:val="en-US" w:eastAsia="zh-CN"/>
              </w:rPr>
              <w:t>筒</w:t>
            </w:r>
            <w:r>
              <w:rPr>
                <w:rFonts w:hint="eastAsia"/>
                <w:sz w:val="24"/>
                <w:szCs w:val="24"/>
                <w:highlight w:val="none"/>
              </w:rPr>
              <w:t>（DA00</w:t>
            </w:r>
            <w:r>
              <w:rPr>
                <w:rFonts w:hint="eastAsia"/>
                <w:sz w:val="24"/>
                <w:szCs w:val="24"/>
                <w:highlight w:val="none"/>
                <w:lang w:val="en-US" w:eastAsia="zh-CN"/>
              </w:rPr>
              <w:t>1</w:t>
            </w:r>
            <w:r>
              <w:rPr>
                <w:rFonts w:hint="eastAsia"/>
                <w:sz w:val="24"/>
                <w:szCs w:val="24"/>
                <w:highlight w:val="none"/>
              </w:rPr>
              <w:t>）</w:t>
            </w:r>
          </w:p>
          <w:p w14:paraId="1511F4C8">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40" w:lineRule="exact"/>
              <w:ind w:left="0" w:leftChars="0" w:right="0" w:rightChars="0"/>
              <w:jc w:val="center"/>
              <w:textAlignment w:val="auto"/>
              <w:rPr>
                <w:rFonts w:hint="eastAsia" w:ascii="宋体" w:cs="宋体"/>
                <w:kern w:val="0"/>
                <w:sz w:val="24"/>
                <w:szCs w:val="24"/>
                <w:highlight w:val="none"/>
              </w:rPr>
            </w:pPr>
            <w:r>
              <w:rPr>
                <w:rFonts w:hint="eastAsia" w:ascii="宋体" w:cs="宋体"/>
                <w:kern w:val="0"/>
                <w:sz w:val="24"/>
                <w:szCs w:val="24"/>
                <w:highlight w:val="none"/>
              </w:rPr>
              <w:t>污染源：</w:t>
            </w:r>
          </w:p>
          <w:p w14:paraId="3815E64B">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40" w:lineRule="exact"/>
              <w:ind w:left="0" w:leftChars="0" w:right="0" w:rightChars="0"/>
              <w:jc w:val="center"/>
              <w:textAlignment w:val="auto"/>
              <w:rPr>
                <w:rFonts w:hint="default" w:ascii="宋体" w:eastAsia="宋体" w:cs="宋体"/>
                <w:kern w:val="0"/>
                <w:sz w:val="24"/>
                <w:szCs w:val="24"/>
                <w:highlight w:val="none"/>
                <w:lang w:val="en-US" w:eastAsia="zh-CN"/>
              </w:rPr>
            </w:pPr>
            <w:r>
              <w:rPr>
                <w:rFonts w:hint="eastAsia" w:ascii="宋体" w:cs="宋体"/>
                <w:kern w:val="0"/>
                <w:sz w:val="24"/>
                <w:szCs w:val="24"/>
                <w:highlight w:val="none"/>
                <w:lang w:val="en-US" w:eastAsia="zh-CN"/>
              </w:rPr>
              <w:t>废气排放口</w:t>
            </w:r>
          </w:p>
        </w:tc>
        <w:tc>
          <w:tcPr>
            <w:tcW w:w="1015" w:type="dxa"/>
            <w:noWrap w:val="0"/>
            <w:vAlign w:val="center"/>
          </w:tcPr>
          <w:p w14:paraId="46C5D21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textAlignment w:val="auto"/>
              <w:rPr>
                <w:rFonts w:hint="default"/>
                <w:sz w:val="24"/>
                <w:szCs w:val="24"/>
                <w:highlight w:val="none"/>
                <w:lang w:val="en-US" w:eastAsia="zh-CN"/>
              </w:rPr>
            </w:pPr>
            <w:r>
              <w:rPr>
                <w:rFonts w:hint="eastAsia" w:cs="Times New Roman"/>
                <w:color w:val="000000"/>
                <w:kern w:val="0"/>
                <w:sz w:val="24"/>
                <w:szCs w:val="24"/>
                <w:highlight w:val="none"/>
                <w:lang w:val="en-US" w:eastAsia="zh-CN"/>
              </w:rPr>
              <w:t>颗粒物</w:t>
            </w:r>
          </w:p>
        </w:tc>
        <w:tc>
          <w:tcPr>
            <w:tcW w:w="3337" w:type="dxa"/>
            <w:noWrap w:val="0"/>
            <w:vAlign w:val="center"/>
          </w:tcPr>
          <w:p w14:paraId="04B22DC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textAlignment w:val="auto"/>
              <w:rPr>
                <w:rFonts w:hint="default" w:hAnsi="宋体" w:eastAsia="宋体"/>
                <w:bCs/>
                <w:color w:val="000000"/>
                <w:sz w:val="24"/>
                <w:szCs w:val="24"/>
                <w:highlight w:val="none"/>
                <w:lang w:val="en-US" w:eastAsia="zh-CN"/>
              </w:rPr>
            </w:pPr>
            <w:r>
              <w:rPr>
                <w:rFonts w:hint="eastAsia" w:cs="Times New Roman" w:eastAsiaTheme="minorEastAsia"/>
                <w:color w:val="000000" w:themeColor="text1"/>
                <w:sz w:val="24"/>
                <w:szCs w:val="24"/>
                <w:highlight w:val="none"/>
                <w:lang w:val="en-US" w:eastAsia="zh-CN"/>
                <w14:textFill>
                  <w14:solidFill>
                    <w14:schemeClr w14:val="tx1"/>
                  </w14:solidFill>
                </w14:textFill>
              </w:rPr>
              <w:t>打毛（喷砂）废气由设备自带收尘管收集，废气经设备自带滤筒除尘器治理，处理后尾气由15米高排气筒（DA001）排放。</w:t>
            </w:r>
          </w:p>
        </w:tc>
        <w:tc>
          <w:tcPr>
            <w:tcW w:w="2900" w:type="dxa"/>
            <w:noWrap w:val="0"/>
            <w:vAlign w:val="center"/>
          </w:tcPr>
          <w:p w14:paraId="23CBA61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textAlignment w:val="auto"/>
              <w:rPr>
                <w:rFonts w:hint="default" w:eastAsia="宋体"/>
                <w:color w:val="000000"/>
                <w:sz w:val="24"/>
                <w:szCs w:val="24"/>
                <w:highlight w:val="none"/>
                <w:u w:val="none"/>
                <w:vertAlign w:val="baseline"/>
                <w:lang w:val="en-US" w:eastAsia="zh-CN"/>
              </w:rPr>
            </w:pPr>
            <w:r>
              <w:rPr>
                <w:rFonts w:hint="default" w:hAnsi="宋体"/>
                <w:sz w:val="24"/>
                <w:highlight w:val="none"/>
              </w:rPr>
              <w:t>《大气污染物综合排放标准》（</w:t>
            </w:r>
            <w:r>
              <w:rPr>
                <w:rFonts w:hint="default"/>
                <w:sz w:val="24"/>
                <w:highlight w:val="none"/>
              </w:rPr>
              <w:t>GB16297-1996</w:t>
            </w:r>
            <w:r>
              <w:rPr>
                <w:rFonts w:hint="default" w:hAnsi="宋体"/>
                <w:sz w:val="24"/>
                <w:highlight w:val="none"/>
              </w:rPr>
              <w:t>）</w:t>
            </w:r>
            <w:r>
              <w:rPr>
                <w:rFonts w:hint="eastAsia" w:hAnsi="宋体"/>
                <w:sz w:val="24"/>
                <w:highlight w:val="none"/>
                <w:lang w:val="en-US" w:eastAsia="zh-CN"/>
              </w:rPr>
              <w:t>排放速率3.5kg/h</w:t>
            </w:r>
            <w:r>
              <w:rPr>
                <w:rFonts w:hint="eastAsia" w:hAnsi="宋体"/>
                <w:sz w:val="24"/>
                <w:highlight w:val="none"/>
                <w:lang w:eastAsia="zh-CN"/>
              </w:rPr>
              <w:t>、</w:t>
            </w:r>
            <w:r>
              <w:rPr>
                <w:rFonts w:hint="default" w:hAnsi="宋体"/>
                <w:sz w:val="24"/>
                <w:highlight w:val="none"/>
              </w:rPr>
              <w:t>《新乡市生态环境局关于进一步规范工业企业颗粒物排放限值的通知》</w:t>
            </w:r>
            <w:r>
              <w:rPr>
                <w:rFonts w:hint="eastAsia" w:hAnsi="宋体"/>
                <w:sz w:val="24"/>
                <w:highlight w:val="none"/>
                <w:lang w:val="en-US" w:eastAsia="zh-CN"/>
              </w:rPr>
              <w:t>颗粒物排放浓度不高于10mg/m</w:t>
            </w:r>
            <w:r>
              <w:rPr>
                <w:rFonts w:hint="eastAsia" w:hAnsi="宋体"/>
                <w:sz w:val="24"/>
                <w:highlight w:val="none"/>
                <w:vertAlign w:val="superscript"/>
                <w:lang w:val="en-US" w:eastAsia="zh-CN"/>
              </w:rPr>
              <w:t>3</w:t>
            </w:r>
          </w:p>
        </w:tc>
      </w:tr>
      <w:tr w14:paraId="3CF83A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dxa"/>
            <w:vMerge w:val="continue"/>
            <w:noWrap w:val="0"/>
            <w:vAlign w:val="center"/>
          </w:tcPr>
          <w:p w14:paraId="0C932C9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p>
        </w:tc>
        <w:tc>
          <w:tcPr>
            <w:tcW w:w="1707" w:type="dxa"/>
            <w:noWrap w:val="0"/>
            <w:vAlign w:val="center"/>
          </w:tcPr>
          <w:p w14:paraId="08769DC7">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40" w:lineRule="exact"/>
              <w:ind w:left="0" w:leftChars="0" w:right="0" w:rightChars="0"/>
              <w:jc w:val="center"/>
              <w:textAlignment w:val="auto"/>
              <w:rPr>
                <w:rFonts w:hint="default" w:ascii="宋体" w:cs="宋体"/>
                <w:kern w:val="0"/>
                <w:sz w:val="24"/>
                <w:szCs w:val="24"/>
                <w:highlight w:val="none"/>
                <w:lang w:val="en-US" w:eastAsia="zh-CN"/>
              </w:rPr>
            </w:pPr>
            <w:r>
              <w:rPr>
                <w:rFonts w:hint="eastAsia" w:ascii="宋体" w:cs="宋体"/>
                <w:kern w:val="0"/>
                <w:sz w:val="24"/>
                <w:szCs w:val="24"/>
                <w:highlight w:val="none"/>
                <w:lang w:val="en-US" w:eastAsia="zh-CN"/>
              </w:rPr>
              <w:t>无组织废气</w:t>
            </w:r>
          </w:p>
        </w:tc>
        <w:tc>
          <w:tcPr>
            <w:tcW w:w="1015" w:type="dxa"/>
            <w:noWrap w:val="0"/>
            <w:vAlign w:val="center"/>
          </w:tcPr>
          <w:p w14:paraId="40F6955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textAlignment w:val="auto"/>
              <w:rPr>
                <w:rFonts w:hint="eastAsia" w:cs="Times New Roman"/>
                <w:color w:val="000000"/>
                <w:kern w:val="0"/>
                <w:sz w:val="24"/>
                <w:szCs w:val="24"/>
                <w:highlight w:val="none"/>
                <w:lang w:val="en-US" w:eastAsia="zh-CN"/>
              </w:rPr>
            </w:pPr>
            <w:r>
              <w:rPr>
                <w:rFonts w:hint="eastAsia" w:cs="Times New Roman"/>
                <w:color w:val="000000"/>
                <w:kern w:val="0"/>
                <w:sz w:val="24"/>
                <w:szCs w:val="24"/>
                <w:highlight w:val="none"/>
                <w:lang w:val="en-US" w:eastAsia="zh-CN"/>
              </w:rPr>
              <w:t>颗粒物</w:t>
            </w:r>
          </w:p>
        </w:tc>
        <w:tc>
          <w:tcPr>
            <w:tcW w:w="3337" w:type="dxa"/>
            <w:noWrap w:val="0"/>
            <w:vAlign w:val="center"/>
          </w:tcPr>
          <w:p w14:paraId="5D287137">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0" w:firstLineChars="0"/>
              <w:jc w:val="both"/>
              <w:textAlignment w:val="auto"/>
              <w:rPr>
                <w:rFonts w:hint="default"/>
                <w:color w:val="auto"/>
                <w:sz w:val="24"/>
                <w:highlight w:val="none"/>
                <w:lang w:val="en-US" w:eastAsia="zh-CN"/>
              </w:rPr>
            </w:pPr>
            <w:r>
              <w:rPr>
                <w:rFonts w:hint="eastAsia"/>
                <w:color w:val="auto"/>
                <w:sz w:val="24"/>
                <w:highlight w:val="none"/>
                <w:lang w:val="en-US" w:eastAsia="zh-CN"/>
              </w:rPr>
              <w:t>车间密闭，设备密闭，废气经密闭管道收集。</w:t>
            </w:r>
          </w:p>
        </w:tc>
        <w:tc>
          <w:tcPr>
            <w:tcW w:w="2900" w:type="dxa"/>
            <w:noWrap w:val="0"/>
            <w:vAlign w:val="center"/>
          </w:tcPr>
          <w:p w14:paraId="38DBD82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textAlignment w:val="auto"/>
              <w:rPr>
                <w:rFonts w:hint="default" w:hAnsi="宋体" w:eastAsia="宋体"/>
                <w:sz w:val="24"/>
                <w:lang w:val="en-US" w:eastAsia="zh-CN"/>
              </w:rPr>
            </w:pPr>
            <w:r>
              <w:rPr>
                <w:rFonts w:hint="default" w:hAnsi="宋体"/>
                <w:sz w:val="24"/>
              </w:rPr>
              <w:t>《大气污染物综合排放标准》（</w:t>
            </w:r>
            <w:r>
              <w:rPr>
                <w:rFonts w:hint="default"/>
                <w:sz w:val="24"/>
              </w:rPr>
              <w:t>GB16297-1996</w:t>
            </w:r>
            <w:r>
              <w:rPr>
                <w:rFonts w:hint="default" w:hAnsi="宋体"/>
                <w:sz w:val="24"/>
              </w:rPr>
              <w:t>）</w:t>
            </w:r>
            <w:r>
              <w:rPr>
                <w:rFonts w:hint="eastAsia" w:hAnsi="宋体"/>
                <w:sz w:val="24"/>
                <w:lang w:val="en-US" w:eastAsia="zh-CN"/>
              </w:rPr>
              <w:t>厂界最高浓度</w:t>
            </w:r>
            <w:r>
              <w:rPr>
                <w:rFonts w:hint="eastAsia" w:hAnsi="宋体"/>
                <w:sz w:val="24"/>
                <w:highlight w:val="none"/>
                <w:lang w:val="en-US" w:eastAsia="zh-CN"/>
              </w:rPr>
              <w:t>1.0mg/m</w:t>
            </w:r>
            <w:r>
              <w:rPr>
                <w:rFonts w:hint="eastAsia" w:hAnsi="宋体"/>
                <w:sz w:val="24"/>
                <w:highlight w:val="none"/>
                <w:vertAlign w:val="superscript"/>
                <w:lang w:val="en-US" w:eastAsia="zh-CN"/>
              </w:rPr>
              <w:t>3</w:t>
            </w:r>
            <w:r>
              <w:rPr>
                <w:rFonts w:hint="eastAsia" w:hAnsi="宋体"/>
                <w:sz w:val="24"/>
                <w:lang w:eastAsia="zh-CN"/>
              </w:rPr>
              <w:t>、</w:t>
            </w:r>
            <w:r>
              <w:rPr>
                <w:rFonts w:hint="default" w:hAnsi="宋体"/>
                <w:sz w:val="24"/>
              </w:rPr>
              <w:t>《新乡市生态环境局关于进一步规范工业企业颗粒物排放限值的通知》</w:t>
            </w:r>
            <w:r>
              <w:rPr>
                <w:rFonts w:hint="eastAsia" w:hAnsi="宋体"/>
                <w:sz w:val="24"/>
                <w:lang w:val="en-US" w:eastAsia="zh-CN"/>
              </w:rPr>
              <w:t>厂界最高浓度0.5</w:t>
            </w:r>
            <w:r>
              <w:rPr>
                <w:rFonts w:hint="eastAsia" w:hAnsi="宋体"/>
                <w:sz w:val="24"/>
                <w:highlight w:val="none"/>
                <w:lang w:val="en-US" w:eastAsia="zh-CN"/>
              </w:rPr>
              <w:t>mg/m</w:t>
            </w:r>
            <w:r>
              <w:rPr>
                <w:rFonts w:hint="eastAsia" w:hAnsi="宋体"/>
                <w:sz w:val="24"/>
                <w:highlight w:val="none"/>
                <w:vertAlign w:val="superscript"/>
                <w:lang w:val="en-US" w:eastAsia="zh-CN"/>
              </w:rPr>
              <w:t>3</w:t>
            </w:r>
          </w:p>
        </w:tc>
      </w:tr>
      <w:tr w14:paraId="7688A1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dxa"/>
            <w:noWrap w:val="0"/>
            <w:vAlign w:val="center"/>
          </w:tcPr>
          <w:p w14:paraId="4065EF6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hAnsi="宋体" w:eastAsia="宋体"/>
                <w:sz w:val="24"/>
                <w:szCs w:val="24"/>
                <w:highlight w:val="none"/>
                <w:lang w:eastAsia="zh-CN"/>
              </w:rPr>
            </w:pPr>
            <w:r>
              <w:rPr>
                <w:rFonts w:hint="eastAsia" w:hAnsi="宋体"/>
                <w:sz w:val="24"/>
                <w:szCs w:val="24"/>
                <w:highlight w:val="none"/>
                <w:lang w:eastAsia="zh-CN"/>
              </w:rPr>
              <w:t>地表水环境</w:t>
            </w:r>
          </w:p>
        </w:tc>
        <w:tc>
          <w:tcPr>
            <w:tcW w:w="1707" w:type="dxa"/>
            <w:noWrap w:val="0"/>
            <w:vAlign w:val="center"/>
          </w:tcPr>
          <w:p w14:paraId="65A03A64">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40" w:lineRule="exact"/>
              <w:ind w:left="0" w:leftChars="0" w:right="0" w:rightChars="0"/>
              <w:jc w:val="center"/>
              <w:textAlignment w:val="auto"/>
              <w:rPr>
                <w:rFonts w:hint="eastAsia" w:ascii="宋体" w:cs="宋体"/>
                <w:kern w:val="0"/>
                <w:sz w:val="24"/>
                <w:szCs w:val="24"/>
                <w:highlight w:val="none"/>
                <w:lang w:val="en-US" w:eastAsia="zh-CN"/>
              </w:rPr>
            </w:pPr>
            <w:r>
              <w:rPr>
                <w:rFonts w:hint="eastAsia" w:ascii="宋体" w:cs="宋体"/>
                <w:kern w:val="0"/>
                <w:sz w:val="24"/>
                <w:szCs w:val="24"/>
                <w:highlight w:val="none"/>
                <w:lang w:val="en-US" w:eastAsia="zh-CN"/>
              </w:rPr>
              <w:t>职工生活</w:t>
            </w:r>
          </w:p>
        </w:tc>
        <w:tc>
          <w:tcPr>
            <w:tcW w:w="1015" w:type="dxa"/>
            <w:noWrap w:val="0"/>
            <w:vAlign w:val="center"/>
          </w:tcPr>
          <w:p w14:paraId="5461712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textAlignment w:val="auto"/>
              <w:rPr>
                <w:rFonts w:hint="eastAsia" w:cs="Times New Roman"/>
                <w:color w:val="000000"/>
                <w:kern w:val="0"/>
                <w:sz w:val="24"/>
                <w:szCs w:val="24"/>
                <w:highlight w:val="none"/>
                <w:lang w:val="en-US" w:eastAsia="zh-CN"/>
              </w:rPr>
            </w:pPr>
            <w:r>
              <w:rPr>
                <w:rFonts w:hint="eastAsia" w:ascii="宋体" w:cs="宋体"/>
                <w:kern w:val="0"/>
                <w:sz w:val="24"/>
                <w:szCs w:val="24"/>
                <w:highlight w:val="none"/>
                <w:lang w:val="en-US" w:eastAsia="zh-CN"/>
              </w:rPr>
              <w:t>生活污水</w:t>
            </w:r>
          </w:p>
        </w:tc>
        <w:tc>
          <w:tcPr>
            <w:tcW w:w="3337" w:type="dxa"/>
            <w:noWrap w:val="0"/>
            <w:vAlign w:val="center"/>
          </w:tcPr>
          <w:p w14:paraId="44784DF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textAlignment w:val="auto"/>
              <w:rPr>
                <w:rFonts w:hint="default" w:hAnsi="宋体"/>
                <w:sz w:val="24"/>
              </w:rPr>
            </w:pPr>
            <w:r>
              <w:rPr>
                <w:rFonts w:hint="eastAsia" w:hAnsi="宋体"/>
                <w:b w:val="0"/>
                <w:bCs w:val="0"/>
                <w:color w:val="000000" w:themeColor="text1"/>
                <w:sz w:val="24"/>
                <w:highlight w:val="none"/>
                <w:lang w:val="en-US" w:eastAsia="zh-CN"/>
                <w14:textFill>
                  <w14:solidFill>
                    <w14:schemeClr w14:val="tx1"/>
                  </w14:solidFill>
                </w14:textFill>
              </w:rPr>
              <w:t>厂区化粪池处理后经污水管网排至新乡县综合污水处理厂进一步处理</w:t>
            </w:r>
          </w:p>
        </w:tc>
        <w:tc>
          <w:tcPr>
            <w:tcW w:w="2900" w:type="dxa"/>
            <w:noWrap w:val="0"/>
            <w:vAlign w:val="center"/>
          </w:tcPr>
          <w:p w14:paraId="66E1DE1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textAlignment w:val="auto"/>
              <w:rPr>
                <w:rFonts w:hint="default" w:hAnsi="宋体"/>
                <w:b w:val="0"/>
                <w:bCs w:val="0"/>
                <w:color w:val="000000" w:themeColor="text1"/>
                <w:sz w:val="24"/>
                <w:highlight w:val="none"/>
                <w:lang w:val="en-US" w:eastAsia="zh-CN"/>
                <w14:textFill>
                  <w14:solidFill>
                    <w14:schemeClr w14:val="tx1"/>
                  </w14:solidFill>
                </w14:textFill>
              </w:rPr>
            </w:pPr>
            <w:r>
              <w:rPr>
                <w:rFonts w:hint="eastAsia"/>
                <w:b w:val="0"/>
                <w:bCs/>
                <w:color w:val="000000" w:themeColor="text1"/>
                <w:sz w:val="24"/>
                <w:szCs w:val="24"/>
                <w:highlight w:val="none"/>
                <w:vertAlign w:val="baseline"/>
                <w:lang w:val="en-US" w:eastAsia="zh-CN"/>
                <w14:textFill>
                  <w14:solidFill>
                    <w14:schemeClr w14:val="tx1"/>
                  </w14:solidFill>
                </w14:textFill>
              </w:rPr>
              <w:t>新乡县综合污水处理厂收水标准（COD400mg/L、SS180mg/L、氨氮59mg/L、TP4.0mg/L、TN70mg/L）；《污水排入城镇下水道水质标准》(GB/T31962-2015)C级COD300mg/L、NH</w:t>
            </w:r>
            <w:r>
              <w:rPr>
                <w:rFonts w:hint="eastAsia"/>
                <w:b w:val="0"/>
                <w:bCs/>
                <w:color w:val="000000" w:themeColor="text1"/>
                <w:sz w:val="24"/>
                <w:szCs w:val="24"/>
                <w:highlight w:val="none"/>
                <w:vertAlign w:val="subscript"/>
                <w:lang w:val="en-US" w:eastAsia="zh-CN"/>
                <w14:textFill>
                  <w14:solidFill>
                    <w14:schemeClr w14:val="tx1"/>
                  </w14:solidFill>
                </w14:textFill>
              </w:rPr>
              <w:t>3</w:t>
            </w:r>
            <w:r>
              <w:rPr>
                <w:rFonts w:hint="eastAsia"/>
                <w:b w:val="0"/>
                <w:bCs/>
                <w:color w:val="000000" w:themeColor="text1"/>
                <w:sz w:val="24"/>
                <w:szCs w:val="24"/>
                <w:highlight w:val="none"/>
                <w:vertAlign w:val="baseline"/>
                <w:lang w:val="en-US" w:eastAsia="zh-CN"/>
                <w14:textFill>
                  <w14:solidFill>
                    <w14:schemeClr w14:val="tx1"/>
                  </w14:solidFill>
                </w14:textFill>
              </w:rPr>
              <w:t>-N25mg/L、TN45mg/L</w:t>
            </w:r>
          </w:p>
        </w:tc>
      </w:tr>
      <w:tr w14:paraId="60C4C4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932" w:type="dxa"/>
            <w:noWrap w:val="0"/>
            <w:vAlign w:val="center"/>
          </w:tcPr>
          <w:p w14:paraId="4134E94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声</w:t>
            </w:r>
          </w:p>
          <w:p w14:paraId="33946E1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环</w:t>
            </w:r>
          </w:p>
          <w:p w14:paraId="310923B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default" w:hAnsi="宋体"/>
                <w:sz w:val="24"/>
                <w:szCs w:val="24"/>
                <w:highlight w:val="none"/>
              </w:rPr>
              <w:t>境</w:t>
            </w:r>
          </w:p>
        </w:tc>
        <w:tc>
          <w:tcPr>
            <w:tcW w:w="1707" w:type="dxa"/>
            <w:noWrap w:val="0"/>
            <w:vAlign w:val="center"/>
          </w:tcPr>
          <w:p w14:paraId="2CD73E2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eastAsia"/>
                <w:sz w:val="24"/>
                <w:szCs w:val="24"/>
                <w:highlight w:val="none"/>
              </w:rPr>
              <w:t>生产设备</w:t>
            </w:r>
          </w:p>
        </w:tc>
        <w:tc>
          <w:tcPr>
            <w:tcW w:w="1015" w:type="dxa"/>
            <w:noWrap w:val="0"/>
            <w:vAlign w:val="center"/>
          </w:tcPr>
          <w:p w14:paraId="1D72A87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eastAsia"/>
                <w:sz w:val="24"/>
                <w:szCs w:val="24"/>
                <w:highlight w:val="none"/>
              </w:rPr>
              <w:t>噪声</w:t>
            </w:r>
          </w:p>
        </w:tc>
        <w:tc>
          <w:tcPr>
            <w:tcW w:w="3337" w:type="dxa"/>
            <w:noWrap w:val="0"/>
            <w:vAlign w:val="center"/>
          </w:tcPr>
          <w:p w14:paraId="23D7451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color w:val="auto"/>
                <w:sz w:val="24"/>
                <w:szCs w:val="24"/>
                <w:highlight w:val="none"/>
              </w:rPr>
            </w:pPr>
            <w:r>
              <w:rPr>
                <w:rFonts w:hint="eastAsia"/>
                <w:color w:val="auto"/>
                <w:sz w:val="24"/>
                <w:szCs w:val="24"/>
                <w:highlight w:val="none"/>
              </w:rPr>
              <w:t>基础减振、</w:t>
            </w:r>
          </w:p>
          <w:p w14:paraId="49B23D9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color w:val="auto"/>
                <w:sz w:val="24"/>
                <w:szCs w:val="24"/>
                <w:highlight w:val="none"/>
              </w:rPr>
            </w:pPr>
            <w:r>
              <w:rPr>
                <w:rFonts w:hint="eastAsia"/>
                <w:color w:val="auto"/>
                <w:sz w:val="24"/>
                <w:szCs w:val="24"/>
                <w:highlight w:val="none"/>
              </w:rPr>
              <w:t>厂房</w:t>
            </w:r>
            <w:r>
              <w:rPr>
                <w:rFonts w:hint="eastAsia"/>
                <w:color w:val="auto"/>
                <w:sz w:val="24"/>
                <w:szCs w:val="24"/>
                <w:highlight w:val="none"/>
                <w:lang w:val="en-US" w:eastAsia="zh-CN"/>
              </w:rPr>
              <w:t>封闭</w:t>
            </w:r>
            <w:r>
              <w:rPr>
                <w:rFonts w:hint="eastAsia"/>
                <w:color w:val="auto"/>
                <w:sz w:val="24"/>
                <w:szCs w:val="24"/>
                <w:highlight w:val="none"/>
              </w:rPr>
              <w:t>隔音等</w:t>
            </w:r>
          </w:p>
        </w:tc>
        <w:tc>
          <w:tcPr>
            <w:tcW w:w="2900" w:type="dxa"/>
            <w:noWrap w:val="0"/>
            <w:vAlign w:val="center"/>
          </w:tcPr>
          <w:p w14:paraId="66543D1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color w:val="auto"/>
                <w:sz w:val="24"/>
                <w:szCs w:val="24"/>
                <w:highlight w:val="none"/>
              </w:rPr>
            </w:pPr>
            <w:r>
              <w:rPr>
                <w:rFonts w:hint="default"/>
                <w:color w:val="auto"/>
                <w:sz w:val="24"/>
                <w:szCs w:val="24"/>
                <w:highlight w:val="none"/>
              </w:rPr>
              <w:t>《工业</w:t>
            </w:r>
            <w:r>
              <w:rPr>
                <w:rFonts w:hint="default"/>
                <w:color w:val="000000" w:themeColor="text1"/>
                <w:sz w:val="24"/>
                <w:szCs w:val="24"/>
                <w:highlight w:val="none"/>
                <w14:textFill>
                  <w14:solidFill>
                    <w14:schemeClr w14:val="tx1"/>
                  </w14:solidFill>
                </w14:textFill>
              </w:rPr>
              <w:t>企业厂界环境噪声排放标准》</w:t>
            </w:r>
            <w:r>
              <w:rPr>
                <w:rFonts w:hint="default"/>
                <w:color w:val="auto"/>
                <w:sz w:val="24"/>
                <w:szCs w:val="24"/>
                <w:highlight w:val="none"/>
              </w:rPr>
              <w:t>（GB12348-2008）</w:t>
            </w:r>
            <w:r>
              <w:rPr>
                <w:rFonts w:hint="eastAsia"/>
                <w:color w:val="auto"/>
                <w:sz w:val="24"/>
                <w:szCs w:val="24"/>
                <w:highlight w:val="none"/>
                <w:lang w:val="en-US" w:eastAsia="zh-CN"/>
              </w:rPr>
              <w:t>3</w:t>
            </w:r>
            <w:r>
              <w:rPr>
                <w:rFonts w:hint="default"/>
                <w:color w:val="auto"/>
                <w:sz w:val="24"/>
                <w:szCs w:val="24"/>
                <w:highlight w:val="none"/>
              </w:rPr>
              <w:t>类</w:t>
            </w:r>
            <w:r>
              <w:rPr>
                <w:rFonts w:hint="eastAsia"/>
                <w:color w:val="auto"/>
                <w:sz w:val="24"/>
                <w:highlight w:val="none"/>
                <w:lang w:eastAsia="zh-CN"/>
              </w:rPr>
              <w:t>昼间</w:t>
            </w:r>
            <w:r>
              <w:rPr>
                <w:rFonts w:hint="default" w:ascii="Arial" w:hAnsi="Arial" w:cs="Arial"/>
                <w:color w:val="auto"/>
                <w:sz w:val="24"/>
                <w:highlight w:val="none"/>
                <w:lang w:eastAsia="zh-CN"/>
              </w:rPr>
              <w:t>≤</w:t>
            </w:r>
            <w:r>
              <w:rPr>
                <w:rFonts w:hint="eastAsia"/>
                <w:color w:val="auto"/>
                <w:sz w:val="24"/>
                <w:highlight w:val="none"/>
                <w:lang w:val="en-US" w:eastAsia="zh-CN"/>
              </w:rPr>
              <w:t>65</w:t>
            </w:r>
            <w:r>
              <w:rPr>
                <w:rFonts w:hint="default" w:ascii="Times New Roman" w:hAnsi="Times New Roman" w:cs="Times New Roman"/>
                <w:b w:val="0"/>
                <w:bCs/>
                <w:color w:val="000000" w:themeColor="text1"/>
                <w:sz w:val="24"/>
                <w:highlight w:val="none"/>
                <w14:textFill>
                  <w14:solidFill>
                    <w14:schemeClr w14:val="tx1"/>
                  </w14:solidFill>
                </w14:textFill>
              </w:rPr>
              <w:t>dB（A</w:t>
            </w:r>
            <w:r>
              <w:rPr>
                <w:rFonts w:hint="default" w:ascii="Times New Roman" w:hAnsi="Times New Roman" w:eastAsia="黑体" w:cs="Times New Roman"/>
                <w:b w:val="0"/>
                <w:bCs/>
                <w:color w:val="000000" w:themeColor="text1"/>
                <w:sz w:val="24"/>
                <w:szCs w:val="20"/>
                <w:highlight w:val="none"/>
                <w14:textFill>
                  <w14:solidFill>
                    <w14:schemeClr w14:val="tx1"/>
                  </w14:solidFill>
                </w14:textFill>
              </w:rPr>
              <w:t>）</w:t>
            </w:r>
          </w:p>
        </w:tc>
      </w:tr>
      <w:tr w14:paraId="2DA40F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32" w:type="dxa"/>
            <w:noWrap w:val="0"/>
            <w:vAlign w:val="center"/>
          </w:tcPr>
          <w:p w14:paraId="7004446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固体</w:t>
            </w:r>
          </w:p>
          <w:p w14:paraId="21F0378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废物</w:t>
            </w:r>
          </w:p>
        </w:tc>
        <w:tc>
          <w:tcPr>
            <w:tcW w:w="8959" w:type="dxa"/>
            <w:gridSpan w:val="4"/>
            <w:noWrap w:val="0"/>
            <w:vAlign w:val="center"/>
          </w:tcPr>
          <w:p w14:paraId="64FA0F6B">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80" w:firstLineChars="200"/>
              <w:jc w:val="both"/>
              <w:textAlignment w:val="auto"/>
              <w:rPr>
                <w:rFonts w:hint="eastAsia"/>
                <w:color w:val="000000"/>
                <w:kern w:val="24"/>
                <w:sz w:val="24"/>
                <w:szCs w:val="24"/>
              </w:rPr>
            </w:pPr>
            <w:r>
              <w:rPr>
                <w:rFonts w:hint="eastAsia"/>
                <w:color w:val="000000" w:themeColor="text1"/>
                <w:sz w:val="24"/>
                <w:lang w:val="en-US" w:eastAsia="zh-CN"/>
                <w14:textFill>
                  <w14:solidFill>
                    <w14:schemeClr w14:val="tx1"/>
                  </w14:solidFill>
                </w14:textFill>
              </w:rPr>
              <w:t>废边角料、除尘器收集尘、除尘器滤芯</w:t>
            </w:r>
            <w:r>
              <w:rPr>
                <w:rFonts w:hint="eastAsia"/>
                <w:color w:val="auto"/>
                <w:sz w:val="24"/>
                <w:lang w:val="en-US" w:eastAsia="zh-CN"/>
              </w:rPr>
              <w:t>在一般固废间暂存，定期外售</w:t>
            </w:r>
            <w:r>
              <w:rPr>
                <w:rFonts w:hint="eastAsia"/>
                <w:color w:val="000000"/>
                <w:kern w:val="24"/>
                <w:sz w:val="24"/>
                <w:szCs w:val="24"/>
              </w:rPr>
              <w:t>。一般固废</w:t>
            </w:r>
            <w:r>
              <w:rPr>
                <w:rFonts w:hint="eastAsia"/>
                <w:color w:val="000000"/>
                <w:kern w:val="24"/>
                <w:sz w:val="24"/>
                <w:szCs w:val="24"/>
                <w:lang w:val="en-US" w:eastAsia="zh-CN"/>
              </w:rPr>
              <w:t>暂存间</w:t>
            </w:r>
            <w:r>
              <w:rPr>
                <w:rFonts w:hint="eastAsia"/>
                <w:color w:val="000000"/>
                <w:kern w:val="24"/>
                <w:sz w:val="24"/>
                <w:szCs w:val="24"/>
              </w:rPr>
              <w:t>1座，建筑面积</w:t>
            </w:r>
            <w:r>
              <w:rPr>
                <w:rFonts w:hint="eastAsia"/>
                <w:color w:val="000000"/>
                <w:kern w:val="24"/>
                <w:sz w:val="24"/>
                <w:szCs w:val="24"/>
                <w:lang w:val="en-US" w:eastAsia="zh-CN"/>
              </w:rPr>
              <w:t>10</w:t>
            </w:r>
            <w:r>
              <w:rPr>
                <w:rFonts w:hint="eastAsia"/>
                <w:color w:val="000000"/>
                <w:kern w:val="24"/>
                <w:sz w:val="24"/>
                <w:szCs w:val="24"/>
              </w:rPr>
              <w:t>m</w:t>
            </w:r>
            <w:r>
              <w:rPr>
                <w:rFonts w:hint="eastAsia"/>
                <w:color w:val="000000"/>
                <w:kern w:val="24"/>
                <w:sz w:val="24"/>
                <w:szCs w:val="24"/>
                <w:vertAlign w:val="superscript"/>
              </w:rPr>
              <w:t>2</w:t>
            </w:r>
            <w:r>
              <w:rPr>
                <w:rFonts w:hint="eastAsia"/>
                <w:color w:val="000000"/>
                <w:kern w:val="24"/>
                <w:sz w:val="24"/>
                <w:szCs w:val="24"/>
              </w:rPr>
              <w:t>，</w:t>
            </w:r>
            <w:r>
              <w:rPr>
                <w:rFonts w:hint="eastAsia"/>
                <w:color w:val="000000"/>
                <w:kern w:val="24"/>
                <w:sz w:val="24"/>
                <w:szCs w:val="24"/>
                <w:lang w:val="en-US" w:eastAsia="zh-CN"/>
              </w:rPr>
              <w:t>一般固废间</w:t>
            </w:r>
            <w:r>
              <w:rPr>
                <w:rFonts w:hint="eastAsia"/>
                <w:color w:val="000000"/>
                <w:kern w:val="24"/>
                <w:sz w:val="24"/>
                <w:szCs w:val="24"/>
              </w:rPr>
              <w:t>严格按照《一般工业固体废物贮存和填埋污染控制标准》（GB18599-2020）</w:t>
            </w:r>
            <w:r>
              <w:rPr>
                <w:rFonts w:hint="eastAsia"/>
                <w:color w:val="000000"/>
                <w:kern w:val="24"/>
                <w:sz w:val="24"/>
                <w:szCs w:val="24"/>
                <w:lang w:val="en-US" w:eastAsia="zh-CN"/>
              </w:rPr>
              <w:t>进行建设</w:t>
            </w:r>
            <w:r>
              <w:rPr>
                <w:rFonts w:hint="eastAsia"/>
                <w:color w:val="000000"/>
                <w:kern w:val="24"/>
                <w:sz w:val="24"/>
                <w:szCs w:val="24"/>
              </w:rPr>
              <w:t>，并做到防风、防雨、防晒等措施。</w:t>
            </w:r>
          </w:p>
          <w:p w14:paraId="3D8834FF">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80" w:firstLineChars="200"/>
              <w:jc w:val="both"/>
              <w:textAlignment w:val="auto"/>
              <w:rPr>
                <w:rFonts w:hint="default"/>
                <w:color w:val="auto"/>
                <w:sz w:val="24"/>
                <w:szCs w:val="24"/>
                <w:highlight w:val="none"/>
              </w:rPr>
            </w:pPr>
            <w:r>
              <w:rPr>
                <w:rFonts w:hint="eastAsia"/>
                <w:color w:val="000000" w:themeColor="text1"/>
                <w:sz w:val="24"/>
                <w:lang w:val="en-US" w:eastAsia="zh-CN"/>
                <w14:textFill>
                  <w14:solidFill>
                    <w14:schemeClr w14:val="tx1"/>
                  </w14:solidFill>
                </w14:textFill>
              </w:rPr>
              <w:t>废包装桶、废机油、废金属屑（含切削液）</w:t>
            </w:r>
            <w:r>
              <w:rPr>
                <w:rFonts w:hint="eastAsia"/>
                <w:color w:val="auto"/>
                <w:sz w:val="24"/>
                <w:lang w:val="en-US" w:eastAsia="zh-CN"/>
              </w:rPr>
              <w:t>暂存于危险废物暂存间，</w:t>
            </w:r>
            <w:r>
              <w:rPr>
                <w:rFonts w:hint="eastAsia"/>
                <w:bCs/>
                <w:color w:val="000000"/>
                <w:sz w:val="24"/>
              </w:rPr>
              <w:t>定期交由有资质的单位处置</w:t>
            </w:r>
            <w:r>
              <w:rPr>
                <w:rFonts w:hint="eastAsia"/>
                <w:bCs/>
                <w:color w:val="000000"/>
                <w:sz w:val="24"/>
                <w:lang w:eastAsia="zh-CN"/>
              </w:rPr>
              <w:t>。</w:t>
            </w:r>
            <w:r>
              <w:rPr>
                <w:rFonts w:hint="eastAsia"/>
                <w:bCs/>
                <w:color w:val="000000"/>
                <w:sz w:val="24"/>
                <w:lang w:val="en-US" w:eastAsia="zh-CN"/>
              </w:rPr>
              <w:t>危险废物暂存间约为10m</w:t>
            </w:r>
            <w:r>
              <w:rPr>
                <w:rFonts w:hint="eastAsia"/>
                <w:color w:val="000000"/>
                <w:kern w:val="24"/>
                <w:sz w:val="24"/>
                <w:szCs w:val="24"/>
                <w:vertAlign w:val="superscript"/>
              </w:rPr>
              <w:t>2</w:t>
            </w:r>
            <w:r>
              <w:rPr>
                <w:rFonts w:hint="eastAsia"/>
                <w:color w:val="000000"/>
                <w:kern w:val="24"/>
                <w:sz w:val="24"/>
                <w:szCs w:val="24"/>
              </w:rPr>
              <w:t>，严格按照</w:t>
            </w:r>
            <w:r>
              <w:rPr>
                <w:rFonts w:hint="eastAsia"/>
                <w:sz w:val="24"/>
                <w:lang w:val="en-US" w:eastAsia="zh-CN"/>
              </w:rPr>
              <w:t>《危险废物贮存污染控制标准》（GB 18597-2023）规定，将危险废物分装于专门的容器内，存放在厂区内危险废物暂存间内，贮存期间注意防风、防晒、防雨、防渗措施，并设立危险废物标志。</w:t>
            </w:r>
          </w:p>
        </w:tc>
      </w:tr>
      <w:tr w14:paraId="3A63F9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30" w:hRule="atLeast"/>
          <w:jc w:val="center"/>
        </w:trPr>
        <w:tc>
          <w:tcPr>
            <w:tcW w:w="932" w:type="dxa"/>
            <w:noWrap w:val="0"/>
            <w:vAlign w:val="center"/>
          </w:tcPr>
          <w:p w14:paraId="2F6506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sz w:val="24"/>
                <w:szCs w:val="24"/>
                <w:highlight w:val="yellow"/>
              </w:rPr>
            </w:pPr>
            <w:r>
              <w:rPr>
                <w:rFonts w:hint="default"/>
                <w:sz w:val="24"/>
                <w:szCs w:val="24"/>
                <w:highlight w:val="none"/>
              </w:rPr>
              <w:t>土壤及地下水污染防治措施</w:t>
            </w:r>
          </w:p>
        </w:tc>
        <w:tc>
          <w:tcPr>
            <w:tcW w:w="8959" w:type="dxa"/>
            <w:gridSpan w:val="4"/>
            <w:noWrap w:val="0"/>
            <w:vAlign w:val="center"/>
          </w:tcPr>
          <w:p w14:paraId="246FEB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left"/>
              <w:textAlignment w:val="auto"/>
              <w:rPr>
                <w:rFonts w:hint="default" w:eastAsia="宋体"/>
                <w:sz w:val="24"/>
                <w:szCs w:val="24"/>
                <w:highlight w:val="yellow"/>
                <w:lang w:val="en-US" w:eastAsia="zh-CN"/>
              </w:rPr>
            </w:pPr>
            <w:r>
              <w:rPr>
                <w:rFonts w:hint="eastAsia"/>
                <w:sz w:val="24"/>
                <w:lang w:val="en-US" w:eastAsia="zh-CN"/>
              </w:rPr>
              <w:t>对危废暂存间、生产车间进行重点防渗；一般固废暂存间进行一般防渗区；办公楼采取一般地面硬化措施。</w:t>
            </w:r>
          </w:p>
        </w:tc>
      </w:tr>
      <w:tr w14:paraId="716758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932" w:type="dxa"/>
            <w:noWrap w:val="0"/>
            <w:vAlign w:val="center"/>
          </w:tcPr>
          <w:p w14:paraId="66E34F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default" w:hAnsi="宋体"/>
                <w:sz w:val="24"/>
                <w:szCs w:val="24"/>
                <w:highlight w:val="none"/>
              </w:rPr>
              <w:t>生态保护措施</w:t>
            </w:r>
          </w:p>
        </w:tc>
        <w:tc>
          <w:tcPr>
            <w:tcW w:w="8959" w:type="dxa"/>
            <w:gridSpan w:val="4"/>
            <w:noWrap w:val="0"/>
            <w:vAlign w:val="center"/>
          </w:tcPr>
          <w:p w14:paraId="4D8B993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sz w:val="24"/>
                <w:szCs w:val="24"/>
                <w:highlight w:val="none"/>
              </w:rPr>
            </w:pPr>
            <w:r>
              <w:rPr>
                <w:rFonts w:hint="eastAsia"/>
                <w:sz w:val="24"/>
                <w:szCs w:val="24"/>
                <w:highlight w:val="none"/>
              </w:rPr>
              <w:t>/</w:t>
            </w:r>
          </w:p>
        </w:tc>
      </w:tr>
      <w:tr w14:paraId="59CF87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5" w:hRule="atLeast"/>
          <w:jc w:val="center"/>
        </w:trPr>
        <w:tc>
          <w:tcPr>
            <w:tcW w:w="932" w:type="dxa"/>
            <w:noWrap w:val="0"/>
            <w:vAlign w:val="center"/>
          </w:tcPr>
          <w:p w14:paraId="6553C2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spacing w:val="-8"/>
                <w:sz w:val="24"/>
                <w:szCs w:val="24"/>
                <w:highlight w:val="none"/>
              </w:rPr>
            </w:pPr>
            <w:r>
              <w:rPr>
                <w:rFonts w:hint="default" w:hAnsi="宋体"/>
                <w:spacing w:val="-8"/>
                <w:sz w:val="24"/>
                <w:szCs w:val="24"/>
                <w:highlight w:val="none"/>
              </w:rPr>
              <w:t>环境风险防范措施</w:t>
            </w:r>
          </w:p>
        </w:tc>
        <w:tc>
          <w:tcPr>
            <w:tcW w:w="8959" w:type="dxa"/>
            <w:gridSpan w:val="4"/>
            <w:noWrap w:val="0"/>
            <w:vAlign w:val="center"/>
          </w:tcPr>
          <w:p w14:paraId="4D7FC7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eastAsia"/>
              </w:rPr>
              <w:t>（1）原料入库时应检查包装是否有泄漏现象，在贮存期，定期检查，发现泄漏，及时处理</w:t>
            </w:r>
            <w:r>
              <w:rPr>
                <w:rFonts w:hint="eastAsia"/>
                <w:lang w:eastAsia="zh-CN"/>
              </w:rPr>
              <w:t>；</w:t>
            </w:r>
          </w:p>
          <w:p w14:paraId="575A05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eastAsia"/>
                <w:lang w:eastAsia="zh-CN"/>
              </w:rPr>
              <w:t>（</w:t>
            </w:r>
            <w:r>
              <w:rPr>
                <w:rFonts w:hint="eastAsia"/>
                <w:lang w:val="en-US" w:eastAsia="zh-CN"/>
              </w:rPr>
              <w:t>2</w:t>
            </w:r>
            <w:r>
              <w:rPr>
                <w:rFonts w:hint="eastAsia"/>
                <w:lang w:eastAsia="zh-CN"/>
              </w:rPr>
              <w:t>）</w:t>
            </w:r>
            <w:r>
              <w:rPr>
                <w:rFonts w:hint="default"/>
                <w:sz w:val="24"/>
              </w:rPr>
              <w:t>搬运时要轻装轻卸，防止包装及容器损坏</w:t>
            </w:r>
            <w:r>
              <w:rPr>
                <w:rFonts w:hint="eastAsia"/>
                <w:lang w:eastAsia="zh-CN"/>
              </w:rPr>
              <w:t>；</w:t>
            </w:r>
          </w:p>
          <w:p w14:paraId="0EE6F2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sz w:val="24"/>
                <w:lang w:val="en-US" w:eastAsia="zh-CN"/>
              </w:rPr>
            </w:pPr>
            <w:r>
              <w:rPr>
                <w:rFonts w:hint="eastAsia"/>
                <w:lang w:eastAsia="zh-CN"/>
              </w:rPr>
              <w:t>（</w:t>
            </w:r>
            <w:r>
              <w:rPr>
                <w:rFonts w:hint="eastAsia"/>
                <w:lang w:val="en-US" w:eastAsia="zh-CN"/>
              </w:rPr>
              <w:t>3</w:t>
            </w:r>
            <w:r>
              <w:rPr>
                <w:rFonts w:hint="eastAsia"/>
                <w:lang w:eastAsia="zh-CN"/>
              </w:rPr>
              <w:t>）废</w:t>
            </w:r>
            <w:r>
              <w:rPr>
                <w:rFonts w:hint="eastAsia"/>
                <w:lang w:val="en-US" w:eastAsia="zh-CN"/>
              </w:rPr>
              <w:t>包装桶</w:t>
            </w:r>
            <w:r>
              <w:rPr>
                <w:rFonts w:hint="eastAsia"/>
                <w:lang w:eastAsia="zh-CN"/>
              </w:rPr>
              <w:t>加盖密闭后暂存于危险废物暂存间，危险废物暂存间</w:t>
            </w:r>
            <w:r>
              <w:rPr>
                <w:rFonts w:hint="eastAsia"/>
                <w:sz w:val="24"/>
                <w:lang w:val="en-US" w:eastAsia="zh-CN"/>
              </w:rPr>
              <w:t>按照《危险废物贮存污染控制标准》（GB 18597-2023）规定进行建设，做到防风、防晒、防雨、防漏、防渗、防腐等要求；</w:t>
            </w:r>
          </w:p>
          <w:p w14:paraId="7AF4F4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sz w:val="24"/>
                <w:szCs w:val="24"/>
                <w:highlight w:val="none"/>
                <w:lang w:val="en-US" w:eastAsia="zh-CN"/>
              </w:rPr>
            </w:pPr>
            <w:r>
              <w:rPr>
                <w:rFonts w:hint="eastAsia"/>
                <w:lang w:eastAsia="zh-CN"/>
              </w:rPr>
              <w:t>（</w:t>
            </w:r>
            <w:r>
              <w:rPr>
                <w:rFonts w:hint="eastAsia"/>
                <w:lang w:val="en-US" w:eastAsia="zh-CN"/>
              </w:rPr>
              <w:t>4</w:t>
            </w:r>
            <w:r>
              <w:rPr>
                <w:rFonts w:hint="eastAsia"/>
                <w:lang w:eastAsia="zh-CN"/>
              </w:rPr>
              <w:t>）设置备用桶，原料</w:t>
            </w:r>
            <w:r>
              <w:rPr>
                <w:rFonts w:hint="eastAsia"/>
                <w:lang w:val="en-US" w:eastAsia="zh-CN"/>
              </w:rPr>
              <w:t>等</w:t>
            </w:r>
            <w:r>
              <w:rPr>
                <w:rFonts w:hint="eastAsia"/>
                <w:lang w:eastAsia="zh-CN"/>
              </w:rPr>
              <w:t>发生泄漏时及时更换容器，泄露物料用惰性吸附材料进行吸附处理，收集的物料和吸附材料及破损容器做为危废处理。</w:t>
            </w:r>
          </w:p>
        </w:tc>
      </w:tr>
      <w:tr w14:paraId="4D4FA1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32" w:type="dxa"/>
            <w:noWrap w:val="0"/>
            <w:vAlign w:val="center"/>
          </w:tcPr>
          <w:p w14:paraId="248092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电磁</w:t>
            </w:r>
          </w:p>
          <w:p w14:paraId="670C4D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宋体" w:hAnsi="宋体" w:eastAsia="宋体" w:cs="宋体"/>
                <w:spacing w:val="-8"/>
                <w:sz w:val="24"/>
                <w:szCs w:val="24"/>
                <w:highlight w:val="none"/>
              </w:rPr>
            </w:pPr>
            <w:r>
              <w:rPr>
                <w:rFonts w:hint="eastAsia" w:ascii="宋体" w:hAnsi="宋体" w:eastAsia="宋体" w:cs="宋体"/>
                <w:sz w:val="24"/>
                <w:szCs w:val="24"/>
                <w:highlight w:val="none"/>
              </w:rPr>
              <w:t>辐射</w:t>
            </w:r>
          </w:p>
        </w:tc>
        <w:tc>
          <w:tcPr>
            <w:tcW w:w="8959" w:type="dxa"/>
            <w:gridSpan w:val="4"/>
            <w:noWrap w:val="0"/>
            <w:vAlign w:val="center"/>
          </w:tcPr>
          <w:p w14:paraId="1569C89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ascii="宋体" w:hAnsi="宋体" w:eastAsia="宋体" w:cs="宋体"/>
                <w:sz w:val="24"/>
                <w:szCs w:val="24"/>
                <w:highlight w:val="none"/>
                <w:lang w:val="en-US" w:eastAsia="zh-CN"/>
              </w:rPr>
            </w:pPr>
            <w:r>
              <w:rPr>
                <w:rFonts w:hint="default" w:ascii="Times New Roman" w:hAnsi="Times New Roman" w:eastAsia="宋体" w:cs="Times New Roman"/>
                <w:b w:val="0"/>
                <w:bCs/>
                <w:color w:val="000000"/>
                <w:sz w:val="24"/>
                <w:highlight w:val="none"/>
                <w:lang w:val="en-US" w:eastAsia="zh-CN"/>
              </w:rPr>
              <w:t>本项目不涉及辐射源，故不对电磁辐射做评价分析</w:t>
            </w:r>
          </w:p>
        </w:tc>
      </w:tr>
      <w:tr w14:paraId="51611C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32" w:type="dxa"/>
            <w:noWrap w:val="0"/>
            <w:vAlign w:val="center"/>
          </w:tcPr>
          <w:p w14:paraId="229D29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rightChars="0"/>
              <w:jc w:val="center"/>
              <w:textAlignment w:val="auto"/>
              <w:rPr>
                <w:rFonts w:hint="eastAsia" w:ascii="宋体" w:hAnsi="宋体" w:eastAsia="宋体" w:cs="宋体"/>
                <w:sz w:val="24"/>
                <w:szCs w:val="24"/>
                <w:highlight w:val="none"/>
              </w:rPr>
            </w:pPr>
            <w:r>
              <w:rPr>
                <w:rFonts w:hint="default" w:hAnsi="宋体"/>
                <w:spacing w:val="-8"/>
                <w:sz w:val="24"/>
                <w:szCs w:val="24"/>
                <w:highlight w:val="none"/>
              </w:rPr>
              <w:t>其他环境管理要求</w:t>
            </w:r>
          </w:p>
        </w:tc>
        <w:tc>
          <w:tcPr>
            <w:tcW w:w="8959" w:type="dxa"/>
            <w:gridSpan w:val="4"/>
            <w:noWrap w:val="0"/>
            <w:vAlign w:val="center"/>
          </w:tcPr>
          <w:p w14:paraId="7983328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1、排污许可证管理要求</w:t>
            </w:r>
          </w:p>
          <w:p w14:paraId="03F615B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根据《固定污染源排污许可分类管理名录（2019年版）》（生态环境部 第11号）要求进行填报排污许可。因此，建设单位应当在启动生产设施或者发生实际排污之前在全国排污许可证管理信息平台进行排污许可申请。</w:t>
            </w:r>
          </w:p>
          <w:p w14:paraId="679DB83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2、竣工环境保护验收</w:t>
            </w:r>
          </w:p>
          <w:p w14:paraId="529D340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根据《建设项目竣工环境保护验收暂行办法》的规定，建设项目竣工后，建设单位应当如实查验、监测、记载建设项目环境保护设施的建设和调试情况，编制验收监测报告表。</w:t>
            </w:r>
          </w:p>
          <w:p w14:paraId="65113AA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rPr>
            </w:pPr>
            <w:r>
              <w:rPr>
                <w:rFonts w:hint="eastAsia" w:hAnsi="宋体"/>
                <w:sz w:val="24"/>
                <w:szCs w:val="24"/>
                <w:highlight w:val="none"/>
                <w:lang w:val="en-US" w:eastAsia="zh-CN"/>
              </w:rPr>
              <w:t>3、排放口规范化建设</w:t>
            </w:r>
          </w:p>
          <w:p w14:paraId="4E71FF3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firstLine="480" w:firstLineChars="200"/>
              <w:textAlignment w:val="auto"/>
              <w:rPr>
                <w:rFonts w:hint="eastAsia"/>
                <w:sz w:val="24"/>
                <w:szCs w:val="24"/>
                <w:highlight w:val="none"/>
                <w:lang w:eastAsia="zh-CN"/>
              </w:rPr>
            </w:pPr>
            <w:r>
              <w:rPr>
                <w:rFonts w:hint="eastAsia"/>
                <w:sz w:val="24"/>
                <w:szCs w:val="24"/>
                <w:highlight w:val="none"/>
              </w:rPr>
              <w:t>根据《环境保护图形标志－排放口（源）》（GB15562.1-1995）、《环境保护图形标志—固体废物贮存（处置）场》（GB15562.2-1995）及其修改单标准要求，本项目应在</w:t>
            </w:r>
            <w:r>
              <w:rPr>
                <w:rFonts w:hint="eastAsia"/>
                <w:sz w:val="24"/>
                <w:szCs w:val="24"/>
                <w:highlight w:val="none"/>
                <w:lang w:val="en-US" w:eastAsia="zh-CN"/>
              </w:rPr>
              <w:t>废气</w:t>
            </w:r>
            <w:r>
              <w:rPr>
                <w:rFonts w:hint="eastAsia"/>
                <w:sz w:val="24"/>
                <w:szCs w:val="24"/>
                <w:highlight w:val="none"/>
              </w:rPr>
              <w:t>排放口、固废贮存场所和噪声排放源分别设置环境保护图形标志牌，按照排污许可技术规范、年度污染防治攻坚方案、专项整治方案等要求安装相关环保监控、监测设备，便于污染源监督管理及常规监测工作的进行</w:t>
            </w:r>
            <w:r>
              <w:rPr>
                <w:rFonts w:hint="eastAsia"/>
                <w:sz w:val="24"/>
                <w:szCs w:val="24"/>
                <w:highlight w:val="none"/>
                <w:lang w:eastAsia="zh-CN"/>
              </w:rPr>
              <w:t>。</w:t>
            </w:r>
          </w:p>
          <w:p w14:paraId="3988481C">
            <w:pPr>
              <w:pStyle w:val="2"/>
              <w:keepLines w:val="0"/>
              <w:suppressLineNumbers w:val="0"/>
              <w:spacing w:beforeAutospacing="0" w:afterAutospacing="0"/>
              <w:ind w:right="0"/>
              <w:rPr>
                <w:rFonts w:hint="eastAsia"/>
                <w:sz w:val="24"/>
                <w:szCs w:val="24"/>
                <w:highlight w:val="none"/>
                <w:lang w:eastAsia="zh-CN"/>
              </w:rPr>
            </w:pPr>
          </w:p>
          <w:p w14:paraId="0A3D68E6">
            <w:pPr>
              <w:keepNext w:val="0"/>
              <w:keepLines w:val="0"/>
              <w:suppressLineNumbers w:val="0"/>
              <w:spacing w:before="0" w:beforeAutospacing="0" w:after="0" w:afterAutospacing="0"/>
              <w:ind w:left="0" w:right="0"/>
              <w:rPr>
                <w:rFonts w:hint="eastAsia"/>
                <w:sz w:val="24"/>
                <w:szCs w:val="24"/>
                <w:highlight w:val="none"/>
                <w:lang w:eastAsia="zh-CN"/>
              </w:rPr>
            </w:pPr>
          </w:p>
          <w:p w14:paraId="40059DBE">
            <w:pPr>
              <w:pStyle w:val="2"/>
              <w:keepLines w:val="0"/>
              <w:suppressLineNumbers w:val="0"/>
              <w:spacing w:beforeAutospacing="0" w:afterAutospacing="0"/>
              <w:ind w:right="0"/>
              <w:rPr>
                <w:rFonts w:hint="eastAsia"/>
                <w:sz w:val="24"/>
                <w:szCs w:val="24"/>
                <w:highlight w:val="none"/>
                <w:lang w:eastAsia="zh-CN"/>
              </w:rPr>
            </w:pPr>
          </w:p>
          <w:p w14:paraId="6B4BD431">
            <w:pPr>
              <w:keepNext w:val="0"/>
              <w:keepLines w:val="0"/>
              <w:suppressLineNumbers w:val="0"/>
              <w:spacing w:before="0" w:beforeAutospacing="0" w:after="0" w:afterAutospacing="0"/>
              <w:ind w:left="0" w:right="0"/>
              <w:rPr>
                <w:rFonts w:hint="eastAsia"/>
                <w:sz w:val="24"/>
                <w:szCs w:val="24"/>
                <w:highlight w:val="none"/>
                <w:lang w:eastAsia="zh-CN"/>
              </w:rPr>
            </w:pPr>
          </w:p>
          <w:p w14:paraId="45902257">
            <w:pPr>
              <w:keepNext w:val="0"/>
              <w:keepLines w:val="0"/>
              <w:suppressLineNumbers w:val="0"/>
              <w:spacing w:before="0" w:beforeAutospacing="0" w:after="0" w:afterAutospacing="0"/>
              <w:ind w:left="0" w:right="0"/>
              <w:rPr>
                <w:rFonts w:hint="eastAsia"/>
                <w:sz w:val="24"/>
                <w:szCs w:val="24"/>
                <w:highlight w:val="none"/>
                <w:lang w:eastAsia="zh-CN"/>
              </w:rPr>
            </w:pPr>
          </w:p>
          <w:p w14:paraId="0278EBB2">
            <w:pPr>
              <w:keepNext w:val="0"/>
              <w:keepLines w:val="0"/>
              <w:suppressLineNumbers w:val="0"/>
              <w:spacing w:before="0" w:beforeAutospacing="0" w:after="0" w:afterAutospacing="0"/>
              <w:ind w:left="0" w:right="0"/>
              <w:rPr>
                <w:rFonts w:hint="eastAsia"/>
                <w:sz w:val="24"/>
                <w:szCs w:val="24"/>
                <w:highlight w:val="none"/>
                <w:lang w:eastAsia="zh-CN"/>
              </w:rPr>
            </w:pPr>
          </w:p>
          <w:p w14:paraId="3FC73EAA">
            <w:pPr>
              <w:keepNext w:val="0"/>
              <w:keepLines w:val="0"/>
              <w:suppressLineNumbers w:val="0"/>
              <w:spacing w:before="0" w:beforeAutospacing="0" w:after="0" w:afterAutospacing="0"/>
              <w:ind w:left="0" w:right="0"/>
              <w:rPr>
                <w:rFonts w:hint="eastAsia"/>
                <w:sz w:val="24"/>
                <w:szCs w:val="24"/>
                <w:highlight w:val="none"/>
                <w:lang w:eastAsia="zh-CN"/>
              </w:rPr>
            </w:pPr>
          </w:p>
          <w:p w14:paraId="2FCBB166">
            <w:pPr>
              <w:keepNext w:val="0"/>
              <w:keepLines w:val="0"/>
              <w:suppressLineNumbers w:val="0"/>
              <w:spacing w:before="0" w:beforeAutospacing="0" w:after="0" w:afterAutospacing="0"/>
              <w:ind w:left="0" w:right="0"/>
              <w:rPr>
                <w:rFonts w:hint="eastAsia"/>
                <w:sz w:val="24"/>
                <w:szCs w:val="24"/>
                <w:highlight w:val="none"/>
                <w:lang w:eastAsia="zh-CN"/>
              </w:rPr>
            </w:pPr>
          </w:p>
          <w:p w14:paraId="331E6CDF">
            <w:pPr>
              <w:keepNext w:val="0"/>
              <w:keepLines w:val="0"/>
              <w:suppressLineNumbers w:val="0"/>
              <w:spacing w:before="0" w:beforeAutospacing="0" w:after="0" w:afterAutospacing="0"/>
              <w:ind w:left="0" w:right="0"/>
              <w:rPr>
                <w:rFonts w:hint="eastAsia"/>
                <w:sz w:val="24"/>
                <w:szCs w:val="24"/>
                <w:highlight w:val="none"/>
                <w:lang w:eastAsia="zh-CN"/>
              </w:rPr>
            </w:pPr>
          </w:p>
          <w:p w14:paraId="61B90677">
            <w:pPr>
              <w:keepNext w:val="0"/>
              <w:keepLines w:val="0"/>
              <w:suppressLineNumbers w:val="0"/>
              <w:spacing w:before="0" w:beforeAutospacing="0" w:after="0" w:afterAutospacing="0"/>
              <w:ind w:left="0" w:right="0"/>
              <w:rPr>
                <w:rFonts w:hint="eastAsia"/>
                <w:sz w:val="24"/>
                <w:szCs w:val="24"/>
                <w:highlight w:val="none"/>
                <w:lang w:eastAsia="zh-CN"/>
              </w:rPr>
            </w:pPr>
          </w:p>
          <w:p w14:paraId="139231FF">
            <w:pPr>
              <w:keepNext w:val="0"/>
              <w:keepLines w:val="0"/>
              <w:suppressLineNumbers w:val="0"/>
              <w:spacing w:before="0" w:beforeAutospacing="0" w:after="0" w:afterAutospacing="0"/>
              <w:ind w:left="0" w:right="0"/>
              <w:rPr>
                <w:rFonts w:hint="eastAsia"/>
                <w:sz w:val="24"/>
                <w:szCs w:val="24"/>
                <w:highlight w:val="none"/>
                <w:lang w:eastAsia="zh-CN"/>
              </w:rPr>
            </w:pPr>
          </w:p>
          <w:p w14:paraId="752A6351">
            <w:pPr>
              <w:keepNext w:val="0"/>
              <w:keepLines w:val="0"/>
              <w:suppressLineNumbers w:val="0"/>
              <w:spacing w:before="0" w:beforeAutospacing="0" w:after="0" w:afterAutospacing="0"/>
              <w:ind w:left="0" w:right="0"/>
              <w:rPr>
                <w:rFonts w:hint="eastAsia"/>
                <w:sz w:val="24"/>
                <w:szCs w:val="24"/>
                <w:highlight w:val="none"/>
                <w:lang w:eastAsia="zh-CN"/>
              </w:rPr>
            </w:pPr>
          </w:p>
          <w:p w14:paraId="17233EFB">
            <w:pPr>
              <w:keepNext w:val="0"/>
              <w:keepLines w:val="0"/>
              <w:suppressLineNumbers w:val="0"/>
              <w:spacing w:before="0" w:beforeAutospacing="0" w:after="0" w:afterAutospacing="0"/>
              <w:ind w:left="0" w:right="0"/>
              <w:rPr>
                <w:rFonts w:hint="eastAsia"/>
                <w:sz w:val="24"/>
                <w:szCs w:val="24"/>
                <w:highlight w:val="none"/>
                <w:lang w:eastAsia="zh-CN"/>
              </w:rPr>
            </w:pPr>
          </w:p>
          <w:p w14:paraId="66E3423A">
            <w:pPr>
              <w:keepNext w:val="0"/>
              <w:keepLines w:val="0"/>
              <w:suppressLineNumbers w:val="0"/>
              <w:spacing w:before="0" w:beforeAutospacing="0" w:after="0" w:afterAutospacing="0"/>
              <w:ind w:left="0" w:right="0"/>
              <w:rPr>
                <w:rFonts w:hint="eastAsia"/>
                <w:sz w:val="24"/>
                <w:szCs w:val="24"/>
                <w:highlight w:val="none"/>
                <w:lang w:eastAsia="zh-CN"/>
              </w:rPr>
            </w:pPr>
          </w:p>
          <w:p w14:paraId="48F54EB3">
            <w:pPr>
              <w:keepNext w:val="0"/>
              <w:keepLines w:val="0"/>
              <w:suppressLineNumbers w:val="0"/>
              <w:spacing w:before="0" w:beforeAutospacing="0" w:after="0" w:afterAutospacing="0"/>
              <w:ind w:left="0" w:right="0"/>
              <w:rPr>
                <w:rFonts w:hint="eastAsia"/>
                <w:sz w:val="24"/>
                <w:szCs w:val="24"/>
                <w:highlight w:val="none"/>
                <w:lang w:eastAsia="zh-CN"/>
              </w:rPr>
            </w:pPr>
          </w:p>
          <w:p w14:paraId="1FEA7C08">
            <w:pPr>
              <w:keepNext w:val="0"/>
              <w:keepLines w:val="0"/>
              <w:suppressLineNumbers w:val="0"/>
              <w:spacing w:before="0" w:beforeAutospacing="0" w:after="0" w:afterAutospacing="0"/>
              <w:ind w:left="0" w:right="0"/>
              <w:rPr>
                <w:rFonts w:hint="eastAsia"/>
                <w:sz w:val="24"/>
                <w:szCs w:val="24"/>
                <w:highlight w:val="none"/>
                <w:lang w:eastAsia="zh-CN"/>
              </w:rPr>
            </w:pPr>
          </w:p>
          <w:p w14:paraId="5DF32E4C">
            <w:pPr>
              <w:keepNext w:val="0"/>
              <w:keepLines w:val="0"/>
              <w:suppressLineNumbers w:val="0"/>
              <w:spacing w:before="0" w:beforeAutospacing="0" w:after="0" w:afterAutospacing="0"/>
              <w:ind w:left="0" w:right="0"/>
              <w:rPr>
                <w:rFonts w:hint="eastAsia"/>
                <w:sz w:val="24"/>
                <w:szCs w:val="24"/>
                <w:highlight w:val="none"/>
                <w:lang w:eastAsia="zh-CN"/>
              </w:rPr>
            </w:pPr>
          </w:p>
          <w:p w14:paraId="6717515C">
            <w:pPr>
              <w:keepNext w:val="0"/>
              <w:keepLines w:val="0"/>
              <w:suppressLineNumbers w:val="0"/>
              <w:spacing w:before="0" w:beforeAutospacing="0" w:after="0" w:afterAutospacing="0"/>
              <w:ind w:left="0" w:right="0"/>
              <w:rPr>
                <w:rFonts w:hint="eastAsia"/>
                <w:sz w:val="24"/>
                <w:szCs w:val="24"/>
                <w:highlight w:val="none"/>
                <w:lang w:eastAsia="zh-CN"/>
              </w:rPr>
            </w:pPr>
          </w:p>
          <w:p w14:paraId="7FA56686">
            <w:pPr>
              <w:keepNext w:val="0"/>
              <w:keepLines w:val="0"/>
              <w:suppressLineNumbers w:val="0"/>
              <w:spacing w:before="0" w:beforeAutospacing="0" w:after="0" w:afterAutospacing="0"/>
              <w:ind w:left="0" w:right="0"/>
              <w:rPr>
                <w:rFonts w:hint="eastAsia"/>
                <w:sz w:val="24"/>
                <w:szCs w:val="24"/>
                <w:highlight w:val="none"/>
                <w:lang w:eastAsia="zh-CN"/>
              </w:rPr>
            </w:pPr>
          </w:p>
          <w:p w14:paraId="69D21712">
            <w:pPr>
              <w:keepNext w:val="0"/>
              <w:keepLines w:val="0"/>
              <w:suppressLineNumbers w:val="0"/>
              <w:spacing w:before="0" w:beforeAutospacing="0" w:after="0" w:afterAutospacing="0"/>
              <w:ind w:left="0" w:right="0"/>
              <w:rPr>
                <w:rFonts w:hint="default"/>
                <w:lang w:val="en-US" w:eastAsia="zh-CN"/>
              </w:rPr>
            </w:pPr>
          </w:p>
          <w:p w14:paraId="1B14AFC4">
            <w:pPr>
              <w:pStyle w:val="2"/>
              <w:keepLines w:val="0"/>
              <w:suppressLineNumbers w:val="0"/>
              <w:spacing w:beforeAutospacing="0" w:afterAutospacing="0"/>
              <w:ind w:right="0"/>
              <w:rPr>
                <w:rFonts w:hint="default"/>
                <w:lang w:val="en-US" w:eastAsia="zh-CN"/>
              </w:rPr>
            </w:pPr>
          </w:p>
          <w:p w14:paraId="5D5C19A9">
            <w:pPr>
              <w:keepNext w:val="0"/>
              <w:keepLines w:val="0"/>
              <w:suppressLineNumbers w:val="0"/>
              <w:spacing w:before="0" w:beforeAutospacing="0" w:after="0" w:afterAutospacing="0"/>
              <w:ind w:left="0" w:right="0"/>
              <w:rPr>
                <w:rFonts w:hint="default"/>
                <w:lang w:val="en-US" w:eastAsia="zh-CN"/>
              </w:rPr>
            </w:pPr>
          </w:p>
          <w:p w14:paraId="129A952C">
            <w:pPr>
              <w:keepNext w:val="0"/>
              <w:keepLines w:val="0"/>
              <w:suppressLineNumbers w:val="0"/>
              <w:spacing w:before="0" w:beforeAutospacing="0" w:after="0" w:afterAutospacing="0"/>
              <w:ind w:left="0" w:right="0"/>
              <w:rPr>
                <w:rFonts w:hint="default"/>
                <w:lang w:val="en-US" w:eastAsia="zh-CN"/>
              </w:rPr>
            </w:pPr>
          </w:p>
          <w:p w14:paraId="7E78B834">
            <w:pPr>
              <w:keepNext w:val="0"/>
              <w:keepLines w:val="0"/>
              <w:suppressLineNumbers w:val="0"/>
              <w:spacing w:before="0" w:beforeAutospacing="0" w:after="0" w:afterAutospacing="0"/>
              <w:ind w:left="0" w:right="0"/>
              <w:rPr>
                <w:rFonts w:hint="default"/>
                <w:lang w:val="en-US" w:eastAsia="zh-CN"/>
              </w:rPr>
            </w:pPr>
          </w:p>
        </w:tc>
      </w:tr>
    </w:tbl>
    <w:p w14:paraId="5D74C752">
      <w:pPr>
        <w:pStyle w:val="18"/>
        <w:adjustRightInd w:val="0"/>
        <w:snapToGrid w:val="0"/>
        <w:spacing w:before="0" w:beforeAutospacing="0" w:after="0" w:afterAutospacing="0" w:line="240" w:lineRule="auto"/>
        <w:outlineLvl w:val="0"/>
        <w:rPr>
          <w:rFonts w:hint="eastAsia" w:ascii="黑体" w:hAnsi="黑体" w:eastAsia="黑体" w:cs="黑体"/>
          <w:snapToGrid w:val="0"/>
          <w:sz w:val="32"/>
          <w:szCs w:val="32"/>
        </w:rPr>
      </w:pPr>
    </w:p>
    <w:p w14:paraId="0A07DB1C">
      <w:pPr>
        <w:pStyle w:val="18"/>
        <w:adjustRightInd w:val="0"/>
        <w:snapToGrid w:val="0"/>
        <w:spacing w:before="0" w:beforeAutospacing="0" w:after="0" w:afterAutospacing="0" w:line="240" w:lineRule="auto"/>
        <w:outlineLvl w:val="0"/>
        <w:rPr>
          <w:rFonts w:hint="eastAsia" w:ascii="黑体" w:hAnsi="黑体" w:eastAsia="黑体" w:cs="黑体"/>
          <w:snapToGrid w:val="0"/>
          <w:sz w:val="32"/>
          <w:szCs w:val="32"/>
          <w:lang w:eastAsia="zh-CN"/>
        </w:rPr>
        <w:sectPr>
          <w:headerReference r:id="rId5" w:type="default"/>
          <w:footerReference r:id="rId6" w:type="default"/>
          <w:pgSz w:w="11906" w:h="16838"/>
          <w:pgMar w:top="1701" w:right="1417" w:bottom="1701" w:left="1417"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黑体" w:hAnsi="黑体" w:eastAsia="黑体" w:cs="黑体"/>
          <w:snapToGrid w:val="0"/>
          <w:sz w:val="32"/>
          <w:szCs w:val="32"/>
          <w:lang w:eastAsia="zh-CN"/>
        </w:rPr>
        <w:drawing>
          <wp:inline distT="0" distB="0" distL="114300" distR="114300">
            <wp:extent cx="5758815" cy="8145780"/>
            <wp:effectExtent l="0" t="0" r="13335" b="7620"/>
            <wp:docPr id="45" name="图片 45" descr="1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11_00"/>
                    <pic:cNvPicPr>
                      <a:picLocks noChangeAspect="1"/>
                    </pic:cNvPicPr>
                  </pic:nvPicPr>
                  <pic:blipFill>
                    <a:blip r:embed="rId21"/>
                    <a:stretch>
                      <a:fillRect/>
                    </a:stretch>
                  </pic:blipFill>
                  <pic:spPr>
                    <a:xfrm>
                      <a:off x="0" y="0"/>
                      <a:ext cx="5758815" cy="8145780"/>
                    </a:xfrm>
                    <a:prstGeom prst="rect">
                      <a:avLst/>
                    </a:prstGeom>
                  </pic:spPr>
                </pic:pic>
              </a:graphicData>
            </a:graphic>
          </wp:inline>
        </w:drawing>
      </w:r>
      <w:bookmarkStart w:id="5" w:name="_GoBack"/>
      <w:bookmarkEnd w:id="5"/>
    </w:p>
    <w:p w14:paraId="7093F58D">
      <w:pPr>
        <w:pStyle w:val="18"/>
        <w:adjustRightInd w:val="0"/>
        <w:snapToGrid w:val="0"/>
        <w:spacing w:before="0" w:beforeAutospacing="0" w:after="0" w:afterAutospacing="0" w:line="240" w:lineRule="auto"/>
        <w:outlineLvl w:val="0"/>
        <w:rPr>
          <w:rFonts w:hint="eastAsia" w:ascii="黑体" w:hAnsi="黑体" w:eastAsia="黑体" w:cs="黑体"/>
          <w:snapToGrid w:val="0"/>
          <w:sz w:val="32"/>
          <w:szCs w:val="32"/>
          <w:lang w:val="en-US" w:eastAsia="zh-CN"/>
        </w:rPr>
      </w:pPr>
      <w:r>
        <w:rPr>
          <w:rFonts w:hint="eastAsia" w:ascii="黑体" w:hAnsi="黑体" w:eastAsia="黑体" w:cs="黑体"/>
          <w:snapToGrid w:val="0"/>
          <w:sz w:val="32"/>
          <w:szCs w:val="32"/>
        </w:rPr>
        <w:t>附表</w:t>
      </w:r>
      <w:r>
        <w:rPr>
          <w:rFonts w:hint="eastAsia" w:ascii="黑体" w:hAnsi="黑体" w:eastAsia="黑体" w:cs="黑体"/>
          <w:snapToGrid w:val="0"/>
          <w:sz w:val="32"/>
          <w:szCs w:val="32"/>
          <w:lang w:val="en-US" w:eastAsia="zh-CN"/>
        </w:rPr>
        <w:t xml:space="preserve">  </w:t>
      </w:r>
    </w:p>
    <w:p w14:paraId="6DC53B63">
      <w:pPr>
        <w:pStyle w:val="18"/>
        <w:adjustRightInd w:val="0"/>
        <w:snapToGrid w:val="0"/>
        <w:spacing w:before="0" w:beforeAutospacing="0" w:after="0" w:afterAutospacing="0" w:line="240" w:lineRule="auto"/>
        <w:jc w:val="right"/>
        <w:outlineLvl w:val="0"/>
        <w:rPr>
          <w:rFonts w:hint="default" w:ascii="方正小标宋_GBK" w:hAnsi="黑体" w:eastAsia="方正小标宋_GBK"/>
          <w:snapToGrid w:val="0"/>
          <w:sz w:val="38"/>
          <w:szCs w:val="38"/>
          <w:highlight w:val="none"/>
          <w:lang w:val="en-US" w:eastAsia="zh-CN"/>
        </w:rPr>
      </w:pPr>
      <w:r>
        <w:rPr>
          <w:rFonts w:hint="eastAsia" w:ascii="黑体" w:hAnsi="黑体" w:eastAsia="黑体" w:cs="黑体"/>
          <w:snapToGrid w:val="0"/>
          <w:sz w:val="38"/>
          <w:szCs w:val="38"/>
          <w:lang w:val="en-US" w:eastAsia="zh-CN"/>
        </w:rPr>
        <w:t xml:space="preserve">   </w:t>
      </w:r>
      <w:r>
        <w:rPr>
          <w:rFonts w:hint="eastAsia" w:ascii="黑体" w:hAnsi="黑体" w:eastAsia="黑体" w:cs="黑体"/>
          <w:snapToGrid w:val="0"/>
          <w:sz w:val="38"/>
          <w:szCs w:val="38"/>
          <w:highlight w:val="none"/>
          <w:lang w:val="en-US" w:eastAsia="zh-CN"/>
        </w:rPr>
        <w:t xml:space="preserve">   </w:t>
      </w:r>
      <w:r>
        <w:rPr>
          <w:rFonts w:hint="eastAsia" w:ascii="黑体" w:hAnsi="黑体" w:eastAsia="黑体" w:cs="黑体"/>
          <w:snapToGrid w:val="0"/>
          <w:sz w:val="38"/>
          <w:szCs w:val="38"/>
          <w:highlight w:val="none"/>
        </w:rPr>
        <w:t>建设项目污染物排放量汇总表</w:t>
      </w:r>
      <w:r>
        <w:rPr>
          <w:rFonts w:hint="eastAsia" w:ascii="方正小标宋_GBK" w:hAnsi="黑体" w:eastAsia="方正小标宋_GBK"/>
          <w:snapToGrid w:val="0"/>
          <w:sz w:val="38"/>
          <w:szCs w:val="38"/>
          <w:highlight w:val="none"/>
          <w:lang w:val="en-US" w:eastAsia="zh-CN"/>
        </w:rPr>
        <w:t xml:space="preserve">               </w:t>
      </w:r>
      <w:r>
        <w:rPr>
          <w:rFonts w:hint="default" w:ascii="Times New Roman" w:hAnsi="Times New Roman" w:cs="Times New Roman"/>
          <w:b/>
          <w:snapToGrid w:val="0"/>
          <w:sz w:val="21"/>
          <w:szCs w:val="21"/>
          <w:highlight w:val="none"/>
          <w:lang w:eastAsia="zh-CN"/>
        </w:rPr>
        <w:t>单位：t/a</w:t>
      </w:r>
    </w:p>
    <w:tbl>
      <w:tblPr>
        <w:tblStyle w:val="22"/>
        <w:tblpPr w:leftFromText="180" w:rightFromText="180" w:vertAnchor="text" w:horzAnchor="page" w:tblpXSpec="center" w:tblpY="259"/>
        <w:tblOverlap w:val="never"/>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1443"/>
        <w:gridCol w:w="1785"/>
        <w:gridCol w:w="1257"/>
        <w:gridCol w:w="1803"/>
        <w:gridCol w:w="1680"/>
        <w:gridCol w:w="1575"/>
        <w:gridCol w:w="2040"/>
        <w:gridCol w:w="1108"/>
      </w:tblGrid>
      <w:tr w14:paraId="52BB65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tcBorders>
              <w:tl2br w:val="single" w:color="auto" w:sz="4" w:space="0"/>
            </w:tcBorders>
            <w:noWrap w:val="0"/>
            <w:tcMar>
              <w:left w:w="28" w:type="dxa"/>
              <w:right w:w="28" w:type="dxa"/>
            </w:tcMar>
            <w:vAlign w:val="center"/>
          </w:tcPr>
          <w:p w14:paraId="09B3155B">
            <w:pPr>
              <w:pStyle w:val="50"/>
              <w:keepNext w:val="0"/>
              <w:keepLines w:val="0"/>
              <w:suppressLineNumbers w:val="0"/>
              <w:spacing w:before="0" w:beforeLines="0" w:beforeAutospacing="0" w:after="0" w:afterLines="0" w:afterAutospacing="0" w:line="240" w:lineRule="auto"/>
              <w:ind w:left="0" w:right="0"/>
              <w:jc w:val="right"/>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项目</w:t>
            </w:r>
          </w:p>
          <w:p w14:paraId="23ABA4F3">
            <w:pPr>
              <w:pStyle w:val="50"/>
              <w:keepNext w:val="0"/>
              <w:keepLines w:val="0"/>
              <w:suppressLineNumbers w:val="0"/>
              <w:spacing w:before="0" w:beforeLines="0" w:beforeAutospacing="0" w:after="0" w:afterLines="0" w:afterAutospacing="0" w:line="240" w:lineRule="auto"/>
              <w:ind w:left="0" w:right="0"/>
              <w:jc w:val="left"/>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分类</w:t>
            </w:r>
          </w:p>
        </w:tc>
        <w:tc>
          <w:tcPr>
            <w:tcW w:w="1443" w:type="dxa"/>
            <w:noWrap w:val="0"/>
            <w:tcMar>
              <w:left w:w="28" w:type="dxa"/>
              <w:right w:w="28" w:type="dxa"/>
            </w:tcMar>
            <w:vAlign w:val="center"/>
          </w:tcPr>
          <w:p w14:paraId="43C7FB85">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污染物名称</w:t>
            </w:r>
          </w:p>
        </w:tc>
        <w:tc>
          <w:tcPr>
            <w:tcW w:w="1785" w:type="dxa"/>
            <w:noWrap w:val="0"/>
            <w:tcMar>
              <w:left w:w="28" w:type="dxa"/>
              <w:right w:w="28" w:type="dxa"/>
            </w:tcMar>
            <w:vAlign w:val="center"/>
          </w:tcPr>
          <w:p w14:paraId="6D89B3E7">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现有工程排放量（固体废物产生量）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1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①</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257" w:type="dxa"/>
            <w:noWrap w:val="0"/>
            <w:tcMar>
              <w:left w:w="28" w:type="dxa"/>
              <w:right w:w="28" w:type="dxa"/>
            </w:tcMar>
            <w:vAlign w:val="center"/>
          </w:tcPr>
          <w:p w14:paraId="6E768B45">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现有工程许可排放量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2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snapToGrid w:val="0"/>
                <w:color w:val="000000" w:themeColor="text1"/>
                <w:spacing w:val="-6"/>
                <w:kern w:val="21"/>
                <w:sz w:val="21"/>
                <w:szCs w:val="21"/>
                <w:highlight w:val="none"/>
                <w:lang w:val="en-US" w:eastAsia="zh-CN"/>
                <w14:textFill>
                  <w14:solidFill>
                    <w14:schemeClr w14:val="tx1"/>
                  </w14:solidFill>
                </w14:textFill>
              </w:rPr>
              <w:t>②</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803" w:type="dxa"/>
            <w:noWrap w:val="0"/>
            <w:tcMar>
              <w:left w:w="28" w:type="dxa"/>
              <w:right w:w="28" w:type="dxa"/>
            </w:tcMar>
            <w:vAlign w:val="center"/>
          </w:tcPr>
          <w:p w14:paraId="7F484B7B">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在建工程排放量（固体废物产生量）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3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③</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680" w:type="dxa"/>
            <w:noWrap w:val="0"/>
            <w:tcMar>
              <w:left w:w="28" w:type="dxa"/>
              <w:right w:w="28" w:type="dxa"/>
            </w:tcMar>
            <w:vAlign w:val="center"/>
          </w:tcPr>
          <w:p w14:paraId="55DE1EFC">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本项目排放量（固体废物产生量）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4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④</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575" w:type="dxa"/>
            <w:noWrap w:val="0"/>
            <w:tcMar>
              <w:left w:w="28" w:type="dxa"/>
              <w:right w:w="28" w:type="dxa"/>
            </w:tcMar>
            <w:vAlign w:val="center"/>
          </w:tcPr>
          <w:p w14:paraId="2765CB5E">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16"/>
                <w:kern w:val="21"/>
                <w:sz w:val="21"/>
                <w:szCs w:val="21"/>
                <w:highlight w:val="none"/>
                <w:lang w:val="en-US" w:eastAsia="zh-CN"/>
                <w14:textFill>
                  <w14:solidFill>
                    <w14:schemeClr w14:val="tx1"/>
                  </w14:solidFill>
                </w14:textFill>
              </w:rPr>
              <w:t>以新带老削减量（新建项目不填）</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instrText xml:space="preserve"> = 5 \* GB3 \* MERGEFORMAT </w:instrTex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⑤</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end"/>
            </w:r>
          </w:p>
        </w:tc>
        <w:tc>
          <w:tcPr>
            <w:tcW w:w="2040" w:type="dxa"/>
            <w:noWrap w:val="0"/>
            <w:tcMar>
              <w:left w:w="28" w:type="dxa"/>
              <w:right w:w="28" w:type="dxa"/>
            </w:tcMar>
            <w:vAlign w:val="center"/>
          </w:tcPr>
          <w:p w14:paraId="287FCDEE">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16"/>
                <w:kern w:val="21"/>
                <w:sz w:val="21"/>
                <w:szCs w:val="21"/>
                <w:highlight w:val="none"/>
                <w:lang w:val="en-US" w:eastAsia="zh-CN"/>
                <w14:textFill>
                  <w14:solidFill>
                    <w14:schemeClr w14:val="tx1"/>
                  </w14:solidFill>
                </w14:textFill>
              </w:rPr>
              <w:t>本项目建成后全厂排放量（固体废物产生量）</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instrText xml:space="preserve"> = 6 \* GB3 \* MERGEFORMAT </w:instrTex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⑥</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end"/>
            </w:r>
          </w:p>
        </w:tc>
        <w:tc>
          <w:tcPr>
            <w:tcW w:w="1108" w:type="dxa"/>
            <w:noWrap w:val="0"/>
            <w:tcMar>
              <w:left w:w="28" w:type="dxa"/>
              <w:right w:w="28" w:type="dxa"/>
            </w:tcMar>
            <w:vAlign w:val="center"/>
          </w:tcPr>
          <w:p w14:paraId="1BB84084">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变化量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7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⑦</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r>
      <w:tr w14:paraId="751247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noWrap w:val="0"/>
            <w:vAlign w:val="center"/>
          </w:tcPr>
          <w:p w14:paraId="46B4C3A5">
            <w:pPr>
              <w:pStyle w:val="50"/>
              <w:keepNext w:val="0"/>
              <w:keepLines w:val="0"/>
              <w:suppressLineNumbers w:val="0"/>
              <w:spacing w:before="0" w:beforeLines="0" w:beforeAutospacing="0" w:after="0" w:afterLines="0" w:afterAutospacing="0" w:line="240" w:lineRule="auto"/>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r>
              <w:rPr>
                <w:rFonts w:hint="eastAsia" w:ascii="Times New Roman"/>
                <w:snapToGrid w:val="0"/>
                <w:color w:val="000000" w:themeColor="text1"/>
                <w:kern w:val="21"/>
                <w:sz w:val="21"/>
                <w:szCs w:val="21"/>
                <w:highlight w:val="none"/>
                <w:lang w:val="en-US" w:eastAsia="zh-CN"/>
                <w14:textFill>
                  <w14:solidFill>
                    <w14:schemeClr w14:val="tx1"/>
                  </w14:solidFill>
                </w14:textFill>
              </w:rPr>
              <w:t>废气</w:t>
            </w:r>
          </w:p>
        </w:tc>
        <w:tc>
          <w:tcPr>
            <w:tcW w:w="1443" w:type="dxa"/>
            <w:noWrap w:val="0"/>
            <w:vAlign w:val="center"/>
          </w:tcPr>
          <w:p w14:paraId="30A82EC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r>
              <w:rPr>
                <w:rFonts w:hint="eastAsia"/>
                <w:b w:val="0"/>
                <w:bCs w:val="0"/>
                <w:color w:val="auto"/>
                <w:sz w:val="21"/>
                <w:szCs w:val="21"/>
                <w:vertAlign w:val="baseline"/>
                <w:lang w:val="en-US" w:eastAsia="zh-CN"/>
              </w:rPr>
              <w:t>颗粒物</w:t>
            </w:r>
          </w:p>
        </w:tc>
        <w:tc>
          <w:tcPr>
            <w:tcW w:w="1785" w:type="dxa"/>
            <w:noWrap w:val="0"/>
            <w:vAlign w:val="center"/>
          </w:tcPr>
          <w:p w14:paraId="2B97540C">
            <w:pPr>
              <w:keepNext w:val="0"/>
              <w:keepLines w:val="0"/>
              <w:suppressLineNumbers w:val="0"/>
              <w:spacing w:before="0" w:beforeAutospacing="0" w:after="0" w:afterAutospacing="0"/>
              <w:ind w:left="0" w:right="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7FCF7B94">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3F6764A4">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6E374576">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0.0303</w:t>
            </w:r>
          </w:p>
        </w:tc>
        <w:tc>
          <w:tcPr>
            <w:tcW w:w="1575" w:type="dxa"/>
            <w:noWrap w:val="0"/>
            <w:vAlign w:val="center"/>
          </w:tcPr>
          <w:p w14:paraId="31DEC7A8">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6351745C">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0.0303</w:t>
            </w:r>
          </w:p>
        </w:tc>
        <w:tc>
          <w:tcPr>
            <w:tcW w:w="1108" w:type="dxa"/>
            <w:noWrap w:val="0"/>
            <w:vAlign w:val="center"/>
          </w:tcPr>
          <w:p w14:paraId="67946368">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+0.0303</w:t>
            </w:r>
          </w:p>
        </w:tc>
      </w:tr>
      <w:tr w14:paraId="11ED07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5C8084A8">
            <w:pPr>
              <w:pStyle w:val="50"/>
              <w:keepNext w:val="0"/>
              <w:keepLines w:val="0"/>
              <w:suppressLineNumbers w:val="0"/>
              <w:spacing w:before="24" w:beforeAutospacing="0" w:after="24" w:afterAutospacing="0"/>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t>废水</w:t>
            </w:r>
          </w:p>
        </w:tc>
        <w:tc>
          <w:tcPr>
            <w:tcW w:w="1443" w:type="dxa"/>
            <w:noWrap w:val="0"/>
            <w:vAlign w:val="center"/>
          </w:tcPr>
          <w:p w14:paraId="30ED0231">
            <w:pPr>
              <w:keepNext w:val="0"/>
              <w:keepLines w:val="0"/>
              <w:suppressLineNumbers w:val="0"/>
              <w:tabs>
                <w:tab w:val="left" w:pos="3620"/>
              </w:tabs>
              <w:adjustRightInd w:val="0"/>
              <w:snapToGrid w:val="0"/>
              <w:spacing w:before="0" w:beforeAutospacing="0" w:after="0" w:afterAutospacing="0"/>
              <w:ind w:left="0" w:right="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COD</w:t>
            </w:r>
          </w:p>
        </w:tc>
        <w:tc>
          <w:tcPr>
            <w:tcW w:w="1785" w:type="dxa"/>
            <w:noWrap w:val="0"/>
            <w:vAlign w:val="center"/>
          </w:tcPr>
          <w:p w14:paraId="03A55A43">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109152BB">
            <w:pPr>
              <w:keepNext w:val="0"/>
              <w:keepLines w:val="0"/>
              <w:suppressLineNumbers w:val="0"/>
              <w:spacing w:before="0" w:beforeAutospacing="0" w:after="0" w:afterAutospacing="0"/>
              <w:ind w:left="0" w:leftChars="0" w:right="0" w:rightChars="0"/>
              <w:jc w:val="center"/>
              <w:rPr>
                <w:rFonts w:hint="eastAsia" w:eastAsia="宋体"/>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5AF80E7F">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0E138DF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0.0029</w:t>
            </w:r>
          </w:p>
        </w:tc>
        <w:tc>
          <w:tcPr>
            <w:tcW w:w="1575" w:type="dxa"/>
            <w:noWrap w:val="0"/>
            <w:vAlign w:val="center"/>
          </w:tcPr>
          <w:p w14:paraId="78C377F0">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2998ADD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0.0029</w:t>
            </w:r>
          </w:p>
        </w:tc>
        <w:tc>
          <w:tcPr>
            <w:tcW w:w="1108" w:type="dxa"/>
            <w:noWrap w:val="0"/>
            <w:vAlign w:val="center"/>
          </w:tcPr>
          <w:p w14:paraId="1B39346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+0.0029</w:t>
            </w:r>
          </w:p>
        </w:tc>
      </w:tr>
      <w:tr w14:paraId="106890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7DCEBA69">
            <w:pPr>
              <w:pStyle w:val="50"/>
              <w:keepNext w:val="0"/>
              <w:keepLines w:val="0"/>
              <w:suppressLineNumbers w:val="0"/>
              <w:spacing w:before="24" w:beforeAutospacing="0" w:after="24" w:afterAutospacing="0"/>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5643F534">
            <w:pPr>
              <w:keepNext w:val="0"/>
              <w:keepLines w:val="0"/>
              <w:suppressLineNumbers w:val="0"/>
              <w:tabs>
                <w:tab w:val="left" w:pos="3620"/>
              </w:tabs>
              <w:adjustRightInd w:val="0"/>
              <w:snapToGrid w:val="0"/>
              <w:spacing w:before="0" w:beforeAutospacing="0" w:after="0" w:afterAutospacing="0"/>
              <w:ind w:left="0" w:right="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NH</w:t>
            </w:r>
            <w:r>
              <w:rPr>
                <w:rFonts w:hint="default"/>
                <w:color w:val="000000" w:themeColor="text1"/>
                <w:sz w:val="21"/>
                <w:szCs w:val="21"/>
                <w:highlight w:val="none"/>
                <w:vertAlign w:val="subscript"/>
                <w14:textFill>
                  <w14:solidFill>
                    <w14:schemeClr w14:val="tx1"/>
                  </w14:solidFill>
                </w14:textFill>
              </w:rPr>
              <w:t>3</w:t>
            </w:r>
            <w:r>
              <w:rPr>
                <w:rFonts w:hint="default"/>
                <w:color w:val="000000" w:themeColor="text1"/>
                <w:sz w:val="21"/>
                <w:szCs w:val="21"/>
                <w:highlight w:val="none"/>
                <w14:textFill>
                  <w14:solidFill>
                    <w14:schemeClr w14:val="tx1"/>
                  </w14:solidFill>
                </w14:textFill>
              </w:rPr>
              <w:t>-N</w:t>
            </w:r>
          </w:p>
        </w:tc>
        <w:tc>
          <w:tcPr>
            <w:tcW w:w="1785" w:type="dxa"/>
            <w:noWrap w:val="0"/>
            <w:vAlign w:val="center"/>
          </w:tcPr>
          <w:p w14:paraId="5484323E">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62C2250C">
            <w:pPr>
              <w:keepNext w:val="0"/>
              <w:keepLines w:val="0"/>
              <w:suppressLineNumbers w:val="0"/>
              <w:spacing w:before="0" w:beforeAutospacing="0" w:after="0" w:afterAutospacing="0"/>
              <w:ind w:left="0" w:leftChars="0" w:right="0" w:rightChars="0"/>
              <w:jc w:val="center"/>
              <w:rPr>
                <w:rFonts w:hint="eastAsia" w:eastAsia="宋体"/>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34DE2E9D">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1AD72C0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0.0001</w:t>
            </w:r>
          </w:p>
        </w:tc>
        <w:tc>
          <w:tcPr>
            <w:tcW w:w="1575" w:type="dxa"/>
            <w:noWrap w:val="0"/>
            <w:vAlign w:val="center"/>
          </w:tcPr>
          <w:p w14:paraId="442722E5">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189DCA4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0.0001</w:t>
            </w:r>
          </w:p>
        </w:tc>
        <w:tc>
          <w:tcPr>
            <w:tcW w:w="1108" w:type="dxa"/>
            <w:noWrap w:val="0"/>
            <w:vAlign w:val="center"/>
          </w:tcPr>
          <w:p w14:paraId="265DB4F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+0.0001</w:t>
            </w:r>
          </w:p>
        </w:tc>
      </w:tr>
      <w:tr w14:paraId="5B6CB6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4F74261A">
            <w:pPr>
              <w:pStyle w:val="50"/>
              <w:keepNext w:val="0"/>
              <w:keepLines w:val="0"/>
              <w:suppressLineNumbers w:val="0"/>
              <w:spacing w:before="0" w:beforeLines="0" w:beforeAutospacing="0" w:after="0" w:afterLines="0" w:afterAutospacing="0" w:line="240" w:lineRule="auto"/>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t>一般工业</w:t>
            </w:r>
          </w:p>
          <w:p w14:paraId="31BF4071">
            <w:pPr>
              <w:pStyle w:val="50"/>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t>固体废物</w:t>
            </w:r>
          </w:p>
        </w:tc>
        <w:tc>
          <w:tcPr>
            <w:tcW w:w="1443" w:type="dxa"/>
            <w:noWrap w:val="0"/>
            <w:vAlign w:val="center"/>
          </w:tcPr>
          <w:p w14:paraId="7BB54B3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napToGrid w:val="0"/>
                <w:color w:val="000000" w:themeColor="text1"/>
                <w:kern w:val="21"/>
                <w:sz w:val="21"/>
                <w:szCs w:val="21"/>
                <w:highlight w:val="none"/>
                <w:lang w:val="en-US" w:eastAsia="zh-CN"/>
                <w14:textFill>
                  <w14:solidFill>
                    <w14:schemeClr w14:val="tx1"/>
                  </w14:solidFill>
                </w14:textFill>
              </w:rPr>
            </w:pPr>
            <w:r>
              <w:rPr>
                <w:rFonts w:hint="eastAsia" w:hAnsi="宋体"/>
                <w:sz w:val="21"/>
                <w:szCs w:val="21"/>
              </w:rPr>
              <w:t>废边角料</w:t>
            </w:r>
          </w:p>
        </w:tc>
        <w:tc>
          <w:tcPr>
            <w:tcW w:w="1785" w:type="dxa"/>
            <w:noWrap w:val="0"/>
            <w:vAlign w:val="center"/>
          </w:tcPr>
          <w:p w14:paraId="435F636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7333C6D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5B78004E">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0C6DF87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49.99</w:t>
            </w:r>
          </w:p>
        </w:tc>
        <w:tc>
          <w:tcPr>
            <w:tcW w:w="1575" w:type="dxa"/>
            <w:noWrap w:val="0"/>
            <w:vAlign w:val="center"/>
          </w:tcPr>
          <w:p w14:paraId="42A84DC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73FD8D6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49.99</w:t>
            </w:r>
          </w:p>
        </w:tc>
        <w:tc>
          <w:tcPr>
            <w:tcW w:w="1108" w:type="dxa"/>
            <w:noWrap w:val="0"/>
            <w:vAlign w:val="center"/>
          </w:tcPr>
          <w:p w14:paraId="49ACA93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+49.99</w:t>
            </w:r>
          </w:p>
        </w:tc>
      </w:tr>
      <w:tr w14:paraId="1F5827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097" w:type="dxa"/>
            <w:vMerge w:val="continue"/>
            <w:noWrap w:val="0"/>
            <w:vAlign w:val="center"/>
          </w:tcPr>
          <w:p w14:paraId="344DBE36">
            <w:pPr>
              <w:pStyle w:val="50"/>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3717CFF0">
            <w:pPr>
              <w:keepNext w:val="0"/>
              <w:keepLines w:val="0"/>
              <w:suppressLineNumbers w:val="0"/>
              <w:adjustRightInd w:val="0"/>
              <w:snapToGrid w:val="0"/>
              <w:spacing w:before="0" w:beforeAutospacing="0" w:after="0" w:afterAutospacing="0"/>
              <w:ind w:left="0" w:right="0"/>
              <w:jc w:val="center"/>
              <w:rPr>
                <w:rFonts w:hint="eastAsia" w:hAnsi="宋体"/>
                <w:sz w:val="21"/>
                <w:szCs w:val="21"/>
              </w:rPr>
            </w:pPr>
            <w:r>
              <w:rPr>
                <w:rFonts w:hint="eastAsia" w:hAnsi="宋体"/>
                <w:sz w:val="21"/>
                <w:szCs w:val="21"/>
              </w:rPr>
              <w:t>收集尘</w:t>
            </w:r>
          </w:p>
        </w:tc>
        <w:tc>
          <w:tcPr>
            <w:tcW w:w="1785" w:type="dxa"/>
            <w:noWrap w:val="0"/>
            <w:vAlign w:val="center"/>
          </w:tcPr>
          <w:p w14:paraId="57718FF1">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51BBFCD5">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6878956C">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09C425BD">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0.4076</w:t>
            </w:r>
          </w:p>
        </w:tc>
        <w:tc>
          <w:tcPr>
            <w:tcW w:w="1575" w:type="dxa"/>
            <w:noWrap w:val="0"/>
            <w:vAlign w:val="center"/>
          </w:tcPr>
          <w:p w14:paraId="5C653F37">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p>
        </w:tc>
        <w:tc>
          <w:tcPr>
            <w:tcW w:w="2040" w:type="dxa"/>
            <w:noWrap w:val="0"/>
            <w:vAlign w:val="center"/>
          </w:tcPr>
          <w:p w14:paraId="2BDA12B8">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0.4076</w:t>
            </w:r>
          </w:p>
        </w:tc>
        <w:tc>
          <w:tcPr>
            <w:tcW w:w="1108" w:type="dxa"/>
            <w:noWrap w:val="0"/>
            <w:vAlign w:val="center"/>
          </w:tcPr>
          <w:p w14:paraId="5E1723DD">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+0.4076</w:t>
            </w:r>
          </w:p>
        </w:tc>
      </w:tr>
      <w:tr w14:paraId="48BB7B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097" w:type="dxa"/>
            <w:vMerge w:val="continue"/>
            <w:noWrap w:val="0"/>
            <w:vAlign w:val="center"/>
          </w:tcPr>
          <w:p w14:paraId="61D2AE11">
            <w:pPr>
              <w:pStyle w:val="50"/>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687D81C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除尘器滤芯</w:t>
            </w:r>
          </w:p>
        </w:tc>
        <w:tc>
          <w:tcPr>
            <w:tcW w:w="1785" w:type="dxa"/>
            <w:noWrap w:val="0"/>
            <w:vAlign w:val="center"/>
          </w:tcPr>
          <w:p w14:paraId="5DA2A9C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5D02A1F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5BEB8B92">
            <w:pPr>
              <w:keepNext w:val="0"/>
              <w:keepLines w:val="0"/>
              <w:suppressLineNumbers w:val="0"/>
              <w:spacing w:before="0" w:beforeAutospacing="0" w:after="0" w:afterAutospacing="0"/>
              <w:ind w:left="0" w:leftChars="0" w:right="0" w:rightChars="0"/>
              <w:jc w:val="center"/>
              <w:rPr>
                <w:rFonts w:hint="default" w:eastAsia="宋体"/>
                <w:color w:val="000000"/>
                <w:kern w:val="24"/>
                <w:sz w:val="21"/>
                <w:szCs w:val="21"/>
                <w:highlight w:val="none"/>
                <w:lang w:val="en-US" w:eastAsia="zh-CN"/>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1294564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0.05</w:t>
            </w:r>
          </w:p>
        </w:tc>
        <w:tc>
          <w:tcPr>
            <w:tcW w:w="1575" w:type="dxa"/>
            <w:noWrap w:val="0"/>
            <w:vAlign w:val="center"/>
          </w:tcPr>
          <w:p w14:paraId="5140D3D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03FFF496">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0.05</w:t>
            </w:r>
          </w:p>
        </w:tc>
        <w:tc>
          <w:tcPr>
            <w:tcW w:w="1108" w:type="dxa"/>
            <w:noWrap w:val="0"/>
            <w:vAlign w:val="center"/>
          </w:tcPr>
          <w:p w14:paraId="22F1F517">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+0.05</w:t>
            </w:r>
          </w:p>
        </w:tc>
      </w:tr>
      <w:tr w14:paraId="16979A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662CAF37">
            <w:pPr>
              <w:pStyle w:val="50"/>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r>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t>危险废物</w:t>
            </w:r>
          </w:p>
        </w:tc>
        <w:tc>
          <w:tcPr>
            <w:tcW w:w="1443" w:type="dxa"/>
            <w:noWrap w:val="0"/>
            <w:vAlign w:val="center"/>
          </w:tcPr>
          <w:p w14:paraId="1FA19AF7">
            <w:pPr>
              <w:keepNext w:val="0"/>
              <w:keepLines w:val="0"/>
              <w:suppressLineNumbers w:val="0"/>
              <w:adjustRightInd w:val="0"/>
              <w:snapToGrid w:val="0"/>
              <w:spacing w:before="0" w:beforeAutospacing="0" w:after="0" w:afterAutospacing="0"/>
              <w:ind w:left="0" w:right="0"/>
              <w:jc w:val="center"/>
              <w:rPr>
                <w:rFonts w:hint="default" w:hAnsi="宋体" w:eastAsia="宋体"/>
                <w:color w:val="000000" w:themeColor="text1"/>
                <w:sz w:val="21"/>
                <w:szCs w:val="21"/>
                <w:lang w:val="en-US" w:eastAsia="zh-CN"/>
                <w14:textFill>
                  <w14:solidFill>
                    <w14:schemeClr w14:val="tx1"/>
                  </w14:solidFill>
                </w14:textFill>
              </w:rPr>
            </w:pPr>
            <w:r>
              <w:rPr>
                <w:rFonts w:hint="eastAsia" w:hAnsi="宋体"/>
                <w:color w:val="000000" w:themeColor="text1"/>
                <w:sz w:val="21"/>
                <w:szCs w:val="21"/>
                <w:lang w:val="en-US" w:eastAsia="zh-CN"/>
                <w14:textFill>
                  <w14:solidFill>
                    <w14:schemeClr w14:val="tx1"/>
                  </w14:solidFill>
                </w14:textFill>
              </w:rPr>
              <w:t>废包装桶</w:t>
            </w:r>
          </w:p>
        </w:tc>
        <w:tc>
          <w:tcPr>
            <w:tcW w:w="1785" w:type="dxa"/>
            <w:noWrap w:val="0"/>
            <w:vAlign w:val="center"/>
          </w:tcPr>
          <w:p w14:paraId="3FD34A14">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60D34F1D">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734E7EFC">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74FF477A">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0.055</w:t>
            </w:r>
          </w:p>
        </w:tc>
        <w:tc>
          <w:tcPr>
            <w:tcW w:w="1575" w:type="dxa"/>
            <w:noWrap w:val="0"/>
            <w:vAlign w:val="center"/>
          </w:tcPr>
          <w:p w14:paraId="58C43DCB">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698313B9">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0.055</w:t>
            </w:r>
          </w:p>
        </w:tc>
        <w:tc>
          <w:tcPr>
            <w:tcW w:w="1108" w:type="dxa"/>
            <w:noWrap w:val="0"/>
            <w:vAlign w:val="center"/>
          </w:tcPr>
          <w:p w14:paraId="7F2C535B">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+0.055</w:t>
            </w:r>
          </w:p>
        </w:tc>
      </w:tr>
      <w:tr w14:paraId="0522A0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576B71A0">
            <w:pPr>
              <w:pStyle w:val="50"/>
              <w:keepNext w:val="0"/>
              <w:keepLines w:val="0"/>
              <w:suppressLineNumbers w:val="0"/>
              <w:spacing w:before="0" w:beforeLines="0" w:beforeAutospacing="0" w:after="0" w:afterLines="0" w:afterAutospacing="0" w:line="240" w:lineRule="auto"/>
              <w:ind w:left="0" w:right="0"/>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63E3ADFA">
            <w:pPr>
              <w:keepNext w:val="0"/>
              <w:keepLines w:val="0"/>
              <w:suppressLineNumbers w:val="0"/>
              <w:adjustRightInd w:val="0"/>
              <w:snapToGrid w:val="0"/>
              <w:spacing w:before="0" w:beforeAutospacing="0" w:after="0" w:afterAutospacing="0"/>
              <w:ind w:left="0" w:right="0"/>
              <w:jc w:val="center"/>
              <w:rPr>
                <w:rFonts w:hint="default" w:hAnsi="宋体"/>
                <w:color w:val="000000" w:themeColor="text1"/>
                <w:sz w:val="21"/>
                <w:szCs w:val="21"/>
                <w:lang w:val="en-US" w:eastAsia="zh-CN"/>
                <w14:textFill>
                  <w14:solidFill>
                    <w14:schemeClr w14:val="tx1"/>
                  </w14:solidFill>
                </w14:textFill>
              </w:rPr>
            </w:pPr>
            <w:r>
              <w:rPr>
                <w:rFonts w:hint="eastAsia" w:hAnsi="宋体"/>
                <w:color w:val="000000" w:themeColor="text1"/>
                <w:sz w:val="21"/>
                <w:szCs w:val="21"/>
                <w:lang w:val="en-US" w:eastAsia="zh-CN"/>
                <w14:textFill>
                  <w14:solidFill>
                    <w14:schemeClr w14:val="tx1"/>
                  </w14:solidFill>
                </w14:textFill>
              </w:rPr>
              <w:t>废切削液</w:t>
            </w:r>
          </w:p>
        </w:tc>
        <w:tc>
          <w:tcPr>
            <w:tcW w:w="1785" w:type="dxa"/>
            <w:noWrap w:val="0"/>
            <w:vAlign w:val="center"/>
          </w:tcPr>
          <w:p w14:paraId="3FA394D1">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68B81830">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00291584">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155EDF08">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0.05</w:t>
            </w:r>
          </w:p>
        </w:tc>
        <w:tc>
          <w:tcPr>
            <w:tcW w:w="1575" w:type="dxa"/>
            <w:noWrap w:val="0"/>
            <w:vAlign w:val="center"/>
          </w:tcPr>
          <w:p w14:paraId="6161BF56">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04A97C04">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0.05</w:t>
            </w:r>
          </w:p>
        </w:tc>
        <w:tc>
          <w:tcPr>
            <w:tcW w:w="1108" w:type="dxa"/>
            <w:noWrap w:val="0"/>
            <w:vAlign w:val="center"/>
          </w:tcPr>
          <w:p w14:paraId="658037D1">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+0.05</w:t>
            </w:r>
          </w:p>
        </w:tc>
      </w:tr>
      <w:tr w14:paraId="5AC905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56F94A1E">
            <w:pPr>
              <w:pStyle w:val="50"/>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5DFF98C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hAnsi="宋体"/>
                <w:color w:val="000000" w:themeColor="text1"/>
                <w:sz w:val="21"/>
                <w:szCs w:val="21"/>
                <w14:textFill>
                  <w14:solidFill>
                    <w14:schemeClr w14:val="tx1"/>
                  </w14:solidFill>
                </w14:textFill>
              </w:rPr>
              <w:t>废</w:t>
            </w:r>
            <w:r>
              <w:rPr>
                <w:rFonts w:hint="eastAsia" w:hAnsi="宋体"/>
                <w:color w:val="000000" w:themeColor="text1"/>
                <w:sz w:val="21"/>
                <w:szCs w:val="21"/>
                <w:lang w:val="en-US" w:eastAsia="zh-CN"/>
                <w14:textFill>
                  <w14:solidFill>
                    <w14:schemeClr w14:val="tx1"/>
                  </w14:solidFill>
                </w14:textFill>
              </w:rPr>
              <w:t>机油</w:t>
            </w:r>
          </w:p>
        </w:tc>
        <w:tc>
          <w:tcPr>
            <w:tcW w:w="1785" w:type="dxa"/>
            <w:noWrap w:val="0"/>
            <w:vAlign w:val="center"/>
          </w:tcPr>
          <w:p w14:paraId="1A6BD23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48FF799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331CF39E">
            <w:pPr>
              <w:keepNext w:val="0"/>
              <w:keepLines w:val="0"/>
              <w:suppressLineNumbers w:val="0"/>
              <w:spacing w:before="0" w:beforeAutospacing="0" w:after="0" w:afterAutospacing="0"/>
              <w:ind w:left="0" w:leftChars="0" w:right="0" w:rightChars="0"/>
              <w:jc w:val="center"/>
              <w:rPr>
                <w:rFonts w:hint="default" w:eastAsia="宋体"/>
                <w:color w:val="000000"/>
                <w:kern w:val="24"/>
                <w:sz w:val="21"/>
                <w:szCs w:val="21"/>
                <w:highlight w:val="none"/>
                <w:lang w:val="en-US" w:eastAsia="zh-CN"/>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7B23817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0.02</w:t>
            </w:r>
          </w:p>
        </w:tc>
        <w:tc>
          <w:tcPr>
            <w:tcW w:w="1575" w:type="dxa"/>
            <w:noWrap w:val="0"/>
            <w:vAlign w:val="center"/>
          </w:tcPr>
          <w:p w14:paraId="0BC71A7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56C6E68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0.02</w:t>
            </w:r>
          </w:p>
        </w:tc>
        <w:tc>
          <w:tcPr>
            <w:tcW w:w="1108" w:type="dxa"/>
            <w:noWrap w:val="0"/>
            <w:vAlign w:val="center"/>
          </w:tcPr>
          <w:p w14:paraId="1DC0D227">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+0.02</w:t>
            </w:r>
          </w:p>
        </w:tc>
      </w:tr>
    </w:tbl>
    <w:p w14:paraId="502741ED">
      <w:pPr>
        <w:rPr>
          <w:rFonts w:ascii="宋体" w:hAnsi="宋体" w:eastAsia="黑体"/>
        </w:rPr>
        <w:sectPr>
          <w:pgSz w:w="16838" w:h="11906" w:orient="landscape"/>
          <w:pgMar w:top="1417" w:right="1701" w:bottom="1417" w:left="170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ascii="宋体" w:hAnsi="宋体" w:eastAsia="黑体"/>
        </w:rPr>
        <w:t>注：</w:t>
      </w:r>
      <w:r>
        <w:rPr>
          <w:rFonts w:ascii="宋体" w:hAnsi="宋体" w:eastAsia="黑体"/>
        </w:rPr>
        <w:fldChar w:fldCharType="begin"/>
      </w:r>
      <w:r>
        <w:rPr>
          <w:rFonts w:ascii="宋体" w:hAnsi="宋体" w:eastAsia="黑体"/>
        </w:rPr>
        <w:instrText xml:space="preserve"> = 6 \* GB3 \* MERGEFORMAT </w:instrText>
      </w:r>
      <w:r>
        <w:rPr>
          <w:rFonts w:ascii="宋体" w:hAnsi="宋体" w:eastAsia="黑体"/>
        </w:rPr>
        <w:fldChar w:fldCharType="separate"/>
      </w:r>
      <w:r>
        <w:rPr>
          <w:rFonts w:hint="eastAsia" w:ascii="宋体" w:hAnsi="宋体" w:eastAsia="黑体"/>
        </w:rPr>
        <w:t>⑥</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1 \* GB3 \* MERGEFORMAT </w:instrText>
      </w:r>
      <w:r>
        <w:rPr>
          <w:rFonts w:ascii="宋体" w:hAnsi="宋体" w:eastAsia="黑体"/>
        </w:rPr>
        <w:fldChar w:fldCharType="separate"/>
      </w:r>
      <w:r>
        <w:rPr>
          <w:rFonts w:hint="eastAsia" w:ascii="宋体" w:hAnsi="宋体" w:eastAsia="黑体"/>
        </w:rPr>
        <w:t>①</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3 \* GB3 \* MERGEFORMAT </w:instrText>
      </w:r>
      <w:r>
        <w:rPr>
          <w:rFonts w:ascii="宋体" w:hAnsi="宋体" w:eastAsia="黑体"/>
        </w:rPr>
        <w:fldChar w:fldCharType="separate"/>
      </w:r>
      <w:r>
        <w:rPr>
          <w:rFonts w:hint="eastAsia" w:ascii="宋体" w:hAnsi="宋体" w:eastAsia="黑体"/>
        </w:rPr>
        <w:t>③</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4 \* GB3 \* MERGEFORMAT </w:instrText>
      </w:r>
      <w:r>
        <w:rPr>
          <w:rFonts w:ascii="宋体" w:hAnsi="宋体" w:eastAsia="黑体"/>
        </w:rPr>
        <w:fldChar w:fldCharType="separate"/>
      </w:r>
      <w:r>
        <w:rPr>
          <w:rFonts w:hint="eastAsia" w:ascii="宋体" w:hAnsi="宋体" w:eastAsia="黑体"/>
        </w:rPr>
        <w:t>④</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5 \* GB3 \* MERGEFORMAT </w:instrText>
      </w:r>
      <w:r>
        <w:rPr>
          <w:rFonts w:ascii="宋体" w:hAnsi="宋体" w:eastAsia="黑体"/>
        </w:rPr>
        <w:fldChar w:fldCharType="separate"/>
      </w:r>
      <w:r>
        <w:rPr>
          <w:rFonts w:hint="eastAsia" w:ascii="宋体" w:hAnsi="宋体" w:eastAsia="黑体"/>
        </w:rPr>
        <w:t>⑤</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7 \* GB3 \* MERGEFORMAT </w:instrText>
      </w:r>
      <w:r>
        <w:rPr>
          <w:rFonts w:ascii="宋体" w:hAnsi="宋体" w:eastAsia="黑体"/>
        </w:rPr>
        <w:fldChar w:fldCharType="separate"/>
      </w:r>
      <w:r>
        <w:rPr>
          <w:rFonts w:hint="eastAsia" w:ascii="宋体" w:hAnsi="宋体" w:eastAsia="黑体"/>
        </w:rPr>
        <w:t>⑦</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6 \* GB3 \* MERGEFORMAT </w:instrText>
      </w:r>
      <w:r>
        <w:rPr>
          <w:rFonts w:ascii="宋体" w:hAnsi="宋体" w:eastAsia="黑体"/>
        </w:rPr>
        <w:fldChar w:fldCharType="separate"/>
      </w:r>
      <w:r>
        <w:rPr>
          <w:rFonts w:hint="eastAsia" w:ascii="宋体" w:hAnsi="宋体" w:eastAsia="黑体"/>
        </w:rPr>
        <w:t>⑥</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1 \* GB3 \* MERGEFORMAT </w:instrText>
      </w:r>
      <w:r>
        <w:rPr>
          <w:rFonts w:ascii="宋体" w:hAnsi="宋体" w:eastAsia="黑体"/>
        </w:rPr>
        <w:fldChar w:fldCharType="separate"/>
      </w:r>
      <w:r>
        <w:rPr>
          <w:rFonts w:hint="eastAsia" w:ascii="宋体" w:hAnsi="宋体" w:eastAsia="黑体"/>
        </w:rPr>
        <w:t>①</w:t>
      </w:r>
      <w:r>
        <w:rPr>
          <w:rFonts w:ascii="宋体" w:hAnsi="宋体" w:eastAsia="黑体"/>
        </w:rPr>
        <w:fldChar w:fldCharType="end"/>
      </w:r>
    </w:p>
    <w:p w14:paraId="043010F2">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36590" cy="7889875"/>
            <wp:effectExtent l="0" t="0" r="16510" b="15875"/>
            <wp:docPr id="11" name="图片 11" descr="b79bae9252ab2ac3a145b9e66c980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79bae9252ab2ac3a145b9e66c9805e"/>
                    <pic:cNvPicPr>
                      <a:picLocks noChangeAspect="1"/>
                    </pic:cNvPicPr>
                  </pic:nvPicPr>
                  <pic:blipFill>
                    <a:blip r:embed="rId22"/>
                    <a:stretch>
                      <a:fillRect/>
                    </a:stretch>
                  </pic:blipFill>
                  <pic:spPr>
                    <a:xfrm>
                      <a:off x="0" y="0"/>
                      <a:ext cx="5736590" cy="7889875"/>
                    </a:xfrm>
                    <a:prstGeom prst="rect">
                      <a:avLst/>
                    </a:prstGeom>
                  </pic:spPr>
                </pic:pic>
              </a:graphicData>
            </a:graphic>
          </wp:inline>
        </w:drawing>
      </w:r>
    </w:p>
    <w:p w14:paraId="401F817C">
      <w:pPr>
        <w:rPr>
          <w:rFonts w:hint="default" w:ascii="宋体" w:hAnsi="宋体" w:eastAsia="黑体"/>
          <w:lang w:val="en-US" w:eastAsia="zh-CN"/>
        </w:rPr>
      </w:pPr>
    </w:p>
    <w:p w14:paraId="5AFA5E1B">
      <w:pPr>
        <w:rPr>
          <w:rFonts w:hint="default" w:ascii="宋体" w:hAnsi="宋体" w:eastAsia="黑体"/>
          <w:lang w:val="en-US" w:eastAsia="zh-CN"/>
        </w:rPr>
      </w:pPr>
    </w:p>
    <w:p w14:paraId="7220CE3E">
      <w:pPr>
        <w:rPr>
          <w:rFonts w:hint="default" w:ascii="宋体" w:hAnsi="宋体" w:eastAsia="黑体"/>
          <w:lang w:val="en-US" w:eastAsia="zh-CN"/>
        </w:rPr>
      </w:pPr>
    </w:p>
    <w:p w14:paraId="48A6A701">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8815" cy="8148955"/>
            <wp:effectExtent l="0" t="0" r="13335" b="4445"/>
            <wp:docPr id="10" name="图片 10" descr="8备案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备案证明_00"/>
                    <pic:cNvPicPr>
                      <a:picLocks noChangeAspect="1"/>
                    </pic:cNvPicPr>
                  </pic:nvPicPr>
                  <pic:blipFill>
                    <a:blip r:embed="rId23"/>
                    <a:stretch>
                      <a:fillRect/>
                    </a:stretch>
                  </pic:blipFill>
                  <pic:spPr>
                    <a:xfrm>
                      <a:off x="0" y="0"/>
                      <a:ext cx="5758815" cy="8148955"/>
                    </a:xfrm>
                    <a:prstGeom prst="rect">
                      <a:avLst/>
                    </a:prstGeom>
                  </pic:spPr>
                </pic:pic>
              </a:graphicData>
            </a:graphic>
          </wp:inline>
        </w:drawing>
      </w:r>
    </w:p>
    <w:p w14:paraId="3F7F171D">
      <w:pPr>
        <w:rPr>
          <w:rFonts w:hint="default" w:ascii="宋体" w:hAnsi="宋体" w:eastAsia="黑体"/>
          <w:lang w:val="en-US" w:eastAsia="zh-CN"/>
        </w:rPr>
      </w:pPr>
    </w:p>
    <w:p w14:paraId="3E700F60">
      <w:pPr>
        <w:rPr>
          <w:rFonts w:hint="default" w:ascii="宋体" w:hAnsi="宋体" w:eastAsia="黑体"/>
          <w:lang w:val="en-US" w:eastAsia="zh-CN"/>
        </w:rPr>
      </w:pPr>
      <w:r>
        <w:rPr>
          <w:rFonts w:hint="eastAsia" w:eastAsiaTheme="minorEastAsia"/>
          <w:lang w:eastAsia="zh-CN"/>
        </w:rPr>
        <w:drawing>
          <wp:inline distT="0" distB="0" distL="114300" distR="114300">
            <wp:extent cx="5258435" cy="7368540"/>
            <wp:effectExtent l="0" t="0" r="18415" b="3810"/>
            <wp:docPr id="12" name="图片 12" descr="8a830e2c3dfd9a59a7fed20d141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a830e2c3dfd9a59a7fed20d1411614"/>
                    <pic:cNvPicPr>
                      <a:picLocks noChangeAspect="1"/>
                    </pic:cNvPicPr>
                  </pic:nvPicPr>
                  <pic:blipFill>
                    <a:blip r:embed="rId24"/>
                    <a:stretch>
                      <a:fillRect/>
                    </a:stretch>
                  </pic:blipFill>
                  <pic:spPr>
                    <a:xfrm>
                      <a:off x="0" y="0"/>
                      <a:ext cx="5258435" cy="7368540"/>
                    </a:xfrm>
                    <a:prstGeom prst="rect">
                      <a:avLst/>
                    </a:prstGeom>
                  </pic:spPr>
                </pic:pic>
              </a:graphicData>
            </a:graphic>
          </wp:inline>
        </w:drawing>
      </w:r>
    </w:p>
    <w:p w14:paraId="4C365CAD">
      <w:pPr>
        <w:rPr>
          <w:rFonts w:hint="default" w:ascii="宋体" w:hAnsi="宋体" w:eastAsia="黑体"/>
          <w:lang w:val="en-US" w:eastAsia="zh-CN"/>
        </w:rPr>
      </w:pPr>
    </w:p>
    <w:p w14:paraId="7A8804EE">
      <w:pPr>
        <w:rPr>
          <w:rFonts w:hint="default" w:ascii="宋体" w:hAnsi="宋体" w:eastAsia="黑体"/>
          <w:lang w:val="en-US" w:eastAsia="zh-CN"/>
        </w:rPr>
      </w:pPr>
    </w:p>
    <w:p w14:paraId="45F504F6">
      <w:pPr>
        <w:rPr>
          <w:rFonts w:hint="default" w:ascii="宋体" w:hAnsi="宋体" w:eastAsia="黑体"/>
          <w:lang w:val="en-US" w:eastAsia="zh-CN"/>
        </w:rPr>
      </w:pPr>
    </w:p>
    <w:p w14:paraId="2464295A">
      <w:pPr>
        <w:rPr>
          <w:rFonts w:hint="default" w:ascii="宋体" w:hAnsi="宋体" w:eastAsia="黑体"/>
          <w:lang w:val="en-US" w:eastAsia="zh-CN"/>
        </w:rPr>
      </w:pPr>
    </w:p>
    <w:p w14:paraId="6D2FC67D">
      <w:pPr>
        <w:rPr>
          <w:rFonts w:hint="default" w:ascii="宋体" w:hAnsi="宋体" w:eastAsia="黑体"/>
          <w:lang w:val="en-US" w:eastAsia="zh-CN"/>
        </w:rPr>
      </w:pPr>
    </w:p>
    <w:p w14:paraId="5534B685">
      <w:pPr>
        <w:rPr>
          <w:rFonts w:hint="eastAsia" w:eastAsiaTheme="minorEastAsia"/>
          <w:lang w:eastAsia="zh-CN"/>
        </w:rPr>
      </w:pPr>
      <w:r>
        <w:rPr>
          <w:rFonts w:hint="eastAsia" w:eastAsiaTheme="minorEastAsia"/>
          <w:lang w:eastAsia="zh-CN"/>
        </w:rPr>
        <w:drawing>
          <wp:inline distT="0" distB="0" distL="114300" distR="114300">
            <wp:extent cx="5262880" cy="7785100"/>
            <wp:effectExtent l="0" t="0" r="13970" b="6350"/>
            <wp:docPr id="13" name="图片 13" descr="d09b2c1b6a59430fe576975d377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09b2c1b6a59430fe576975d3777294"/>
                    <pic:cNvPicPr>
                      <a:picLocks noChangeAspect="1"/>
                    </pic:cNvPicPr>
                  </pic:nvPicPr>
                  <pic:blipFill>
                    <a:blip r:embed="rId25"/>
                    <a:stretch>
                      <a:fillRect/>
                    </a:stretch>
                  </pic:blipFill>
                  <pic:spPr>
                    <a:xfrm>
                      <a:off x="0" y="0"/>
                      <a:ext cx="5262880" cy="7785100"/>
                    </a:xfrm>
                    <a:prstGeom prst="rect">
                      <a:avLst/>
                    </a:prstGeom>
                  </pic:spPr>
                </pic:pic>
              </a:graphicData>
            </a:graphic>
          </wp:inline>
        </w:drawing>
      </w:r>
    </w:p>
    <w:p w14:paraId="0DC8416E">
      <w:pPr>
        <w:rPr>
          <w:rFonts w:hint="eastAsia" w:eastAsiaTheme="minorEastAsia"/>
          <w:lang w:eastAsia="zh-CN"/>
        </w:rPr>
      </w:pPr>
    </w:p>
    <w:p w14:paraId="4BFCD095">
      <w:pPr>
        <w:rPr>
          <w:rFonts w:hint="eastAsia" w:eastAsiaTheme="minorEastAsia"/>
          <w:lang w:eastAsia="zh-CN"/>
        </w:rPr>
      </w:pPr>
    </w:p>
    <w:p w14:paraId="3BFDE460">
      <w:pPr>
        <w:rPr>
          <w:rFonts w:hint="eastAsia" w:eastAsiaTheme="minorEastAsia"/>
          <w:lang w:eastAsia="zh-CN"/>
        </w:rPr>
      </w:pPr>
    </w:p>
    <w:p w14:paraId="1E8E7521">
      <w:pPr>
        <w:rPr>
          <w:rFonts w:hint="eastAsia" w:eastAsiaTheme="minorEastAsia"/>
          <w:lang w:eastAsia="zh-CN"/>
        </w:rPr>
      </w:pPr>
    </w:p>
    <w:p w14:paraId="574CC7CA">
      <w:pPr>
        <w:rPr>
          <w:rFonts w:hint="default" w:eastAsiaTheme="minorEastAsia"/>
          <w:lang w:val="en-US" w:eastAsia="zh-CN"/>
        </w:rPr>
      </w:pPr>
    </w:p>
    <w:p w14:paraId="33E52FAF">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14" name="图片 14" descr="水溶性淬火剂 KR7280 SD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水溶性淬火剂 KR7280 SDS_00"/>
                    <pic:cNvPicPr>
                      <a:picLocks noChangeAspect="1"/>
                    </pic:cNvPicPr>
                  </pic:nvPicPr>
                  <pic:blipFill>
                    <a:blip r:embed="rId26"/>
                    <a:stretch>
                      <a:fillRect/>
                    </a:stretch>
                  </pic:blipFill>
                  <pic:spPr>
                    <a:xfrm>
                      <a:off x="0" y="0"/>
                      <a:ext cx="5755005" cy="8138160"/>
                    </a:xfrm>
                    <a:prstGeom prst="rect">
                      <a:avLst/>
                    </a:prstGeom>
                  </pic:spPr>
                </pic:pic>
              </a:graphicData>
            </a:graphic>
          </wp:inline>
        </w:drawing>
      </w:r>
    </w:p>
    <w:p w14:paraId="6DBABB99">
      <w:pPr>
        <w:rPr>
          <w:rFonts w:hint="default" w:ascii="宋体" w:hAnsi="宋体" w:eastAsia="黑体"/>
          <w:lang w:val="en-US" w:eastAsia="zh-CN"/>
        </w:rPr>
      </w:pPr>
    </w:p>
    <w:p w14:paraId="5D17B2A7">
      <w:pPr>
        <w:rPr>
          <w:rFonts w:hint="default" w:ascii="宋体" w:hAnsi="宋体" w:eastAsia="黑体"/>
          <w:lang w:val="en-US" w:eastAsia="zh-CN"/>
        </w:rPr>
      </w:pPr>
    </w:p>
    <w:p w14:paraId="0CA9844C">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15" name="图片 15" descr="水溶性淬火剂 KR7280 SDS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水溶性淬火剂 KR7280 SDS_01"/>
                    <pic:cNvPicPr>
                      <a:picLocks noChangeAspect="1"/>
                    </pic:cNvPicPr>
                  </pic:nvPicPr>
                  <pic:blipFill>
                    <a:blip r:embed="rId27"/>
                    <a:stretch>
                      <a:fillRect/>
                    </a:stretch>
                  </pic:blipFill>
                  <pic:spPr>
                    <a:xfrm>
                      <a:off x="0" y="0"/>
                      <a:ext cx="5755005" cy="8138160"/>
                    </a:xfrm>
                    <a:prstGeom prst="rect">
                      <a:avLst/>
                    </a:prstGeom>
                  </pic:spPr>
                </pic:pic>
              </a:graphicData>
            </a:graphic>
          </wp:inline>
        </w:drawing>
      </w:r>
    </w:p>
    <w:p w14:paraId="0EC9349C">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16" name="图片 16" descr="水溶性淬火剂 KR7280 SDS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水溶性淬火剂 KR7280 SDS_02"/>
                    <pic:cNvPicPr>
                      <a:picLocks noChangeAspect="1"/>
                    </pic:cNvPicPr>
                  </pic:nvPicPr>
                  <pic:blipFill>
                    <a:blip r:embed="rId28"/>
                    <a:stretch>
                      <a:fillRect/>
                    </a:stretch>
                  </pic:blipFill>
                  <pic:spPr>
                    <a:xfrm>
                      <a:off x="0" y="0"/>
                      <a:ext cx="5755005" cy="8138160"/>
                    </a:xfrm>
                    <a:prstGeom prst="rect">
                      <a:avLst/>
                    </a:prstGeom>
                  </pic:spPr>
                </pic:pic>
              </a:graphicData>
            </a:graphic>
          </wp:inline>
        </w:drawing>
      </w:r>
    </w:p>
    <w:p w14:paraId="5818476E">
      <w:pPr>
        <w:rPr>
          <w:rFonts w:hint="default" w:ascii="宋体" w:hAnsi="宋体" w:eastAsia="黑体"/>
          <w:lang w:val="en-US" w:eastAsia="zh-CN"/>
        </w:rPr>
      </w:pPr>
    </w:p>
    <w:p w14:paraId="64F8001F">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17" name="图片 17" descr="水溶性淬火剂 KR7280 SDS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水溶性淬火剂 KR7280 SDS_03"/>
                    <pic:cNvPicPr>
                      <a:picLocks noChangeAspect="1"/>
                    </pic:cNvPicPr>
                  </pic:nvPicPr>
                  <pic:blipFill>
                    <a:blip r:embed="rId29"/>
                    <a:stretch>
                      <a:fillRect/>
                    </a:stretch>
                  </pic:blipFill>
                  <pic:spPr>
                    <a:xfrm>
                      <a:off x="0" y="0"/>
                      <a:ext cx="5755005" cy="8138160"/>
                    </a:xfrm>
                    <a:prstGeom prst="rect">
                      <a:avLst/>
                    </a:prstGeom>
                  </pic:spPr>
                </pic:pic>
              </a:graphicData>
            </a:graphic>
          </wp:inline>
        </w:drawing>
      </w:r>
    </w:p>
    <w:p w14:paraId="7F3CDDBF">
      <w:pPr>
        <w:rPr>
          <w:rFonts w:hint="default" w:ascii="宋体" w:hAnsi="宋体" w:eastAsia="黑体"/>
          <w:lang w:val="en-US" w:eastAsia="zh-CN"/>
        </w:rPr>
      </w:pPr>
    </w:p>
    <w:p w14:paraId="7633E7F1">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18" name="图片 18" descr="水溶性淬火剂 KR7280 SDS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水溶性淬火剂 KR7280 SDS_04"/>
                    <pic:cNvPicPr>
                      <a:picLocks noChangeAspect="1"/>
                    </pic:cNvPicPr>
                  </pic:nvPicPr>
                  <pic:blipFill>
                    <a:blip r:embed="rId30"/>
                    <a:stretch>
                      <a:fillRect/>
                    </a:stretch>
                  </pic:blipFill>
                  <pic:spPr>
                    <a:xfrm>
                      <a:off x="0" y="0"/>
                      <a:ext cx="5755005" cy="8138160"/>
                    </a:xfrm>
                    <a:prstGeom prst="rect">
                      <a:avLst/>
                    </a:prstGeom>
                  </pic:spPr>
                </pic:pic>
              </a:graphicData>
            </a:graphic>
          </wp:inline>
        </w:drawing>
      </w:r>
    </w:p>
    <w:p w14:paraId="01148504">
      <w:pPr>
        <w:rPr>
          <w:rFonts w:hint="default" w:ascii="宋体" w:hAnsi="宋体" w:eastAsia="黑体"/>
          <w:lang w:val="en-US" w:eastAsia="zh-CN"/>
        </w:rPr>
      </w:pPr>
    </w:p>
    <w:p w14:paraId="02F14CE6">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19" name="图片 19" descr="水溶性淬火剂 KR7280 SDS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水溶性淬火剂 KR7280 SDS_05"/>
                    <pic:cNvPicPr>
                      <a:picLocks noChangeAspect="1"/>
                    </pic:cNvPicPr>
                  </pic:nvPicPr>
                  <pic:blipFill>
                    <a:blip r:embed="rId31"/>
                    <a:stretch>
                      <a:fillRect/>
                    </a:stretch>
                  </pic:blipFill>
                  <pic:spPr>
                    <a:xfrm>
                      <a:off x="0" y="0"/>
                      <a:ext cx="5755005" cy="8138160"/>
                    </a:xfrm>
                    <a:prstGeom prst="rect">
                      <a:avLst/>
                    </a:prstGeom>
                  </pic:spPr>
                </pic:pic>
              </a:graphicData>
            </a:graphic>
          </wp:inline>
        </w:drawing>
      </w:r>
    </w:p>
    <w:p w14:paraId="113574FD">
      <w:pPr>
        <w:rPr>
          <w:rFonts w:hint="default" w:ascii="宋体" w:hAnsi="宋体" w:eastAsia="黑体"/>
          <w:lang w:val="en-US" w:eastAsia="zh-CN"/>
        </w:rPr>
      </w:pPr>
    </w:p>
    <w:p w14:paraId="1E36DBD6">
      <w:pPr>
        <w:rPr>
          <w:rFonts w:hint="default" w:ascii="宋体" w:hAnsi="宋体" w:eastAsia="黑体"/>
          <w:lang w:val="en-US" w:eastAsia="zh-CN"/>
        </w:rPr>
      </w:pPr>
    </w:p>
    <w:p w14:paraId="300DA4EB">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20" name="图片 20" descr="新乡县清洁取暖减排量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新乡县清洁取暖减排量_00"/>
                    <pic:cNvPicPr>
                      <a:picLocks noChangeAspect="1"/>
                    </pic:cNvPicPr>
                  </pic:nvPicPr>
                  <pic:blipFill>
                    <a:blip r:embed="rId32"/>
                    <a:stretch>
                      <a:fillRect/>
                    </a:stretch>
                  </pic:blipFill>
                  <pic:spPr>
                    <a:xfrm>
                      <a:off x="0" y="0"/>
                      <a:ext cx="5755005" cy="8138160"/>
                    </a:xfrm>
                    <a:prstGeom prst="rect">
                      <a:avLst/>
                    </a:prstGeom>
                  </pic:spPr>
                </pic:pic>
              </a:graphicData>
            </a:graphic>
          </wp:inline>
        </w:drawing>
      </w:r>
    </w:p>
    <w:p w14:paraId="6C49449F">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8815" cy="8145780"/>
            <wp:effectExtent l="0" t="0" r="13335" b="7620"/>
            <wp:docPr id="21" name="图片 21" descr="关于原阳县产业集聚区污水处理厂2023年度水量增加情况说明(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关于原阳县产业集聚区污水处理厂2023年度水量增加情况说明(2)_00"/>
                    <pic:cNvPicPr>
                      <a:picLocks noChangeAspect="1"/>
                    </pic:cNvPicPr>
                  </pic:nvPicPr>
                  <pic:blipFill>
                    <a:blip r:embed="rId33"/>
                    <a:stretch>
                      <a:fillRect/>
                    </a:stretch>
                  </pic:blipFill>
                  <pic:spPr>
                    <a:xfrm>
                      <a:off x="0" y="0"/>
                      <a:ext cx="5758815" cy="8145780"/>
                    </a:xfrm>
                    <a:prstGeom prst="rect">
                      <a:avLst/>
                    </a:prstGeom>
                  </pic:spPr>
                </pic:pic>
              </a:graphicData>
            </a:graphic>
          </wp:inline>
        </w:drawing>
      </w:r>
    </w:p>
    <w:p w14:paraId="3BA7974C">
      <w:pPr>
        <w:rPr>
          <w:rFonts w:hint="default" w:ascii="宋体" w:hAnsi="宋体" w:eastAsia="黑体"/>
          <w:lang w:val="en-US" w:eastAsia="zh-CN"/>
        </w:rPr>
      </w:pPr>
    </w:p>
    <w:p w14:paraId="6AF80FEF">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8815" cy="8138160"/>
            <wp:effectExtent l="0" t="0" r="13335" b="15240"/>
            <wp:docPr id="22" name="图片 22" descr="关于原阳县产业集聚区污水处理厂减排核算的情况说明(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关于原阳县产业集聚区污水处理厂减排核算的情况说明(1)_00"/>
                    <pic:cNvPicPr>
                      <a:picLocks noChangeAspect="1"/>
                    </pic:cNvPicPr>
                  </pic:nvPicPr>
                  <pic:blipFill>
                    <a:blip r:embed="rId34"/>
                    <a:stretch>
                      <a:fillRect/>
                    </a:stretch>
                  </pic:blipFill>
                  <pic:spPr>
                    <a:xfrm>
                      <a:off x="0" y="0"/>
                      <a:ext cx="5758815" cy="8138160"/>
                    </a:xfrm>
                    <a:prstGeom prst="rect">
                      <a:avLst/>
                    </a:prstGeom>
                  </pic:spPr>
                </pic:pic>
              </a:graphicData>
            </a:graphic>
          </wp:inline>
        </w:drawing>
      </w:r>
    </w:p>
    <w:p w14:paraId="5C2B4ED7">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5703CE3E">
      <w:pPr>
        <w:rPr>
          <w:rFonts w:hint="default" w:ascii="宋体" w:hAnsi="宋体" w:eastAsia="黑体"/>
          <w:lang w:val="en-US" w:eastAsia="zh-CN"/>
        </w:rPr>
      </w:pPr>
    </w:p>
    <w:p w14:paraId="5839DCC6">
      <w:pPr>
        <w:rPr>
          <w:rFonts w:hint="default" w:ascii="宋体" w:hAnsi="宋体" w:eastAsia="黑体"/>
          <w:lang w:val="en-US" w:eastAsia="zh-CN"/>
        </w:rPr>
      </w:pPr>
    </w:p>
    <w:p w14:paraId="271534F6">
      <w:pPr>
        <w:rPr>
          <w:rFonts w:hint="default" w:ascii="宋体" w:hAnsi="宋体" w:eastAsia="黑体"/>
          <w:lang w:val="en-US" w:eastAsia="zh-CN"/>
        </w:rPr>
        <w:sectPr>
          <w:pgSz w:w="16838" w:h="11906" w:orient="landscape"/>
          <w:pgMar w:top="1417" w:right="1701" w:bottom="1417" w:left="170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default" w:ascii="宋体" w:hAnsi="宋体" w:eastAsia="黑体"/>
          <w:lang w:val="en-US" w:eastAsia="zh-CN"/>
        </w:rPr>
        <w:drawing>
          <wp:inline distT="0" distB="0" distL="114300" distR="114300">
            <wp:extent cx="7339965" cy="5190490"/>
            <wp:effectExtent l="0" t="0" r="13335" b="10160"/>
            <wp:docPr id="23" name="图片 23" descr="关于原阳县产业集聚区污水处理厂减排核算的情况说明(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关于原阳县产业集聚区污水处理厂减排核算的情况说明(1)_01"/>
                    <pic:cNvPicPr>
                      <a:picLocks noChangeAspect="1"/>
                    </pic:cNvPicPr>
                  </pic:nvPicPr>
                  <pic:blipFill>
                    <a:blip r:embed="rId35"/>
                    <a:stretch>
                      <a:fillRect/>
                    </a:stretch>
                  </pic:blipFill>
                  <pic:spPr>
                    <a:xfrm>
                      <a:off x="0" y="0"/>
                      <a:ext cx="7339965" cy="5190490"/>
                    </a:xfrm>
                    <a:prstGeom prst="rect">
                      <a:avLst/>
                    </a:prstGeom>
                  </pic:spPr>
                </pic:pic>
              </a:graphicData>
            </a:graphic>
          </wp:inline>
        </w:drawing>
      </w:r>
    </w:p>
    <w:p w14:paraId="5241CB7C">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8074025" cy="5709285"/>
            <wp:effectExtent l="0" t="0" r="3175" b="5715"/>
            <wp:docPr id="24" name="图片 24" descr="关于原阳县产业集聚区污水处理厂减排核算的情况说明(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关于原阳县产业集聚区污水处理厂减排核算的情况说明(1)_02"/>
                    <pic:cNvPicPr>
                      <a:picLocks noChangeAspect="1"/>
                    </pic:cNvPicPr>
                  </pic:nvPicPr>
                  <pic:blipFill>
                    <a:blip r:embed="rId36"/>
                    <a:stretch>
                      <a:fillRect/>
                    </a:stretch>
                  </pic:blipFill>
                  <pic:spPr>
                    <a:xfrm>
                      <a:off x="0" y="0"/>
                      <a:ext cx="8074025" cy="5709285"/>
                    </a:xfrm>
                    <a:prstGeom prst="rect">
                      <a:avLst/>
                    </a:prstGeom>
                  </pic:spPr>
                </pic:pic>
              </a:graphicData>
            </a:graphic>
          </wp:inline>
        </w:drawing>
      </w:r>
    </w:p>
    <w:p w14:paraId="3C38412D">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8074025" cy="5709285"/>
            <wp:effectExtent l="0" t="0" r="3175" b="5715"/>
            <wp:docPr id="26" name="图片 26" descr="关于原阳县产业集聚区污水处理厂减排核算的情况说明(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关于原阳县产业集聚区污水处理厂减排核算的情况说明(1)_03"/>
                    <pic:cNvPicPr>
                      <a:picLocks noChangeAspect="1"/>
                    </pic:cNvPicPr>
                  </pic:nvPicPr>
                  <pic:blipFill>
                    <a:blip r:embed="rId37"/>
                    <a:stretch>
                      <a:fillRect/>
                    </a:stretch>
                  </pic:blipFill>
                  <pic:spPr>
                    <a:xfrm>
                      <a:off x="0" y="0"/>
                      <a:ext cx="8074025" cy="5709285"/>
                    </a:xfrm>
                    <a:prstGeom prst="rect">
                      <a:avLst/>
                    </a:prstGeom>
                  </pic:spPr>
                </pic:pic>
              </a:graphicData>
            </a:graphic>
          </wp:inline>
        </w:drawing>
      </w:r>
    </w:p>
    <w:p w14:paraId="2C41E026">
      <w:pPr>
        <w:rPr>
          <w:rFonts w:hint="default" w:ascii="宋体" w:hAnsi="宋体" w:eastAsia="黑体"/>
          <w:lang w:val="en-US" w:eastAsia="zh-CN"/>
        </w:rPr>
        <w:sectPr>
          <w:pgSz w:w="16838" w:h="11906" w:orient="landscape"/>
          <w:pgMar w:top="1417" w:right="1701" w:bottom="1417" w:left="170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default" w:ascii="宋体" w:hAnsi="宋体" w:eastAsia="黑体"/>
          <w:lang w:val="en-US" w:eastAsia="zh-CN"/>
        </w:rPr>
        <w:drawing>
          <wp:inline distT="0" distB="0" distL="114300" distR="114300">
            <wp:extent cx="8074025" cy="5709285"/>
            <wp:effectExtent l="0" t="0" r="3175" b="5715"/>
            <wp:docPr id="27" name="图片 27" descr="关于原阳县产业集聚区污水处理厂减排核算的情况说明(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关于原阳县产业集聚区污水处理厂减排核算的情况说明(1)_04"/>
                    <pic:cNvPicPr>
                      <a:picLocks noChangeAspect="1"/>
                    </pic:cNvPicPr>
                  </pic:nvPicPr>
                  <pic:blipFill>
                    <a:blip r:embed="rId38"/>
                    <a:stretch>
                      <a:fillRect/>
                    </a:stretch>
                  </pic:blipFill>
                  <pic:spPr>
                    <a:xfrm>
                      <a:off x="0" y="0"/>
                      <a:ext cx="8074025" cy="5709285"/>
                    </a:xfrm>
                    <a:prstGeom prst="rect">
                      <a:avLst/>
                    </a:prstGeom>
                  </pic:spPr>
                </pic:pic>
              </a:graphicData>
            </a:graphic>
          </wp:inline>
        </w:drawing>
      </w:r>
    </w:p>
    <w:p w14:paraId="12ACAFB7">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3100" cy="8428355"/>
            <wp:effectExtent l="0" t="0" r="0" b="10795"/>
            <wp:docPr id="29" name="图片 29" descr="原阳县产业集聚区污水厂可研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原阳县产业集聚区污水厂可研批复_00"/>
                    <pic:cNvPicPr>
                      <a:picLocks noChangeAspect="1"/>
                    </pic:cNvPicPr>
                  </pic:nvPicPr>
                  <pic:blipFill>
                    <a:blip r:embed="rId39"/>
                    <a:stretch>
                      <a:fillRect/>
                    </a:stretch>
                  </pic:blipFill>
                  <pic:spPr>
                    <a:xfrm>
                      <a:off x="0" y="0"/>
                      <a:ext cx="5753100" cy="8428355"/>
                    </a:xfrm>
                    <a:prstGeom prst="rect">
                      <a:avLst/>
                    </a:prstGeom>
                  </pic:spPr>
                </pic:pic>
              </a:graphicData>
            </a:graphic>
          </wp:inline>
        </w:drawing>
      </w:r>
    </w:p>
    <w:p w14:paraId="0C913166">
      <w:pPr>
        <w:rPr>
          <w:rFonts w:hint="default" w:ascii="宋体" w:hAnsi="宋体" w:eastAsia="黑体"/>
          <w:lang w:val="en-US" w:eastAsia="zh-CN"/>
        </w:rPr>
      </w:pPr>
    </w:p>
    <w:p w14:paraId="537A6776">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6910" cy="8145145"/>
            <wp:effectExtent l="0" t="0" r="15240" b="8255"/>
            <wp:docPr id="30" name="图片 30" descr="原阳县产业集聚区污水厂可研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原阳县产业集聚区污水厂可研批复_01"/>
                    <pic:cNvPicPr>
                      <a:picLocks noChangeAspect="1"/>
                    </pic:cNvPicPr>
                  </pic:nvPicPr>
                  <pic:blipFill>
                    <a:blip r:embed="rId40"/>
                    <a:stretch>
                      <a:fillRect/>
                    </a:stretch>
                  </pic:blipFill>
                  <pic:spPr>
                    <a:xfrm>
                      <a:off x="0" y="0"/>
                      <a:ext cx="5756910" cy="8145145"/>
                    </a:xfrm>
                    <a:prstGeom prst="rect">
                      <a:avLst/>
                    </a:prstGeom>
                  </pic:spPr>
                </pic:pic>
              </a:graphicData>
            </a:graphic>
          </wp:inline>
        </w:drawing>
      </w:r>
    </w:p>
    <w:p w14:paraId="3BDE5461">
      <w:pPr>
        <w:rPr>
          <w:rFonts w:hint="default" w:ascii="宋体" w:hAnsi="宋体" w:eastAsia="黑体"/>
          <w:lang w:val="en-US" w:eastAsia="zh-CN"/>
        </w:rPr>
      </w:pPr>
    </w:p>
    <w:p w14:paraId="2ACA58FF">
      <w:pPr>
        <w:rPr>
          <w:rFonts w:hint="default" w:ascii="宋体" w:hAnsi="宋体" w:eastAsia="黑体"/>
          <w:lang w:val="en-US" w:eastAsia="zh-CN"/>
        </w:rPr>
      </w:pPr>
    </w:p>
    <w:p w14:paraId="3EFD289B">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60085" cy="8129270"/>
            <wp:effectExtent l="0" t="0" r="12065" b="5080"/>
            <wp:docPr id="32" name="图片 32" descr="原阳县产业集聚区污水厂可研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原阳县产业集聚区污水厂可研批复_02"/>
                    <pic:cNvPicPr>
                      <a:picLocks noChangeAspect="1"/>
                    </pic:cNvPicPr>
                  </pic:nvPicPr>
                  <pic:blipFill>
                    <a:blip r:embed="rId41"/>
                    <a:stretch>
                      <a:fillRect/>
                    </a:stretch>
                  </pic:blipFill>
                  <pic:spPr>
                    <a:xfrm>
                      <a:off x="0" y="0"/>
                      <a:ext cx="5760085" cy="8129270"/>
                    </a:xfrm>
                    <a:prstGeom prst="rect">
                      <a:avLst/>
                    </a:prstGeom>
                  </pic:spPr>
                </pic:pic>
              </a:graphicData>
            </a:graphic>
          </wp:inline>
        </w:drawing>
      </w:r>
    </w:p>
    <w:p w14:paraId="4599575C">
      <w:pPr>
        <w:rPr>
          <w:rFonts w:hint="default" w:ascii="宋体" w:hAnsi="宋体" w:eastAsia="黑体"/>
          <w:lang w:val="en-US" w:eastAsia="zh-CN"/>
        </w:rPr>
      </w:pPr>
    </w:p>
    <w:p w14:paraId="7ADEECC0">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1195" cy="8082280"/>
            <wp:effectExtent l="0" t="0" r="1905" b="13970"/>
            <wp:docPr id="33" name="图片 33" descr="原阳县产业集聚区污水厂可研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原阳县产业集聚区污水厂可研批复_03"/>
                    <pic:cNvPicPr>
                      <a:picLocks noChangeAspect="1"/>
                    </pic:cNvPicPr>
                  </pic:nvPicPr>
                  <pic:blipFill>
                    <a:blip r:embed="rId42"/>
                    <a:stretch>
                      <a:fillRect/>
                    </a:stretch>
                  </pic:blipFill>
                  <pic:spPr>
                    <a:xfrm>
                      <a:off x="0" y="0"/>
                      <a:ext cx="5751195" cy="8082280"/>
                    </a:xfrm>
                    <a:prstGeom prst="rect">
                      <a:avLst/>
                    </a:prstGeom>
                  </pic:spPr>
                </pic:pic>
              </a:graphicData>
            </a:graphic>
          </wp:inline>
        </w:drawing>
      </w:r>
    </w:p>
    <w:p w14:paraId="76E16E22">
      <w:pPr>
        <w:rPr>
          <w:rFonts w:hint="default" w:ascii="宋体" w:hAnsi="宋体" w:eastAsia="黑体"/>
          <w:lang w:val="en-US" w:eastAsia="zh-CN"/>
        </w:rPr>
      </w:pPr>
    </w:p>
    <w:p w14:paraId="621F7053">
      <w:pPr>
        <w:rPr>
          <w:rFonts w:hint="default" w:ascii="宋体" w:hAnsi="宋体" w:eastAsia="黑体"/>
          <w:lang w:val="en-US" w:eastAsia="zh-CN"/>
        </w:rPr>
      </w:pPr>
    </w:p>
    <w:p w14:paraId="391A29FC">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34" name="图片 34" descr="原阳县产业集聚区污水处理厂环保验收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原阳县产业集聚区污水处理厂环保验收意见_00"/>
                    <pic:cNvPicPr>
                      <a:picLocks noChangeAspect="1"/>
                    </pic:cNvPicPr>
                  </pic:nvPicPr>
                  <pic:blipFill>
                    <a:blip r:embed="rId43"/>
                    <a:stretch>
                      <a:fillRect/>
                    </a:stretch>
                  </pic:blipFill>
                  <pic:spPr>
                    <a:xfrm>
                      <a:off x="0" y="0"/>
                      <a:ext cx="5755005" cy="8138160"/>
                    </a:xfrm>
                    <a:prstGeom prst="rect">
                      <a:avLst/>
                    </a:prstGeom>
                  </pic:spPr>
                </pic:pic>
              </a:graphicData>
            </a:graphic>
          </wp:inline>
        </w:drawing>
      </w:r>
    </w:p>
    <w:p w14:paraId="7AB0B926">
      <w:pPr>
        <w:rPr>
          <w:rFonts w:hint="default" w:ascii="宋体" w:hAnsi="宋体" w:eastAsia="黑体"/>
          <w:lang w:val="en-US" w:eastAsia="zh-CN"/>
        </w:rPr>
      </w:pPr>
    </w:p>
    <w:p w14:paraId="0D886102">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35" name="图片 35" descr="原阳县产业集聚区污水处理厂环保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原阳县产业集聚区污水处理厂环保验收意见_01"/>
                    <pic:cNvPicPr>
                      <a:picLocks noChangeAspect="1"/>
                    </pic:cNvPicPr>
                  </pic:nvPicPr>
                  <pic:blipFill>
                    <a:blip r:embed="rId44"/>
                    <a:stretch>
                      <a:fillRect/>
                    </a:stretch>
                  </pic:blipFill>
                  <pic:spPr>
                    <a:xfrm>
                      <a:off x="0" y="0"/>
                      <a:ext cx="5755005" cy="8138160"/>
                    </a:xfrm>
                    <a:prstGeom prst="rect">
                      <a:avLst/>
                    </a:prstGeom>
                  </pic:spPr>
                </pic:pic>
              </a:graphicData>
            </a:graphic>
          </wp:inline>
        </w:drawing>
      </w:r>
    </w:p>
    <w:p w14:paraId="695AA777">
      <w:pPr>
        <w:rPr>
          <w:rFonts w:hint="default" w:ascii="宋体" w:hAnsi="宋体" w:eastAsia="黑体"/>
          <w:lang w:val="en-US" w:eastAsia="zh-CN"/>
        </w:rPr>
      </w:pPr>
    </w:p>
    <w:p w14:paraId="58AE836E">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36" name="图片 36" descr="原阳县产业集聚区污水处理厂环保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原阳县产业集聚区污水处理厂环保验收意见_02"/>
                    <pic:cNvPicPr>
                      <a:picLocks noChangeAspect="1"/>
                    </pic:cNvPicPr>
                  </pic:nvPicPr>
                  <pic:blipFill>
                    <a:blip r:embed="rId45"/>
                    <a:stretch>
                      <a:fillRect/>
                    </a:stretch>
                  </pic:blipFill>
                  <pic:spPr>
                    <a:xfrm>
                      <a:off x="0" y="0"/>
                      <a:ext cx="5755005" cy="8138160"/>
                    </a:xfrm>
                    <a:prstGeom prst="rect">
                      <a:avLst/>
                    </a:prstGeom>
                  </pic:spPr>
                </pic:pic>
              </a:graphicData>
            </a:graphic>
          </wp:inline>
        </w:drawing>
      </w:r>
    </w:p>
    <w:p w14:paraId="60DAB396">
      <w:pPr>
        <w:rPr>
          <w:rFonts w:hint="default" w:ascii="宋体" w:hAnsi="宋体" w:eastAsia="黑体"/>
          <w:lang w:val="en-US" w:eastAsia="zh-CN"/>
        </w:rPr>
      </w:pPr>
    </w:p>
    <w:p w14:paraId="19A739C8">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37" name="图片 37" descr="原阳县产业集聚区污水处理厂环保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原阳县产业集聚区污水处理厂环保验收意见_03"/>
                    <pic:cNvPicPr>
                      <a:picLocks noChangeAspect="1"/>
                    </pic:cNvPicPr>
                  </pic:nvPicPr>
                  <pic:blipFill>
                    <a:blip r:embed="rId46"/>
                    <a:stretch>
                      <a:fillRect/>
                    </a:stretch>
                  </pic:blipFill>
                  <pic:spPr>
                    <a:xfrm>
                      <a:off x="0" y="0"/>
                      <a:ext cx="5755005" cy="8138160"/>
                    </a:xfrm>
                    <a:prstGeom prst="rect">
                      <a:avLst/>
                    </a:prstGeom>
                  </pic:spPr>
                </pic:pic>
              </a:graphicData>
            </a:graphic>
          </wp:inline>
        </w:drawing>
      </w:r>
    </w:p>
    <w:p w14:paraId="19B51D4C">
      <w:pPr>
        <w:rPr>
          <w:rFonts w:hint="default" w:ascii="宋体" w:hAnsi="宋体" w:eastAsia="黑体"/>
          <w:lang w:val="en-US" w:eastAsia="zh-CN"/>
        </w:rPr>
      </w:pPr>
    </w:p>
    <w:p w14:paraId="41FFD45B">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5755005" cy="8138160"/>
            <wp:effectExtent l="0" t="0" r="17145" b="15240"/>
            <wp:docPr id="38" name="图片 38" descr="原阳县产业集聚区污水处理厂环保验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原阳县产业集聚区污水处理厂环保验收意见_04"/>
                    <pic:cNvPicPr>
                      <a:picLocks noChangeAspect="1"/>
                    </pic:cNvPicPr>
                  </pic:nvPicPr>
                  <pic:blipFill>
                    <a:blip r:embed="rId47"/>
                    <a:stretch>
                      <a:fillRect/>
                    </a:stretch>
                  </pic:blipFill>
                  <pic:spPr>
                    <a:xfrm>
                      <a:off x="0" y="0"/>
                      <a:ext cx="5755005" cy="8138160"/>
                    </a:xfrm>
                    <a:prstGeom prst="rect">
                      <a:avLst/>
                    </a:prstGeom>
                  </pic:spPr>
                </pic:pic>
              </a:graphicData>
            </a:graphic>
          </wp:inline>
        </w:drawing>
      </w:r>
    </w:p>
    <w:p w14:paraId="1861E021">
      <w:pPr>
        <w:rPr>
          <w:rFonts w:hint="default" w:ascii="宋体" w:hAnsi="宋体" w:eastAsia="黑体"/>
          <w:lang w:val="en-US" w:eastAsia="zh-CN"/>
        </w:rPr>
      </w:pPr>
    </w:p>
    <w:p w14:paraId="7971E33A">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default" w:ascii="宋体" w:hAnsi="宋体" w:eastAsia="黑体"/>
          <w:lang w:val="en-US" w:eastAsia="zh-CN"/>
        </w:rPr>
        <w:drawing>
          <wp:inline distT="0" distB="0" distL="114300" distR="114300">
            <wp:extent cx="5755005" cy="8138160"/>
            <wp:effectExtent l="0" t="0" r="17145" b="15240"/>
            <wp:docPr id="39" name="图片 39" descr="原阳县产业集聚区污水处理厂环保验收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原阳县产业集聚区污水处理厂环保验收意见_05"/>
                    <pic:cNvPicPr>
                      <a:picLocks noChangeAspect="1"/>
                    </pic:cNvPicPr>
                  </pic:nvPicPr>
                  <pic:blipFill>
                    <a:blip r:embed="rId48"/>
                    <a:stretch>
                      <a:fillRect/>
                    </a:stretch>
                  </pic:blipFill>
                  <pic:spPr>
                    <a:xfrm>
                      <a:off x="0" y="0"/>
                      <a:ext cx="5755005" cy="8138160"/>
                    </a:xfrm>
                    <a:prstGeom prst="rect">
                      <a:avLst/>
                    </a:prstGeom>
                  </pic:spPr>
                </pic:pic>
              </a:graphicData>
            </a:graphic>
          </wp:inline>
        </w:drawing>
      </w:r>
    </w:p>
    <w:p w14:paraId="4C4C50D6">
      <w:pPr>
        <w:rPr>
          <w:rFonts w:hint="default" w:ascii="宋体" w:hAnsi="宋体" w:eastAsia="黑体"/>
          <w:lang w:val="en-US" w:eastAsia="zh-CN"/>
        </w:rPr>
      </w:pPr>
    </w:p>
    <w:p w14:paraId="24192C29">
      <w:pPr>
        <w:rPr>
          <w:rFonts w:hint="default" w:ascii="宋体" w:hAnsi="宋体" w:eastAsia="黑体"/>
          <w:lang w:val="en-US" w:eastAsia="zh-CN"/>
        </w:rPr>
        <w:sectPr>
          <w:pgSz w:w="16838" w:h="11906" w:orient="landscape"/>
          <w:pgMar w:top="1417" w:right="1701" w:bottom="1417" w:left="1701"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default" w:ascii="宋体" w:hAnsi="宋体" w:eastAsia="黑体"/>
          <w:lang w:val="en-US" w:eastAsia="zh-CN"/>
        </w:rPr>
        <w:drawing>
          <wp:inline distT="0" distB="0" distL="114300" distR="114300">
            <wp:extent cx="8510905" cy="5390515"/>
            <wp:effectExtent l="0" t="0" r="4445" b="635"/>
            <wp:docPr id="40" name="图片 40" descr="附图一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附图一_01"/>
                    <pic:cNvPicPr>
                      <a:picLocks noChangeAspect="1"/>
                    </pic:cNvPicPr>
                  </pic:nvPicPr>
                  <pic:blipFill>
                    <a:blip r:embed="rId49"/>
                    <a:stretch>
                      <a:fillRect/>
                    </a:stretch>
                  </pic:blipFill>
                  <pic:spPr>
                    <a:xfrm>
                      <a:off x="0" y="0"/>
                      <a:ext cx="8510905" cy="5390515"/>
                    </a:xfrm>
                    <a:prstGeom prst="rect">
                      <a:avLst/>
                    </a:prstGeom>
                  </pic:spPr>
                </pic:pic>
              </a:graphicData>
            </a:graphic>
          </wp:inline>
        </w:drawing>
      </w:r>
    </w:p>
    <w:p w14:paraId="373F4A8E">
      <w:pPr>
        <w:rPr>
          <w:rFonts w:hint="default" w:ascii="宋体" w:hAnsi="宋体" w:eastAsia="黑体"/>
          <w:lang w:val="en-US" w:eastAsia="zh-CN"/>
        </w:rPr>
      </w:pPr>
      <w:r>
        <w:rPr>
          <w:rFonts w:hint="default" w:ascii="宋体" w:hAnsi="宋体" w:eastAsia="黑体"/>
          <w:lang w:val="en-US" w:eastAsia="zh-CN"/>
        </w:rPr>
        <w:br w:type="textWrapping"/>
      </w:r>
      <w:r>
        <w:rPr>
          <w:rFonts w:hint="default" w:ascii="宋体" w:hAnsi="宋体" w:eastAsia="黑体"/>
          <w:lang w:val="en-US" w:eastAsia="zh-CN"/>
        </w:rPr>
        <w:drawing>
          <wp:inline distT="0" distB="0" distL="114300" distR="114300">
            <wp:extent cx="5759450" cy="7218045"/>
            <wp:effectExtent l="0" t="0" r="12700" b="1905"/>
            <wp:docPr id="41" name="图片 41" descr="附图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附图二_01"/>
                    <pic:cNvPicPr>
                      <a:picLocks noChangeAspect="1"/>
                    </pic:cNvPicPr>
                  </pic:nvPicPr>
                  <pic:blipFill>
                    <a:blip r:embed="rId50"/>
                    <a:stretch>
                      <a:fillRect/>
                    </a:stretch>
                  </pic:blipFill>
                  <pic:spPr>
                    <a:xfrm>
                      <a:off x="0" y="0"/>
                      <a:ext cx="5759450" cy="7218045"/>
                    </a:xfrm>
                    <a:prstGeom prst="rect">
                      <a:avLst/>
                    </a:prstGeom>
                  </pic:spPr>
                </pic:pic>
              </a:graphicData>
            </a:graphic>
          </wp:inline>
        </w:drawing>
      </w:r>
    </w:p>
    <w:p w14:paraId="457EB7E1">
      <w:pPr>
        <w:rPr>
          <w:rFonts w:hint="default" w:ascii="宋体" w:hAnsi="宋体" w:eastAsia="黑体"/>
          <w:lang w:val="en-US" w:eastAsia="zh-CN"/>
        </w:rPr>
      </w:pPr>
    </w:p>
    <w:p w14:paraId="75185647">
      <w:pPr>
        <w:rPr>
          <w:rFonts w:hint="default" w:ascii="宋体" w:hAnsi="宋体" w:eastAsia="黑体"/>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52157038">
      <w:pPr>
        <w:rPr>
          <w:rFonts w:hint="default" w:ascii="宋体" w:hAnsi="宋体" w:eastAsia="黑体"/>
          <w:lang w:val="en-US" w:eastAsia="zh-CN"/>
        </w:rPr>
      </w:pPr>
    </w:p>
    <w:p w14:paraId="03F93CBD">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8258175" cy="5021580"/>
            <wp:effectExtent l="0" t="0" r="9525" b="7620"/>
            <wp:docPr id="42" name="图片 42" descr="附图三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附图三_01"/>
                    <pic:cNvPicPr>
                      <a:picLocks noChangeAspect="1"/>
                    </pic:cNvPicPr>
                  </pic:nvPicPr>
                  <pic:blipFill>
                    <a:blip r:embed="rId51"/>
                    <a:stretch>
                      <a:fillRect/>
                    </a:stretch>
                  </pic:blipFill>
                  <pic:spPr>
                    <a:xfrm>
                      <a:off x="0" y="0"/>
                      <a:ext cx="8258175" cy="5021580"/>
                    </a:xfrm>
                    <a:prstGeom prst="rect">
                      <a:avLst/>
                    </a:prstGeom>
                  </pic:spPr>
                </pic:pic>
              </a:graphicData>
            </a:graphic>
          </wp:inline>
        </w:drawing>
      </w:r>
    </w:p>
    <w:p w14:paraId="0F1DBDF6">
      <w:pPr>
        <w:rPr>
          <w:rFonts w:hint="default" w:ascii="宋体" w:hAnsi="宋体" w:eastAsia="黑体"/>
          <w:lang w:val="en-US" w:eastAsia="zh-CN"/>
        </w:rPr>
      </w:pPr>
    </w:p>
    <w:p w14:paraId="22DAE55D">
      <w:pPr>
        <w:rPr>
          <w:rFonts w:hint="default" w:ascii="宋体" w:hAnsi="宋体" w:eastAsia="黑体"/>
          <w:lang w:val="en-US" w:eastAsia="zh-CN"/>
        </w:rPr>
      </w:pPr>
    </w:p>
    <w:p w14:paraId="7F5F7B8F">
      <w:pPr>
        <w:rPr>
          <w:rFonts w:hint="default" w:ascii="宋体" w:hAnsi="宋体" w:eastAsia="黑体"/>
          <w:lang w:val="en-US" w:eastAsia="zh-CN"/>
        </w:rPr>
      </w:pPr>
      <w:r>
        <w:rPr>
          <w:rFonts w:hint="default" w:ascii="宋体" w:hAnsi="宋体" w:eastAsia="黑体"/>
          <w:lang w:val="en-US" w:eastAsia="zh-CN"/>
        </w:rPr>
        <w:drawing>
          <wp:inline distT="0" distB="0" distL="114300" distR="114300">
            <wp:extent cx="8510905" cy="5958840"/>
            <wp:effectExtent l="0" t="0" r="4445" b="3810"/>
            <wp:docPr id="43" name="图片 43" descr="附图四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附图四_01"/>
                    <pic:cNvPicPr>
                      <a:picLocks noChangeAspect="1"/>
                    </pic:cNvPicPr>
                  </pic:nvPicPr>
                  <pic:blipFill>
                    <a:blip r:embed="rId52"/>
                    <a:stretch>
                      <a:fillRect/>
                    </a:stretch>
                  </pic:blipFill>
                  <pic:spPr>
                    <a:xfrm>
                      <a:off x="0" y="0"/>
                      <a:ext cx="8510905" cy="5958840"/>
                    </a:xfrm>
                    <a:prstGeom prst="rect">
                      <a:avLst/>
                    </a:prstGeom>
                  </pic:spPr>
                </pic:pic>
              </a:graphicData>
            </a:graphic>
          </wp:inline>
        </w:drawing>
      </w:r>
    </w:p>
    <w:sectPr>
      <w:pgSz w:w="16838" w:h="11906" w:orient="landscape"/>
      <w:pgMar w:top="1417" w:right="1701" w:bottom="1417" w:left="1701" w:header="851" w:footer="851" w:gutter="0"/>
      <w:pgBorders>
        <w:top w:val="none" w:sz="0" w:space="0"/>
        <w:left w:val="none" w:sz="0" w:space="0"/>
        <w:bottom w:val="none" w:sz="0" w:space="0"/>
        <w:right w:val="none" w:sz="0" w:space="0"/>
      </w:pgBorders>
      <w:pgNumType w:fmt="decimal" w:start="1"/>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moder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icrosoft JhengHei Light">
    <w:panose1 w:val="020B0304030504040204"/>
    <w:charset w:val="88"/>
    <w:family w:val="swiss"/>
    <w:pitch w:val="default"/>
    <w:sig w:usb0="800002A7" w:usb1="28CF4400" w:usb2="00000016" w:usb3="00000000" w:csb0="00100009" w:csb1="00000000"/>
  </w:font>
  <w:font w:name="Cambria Math">
    <w:panose1 w:val="02040503050406030204"/>
    <w:charset w:val="00"/>
    <w:family w:val="roman"/>
    <w:pitch w:val="default"/>
    <w:sig w:usb0="E00006FF" w:usb1="420024FF" w:usb2="02000000" w:usb3="00000000" w:csb0="2000019F" w:csb1="00000000"/>
  </w:font>
  <w:font w:name="方正小标宋_GBK">
    <w:altName w:val="微软雅黑"/>
    <w:panose1 w:val="03000509000000000000"/>
    <w:charset w:val="86"/>
    <w:family w:val="script"/>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CEBB03">
    <w:pPr>
      <w:jc w:val="center"/>
      <w:rPr>
        <w:rStyle w:val="26"/>
        <w:rFonts w:ascii="宋体" w:hAnsi="宋体"/>
        <w:szCs w:val="21"/>
      </w:rPr>
    </w:pPr>
    <w:r>
      <w:rPr>
        <w:rStyle w:val="26"/>
        <w:rFonts w:hint="default" w:ascii="Times New Roman" w:hAnsi="Times New Roman" w:cs="Times New Roman"/>
        <w:szCs w:val="21"/>
      </w:rPr>
      <w:t xml:space="preserve"> </w:t>
    </w:r>
    <w:r>
      <w:rPr>
        <w:rStyle w:val="26"/>
        <w:rFonts w:hint="default" w:ascii="Times New Roman" w:hAnsi="Times New Roman" w:cs="Times New Roman"/>
        <w:szCs w:val="21"/>
      </w:rPr>
      <w:fldChar w:fldCharType="begin"/>
    </w:r>
    <w:r>
      <w:rPr>
        <w:rStyle w:val="26"/>
        <w:rFonts w:hint="default" w:ascii="Times New Roman" w:hAnsi="Times New Roman" w:cs="Times New Roman"/>
        <w:szCs w:val="21"/>
      </w:rPr>
      <w:instrText xml:space="preserve">PAGE  </w:instrText>
    </w:r>
    <w:r>
      <w:rPr>
        <w:rStyle w:val="26"/>
        <w:rFonts w:hint="default" w:ascii="Times New Roman" w:hAnsi="Times New Roman" w:cs="Times New Roman"/>
        <w:szCs w:val="21"/>
      </w:rPr>
      <w:fldChar w:fldCharType="separate"/>
    </w:r>
    <w:r>
      <w:rPr>
        <w:rStyle w:val="26"/>
        <w:rFonts w:hint="default" w:ascii="Times New Roman" w:hAnsi="Times New Roman" w:cs="Times New Roman"/>
        <w:szCs w:val="21"/>
      </w:rPr>
      <w:t>35</w:t>
    </w:r>
    <w:r>
      <w:rPr>
        <w:rStyle w:val="26"/>
        <w:rFonts w:hint="default" w:ascii="Times New Roman" w:hAnsi="Times New Roman" w:cs="Times New Roman"/>
        <w:szCs w:val="21"/>
      </w:rPr>
      <w:fldChar w:fldCharType="end"/>
    </w:r>
    <w:r>
      <w:rPr>
        <w:rStyle w:val="26"/>
        <w:rFonts w:hint="default" w:ascii="Times New Roman" w:hAnsi="Times New Roman" w:cs="Times New Roman"/>
        <w:szCs w:val="21"/>
      </w:rPr>
      <w:t xml:space="preserve"> </w:t>
    </w:r>
    <w:r>
      <w:rPr>
        <w:rStyle w:val="26"/>
        <w:rFonts w:hint="eastAsia" w:ascii="宋体" w:hAnsi="宋体"/>
        <w:szCs w:val="21"/>
      </w:rPr>
      <w:t xml:space="preserve"> </w:t>
    </w:r>
  </w:p>
  <w:p w14:paraId="5889A8D4">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F657BF">
    <w:pPr>
      <w:pStyle w:val="16"/>
      <w:rPr>
        <w:rStyle w:val="26"/>
        <w:rFonts w:ascii="宋体" w:hAnsi="宋体"/>
        <w:sz w:val="28"/>
        <w:szCs w:val="28"/>
      </w:rPr>
    </w:pPr>
  </w:p>
  <w:p w14:paraId="0F5F04EA">
    <w:pPr>
      <w:pStyle w:val="16"/>
      <w:ind w:right="360" w:firstLine="360"/>
      <w:jc w:val="center"/>
      <w:rPr>
        <w:rFonts w:hint="eastAsia" w:eastAsia="宋体"/>
        <w:sz w:val="24"/>
        <w:szCs w:val="24"/>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8D24B2">
    <w:pPr>
      <w:pStyle w:val="17"/>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D186CF">
    <w:pPr>
      <w:keepNext w:val="0"/>
      <w:keepLines w:val="0"/>
      <w:widowControl/>
      <w:suppressLineNumbers w:val="0"/>
      <w:pBdr>
        <w:bottom w:val="none" w:color="auto" w:sz="0" w:space="0"/>
      </w:pBd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016D681"/>
    <w:multiLevelType w:val="singleLevel"/>
    <w:tmpl w:val="1016D681"/>
    <w:lvl w:ilvl="0" w:tentative="0">
      <w:start w:val="1"/>
      <w:numFmt w:val="decimal"/>
      <w:suff w:val="nothing"/>
      <w:lvlText w:val="%1、"/>
      <w:lvlJc w:val="left"/>
      <w:rPr>
        <w:b w:val="0"/>
      </w:rPr>
    </w:lvl>
  </w:abstractNum>
  <w:abstractNum w:abstractNumId="1">
    <w:nsid w:val="21552A7F"/>
    <w:multiLevelType w:val="singleLevel"/>
    <w:tmpl w:val="21552A7F"/>
    <w:lvl w:ilvl="0" w:tentative="0">
      <w:start w:val="1"/>
      <w:numFmt w:val="decimal"/>
      <w:suff w:val="nothing"/>
      <w:lvlText w:val="%1、"/>
      <w:lvlJc w:val="left"/>
    </w:lvl>
  </w:abstractNum>
  <w:abstractNum w:abstractNumId="2">
    <w:nsid w:val="50F4E5EC"/>
    <w:multiLevelType w:val="singleLevel"/>
    <w:tmpl w:val="50F4E5EC"/>
    <w:lvl w:ilvl="0" w:tentative="0">
      <w:start w:val="1"/>
      <w:numFmt w:val="chineseCounting"/>
      <w:suff w:val="nothing"/>
      <w:lvlText w:val="%1、"/>
      <w:lvlJc w:val="left"/>
      <w:rPr>
        <w:rFonts w:hint="eastAsia"/>
      </w:rPr>
    </w:lvl>
  </w:abstractNum>
  <w:abstractNum w:abstractNumId="3">
    <w:nsid w:val="72012E3D"/>
    <w:multiLevelType w:val="singleLevel"/>
    <w:tmpl w:val="72012E3D"/>
    <w:lvl w:ilvl="0" w:tentative="0">
      <w:start w:val="2"/>
      <w:numFmt w:val="decimal"/>
      <w:suff w:val="nothing"/>
      <w:lvlText w:val="（%1）"/>
      <w:lvlJc w:val="left"/>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ZhMmE3Y2ZkMWQ0NzBlOThhODRlMGIzZmZkZGIwNGEifQ=="/>
  </w:docVars>
  <w:rsids>
    <w:rsidRoot w:val="00172A27"/>
    <w:rsid w:val="00003E10"/>
    <w:rsid w:val="000060B3"/>
    <w:rsid w:val="0001025A"/>
    <w:rsid w:val="00012110"/>
    <w:rsid w:val="0001250F"/>
    <w:rsid w:val="0001437F"/>
    <w:rsid w:val="00022A68"/>
    <w:rsid w:val="00025826"/>
    <w:rsid w:val="00025E89"/>
    <w:rsid w:val="0003339E"/>
    <w:rsid w:val="0003642C"/>
    <w:rsid w:val="00041C78"/>
    <w:rsid w:val="000434BC"/>
    <w:rsid w:val="0004364B"/>
    <w:rsid w:val="0004485A"/>
    <w:rsid w:val="00045F8A"/>
    <w:rsid w:val="000549D2"/>
    <w:rsid w:val="0005601F"/>
    <w:rsid w:val="00056413"/>
    <w:rsid w:val="00061B1F"/>
    <w:rsid w:val="0006238D"/>
    <w:rsid w:val="0006273D"/>
    <w:rsid w:val="00066043"/>
    <w:rsid w:val="00067BFC"/>
    <w:rsid w:val="000729DD"/>
    <w:rsid w:val="000733C4"/>
    <w:rsid w:val="0007386C"/>
    <w:rsid w:val="0007389B"/>
    <w:rsid w:val="00074422"/>
    <w:rsid w:val="00074783"/>
    <w:rsid w:val="0007669A"/>
    <w:rsid w:val="00076B2E"/>
    <w:rsid w:val="00077C1B"/>
    <w:rsid w:val="0008070B"/>
    <w:rsid w:val="000810AC"/>
    <w:rsid w:val="00081533"/>
    <w:rsid w:val="00081A02"/>
    <w:rsid w:val="00082231"/>
    <w:rsid w:val="00085CCD"/>
    <w:rsid w:val="000917B5"/>
    <w:rsid w:val="00092D38"/>
    <w:rsid w:val="0009377B"/>
    <w:rsid w:val="00095EA5"/>
    <w:rsid w:val="00097557"/>
    <w:rsid w:val="000A0E1F"/>
    <w:rsid w:val="000A1108"/>
    <w:rsid w:val="000A20C9"/>
    <w:rsid w:val="000A2DBF"/>
    <w:rsid w:val="000A63F0"/>
    <w:rsid w:val="000B058F"/>
    <w:rsid w:val="000B368D"/>
    <w:rsid w:val="000B4467"/>
    <w:rsid w:val="000B4DB9"/>
    <w:rsid w:val="000B7E98"/>
    <w:rsid w:val="000C0484"/>
    <w:rsid w:val="000C09AC"/>
    <w:rsid w:val="000C2B43"/>
    <w:rsid w:val="000C3F08"/>
    <w:rsid w:val="000C617D"/>
    <w:rsid w:val="000C699A"/>
    <w:rsid w:val="000C767F"/>
    <w:rsid w:val="000D02D7"/>
    <w:rsid w:val="000D1537"/>
    <w:rsid w:val="000D1D47"/>
    <w:rsid w:val="000D4598"/>
    <w:rsid w:val="000D5A44"/>
    <w:rsid w:val="000D7171"/>
    <w:rsid w:val="000E2FD7"/>
    <w:rsid w:val="000E3ED2"/>
    <w:rsid w:val="000E5F8A"/>
    <w:rsid w:val="000F0BD7"/>
    <w:rsid w:val="000F2BE8"/>
    <w:rsid w:val="000F4CC5"/>
    <w:rsid w:val="000F673D"/>
    <w:rsid w:val="000F69DD"/>
    <w:rsid w:val="001000CB"/>
    <w:rsid w:val="0010134C"/>
    <w:rsid w:val="00101A78"/>
    <w:rsid w:val="0010212A"/>
    <w:rsid w:val="00103D0D"/>
    <w:rsid w:val="00104023"/>
    <w:rsid w:val="00106229"/>
    <w:rsid w:val="001145CE"/>
    <w:rsid w:val="00121AF7"/>
    <w:rsid w:val="001231F0"/>
    <w:rsid w:val="00125123"/>
    <w:rsid w:val="001259B0"/>
    <w:rsid w:val="00126B1C"/>
    <w:rsid w:val="00131F42"/>
    <w:rsid w:val="00133FFC"/>
    <w:rsid w:val="001342C9"/>
    <w:rsid w:val="001353A3"/>
    <w:rsid w:val="001357F1"/>
    <w:rsid w:val="00135E0F"/>
    <w:rsid w:val="001377D8"/>
    <w:rsid w:val="001404E7"/>
    <w:rsid w:val="00140FA8"/>
    <w:rsid w:val="00142379"/>
    <w:rsid w:val="00142C50"/>
    <w:rsid w:val="00142FEB"/>
    <w:rsid w:val="00143A2D"/>
    <w:rsid w:val="00144B9F"/>
    <w:rsid w:val="00145A41"/>
    <w:rsid w:val="00151675"/>
    <w:rsid w:val="00151AE6"/>
    <w:rsid w:val="00152C83"/>
    <w:rsid w:val="00157435"/>
    <w:rsid w:val="0016059D"/>
    <w:rsid w:val="00161DC1"/>
    <w:rsid w:val="00162109"/>
    <w:rsid w:val="00162D35"/>
    <w:rsid w:val="0016326C"/>
    <w:rsid w:val="001632DA"/>
    <w:rsid w:val="001638D1"/>
    <w:rsid w:val="00166B7E"/>
    <w:rsid w:val="00167927"/>
    <w:rsid w:val="00171E01"/>
    <w:rsid w:val="001747FE"/>
    <w:rsid w:val="0017504D"/>
    <w:rsid w:val="0017671A"/>
    <w:rsid w:val="00177422"/>
    <w:rsid w:val="00181411"/>
    <w:rsid w:val="00184590"/>
    <w:rsid w:val="001860D8"/>
    <w:rsid w:val="00186E82"/>
    <w:rsid w:val="001870D1"/>
    <w:rsid w:val="0018781E"/>
    <w:rsid w:val="00190243"/>
    <w:rsid w:val="0019262D"/>
    <w:rsid w:val="00194283"/>
    <w:rsid w:val="001943EB"/>
    <w:rsid w:val="0019640E"/>
    <w:rsid w:val="00196C42"/>
    <w:rsid w:val="00197778"/>
    <w:rsid w:val="001A11BF"/>
    <w:rsid w:val="001A1B35"/>
    <w:rsid w:val="001A3EE5"/>
    <w:rsid w:val="001A48A2"/>
    <w:rsid w:val="001A6139"/>
    <w:rsid w:val="001A63FC"/>
    <w:rsid w:val="001A67B2"/>
    <w:rsid w:val="001A6BFE"/>
    <w:rsid w:val="001A6C5D"/>
    <w:rsid w:val="001A6F61"/>
    <w:rsid w:val="001A7F91"/>
    <w:rsid w:val="001B09ED"/>
    <w:rsid w:val="001B26C6"/>
    <w:rsid w:val="001B416E"/>
    <w:rsid w:val="001B5D8F"/>
    <w:rsid w:val="001B60E1"/>
    <w:rsid w:val="001B72B8"/>
    <w:rsid w:val="001B7AE4"/>
    <w:rsid w:val="001C3174"/>
    <w:rsid w:val="001C383C"/>
    <w:rsid w:val="001C69B3"/>
    <w:rsid w:val="001D0DEB"/>
    <w:rsid w:val="001D1CAA"/>
    <w:rsid w:val="001D25C0"/>
    <w:rsid w:val="001D39D5"/>
    <w:rsid w:val="001D4447"/>
    <w:rsid w:val="001D5537"/>
    <w:rsid w:val="001D5595"/>
    <w:rsid w:val="001D6A2E"/>
    <w:rsid w:val="001D7874"/>
    <w:rsid w:val="001D7F22"/>
    <w:rsid w:val="001E2C9B"/>
    <w:rsid w:val="001E5527"/>
    <w:rsid w:val="001E74E5"/>
    <w:rsid w:val="001F0F17"/>
    <w:rsid w:val="001F2BE0"/>
    <w:rsid w:val="001F3347"/>
    <w:rsid w:val="001F5528"/>
    <w:rsid w:val="001F553E"/>
    <w:rsid w:val="001F69E4"/>
    <w:rsid w:val="001F784E"/>
    <w:rsid w:val="00204EEB"/>
    <w:rsid w:val="00205542"/>
    <w:rsid w:val="00206108"/>
    <w:rsid w:val="00206697"/>
    <w:rsid w:val="002072AB"/>
    <w:rsid w:val="002101D6"/>
    <w:rsid w:val="002118BF"/>
    <w:rsid w:val="002125B4"/>
    <w:rsid w:val="00212B81"/>
    <w:rsid w:val="002136B6"/>
    <w:rsid w:val="002155B8"/>
    <w:rsid w:val="00215F90"/>
    <w:rsid w:val="00222BC9"/>
    <w:rsid w:val="00223CE5"/>
    <w:rsid w:val="00224839"/>
    <w:rsid w:val="002249B2"/>
    <w:rsid w:val="002256F6"/>
    <w:rsid w:val="00226574"/>
    <w:rsid w:val="0022742B"/>
    <w:rsid w:val="002278EC"/>
    <w:rsid w:val="00231E6E"/>
    <w:rsid w:val="0023280E"/>
    <w:rsid w:val="00232DDB"/>
    <w:rsid w:val="00232E64"/>
    <w:rsid w:val="0023384F"/>
    <w:rsid w:val="0023387E"/>
    <w:rsid w:val="00234D62"/>
    <w:rsid w:val="00236123"/>
    <w:rsid w:val="0023634C"/>
    <w:rsid w:val="002377D1"/>
    <w:rsid w:val="0023796C"/>
    <w:rsid w:val="0024252E"/>
    <w:rsid w:val="002506BC"/>
    <w:rsid w:val="00251458"/>
    <w:rsid w:val="00252C1C"/>
    <w:rsid w:val="00254345"/>
    <w:rsid w:val="00255D41"/>
    <w:rsid w:val="00256AC5"/>
    <w:rsid w:val="0026314D"/>
    <w:rsid w:val="00264557"/>
    <w:rsid w:val="00265552"/>
    <w:rsid w:val="0026602C"/>
    <w:rsid w:val="00270C05"/>
    <w:rsid w:val="00273458"/>
    <w:rsid w:val="002805AB"/>
    <w:rsid w:val="002832C6"/>
    <w:rsid w:val="00284204"/>
    <w:rsid w:val="00285793"/>
    <w:rsid w:val="00291773"/>
    <w:rsid w:val="002A168C"/>
    <w:rsid w:val="002A3DC7"/>
    <w:rsid w:val="002A5D65"/>
    <w:rsid w:val="002A5FD3"/>
    <w:rsid w:val="002B005B"/>
    <w:rsid w:val="002B12A4"/>
    <w:rsid w:val="002B1500"/>
    <w:rsid w:val="002B3074"/>
    <w:rsid w:val="002B49E2"/>
    <w:rsid w:val="002B4D31"/>
    <w:rsid w:val="002B66A9"/>
    <w:rsid w:val="002B7B00"/>
    <w:rsid w:val="002B7C44"/>
    <w:rsid w:val="002C04C2"/>
    <w:rsid w:val="002C23A8"/>
    <w:rsid w:val="002C2B17"/>
    <w:rsid w:val="002C3A48"/>
    <w:rsid w:val="002D3DD0"/>
    <w:rsid w:val="002D5745"/>
    <w:rsid w:val="002D579B"/>
    <w:rsid w:val="002E1F3A"/>
    <w:rsid w:val="002E298A"/>
    <w:rsid w:val="002E2C2E"/>
    <w:rsid w:val="002E6845"/>
    <w:rsid w:val="002E7CBA"/>
    <w:rsid w:val="002E7F12"/>
    <w:rsid w:val="002F3461"/>
    <w:rsid w:val="002F5A6B"/>
    <w:rsid w:val="002F6570"/>
    <w:rsid w:val="00300D45"/>
    <w:rsid w:val="00301978"/>
    <w:rsid w:val="00301B1E"/>
    <w:rsid w:val="0030332C"/>
    <w:rsid w:val="00304DEC"/>
    <w:rsid w:val="003051C2"/>
    <w:rsid w:val="003057AE"/>
    <w:rsid w:val="00305C8C"/>
    <w:rsid w:val="0031022A"/>
    <w:rsid w:val="00312296"/>
    <w:rsid w:val="00312452"/>
    <w:rsid w:val="00313800"/>
    <w:rsid w:val="00314F0E"/>
    <w:rsid w:val="00320B1A"/>
    <w:rsid w:val="00321D8E"/>
    <w:rsid w:val="00323096"/>
    <w:rsid w:val="00325928"/>
    <w:rsid w:val="00326FFE"/>
    <w:rsid w:val="0032787A"/>
    <w:rsid w:val="00327902"/>
    <w:rsid w:val="003302E4"/>
    <w:rsid w:val="00332863"/>
    <w:rsid w:val="0033684D"/>
    <w:rsid w:val="00337B42"/>
    <w:rsid w:val="00340AA9"/>
    <w:rsid w:val="00341B42"/>
    <w:rsid w:val="0034261C"/>
    <w:rsid w:val="0034348F"/>
    <w:rsid w:val="00344252"/>
    <w:rsid w:val="00344F54"/>
    <w:rsid w:val="00345814"/>
    <w:rsid w:val="00345918"/>
    <w:rsid w:val="00345C87"/>
    <w:rsid w:val="003527EC"/>
    <w:rsid w:val="00354389"/>
    <w:rsid w:val="003550FC"/>
    <w:rsid w:val="003551F9"/>
    <w:rsid w:val="00355266"/>
    <w:rsid w:val="00356653"/>
    <w:rsid w:val="0035743F"/>
    <w:rsid w:val="00357BE2"/>
    <w:rsid w:val="0036170C"/>
    <w:rsid w:val="00361C61"/>
    <w:rsid w:val="0036269E"/>
    <w:rsid w:val="00362E4D"/>
    <w:rsid w:val="00366E0F"/>
    <w:rsid w:val="00367C4E"/>
    <w:rsid w:val="0037171E"/>
    <w:rsid w:val="00371C3E"/>
    <w:rsid w:val="003739C8"/>
    <w:rsid w:val="00373FA5"/>
    <w:rsid w:val="00374F00"/>
    <w:rsid w:val="00374F83"/>
    <w:rsid w:val="003756B5"/>
    <w:rsid w:val="003773BD"/>
    <w:rsid w:val="003809E0"/>
    <w:rsid w:val="00381923"/>
    <w:rsid w:val="00381A72"/>
    <w:rsid w:val="00381EC6"/>
    <w:rsid w:val="00384676"/>
    <w:rsid w:val="00386EF3"/>
    <w:rsid w:val="00390857"/>
    <w:rsid w:val="00391DBE"/>
    <w:rsid w:val="00393B76"/>
    <w:rsid w:val="0039726D"/>
    <w:rsid w:val="00397BEF"/>
    <w:rsid w:val="00397CE3"/>
    <w:rsid w:val="003A2209"/>
    <w:rsid w:val="003A4BF3"/>
    <w:rsid w:val="003A5FEA"/>
    <w:rsid w:val="003B2543"/>
    <w:rsid w:val="003B371F"/>
    <w:rsid w:val="003B420D"/>
    <w:rsid w:val="003B786A"/>
    <w:rsid w:val="003C26C0"/>
    <w:rsid w:val="003C65BC"/>
    <w:rsid w:val="003C6C16"/>
    <w:rsid w:val="003C7782"/>
    <w:rsid w:val="003C7E72"/>
    <w:rsid w:val="003D0C8E"/>
    <w:rsid w:val="003D2AAD"/>
    <w:rsid w:val="003D4941"/>
    <w:rsid w:val="003D51FD"/>
    <w:rsid w:val="003D5C3F"/>
    <w:rsid w:val="003D5D55"/>
    <w:rsid w:val="003D6288"/>
    <w:rsid w:val="003D7913"/>
    <w:rsid w:val="003D794D"/>
    <w:rsid w:val="003E02D5"/>
    <w:rsid w:val="003E053E"/>
    <w:rsid w:val="003E2FA3"/>
    <w:rsid w:val="003E3058"/>
    <w:rsid w:val="003E3126"/>
    <w:rsid w:val="003E3739"/>
    <w:rsid w:val="003E3B10"/>
    <w:rsid w:val="003E3F95"/>
    <w:rsid w:val="003E76A9"/>
    <w:rsid w:val="003F01C1"/>
    <w:rsid w:val="003F0809"/>
    <w:rsid w:val="003F0DF8"/>
    <w:rsid w:val="003F28E3"/>
    <w:rsid w:val="003F59A5"/>
    <w:rsid w:val="003F5CC8"/>
    <w:rsid w:val="003F6A8C"/>
    <w:rsid w:val="003F6AA8"/>
    <w:rsid w:val="003F755C"/>
    <w:rsid w:val="00405C7B"/>
    <w:rsid w:val="00406F01"/>
    <w:rsid w:val="00410EE6"/>
    <w:rsid w:val="00411617"/>
    <w:rsid w:val="004142FA"/>
    <w:rsid w:val="00416D50"/>
    <w:rsid w:val="00416FD5"/>
    <w:rsid w:val="00417772"/>
    <w:rsid w:val="00420E6A"/>
    <w:rsid w:val="00422FD1"/>
    <w:rsid w:val="0042326E"/>
    <w:rsid w:val="0042476C"/>
    <w:rsid w:val="00425A9E"/>
    <w:rsid w:val="00426D6B"/>
    <w:rsid w:val="00430768"/>
    <w:rsid w:val="0043099C"/>
    <w:rsid w:val="00430A43"/>
    <w:rsid w:val="00431E6C"/>
    <w:rsid w:val="00433CE7"/>
    <w:rsid w:val="00433DE6"/>
    <w:rsid w:val="004369C2"/>
    <w:rsid w:val="004431A1"/>
    <w:rsid w:val="00443B87"/>
    <w:rsid w:val="004457DC"/>
    <w:rsid w:val="00446619"/>
    <w:rsid w:val="00450D67"/>
    <w:rsid w:val="00452375"/>
    <w:rsid w:val="00452738"/>
    <w:rsid w:val="00454158"/>
    <w:rsid w:val="00456091"/>
    <w:rsid w:val="004600E4"/>
    <w:rsid w:val="0046062C"/>
    <w:rsid w:val="00463296"/>
    <w:rsid w:val="00466321"/>
    <w:rsid w:val="004744F8"/>
    <w:rsid w:val="00475C0D"/>
    <w:rsid w:val="00481AE9"/>
    <w:rsid w:val="00482C74"/>
    <w:rsid w:val="0048389F"/>
    <w:rsid w:val="00484B9B"/>
    <w:rsid w:val="004855F6"/>
    <w:rsid w:val="00486370"/>
    <w:rsid w:val="0048645A"/>
    <w:rsid w:val="0048661E"/>
    <w:rsid w:val="00494670"/>
    <w:rsid w:val="00496332"/>
    <w:rsid w:val="004966E3"/>
    <w:rsid w:val="004967DD"/>
    <w:rsid w:val="004971F7"/>
    <w:rsid w:val="004A09B6"/>
    <w:rsid w:val="004A1D9B"/>
    <w:rsid w:val="004A3823"/>
    <w:rsid w:val="004A4CE1"/>
    <w:rsid w:val="004A55E0"/>
    <w:rsid w:val="004A7B4C"/>
    <w:rsid w:val="004B173E"/>
    <w:rsid w:val="004B3A33"/>
    <w:rsid w:val="004B4759"/>
    <w:rsid w:val="004B5608"/>
    <w:rsid w:val="004B6942"/>
    <w:rsid w:val="004C5EAD"/>
    <w:rsid w:val="004C6648"/>
    <w:rsid w:val="004D06D0"/>
    <w:rsid w:val="004D0F56"/>
    <w:rsid w:val="004D21B6"/>
    <w:rsid w:val="004D2984"/>
    <w:rsid w:val="004D441C"/>
    <w:rsid w:val="004D6048"/>
    <w:rsid w:val="004D67A4"/>
    <w:rsid w:val="004E1014"/>
    <w:rsid w:val="004E3B67"/>
    <w:rsid w:val="004E3FA2"/>
    <w:rsid w:val="004E4474"/>
    <w:rsid w:val="004E6946"/>
    <w:rsid w:val="004E7A48"/>
    <w:rsid w:val="004F1AD8"/>
    <w:rsid w:val="004F315D"/>
    <w:rsid w:val="004F73ED"/>
    <w:rsid w:val="00500999"/>
    <w:rsid w:val="005039CB"/>
    <w:rsid w:val="0050402C"/>
    <w:rsid w:val="00504E40"/>
    <w:rsid w:val="0050558F"/>
    <w:rsid w:val="005057B5"/>
    <w:rsid w:val="00506286"/>
    <w:rsid w:val="00507D59"/>
    <w:rsid w:val="00510434"/>
    <w:rsid w:val="005106D7"/>
    <w:rsid w:val="00510813"/>
    <w:rsid w:val="00510E90"/>
    <w:rsid w:val="00511990"/>
    <w:rsid w:val="00511DE0"/>
    <w:rsid w:val="00514870"/>
    <w:rsid w:val="00514B9B"/>
    <w:rsid w:val="0051731D"/>
    <w:rsid w:val="00517F02"/>
    <w:rsid w:val="00521A1E"/>
    <w:rsid w:val="00524303"/>
    <w:rsid w:val="005255D5"/>
    <w:rsid w:val="005258A2"/>
    <w:rsid w:val="00525B22"/>
    <w:rsid w:val="00526B8E"/>
    <w:rsid w:val="00532A35"/>
    <w:rsid w:val="00533878"/>
    <w:rsid w:val="00534EDC"/>
    <w:rsid w:val="00534FBE"/>
    <w:rsid w:val="00535A64"/>
    <w:rsid w:val="00536ABD"/>
    <w:rsid w:val="005401AE"/>
    <w:rsid w:val="005421C7"/>
    <w:rsid w:val="00542E07"/>
    <w:rsid w:val="00545424"/>
    <w:rsid w:val="00545FBF"/>
    <w:rsid w:val="005507CA"/>
    <w:rsid w:val="00550AB7"/>
    <w:rsid w:val="005518D6"/>
    <w:rsid w:val="00552943"/>
    <w:rsid w:val="00553A80"/>
    <w:rsid w:val="0055413D"/>
    <w:rsid w:val="00554A7B"/>
    <w:rsid w:val="005551F5"/>
    <w:rsid w:val="0055572C"/>
    <w:rsid w:val="00555A78"/>
    <w:rsid w:val="0055703E"/>
    <w:rsid w:val="0056106A"/>
    <w:rsid w:val="005651D2"/>
    <w:rsid w:val="00570A72"/>
    <w:rsid w:val="005720AE"/>
    <w:rsid w:val="00574290"/>
    <w:rsid w:val="00574C6C"/>
    <w:rsid w:val="00575F85"/>
    <w:rsid w:val="0057630F"/>
    <w:rsid w:val="005801AD"/>
    <w:rsid w:val="00580912"/>
    <w:rsid w:val="00583499"/>
    <w:rsid w:val="00583E74"/>
    <w:rsid w:val="00584602"/>
    <w:rsid w:val="00586969"/>
    <w:rsid w:val="0058767B"/>
    <w:rsid w:val="00590C8B"/>
    <w:rsid w:val="00593CC5"/>
    <w:rsid w:val="00594D77"/>
    <w:rsid w:val="005951D8"/>
    <w:rsid w:val="005969E4"/>
    <w:rsid w:val="005A06B7"/>
    <w:rsid w:val="005A1759"/>
    <w:rsid w:val="005A18C2"/>
    <w:rsid w:val="005A68A7"/>
    <w:rsid w:val="005B1D4E"/>
    <w:rsid w:val="005B1DB4"/>
    <w:rsid w:val="005B39C2"/>
    <w:rsid w:val="005C294C"/>
    <w:rsid w:val="005C511A"/>
    <w:rsid w:val="005C74B4"/>
    <w:rsid w:val="005C74CA"/>
    <w:rsid w:val="005D0A45"/>
    <w:rsid w:val="005D3463"/>
    <w:rsid w:val="005D3673"/>
    <w:rsid w:val="005D36AB"/>
    <w:rsid w:val="005D3A94"/>
    <w:rsid w:val="005D4FEE"/>
    <w:rsid w:val="005D5966"/>
    <w:rsid w:val="005D5EDB"/>
    <w:rsid w:val="005E3180"/>
    <w:rsid w:val="005E33FE"/>
    <w:rsid w:val="005F3B4C"/>
    <w:rsid w:val="005F3E0A"/>
    <w:rsid w:val="005F4785"/>
    <w:rsid w:val="005F5051"/>
    <w:rsid w:val="005F759B"/>
    <w:rsid w:val="005F7BEE"/>
    <w:rsid w:val="006026B3"/>
    <w:rsid w:val="006045BC"/>
    <w:rsid w:val="006063C5"/>
    <w:rsid w:val="00606522"/>
    <w:rsid w:val="00606CEA"/>
    <w:rsid w:val="006100F5"/>
    <w:rsid w:val="006130A7"/>
    <w:rsid w:val="00613971"/>
    <w:rsid w:val="00616632"/>
    <w:rsid w:val="00616E72"/>
    <w:rsid w:val="00617CC3"/>
    <w:rsid w:val="0062410F"/>
    <w:rsid w:val="00624EF7"/>
    <w:rsid w:val="00625EC8"/>
    <w:rsid w:val="00626242"/>
    <w:rsid w:val="00627F38"/>
    <w:rsid w:val="00636801"/>
    <w:rsid w:val="006377A6"/>
    <w:rsid w:val="00637A3D"/>
    <w:rsid w:val="00640324"/>
    <w:rsid w:val="006411EF"/>
    <w:rsid w:val="00641CAF"/>
    <w:rsid w:val="0064388C"/>
    <w:rsid w:val="006439C3"/>
    <w:rsid w:val="00643BA8"/>
    <w:rsid w:val="006443D7"/>
    <w:rsid w:val="006454A0"/>
    <w:rsid w:val="00645614"/>
    <w:rsid w:val="00650194"/>
    <w:rsid w:val="00651DA0"/>
    <w:rsid w:val="006522B3"/>
    <w:rsid w:val="0066028C"/>
    <w:rsid w:val="00660CCF"/>
    <w:rsid w:val="00662258"/>
    <w:rsid w:val="006638DB"/>
    <w:rsid w:val="00666320"/>
    <w:rsid w:val="006675C1"/>
    <w:rsid w:val="00667D3C"/>
    <w:rsid w:val="00667F8C"/>
    <w:rsid w:val="006700B7"/>
    <w:rsid w:val="00671C86"/>
    <w:rsid w:val="006721FA"/>
    <w:rsid w:val="006724AE"/>
    <w:rsid w:val="006748B8"/>
    <w:rsid w:val="0067505F"/>
    <w:rsid w:val="006758F1"/>
    <w:rsid w:val="00675F19"/>
    <w:rsid w:val="006775C3"/>
    <w:rsid w:val="00680176"/>
    <w:rsid w:val="006801B4"/>
    <w:rsid w:val="00683325"/>
    <w:rsid w:val="00683B23"/>
    <w:rsid w:val="006846EB"/>
    <w:rsid w:val="00687166"/>
    <w:rsid w:val="00690A60"/>
    <w:rsid w:val="00690EB6"/>
    <w:rsid w:val="0069290A"/>
    <w:rsid w:val="006944D5"/>
    <w:rsid w:val="00694523"/>
    <w:rsid w:val="00695D13"/>
    <w:rsid w:val="00695D38"/>
    <w:rsid w:val="00695ED4"/>
    <w:rsid w:val="0069775A"/>
    <w:rsid w:val="00697813"/>
    <w:rsid w:val="006A039E"/>
    <w:rsid w:val="006A05FA"/>
    <w:rsid w:val="006A28DA"/>
    <w:rsid w:val="006A2F05"/>
    <w:rsid w:val="006A3EE8"/>
    <w:rsid w:val="006A6CAF"/>
    <w:rsid w:val="006A72BF"/>
    <w:rsid w:val="006A78E3"/>
    <w:rsid w:val="006B0158"/>
    <w:rsid w:val="006B03F2"/>
    <w:rsid w:val="006B0B8F"/>
    <w:rsid w:val="006B0C9E"/>
    <w:rsid w:val="006B2740"/>
    <w:rsid w:val="006B37DC"/>
    <w:rsid w:val="006B4F68"/>
    <w:rsid w:val="006C0592"/>
    <w:rsid w:val="006C0EF8"/>
    <w:rsid w:val="006C272E"/>
    <w:rsid w:val="006C2D6F"/>
    <w:rsid w:val="006C5479"/>
    <w:rsid w:val="006C7910"/>
    <w:rsid w:val="006D13B5"/>
    <w:rsid w:val="006D43DC"/>
    <w:rsid w:val="006D63D1"/>
    <w:rsid w:val="006D6BB4"/>
    <w:rsid w:val="006E09A6"/>
    <w:rsid w:val="006E12FF"/>
    <w:rsid w:val="006E26F6"/>
    <w:rsid w:val="006E2B9C"/>
    <w:rsid w:val="006E43FC"/>
    <w:rsid w:val="006E5146"/>
    <w:rsid w:val="006E56A7"/>
    <w:rsid w:val="006E58EA"/>
    <w:rsid w:val="006E607E"/>
    <w:rsid w:val="006F06F9"/>
    <w:rsid w:val="006F297B"/>
    <w:rsid w:val="006F429B"/>
    <w:rsid w:val="006F4C25"/>
    <w:rsid w:val="006F4F2A"/>
    <w:rsid w:val="006F5F86"/>
    <w:rsid w:val="00701CEE"/>
    <w:rsid w:val="00704CA6"/>
    <w:rsid w:val="00705042"/>
    <w:rsid w:val="00706576"/>
    <w:rsid w:val="00706C5D"/>
    <w:rsid w:val="00713BD2"/>
    <w:rsid w:val="00715F4B"/>
    <w:rsid w:val="007229DE"/>
    <w:rsid w:val="007238BA"/>
    <w:rsid w:val="007239F8"/>
    <w:rsid w:val="00730706"/>
    <w:rsid w:val="00732922"/>
    <w:rsid w:val="00732B55"/>
    <w:rsid w:val="00736576"/>
    <w:rsid w:val="007378C4"/>
    <w:rsid w:val="0074547E"/>
    <w:rsid w:val="0075162E"/>
    <w:rsid w:val="00752B36"/>
    <w:rsid w:val="00752C56"/>
    <w:rsid w:val="00754034"/>
    <w:rsid w:val="00755F87"/>
    <w:rsid w:val="00756556"/>
    <w:rsid w:val="00761075"/>
    <w:rsid w:val="007618C4"/>
    <w:rsid w:val="00762B27"/>
    <w:rsid w:val="00766B24"/>
    <w:rsid w:val="007671A3"/>
    <w:rsid w:val="00767980"/>
    <w:rsid w:val="00770B19"/>
    <w:rsid w:val="0077463F"/>
    <w:rsid w:val="0077503E"/>
    <w:rsid w:val="00776115"/>
    <w:rsid w:val="00777ADD"/>
    <w:rsid w:val="00777D41"/>
    <w:rsid w:val="00777E25"/>
    <w:rsid w:val="007836EA"/>
    <w:rsid w:val="00783A9E"/>
    <w:rsid w:val="00783C98"/>
    <w:rsid w:val="00784AFB"/>
    <w:rsid w:val="00784CDA"/>
    <w:rsid w:val="00785BE7"/>
    <w:rsid w:val="007906C4"/>
    <w:rsid w:val="007930C4"/>
    <w:rsid w:val="00793541"/>
    <w:rsid w:val="00793CC8"/>
    <w:rsid w:val="007940EA"/>
    <w:rsid w:val="00795371"/>
    <w:rsid w:val="007963F8"/>
    <w:rsid w:val="007967E8"/>
    <w:rsid w:val="00797052"/>
    <w:rsid w:val="007A0E5C"/>
    <w:rsid w:val="007A1114"/>
    <w:rsid w:val="007A1B25"/>
    <w:rsid w:val="007A2170"/>
    <w:rsid w:val="007A22BF"/>
    <w:rsid w:val="007A3323"/>
    <w:rsid w:val="007A66DB"/>
    <w:rsid w:val="007B0F3E"/>
    <w:rsid w:val="007B232F"/>
    <w:rsid w:val="007B64D8"/>
    <w:rsid w:val="007B72B8"/>
    <w:rsid w:val="007B7547"/>
    <w:rsid w:val="007B769E"/>
    <w:rsid w:val="007B7A58"/>
    <w:rsid w:val="007C21B5"/>
    <w:rsid w:val="007C2C0F"/>
    <w:rsid w:val="007C4565"/>
    <w:rsid w:val="007D1D72"/>
    <w:rsid w:val="007D1F66"/>
    <w:rsid w:val="007D3332"/>
    <w:rsid w:val="007D384E"/>
    <w:rsid w:val="007E0411"/>
    <w:rsid w:val="007E1807"/>
    <w:rsid w:val="007E3D59"/>
    <w:rsid w:val="007E4BD2"/>
    <w:rsid w:val="007E62FF"/>
    <w:rsid w:val="007F3E41"/>
    <w:rsid w:val="008001C9"/>
    <w:rsid w:val="0080121E"/>
    <w:rsid w:val="00801393"/>
    <w:rsid w:val="00801E39"/>
    <w:rsid w:val="00802F88"/>
    <w:rsid w:val="00805208"/>
    <w:rsid w:val="00806EA3"/>
    <w:rsid w:val="00807766"/>
    <w:rsid w:val="0081293E"/>
    <w:rsid w:val="00814114"/>
    <w:rsid w:val="00815465"/>
    <w:rsid w:val="00816B53"/>
    <w:rsid w:val="00817E96"/>
    <w:rsid w:val="00817E9A"/>
    <w:rsid w:val="0082132A"/>
    <w:rsid w:val="00823850"/>
    <w:rsid w:val="00824B5A"/>
    <w:rsid w:val="00825A51"/>
    <w:rsid w:val="008306BD"/>
    <w:rsid w:val="00831A80"/>
    <w:rsid w:val="008320C8"/>
    <w:rsid w:val="00833743"/>
    <w:rsid w:val="008340A4"/>
    <w:rsid w:val="00834962"/>
    <w:rsid w:val="00835527"/>
    <w:rsid w:val="0083719E"/>
    <w:rsid w:val="008428AF"/>
    <w:rsid w:val="0084305C"/>
    <w:rsid w:val="00847993"/>
    <w:rsid w:val="008505FC"/>
    <w:rsid w:val="0085081B"/>
    <w:rsid w:val="008522BC"/>
    <w:rsid w:val="00853918"/>
    <w:rsid w:val="00857E5F"/>
    <w:rsid w:val="00862C4D"/>
    <w:rsid w:val="008638D3"/>
    <w:rsid w:val="0086522F"/>
    <w:rsid w:val="0087135F"/>
    <w:rsid w:val="008717F1"/>
    <w:rsid w:val="0087216C"/>
    <w:rsid w:val="00872D94"/>
    <w:rsid w:val="008742D0"/>
    <w:rsid w:val="00874329"/>
    <w:rsid w:val="008766D5"/>
    <w:rsid w:val="008777F1"/>
    <w:rsid w:val="00880364"/>
    <w:rsid w:val="0088053B"/>
    <w:rsid w:val="00881AA0"/>
    <w:rsid w:val="00883D13"/>
    <w:rsid w:val="008859B1"/>
    <w:rsid w:val="00885A0E"/>
    <w:rsid w:val="00885ABE"/>
    <w:rsid w:val="008900E3"/>
    <w:rsid w:val="00891592"/>
    <w:rsid w:val="00891E9E"/>
    <w:rsid w:val="008929D0"/>
    <w:rsid w:val="00894CFD"/>
    <w:rsid w:val="008976C9"/>
    <w:rsid w:val="00897CFE"/>
    <w:rsid w:val="008A0AB3"/>
    <w:rsid w:val="008A2F68"/>
    <w:rsid w:val="008A7DD0"/>
    <w:rsid w:val="008A7EEE"/>
    <w:rsid w:val="008B08F9"/>
    <w:rsid w:val="008B3803"/>
    <w:rsid w:val="008B4FA6"/>
    <w:rsid w:val="008B5282"/>
    <w:rsid w:val="008B5486"/>
    <w:rsid w:val="008B7C17"/>
    <w:rsid w:val="008C2D01"/>
    <w:rsid w:val="008C40E6"/>
    <w:rsid w:val="008C7481"/>
    <w:rsid w:val="008C7B13"/>
    <w:rsid w:val="008D0F7A"/>
    <w:rsid w:val="008D1B9A"/>
    <w:rsid w:val="008D68E4"/>
    <w:rsid w:val="008D6D5C"/>
    <w:rsid w:val="008E0506"/>
    <w:rsid w:val="008E0CFF"/>
    <w:rsid w:val="008E479F"/>
    <w:rsid w:val="008E5D6B"/>
    <w:rsid w:val="008E63AC"/>
    <w:rsid w:val="008E6949"/>
    <w:rsid w:val="008E76F0"/>
    <w:rsid w:val="008F06C8"/>
    <w:rsid w:val="008F0800"/>
    <w:rsid w:val="008F15FE"/>
    <w:rsid w:val="008F2D29"/>
    <w:rsid w:val="008F4C34"/>
    <w:rsid w:val="008F5187"/>
    <w:rsid w:val="008F60D8"/>
    <w:rsid w:val="008F76A5"/>
    <w:rsid w:val="0090005A"/>
    <w:rsid w:val="009014C6"/>
    <w:rsid w:val="00902727"/>
    <w:rsid w:val="00902C87"/>
    <w:rsid w:val="0090312B"/>
    <w:rsid w:val="00905373"/>
    <w:rsid w:val="00906A10"/>
    <w:rsid w:val="00906AE4"/>
    <w:rsid w:val="00912A51"/>
    <w:rsid w:val="009145A5"/>
    <w:rsid w:val="00915642"/>
    <w:rsid w:val="00915663"/>
    <w:rsid w:val="0091609F"/>
    <w:rsid w:val="00916C43"/>
    <w:rsid w:val="009170BF"/>
    <w:rsid w:val="0091736D"/>
    <w:rsid w:val="009179F8"/>
    <w:rsid w:val="00920A08"/>
    <w:rsid w:val="00925005"/>
    <w:rsid w:val="00925919"/>
    <w:rsid w:val="00925A9D"/>
    <w:rsid w:val="00926AD9"/>
    <w:rsid w:val="009276CB"/>
    <w:rsid w:val="00927C01"/>
    <w:rsid w:val="0093037A"/>
    <w:rsid w:val="009307B6"/>
    <w:rsid w:val="009314B3"/>
    <w:rsid w:val="0093219B"/>
    <w:rsid w:val="0094154D"/>
    <w:rsid w:val="00942B8D"/>
    <w:rsid w:val="00944A9E"/>
    <w:rsid w:val="00945F6B"/>
    <w:rsid w:val="0094783D"/>
    <w:rsid w:val="0095155F"/>
    <w:rsid w:val="009515EF"/>
    <w:rsid w:val="00951BC7"/>
    <w:rsid w:val="0095430A"/>
    <w:rsid w:val="00954429"/>
    <w:rsid w:val="009563CE"/>
    <w:rsid w:val="00956C3F"/>
    <w:rsid w:val="00957AA3"/>
    <w:rsid w:val="00960C93"/>
    <w:rsid w:val="00963BCB"/>
    <w:rsid w:val="00963E4C"/>
    <w:rsid w:val="00966512"/>
    <w:rsid w:val="0096706E"/>
    <w:rsid w:val="00967F4D"/>
    <w:rsid w:val="00970110"/>
    <w:rsid w:val="00970A2F"/>
    <w:rsid w:val="00972480"/>
    <w:rsid w:val="0097294A"/>
    <w:rsid w:val="00973D7B"/>
    <w:rsid w:val="00974585"/>
    <w:rsid w:val="00976328"/>
    <w:rsid w:val="00976457"/>
    <w:rsid w:val="0097680D"/>
    <w:rsid w:val="00976FDD"/>
    <w:rsid w:val="00981B21"/>
    <w:rsid w:val="00982438"/>
    <w:rsid w:val="0098404C"/>
    <w:rsid w:val="00985283"/>
    <w:rsid w:val="00987B47"/>
    <w:rsid w:val="00990217"/>
    <w:rsid w:val="009939BD"/>
    <w:rsid w:val="0099441F"/>
    <w:rsid w:val="00994D32"/>
    <w:rsid w:val="00995992"/>
    <w:rsid w:val="00995CE8"/>
    <w:rsid w:val="009964CE"/>
    <w:rsid w:val="009974DF"/>
    <w:rsid w:val="009A03E5"/>
    <w:rsid w:val="009A0F3B"/>
    <w:rsid w:val="009A0FD5"/>
    <w:rsid w:val="009A1BB4"/>
    <w:rsid w:val="009A2628"/>
    <w:rsid w:val="009A3200"/>
    <w:rsid w:val="009A6C6C"/>
    <w:rsid w:val="009A79B4"/>
    <w:rsid w:val="009B0897"/>
    <w:rsid w:val="009B5C4F"/>
    <w:rsid w:val="009B673E"/>
    <w:rsid w:val="009B68F9"/>
    <w:rsid w:val="009B7BD9"/>
    <w:rsid w:val="009C34D0"/>
    <w:rsid w:val="009C3ACE"/>
    <w:rsid w:val="009C68F6"/>
    <w:rsid w:val="009C6F16"/>
    <w:rsid w:val="009C7DD5"/>
    <w:rsid w:val="009D1998"/>
    <w:rsid w:val="009D4BB6"/>
    <w:rsid w:val="009D5356"/>
    <w:rsid w:val="009D781A"/>
    <w:rsid w:val="009D7BDE"/>
    <w:rsid w:val="009E0384"/>
    <w:rsid w:val="009E0AA7"/>
    <w:rsid w:val="009E13B1"/>
    <w:rsid w:val="009E16AE"/>
    <w:rsid w:val="009E1F72"/>
    <w:rsid w:val="009E227D"/>
    <w:rsid w:val="009E3D86"/>
    <w:rsid w:val="009E4E8A"/>
    <w:rsid w:val="009E5019"/>
    <w:rsid w:val="009E68B2"/>
    <w:rsid w:val="009E7EA9"/>
    <w:rsid w:val="00A01FA0"/>
    <w:rsid w:val="00A04F1B"/>
    <w:rsid w:val="00A0501B"/>
    <w:rsid w:val="00A06AC5"/>
    <w:rsid w:val="00A07666"/>
    <w:rsid w:val="00A118C4"/>
    <w:rsid w:val="00A119CB"/>
    <w:rsid w:val="00A12A17"/>
    <w:rsid w:val="00A13110"/>
    <w:rsid w:val="00A14947"/>
    <w:rsid w:val="00A14997"/>
    <w:rsid w:val="00A1531F"/>
    <w:rsid w:val="00A17EC4"/>
    <w:rsid w:val="00A17F89"/>
    <w:rsid w:val="00A21E33"/>
    <w:rsid w:val="00A259EC"/>
    <w:rsid w:val="00A31183"/>
    <w:rsid w:val="00A32A83"/>
    <w:rsid w:val="00A33CFD"/>
    <w:rsid w:val="00A35168"/>
    <w:rsid w:val="00A35F6A"/>
    <w:rsid w:val="00A36390"/>
    <w:rsid w:val="00A368DB"/>
    <w:rsid w:val="00A37A88"/>
    <w:rsid w:val="00A4184E"/>
    <w:rsid w:val="00A41E19"/>
    <w:rsid w:val="00A423AA"/>
    <w:rsid w:val="00A4298A"/>
    <w:rsid w:val="00A4326A"/>
    <w:rsid w:val="00A4691E"/>
    <w:rsid w:val="00A4717E"/>
    <w:rsid w:val="00A47241"/>
    <w:rsid w:val="00A51657"/>
    <w:rsid w:val="00A52E58"/>
    <w:rsid w:val="00A53EC6"/>
    <w:rsid w:val="00A54D6D"/>
    <w:rsid w:val="00A55C0F"/>
    <w:rsid w:val="00A56C83"/>
    <w:rsid w:val="00A57228"/>
    <w:rsid w:val="00A600D8"/>
    <w:rsid w:val="00A60241"/>
    <w:rsid w:val="00A63A20"/>
    <w:rsid w:val="00A63C64"/>
    <w:rsid w:val="00A6467F"/>
    <w:rsid w:val="00A66204"/>
    <w:rsid w:val="00A66AE9"/>
    <w:rsid w:val="00A67A49"/>
    <w:rsid w:val="00A76573"/>
    <w:rsid w:val="00A766BB"/>
    <w:rsid w:val="00A8713F"/>
    <w:rsid w:val="00A90261"/>
    <w:rsid w:val="00A9029E"/>
    <w:rsid w:val="00A90B36"/>
    <w:rsid w:val="00A90BA1"/>
    <w:rsid w:val="00A918D7"/>
    <w:rsid w:val="00A94587"/>
    <w:rsid w:val="00A94A04"/>
    <w:rsid w:val="00A96A1F"/>
    <w:rsid w:val="00A97A9A"/>
    <w:rsid w:val="00AA0671"/>
    <w:rsid w:val="00AA2416"/>
    <w:rsid w:val="00AA2531"/>
    <w:rsid w:val="00AA304D"/>
    <w:rsid w:val="00AA355B"/>
    <w:rsid w:val="00AA767B"/>
    <w:rsid w:val="00AA7A97"/>
    <w:rsid w:val="00AB1E09"/>
    <w:rsid w:val="00AB3354"/>
    <w:rsid w:val="00AB4A0A"/>
    <w:rsid w:val="00AB5330"/>
    <w:rsid w:val="00AB56C6"/>
    <w:rsid w:val="00AB68AB"/>
    <w:rsid w:val="00AB767B"/>
    <w:rsid w:val="00AB7747"/>
    <w:rsid w:val="00AB77AB"/>
    <w:rsid w:val="00AC14CE"/>
    <w:rsid w:val="00AC2A56"/>
    <w:rsid w:val="00AC3880"/>
    <w:rsid w:val="00AC3B66"/>
    <w:rsid w:val="00AD055E"/>
    <w:rsid w:val="00AD0990"/>
    <w:rsid w:val="00AD3B78"/>
    <w:rsid w:val="00AD47A7"/>
    <w:rsid w:val="00AD5DF1"/>
    <w:rsid w:val="00AD610C"/>
    <w:rsid w:val="00AD6ABA"/>
    <w:rsid w:val="00AD78B8"/>
    <w:rsid w:val="00AE5DE7"/>
    <w:rsid w:val="00AE712E"/>
    <w:rsid w:val="00AF0CBF"/>
    <w:rsid w:val="00AF257F"/>
    <w:rsid w:val="00AF2930"/>
    <w:rsid w:val="00AF33CF"/>
    <w:rsid w:val="00AF4D50"/>
    <w:rsid w:val="00AF549E"/>
    <w:rsid w:val="00AF6179"/>
    <w:rsid w:val="00AF6F22"/>
    <w:rsid w:val="00B0145C"/>
    <w:rsid w:val="00B0318E"/>
    <w:rsid w:val="00B05A23"/>
    <w:rsid w:val="00B1295A"/>
    <w:rsid w:val="00B12A16"/>
    <w:rsid w:val="00B13AFB"/>
    <w:rsid w:val="00B16B24"/>
    <w:rsid w:val="00B17954"/>
    <w:rsid w:val="00B205A7"/>
    <w:rsid w:val="00B20A45"/>
    <w:rsid w:val="00B21C74"/>
    <w:rsid w:val="00B22C5C"/>
    <w:rsid w:val="00B23326"/>
    <w:rsid w:val="00B24F30"/>
    <w:rsid w:val="00B2501A"/>
    <w:rsid w:val="00B26425"/>
    <w:rsid w:val="00B275EF"/>
    <w:rsid w:val="00B301DD"/>
    <w:rsid w:val="00B30BD1"/>
    <w:rsid w:val="00B31ABF"/>
    <w:rsid w:val="00B33508"/>
    <w:rsid w:val="00B33BE3"/>
    <w:rsid w:val="00B3486E"/>
    <w:rsid w:val="00B34FD4"/>
    <w:rsid w:val="00B35592"/>
    <w:rsid w:val="00B41461"/>
    <w:rsid w:val="00B44F4D"/>
    <w:rsid w:val="00B515A6"/>
    <w:rsid w:val="00B53B5D"/>
    <w:rsid w:val="00B6055E"/>
    <w:rsid w:val="00B6317D"/>
    <w:rsid w:val="00B65986"/>
    <w:rsid w:val="00B67111"/>
    <w:rsid w:val="00B67533"/>
    <w:rsid w:val="00B70567"/>
    <w:rsid w:val="00B70C54"/>
    <w:rsid w:val="00B71D9E"/>
    <w:rsid w:val="00B76311"/>
    <w:rsid w:val="00B76CC4"/>
    <w:rsid w:val="00B7723F"/>
    <w:rsid w:val="00B77D27"/>
    <w:rsid w:val="00B80534"/>
    <w:rsid w:val="00B81E65"/>
    <w:rsid w:val="00B8433C"/>
    <w:rsid w:val="00B87491"/>
    <w:rsid w:val="00B91077"/>
    <w:rsid w:val="00B92484"/>
    <w:rsid w:val="00B939AC"/>
    <w:rsid w:val="00B94ACD"/>
    <w:rsid w:val="00BA29E9"/>
    <w:rsid w:val="00BA2B8C"/>
    <w:rsid w:val="00BA7142"/>
    <w:rsid w:val="00BA7800"/>
    <w:rsid w:val="00BA7FDB"/>
    <w:rsid w:val="00BB21EA"/>
    <w:rsid w:val="00BB237C"/>
    <w:rsid w:val="00BB41A3"/>
    <w:rsid w:val="00BB755B"/>
    <w:rsid w:val="00BC32DC"/>
    <w:rsid w:val="00BC35B6"/>
    <w:rsid w:val="00BC3B47"/>
    <w:rsid w:val="00BC5CF0"/>
    <w:rsid w:val="00BC5F11"/>
    <w:rsid w:val="00BD12DC"/>
    <w:rsid w:val="00BD1B51"/>
    <w:rsid w:val="00BD254B"/>
    <w:rsid w:val="00BD4596"/>
    <w:rsid w:val="00BD5795"/>
    <w:rsid w:val="00BE1405"/>
    <w:rsid w:val="00BE16FB"/>
    <w:rsid w:val="00BE312D"/>
    <w:rsid w:val="00BE57BA"/>
    <w:rsid w:val="00BE5F59"/>
    <w:rsid w:val="00BE70D3"/>
    <w:rsid w:val="00BF1C20"/>
    <w:rsid w:val="00BF1DC0"/>
    <w:rsid w:val="00BF3060"/>
    <w:rsid w:val="00BF5D94"/>
    <w:rsid w:val="00BF77C2"/>
    <w:rsid w:val="00C029DB"/>
    <w:rsid w:val="00C03066"/>
    <w:rsid w:val="00C075D8"/>
    <w:rsid w:val="00C10578"/>
    <w:rsid w:val="00C10E2D"/>
    <w:rsid w:val="00C11196"/>
    <w:rsid w:val="00C135BC"/>
    <w:rsid w:val="00C14FBB"/>
    <w:rsid w:val="00C15C95"/>
    <w:rsid w:val="00C16493"/>
    <w:rsid w:val="00C17A1D"/>
    <w:rsid w:val="00C17BCE"/>
    <w:rsid w:val="00C21B76"/>
    <w:rsid w:val="00C22856"/>
    <w:rsid w:val="00C22900"/>
    <w:rsid w:val="00C2469C"/>
    <w:rsid w:val="00C247E8"/>
    <w:rsid w:val="00C2596A"/>
    <w:rsid w:val="00C26CC5"/>
    <w:rsid w:val="00C27537"/>
    <w:rsid w:val="00C2757E"/>
    <w:rsid w:val="00C3013F"/>
    <w:rsid w:val="00C328FE"/>
    <w:rsid w:val="00C33507"/>
    <w:rsid w:val="00C4409D"/>
    <w:rsid w:val="00C44814"/>
    <w:rsid w:val="00C44E72"/>
    <w:rsid w:val="00C45A06"/>
    <w:rsid w:val="00C45D9D"/>
    <w:rsid w:val="00C45E95"/>
    <w:rsid w:val="00C4730D"/>
    <w:rsid w:val="00C47E5B"/>
    <w:rsid w:val="00C50C1D"/>
    <w:rsid w:val="00C515C0"/>
    <w:rsid w:val="00C53692"/>
    <w:rsid w:val="00C53EE0"/>
    <w:rsid w:val="00C55EC6"/>
    <w:rsid w:val="00C567BB"/>
    <w:rsid w:val="00C56F04"/>
    <w:rsid w:val="00C57AAB"/>
    <w:rsid w:val="00C57AD7"/>
    <w:rsid w:val="00C616A1"/>
    <w:rsid w:val="00C61E4B"/>
    <w:rsid w:val="00C64BFF"/>
    <w:rsid w:val="00C659E9"/>
    <w:rsid w:val="00C704E9"/>
    <w:rsid w:val="00C72340"/>
    <w:rsid w:val="00C7440D"/>
    <w:rsid w:val="00C759F5"/>
    <w:rsid w:val="00C75C8B"/>
    <w:rsid w:val="00C75FDA"/>
    <w:rsid w:val="00C76188"/>
    <w:rsid w:val="00C763C9"/>
    <w:rsid w:val="00C80057"/>
    <w:rsid w:val="00C802CB"/>
    <w:rsid w:val="00C81753"/>
    <w:rsid w:val="00C82232"/>
    <w:rsid w:val="00C82913"/>
    <w:rsid w:val="00C82C64"/>
    <w:rsid w:val="00C836A4"/>
    <w:rsid w:val="00C865BE"/>
    <w:rsid w:val="00C86CC6"/>
    <w:rsid w:val="00C87229"/>
    <w:rsid w:val="00C925F1"/>
    <w:rsid w:val="00C96372"/>
    <w:rsid w:val="00C96DDF"/>
    <w:rsid w:val="00C972B1"/>
    <w:rsid w:val="00C97758"/>
    <w:rsid w:val="00CA1429"/>
    <w:rsid w:val="00CA2CCE"/>
    <w:rsid w:val="00CA3689"/>
    <w:rsid w:val="00CA43FD"/>
    <w:rsid w:val="00CA794A"/>
    <w:rsid w:val="00CA7EF8"/>
    <w:rsid w:val="00CB05C5"/>
    <w:rsid w:val="00CB5435"/>
    <w:rsid w:val="00CC489B"/>
    <w:rsid w:val="00CC6909"/>
    <w:rsid w:val="00CC77BB"/>
    <w:rsid w:val="00CD14CC"/>
    <w:rsid w:val="00CD2BCD"/>
    <w:rsid w:val="00CD3A4C"/>
    <w:rsid w:val="00CD3DA9"/>
    <w:rsid w:val="00CE10E9"/>
    <w:rsid w:val="00CE2910"/>
    <w:rsid w:val="00CE2BDE"/>
    <w:rsid w:val="00CE5388"/>
    <w:rsid w:val="00CE5393"/>
    <w:rsid w:val="00CE5DDB"/>
    <w:rsid w:val="00CF36BE"/>
    <w:rsid w:val="00CF36E5"/>
    <w:rsid w:val="00CF54EA"/>
    <w:rsid w:val="00CF6000"/>
    <w:rsid w:val="00CF6E40"/>
    <w:rsid w:val="00D003F3"/>
    <w:rsid w:val="00D01395"/>
    <w:rsid w:val="00D0364F"/>
    <w:rsid w:val="00D05E54"/>
    <w:rsid w:val="00D06834"/>
    <w:rsid w:val="00D10606"/>
    <w:rsid w:val="00D1297C"/>
    <w:rsid w:val="00D16A32"/>
    <w:rsid w:val="00D16C43"/>
    <w:rsid w:val="00D21FFB"/>
    <w:rsid w:val="00D25A47"/>
    <w:rsid w:val="00D2717D"/>
    <w:rsid w:val="00D308ED"/>
    <w:rsid w:val="00D30FBB"/>
    <w:rsid w:val="00D31D89"/>
    <w:rsid w:val="00D31E45"/>
    <w:rsid w:val="00D324BC"/>
    <w:rsid w:val="00D358C0"/>
    <w:rsid w:val="00D36D86"/>
    <w:rsid w:val="00D4015D"/>
    <w:rsid w:val="00D41D3B"/>
    <w:rsid w:val="00D428AA"/>
    <w:rsid w:val="00D43A64"/>
    <w:rsid w:val="00D44252"/>
    <w:rsid w:val="00D44CE3"/>
    <w:rsid w:val="00D4691F"/>
    <w:rsid w:val="00D470AC"/>
    <w:rsid w:val="00D5075A"/>
    <w:rsid w:val="00D50A34"/>
    <w:rsid w:val="00D520B0"/>
    <w:rsid w:val="00D534A5"/>
    <w:rsid w:val="00D53EFA"/>
    <w:rsid w:val="00D60C49"/>
    <w:rsid w:val="00D62A5A"/>
    <w:rsid w:val="00D64AAC"/>
    <w:rsid w:val="00D652C0"/>
    <w:rsid w:val="00D65C06"/>
    <w:rsid w:val="00D70C88"/>
    <w:rsid w:val="00D71EDC"/>
    <w:rsid w:val="00D73180"/>
    <w:rsid w:val="00D75381"/>
    <w:rsid w:val="00D7638E"/>
    <w:rsid w:val="00D845D6"/>
    <w:rsid w:val="00D907CB"/>
    <w:rsid w:val="00D9170A"/>
    <w:rsid w:val="00D93C03"/>
    <w:rsid w:val="00D93CC7"/>
    <w:rsid w:val="00D9450A"/>
    <w:rsid w:val="00D94A7C"/>
    <w:rsid w:val="00D95896"/>
    <w:rsid w:val="00D96D13"/>
    <w:rsid w:val="00DA39A3"/>
    <w:rsid w:val="00DA39BB"/>
    <w:rsid w:val="00DA6CAA"/>
    <w:rsid w:val="00DA7669"/>
    <w:rsid w:val="00DB06FD"/>
    <w:rsid w:val="00DB2646"/>
    <w:rsid w:val="00DB2983"/>
    <w:rsid w:val="00DB2E2D"/>
    <w:rsid w:val="00DB46B1"/>
    <w:rsid w:val="00DB5ADC"/>
    <w:rsid w:val="00DC002A"/>
    <w:rsid w:val="00DC0FFE"/>
    <w:rsid w:val="00DC1257"/>
    <w:rsid w:val="00DC1F7A"/>
    <w:rsid w:val="00DC31D9"/>
    <w:rsid w:val="00DC3DC0"/>
    <w:rsid w:val="00DC5B2B"/>
    <w:rsid w:val="00DC629D"/>
    <w:rsid w:val="00DC6C8C"/>
    <w:rsid w:val="00DD224D"/>
    <w:rsid w:val="00DD318D"/>
    <w:rsid w:val="00DD4F14"/>
    <w:rsid w:val="00DD598D"/>
    <w:rsid w:val="00DD6B9F"/>
    <w:rsid w:val="00DD73C1"/>
    <w:rsid w:val="00DD7B8A"/>
    <w:rsid w:val="00DE0C67"/>
    <w:rsid w:val="00DE714D"/>
    <w:rsid w:val="00DF2E12"/>
    <w:rsid w:val="00DF4B30"/>
    <w:rsid w:val="00DF514A"/>
    <w:rsid w:val="00DF5218"/>
    <w:rsid w:val="00DF54F0"/>
    <w:rsid w:val="00DF6690"/>
    <w:rsid w:val="00DF6804"/>
    <w:rsid w:val="00E00600"/>
    <w:rsid w:val="00E01119"/>
    <w:rsid w:val="00E032A4"/>
    <w:rsid w:val="00E0358D"/>
    <w:rsid w:val="00E04170"/>
    <w:rsid w:val="00E04323"/>
    <w:rsid w:val="00E048D5"/>
    <w:rsid w:val="00E070A2"/>
    <w:rsid w:val="00E1357A"/>
    <w:rsid w:val="00E149F2"/>
    <w:rsid w:val="00E14A55"/>
    <w:rsid w:val="00E203FD"/>
    <w:rsid w:val="00E2306D"/>
    <w:rsid w:val="00E262D9"/>
    <w:rsid w:val="00E2656A"/>
    <w:rsid w:val="00E26E77"/>
    <w:rsid w:val="00E316D9"/>
    <w:rsid w:val="00E32BAC"/>
    <w:rsid w:val="00E33185"/>
    <w:rsid w:val="00E34918"/>
    <w:rsid w:val="00E34F38"/>
    <w:rsid w:val="00E36B23"/>
    <w:rsid w:val="00E412D0"/>
    <w:rsid w:val="00E42984"/>
    <w:rsid w:val="00E44E88"/>
    <w:rsid w:val="00E46607"/>
    <w:rsid w:val="00E51896"/>
    <w:rsid w:val="00E51BA1"/>
    <w:rsid w:val="00E534F5"/>
    <w:rsid w:val="00E56322"/>
    <w:rsid w:val="00E56397"/>
    <w:rsid w:val="00E56728"/>
    <w:rsid w:val="00E57981"/>
    <w:rsid w:val="00E60982"/>
    <w:rsid w:val="00E60DD2"/>
    <w:rsid w:val="00E61C47"/>
    <w:rsid w:val="00E62C62"/>
    <w:rsid w:val="00E6477A"/>
    <w:rsid w:val="00E65209"/>
    <w:rsid w:val="00E654C1"/>
    <w:rsid w:val="00E65D97"/>
    <w:rsid w:val="00E706F6"/>
    <w:rsid w:val="00E72A5A"/>
    <w:rsid w:val="00E73185"/>
    <w:rsid w:val="00E73354"/>
    <w:rsid w:val="00E802AA"/>
    <w:rsid w:val="00E80CBF"/>
    <w:rsid w:val="00E8188E"/>
    <w:rsid w:val="00E85D7B"/>
    <w:rsid w:val="00E903ED"/>
    <w:rsid w:val="00E920E9"/>
    <w:rsid w:val="00E922A4"/>
    <w:rsid w:val="00E9242D"/>
    <w:rsid w:val="00E92449"/>
    <w:rsid w:val="00E93B9A"/>
    <w:rsid w:val="00E94190"/>
    <w:rsid w:val="00EA040E"/>
    <w:rsid w:val="00EA0EAC"/>
    <w:rsid w:val="00EA3511"/>
    <w:rsid w:val="00EB2FE1"/>
    <w:rsid w:val="00EB41E0"/>
    <w:rsid w:val="00EB5255"/>
    <w:rsid w:val="00EB5C47"/>
    <w:rsid w:val="00EC049C"/>
    <w:rsid w:val="00EC4D13"/>
    <w:rsid w:val="00EC5669"/>
    <w:rsid w:val="00EC6626"/>
    <w:rsid w:val="00ED0639"/>
    <w:rsid w:val="00ED0898"/>
    <w:rsid w:val="00ED3E57"/>
    <w:rsid w:val="00ED6AA2"/>
    <w:rsid w:val="00ED7A30"/>
    <w:rsid w:val="00ED7F94"/>
    <w:rsid w:val="00EF0ABB"/>
    <w:rsid w:val="00EF1249"/>
    <w:rsid w:val="00EF2A42"/>
    <w:rsid w:val="00EF38C0"/>
    <w:rsid w:val="00EF38E8"/>
    <w:rsid w:val="00EF4559"/>
    <w:rsid w:val="00EF4614"/>
    <w:rsid w:val="00EF4755"/>
    <w:rsid w:val="00EF7135"/>
    <w:rsid w:val="00F01683"/>
    <w:rsid w:val="00F0271A"/>
    <w:rsid w:val="00F027DB"/>
    <w:rsid w:val="00F07460"/>
    <w:rsid w:val="00F13EAA"/>
    <w:rsid w:val="00F14A7A"/>
    <w:rsid w:val="00F15D4C"/>
    <w:rsid w:val="00F16B42"/>
    <w:rsid w:val="00F172AB"/>
    <w:rsid w:val="00F21773"/>
    <w:rsid w:val="00F22985"/>
    <w:rsid w:val="00F234BE"/>
    <w:rsid w:val="00F2732D"/>
    <w:rsid w:val="00F322F3"/>
    <w:rsid w:val="00F3383E"/>
    <w:rsid w:val="00F35156"/>
    <w:rsid w:val="00F3573D"/>
    <w:rsid w:val="00F43E3A"/>
    <w:rsid w:val="00F465A7"/>
    <w:rsid w:val="00F4661D"/>
    <w:rsid w:val="00F47EF8"/>
    <w:rsid w:val="00F5006A"/>
    <w:rsid w:val="00F50B7C"/>
    <w:rsid w:val="00F519CE"/>
    <w:rsid w:val="00F550E6"/>
    <w:rsid w:val="00F5602C"/>
    <w:rsid w:val="00F56163"/>
    <w:rsid w:val="00F56B15"/>
    <w:rsid w:val="00F57300"/>
    <w:rsid w:val="00F60DAE"/>
    <w:rsid w:val="00F63039"/>
    <w:rsid w:val="00F64063"/>
    <w:rsid w:val="00F712CE"/>
    <w:rsid w:val="00F716D5"/>
    <w:rsid w:val="00F71C3C"/>
    <w:rsid w:val="00F733AE"/>
    <w:rsid w:val="00F73784"/>
    <w:rsid w:val="00F73B84"/>
    <w:rsid w:val="00F74345"/>
    <w:rsid w:val="00F750C1"/>
    <w:rsid w:val="00F7672C"/>
    <w:rsid w:val="00F8098D"/>
    <w:rsid w:val="00F80A0A"/>
    <w:rsid w:val="00F82601"/>
    <w:rsid w:val="00F82B19"/>
    <w:rsid w:val="00F83A2E"/>
    <w:rsid w:val="00F871ED"/>
    <w:rsid w:val="00F91D42"/>
    <w:rsid w:val="00F9212D"/>
    <w:rsid w:val="00F94532"/>
    <w:rsid w:val="00F965DA"/>
    <w:rsid w:val="00FA406A"/>
    <w:rsid w:val="00FA4078"/>
    <w:rsid w:val="00FA5244"/>
    <w:rsid w:val="00FB0D6A"/>
    <w:rsid w:val="00FB278C"/>
    <w:rsid w:val="00FB503A"/>
    <w:rsid w:val="00FB516C"/>
    <w:rsid w:val="00FB7F9E"/>
    <w:rsid w:val="00FC1258"/>
    <w:rsid w:val="00FC31B6"/>
    <w:rsid w:val="00FC506D"/>
    <w:rsid w:val="00FC6646"/>
    <w:rsid w:val="00FC7137"/>
    <w:rsid w:val="00FD0236"/>
    <w:rsid w:val="00FD1414"/>
    <w:rsid w:val="00FD18F4"/>
    <w:rsid w:val="00FD258A"/>
    <w:rsid w:val="00FD2B5A"/>
    <w:rsid w:val="00FD36FC"/>
    <w:rsid w:val="00FD4644"/>
    <w:rsid w:val="00FD54DB"/>
    <w:rsid w:val="00FD619F"/>
    <w:rsid w:val="00FD62D5"/>
    <w:rsid w:val="00FD7523"/>
    <w:rsid w:val="00FE735E"/>
    <w:rsid w:val="00FF65A6"/>
    <w:rsid w:val="01136CC3"/>
    <w:rsid w:val="01290F7E"/>
    <w:rsid w:val="015D1E09"/>
    <w:rsid w:val="017A611A"/>
    <w:rsid w:val="019058A2"/>
    <w:rsid w:val="01FC00E6"/>
    <w:rsid w:val="022168C8"/>
    <w:rsid w:val="023F4F2A"/>
    <w:rsid w:val="026477B5"/>
    <w:rsid w:val="02697903"/>
    <w:rsid w:val="02B272CF"/>
    <w:rsid w:val="02F46F81"/>
    <w:rsid w:val="02F96569"/>
    <w:rsid w:val="03393718"/>
    <w:rsid w:val="036B7687"/>
    <w:rsid w:val="038F3747"/>
    <w:rsid w:val="03D459C9"/>
    <w:rsid w:val="03EA7B21"/>
    <w:rsid w:val="03EB040F"/>
    <w:rsid w:val="03EB7E9A"/>
    <w:rsid w:val="03F452A7"/>
    <w:rsid w:val="040C75CD"/>
    <w:rsid w:val="04473600"/>
    <w:rsid w:val="044B7EF6"/>
    <w:rsid w:val="0450313E"/>
    <w:rsid w:val="0452688C"/>
    <w:rsid w:val="05101702"/>
    <w:rsid w:val="0546791D"/>
    <w:rsid w:val="05620295"/>
    <w:rsid w:val="05637683"/>
    <w:rsid w:val="0565010C"/>
    <w:rsid w:val="05E34EEB"/>
    <w:rsid w:val="05F62511"/>
    <w:rsid w:val="05F83EAE"/>
    <w:rsid w:val="062968CC"/>
    <w:rsid w:val="063E7D85"/>
    <w:rsid w:val="06896151"/>
    <w:rsid w:val="069B2A76"/>
    <w:rsid w:val="069E2622"/>
    <w:rsid w:val="06E27BEB"/>
    <w:rsid w:val="06FD269B"/>
    <w:rsid w:val="07094A18"/>
    <w:rsid w:val="07293586"/>
    <w:rsid w:val="07295285"/>
    <w:rsid w:val="074A2961"/>
    <w:rsid w:val="07636392"/>
    <w:rsid w:val="07770C56"/>
    <w:rsid w:val="0797489E"/>
    <w:rsid w:val="07E746A1"/>
    <w:rsid w:val="0839554A"/>
    <w:rsid w:val="086B03E2"/>
    <w:rsid w:val="08AE1E9F"/>
    <w:rsid w:val="08CA0902"/>
    <w:rsid w:val="08FB150D"/>
    <w:rsid w:val="092217DD"/>
    <w:rsid w:val="09271661"/>
    <w:rsid w:val="09330E1C"/>
    <w:rsid w:val="093A7294"/>
    <w:rsid w:val="09673C9A"/>
    <w:rsid w:val="09683BE0"/>
    <w:rsid w:val="09687C62"/>
    <w:rsid w:val="096E0A3C"/>
    <w:rsid w:val="09772BD9"/>
    <w:rsid w:val="09976A2F"/>
    <w:rsid w:val="09DE67B4"/>
    <w:rsid w:val="0A074A5B"/>
    <w:rsid w:val="0A171F07"/>
    <w:rsid w:val="0A252915"/>
    <w:rsid w:val="0A263993"/>
    <w:rsid w:val="0A286FDF"/>
    <w:rsid w:val="0A2D0A8C"/>
    <w:rsid w:val="0A2D3AC2"/>
    <w:rsid w:val="0A606E0F"/>
    <w:rsid w:val="0A9D18A5"/>
    <w:rsid w:val="0AA755DF"/>
    <w:rsid w:val="0AF72C33"/>
    <w:rsid w:val="0B120D44"/>
    <w:rsid w:val="0B4E1717"/>
    <w:rsid w:val="0BA8715E"/>
    <w:rsid w:val="0BC44A6C"/>
    <w:rsid w:val="0BD27BF6"/>
    <w:rsid w:val="0C3B3C7D"/>
    <w:rsid w:val="0C587015"/>
    <w:rsid w:val="0C6538B7"/>
    <w:rsid w:val="0CAB2EAE"/>
    <w:rsid w:val="0CC872A8"/>
    <w:rsid w:val="0D163535"/>
    <w:rsid w:val="0D621C7D"/>
    <w:rsid w:val="0D6864C0"/>
    <w:rsid w:val="0DD70FB8"/>
    <w:rsid w:val="0DE33A87"/>
    <w:rsid w:val="0DE8047E"/>
    <w:rsid w:val="0E4C4DBC"/>
    <w:rsid w:val="0E73034D"/>
    <w:rsid w:val="0E793AB1"/>
    <w:rsid w:val="0E824E13"/>
    <w:rsid w:val="0EBD3DA0"/>
    <w:rsid w:val="0EF34742"/>
    <w:rsid w:val="0EF83DE9"/>
    <w:rsid w:val="0F0071CD"/>
    <w:rsid w:val="0F13775A"/>
    <w:rsid w:val="0F5F45FE"/>
    <w:rsid w:val="0F6C1B67"/>
    <w:rsid w:val="0F841BAC"/>
    <w:rsid w:val="0F8C6CB2"/>
    <w:rsid w:val="0F9A112B"/>
    <w:rsid w:val="10073775"/>
    <w:rsid w:val="10132CE3"/>
    <w:rsid w:val="10397F92"/>
    <w:rsid w:val="106D2F64"/>
    <w:rsid w:val="10B63710"/>
    <w:rsid w:val="10C761F4"/>
    <w:rsid w:val="10F10820"/>
    <w:rsid w:val="10F44B0F"/>
    <w:rsid w:val="111B3AE8"/>
    <w:rsid w:val="111C2F7A"/>
    <w:rsid w:val="11206881"/>
    <w:rsid w:val="112B749A"/>
    <w:rsid w:val="11665CA1"/>
    <w:rsid w:val="11B4471C"/>
    <w:rsid w:val="11EA053D"/>
    <w:rsid w:val="11EC32C1"/>
    <w:rsid w:val="11FF0039"/>
    <w:rsid w:val="13840DC5"/>
    <w:rsid w:val="13951726"/>
    <w:rsid w:val="13985C26"/>
    <w:rsid w:val="13D2503A"/>
    <w:rsid w:val="13E44050"/>
    <w:rsid w:val="13EA6429"/>
    <w:rsid w:val="14396509"/>
    <w:rsid w:val="143C5757"/>
    <w:rsid w:val="143E727C"/>
    <w:rsid w:val="14843BD9"/>
    <w:rsid w:val="148D5E53"/>
    <w:rsid w:val="14DD2C3C"/>
    <w:rsid w:val="14EF5D19"/>
    <w:rsid w:val="14FE26E5"/>
    <w:rsid w:val="155F36E9"/>
    <w:rsid w:val="16087E1D"/>
    <w:rsid w:val="160A7DFB"/>
    <w:rsid w:val="16B74615"/>
    <w:rsid w:val="171952CF"/>
    <w:rsid w:val="172565EC"/>
    <w:rsid w:val="172C0981"/>
    <w:rsid w:val="17565297"/>
    <w:rsid w:val="17701D14"/>
    <w:rsid w:val="17735226"/>
    <w:rsid w:val="17BE4544"/>
    <w:rsid w:val="17C6288A"/>
    <w:rsid w:val="17CA481C"/>
    <w:rsid w:val="17DD3CE8"/>
    <w:rsid w:val="18114AE8"/>
    <w:rsid w:val="18130180"/>
    <w:rsid w:val="187C53BE"/>
    <w:rsid w:val="189F624C"/>
    <w:rsid w:val="18F63219"/>
    <w:rsid w:val="19120A76"/>
    <w:rsid w:val="1930409A"/>
    <w:rsid w:val="19353F17"/>
    <w:rsid w:val="19464237"/>
    <w:rsid w:val="19504098"/>
    <w:rsid w:val="19742FD7"/>
    <w:rsid w:val="19764314"/>
    <w:rsid w:val="197734F8"/>
    <w:rsid w:val="19874179"/>
    <w:rsid w:val="199776E9"/>
    <w:rsid w:val="19A15B8C"/>
    <w:rsid w:val="19DE010A"/>
    <w:rsid w:val="19E00033"/>
    <w:rsid w:val="19E97377"/>
    <w:rsid w:val="19EA3C0B"/>
    <w:rsid w:val="1A1C66C0"/>
    <w:rsid w:val="1A42393B"/>
    <w:rsid w:val="1A5B5472"/>
    <w:rsid w:val="1A6E774D"/>
    <w:rsid w:val="1A7B3D17"/>
    <w:rsid w:val="1A886935"/>
    <w:rsid w:val="1AA16DC1"/>
    <w:rsid w:val="1AAD45DE"/>
    <w:rsid w:val="1ADC4437"/>
    <w:rsid w:val="1B046F80"/>
    <w:rsid w:val="1B3267B5"/>
    <w:rsid w:val="1B3F1817"/>
    <w:rsid w:val="1B40161D"/>
    <w:rsid w:val="1B441859"/>
    <w:rsid w:val="1B5B38A4"/>
    <w:rsid w:val="1B6606B1"/>
    <w:rsid w:val="1B76454A"/>
    <w:rsid w:val="1B7F2366"/>
    <w:rsid w:val="1BDE10D9"/>
    <w:rsid w:val="1BE21D39"/>
    <w:rsid w:val="1BF633B0"/>
    <w:rsid w:val="1C4865C1"/>
    <w:rsid w:val="1C5B1EE6"/>
    <w:rsid w:val="1C5E7925"/>
    <w:rsid w:val="1C78676A"/>
    <w:rsid w:val="1C7C1A9C"/>
    <w:rsid w:val="1C876837"/>
    <w:rsid w:val="1CFD070F"/>
    <w:rsid w:val="1D036A25"/>
    <w:rsid w:val="1D173770"/>
    <w:rsid w:val="1D391D7D"/>
    <w:rsid w:val="1D471189"/>
    <w:rsid w:val="1D5319AE"/>
    <w:rsid w:val="1D5F6196"/>
    <w:rsid w:val="1D6132A5"/>
    <w:rsid w:val="1D864D41"/>
    <w:rsid w:val="1D8E56D5"/>
    <w:rsid w:val="1D957FBA"/>
    <w:rsid w:val="1DA146C9"/>
    <w:rsid w:val="1DAD6772"/>
    <w:rsid w:val="1DB23D88"/>
    <w:rsid w:val="1DDF655B"/>
    <w:rsid w:val="1E34479D"/>
    <w:rsid w:val="1E3F4C88"/>
    <w:rsid w:val="1E7A43DA"/>
    <w:rsid w:val="1E9F7B63"/>
    <w:rsid w:val="1EA673C2"/>
    <w:rsid w:val="1EC75469"/>
    <w:rsid w:val="1EDB5E08"/>
    <w:rsid w:val="1EFC2CFA"/>
    <w:rsid w:val="1FE7539E"/>
    <w:rsid w:val="20210DD0"/>
    <w:rsid w:val="204D57E5"/>
    <w:rsid w:val="205748D7"/>
    <w:rsid w:val="20671BE0"/>
    <w:rsid w:val="20730B4D"/>
    <w:rsid w:val="207460B1"/>
    <w:rsid w:val="20963CB8"/>
    <w:rsid w:val="20A81A1B"/>
    <w:rsid w:val="20B07FB6"/>
    <w:rsid w:val="20B3409F"/>
    <w:rsid w:val="20B646FB"/>
    <w:rsid w:val="21394254"/>
    <w:rsid w:val="213B74B1"/>
    <w:rsid w:val="215A2310"/>
    <w:rsid w:val="2163494A"/>
    <w:rsid w:val="21654CB5"/>
    <w:rsid w:val="21A90747"/>
    <w:rsid w:val="21B6637F"/>
    <w:rsid w:val="21DE318A"/>
    <w:rsid w:val="21E2678E"/>
    <w:rsid w:val="21E66351"/>
    <w:rsid w:val="21EF5B80"/>
    <w:rsid w:val="223B53BA"/>
    <w:rsid w:val="22576990"/>
    <w:rsid w:val="225E628C"/>
    <w:rsid w:val="22631E9D"/>
    <w:rsid w:val="2285589C"/>
    <w:rsid w:val="228D0920"/>
    <w:rsid w:val="22DB78DD"/>
    <w:rsid w:val="22F339FB"/>
    <w:rsid w:val="22F47480"/>
    <w:rsid w:val="234378C3"/>
    <w:rsid w:val="234675D4"/>
    <w:rsid w:val="23571659"/>
    <w:rsid w:val="23652EF4"/>
    <w:rsid w:val="236E4072"/>
    <w:rsid w:val="23DE1C48"/>
    <w:rsid w:val="23F5677C"/>
    <w:rsid w:val="23F62E75"/>
    <w:rsid w:val="240210CD"/>
    <w:rsid w:val="244006CD"/>
    <w:rsid w:val="24525B8A"/>
    <w:rsid w:val="24683CE4"/>
    <w:rsid w:val="24AE49E2"/>
    <w:rsid w:val="24BF09F7"/>
    <w:rsid w:val="24C4063E"/>
    <w:rsid w:val="250D073D"/>
    <w:rsid w:val="2527505B"/>
    <w:rsid w:val="252D53FE"/>
    <w:rsid w:val="25361333"/>
    <w:rsid w:val="25644B0D"/>
    <w:rsid w:val="25711A11"/>
    <w:rsid w:val="259326F1"/>
    <w:rsid w:val="259A1410"/>
    <w:rsid w:val="25A67CCB"/>
    <w:rsid w:val="25B61B9F"/>
    <w:rsid w:val="25CB59E7"/>
    <w:rsid w:val="25EC2D81"/>
    <w:rsid w:val="26075AD4"/>
    <w:rsid w:val="2685028B"/>
    <w:rsid w:val="269A360B"/>
    <w:rsid w:val="26C708A4"/>
    <w:rsid w:val="26FE3D7D"/>
    <w:rsid w:val="27086F53"/>
    <w:rsid w:val="2719665F"/>
    <w:rsid w:val="2756775B"/>
    <w:rsid w:val="277057A2"/>
    <w:rsid w:val="277A5916"/>
    <w:rsid w:val="278E4350"/>
    <w:rsid w:val="2791576E"/>
    <w:rsid w:val="27B122BE"/>
    <w:rsid w:val="27DC1CC8"/>
    <w:rsid w:val="283A25D8"/>
    <w:rsid w:val="288450C7"/>
    <w:rsid w:val="28AF7842"/>
    <w:rsid w:val="28DF4D77"/>
    <w:rsid w:val="28FB32DD"/>
    <w:rsid w:val="290B4866"/>
    <w:rsid w:val="29206EB8"/>
    <w:rsid w:val="294F4B81"/>
    <w:rsid w:val="29595666"/>
    <w:rsid w:val="29712D49"/>
    <w:rsid w:val="29874881"/>
    <w:rsid w:val="29BF5775"/>
    <w:rsid w:val="29D725CF"/>
    <w:rsid w:val="29E325E0"/>
    <w:rsid w:val="29E63C0A"/>
    <w:rsid w:val="2A21651D"/>
    <w:rsid w:val="2A2A5CDA"/>
    <w:rsid w:val="2A452503"/>
    <w:rsid w:val="2A60484F"/>
    <w:rsid w:val="2A6B613D"/>
    <w:rsid w:val="2A6E0744"/>
    <w:rsid w:val="2A7467F6"/>
    <w:rsid w:val="2B2D015D"/>
    <w:rsid w:val="2B2F1D6E"/>
    <w:rsid w:val="2B3C68A7"/>
    <w:rsid w:val="2B5B2D39"/>
    <w:rsid w:val="2B5B43E9"/>
    <w:rsid w:val="2B6D5CBC"/>
    <w:rsid w:val="2B7D59D5"/>
    <w:rsid w:val="2B8D0149"/>
    <w:rsid w:val="2B944ACD"/>
    <w:rsid w:val="2B9F3B9D"/>
    <w:rsid w:val="2BA936A8"/>
    <w:rsid w:val="2BE961DC"/>
    <w:rsid w:val="2C315A5A"/>
    <w:rsid w:val="2C4B1C25"/>
    <w:rsid w:val="2CB30145"/>
    <w:rsid w:val="2CBB2C3A"/>
    <w:rsid w:val="2CCD03B2"/>
    <w:rsid w:val="2CD258AD"/>
    <w:rsid w:val="2CF02411"/>
    <w:rsid w:val="2D3C541C"/>
    <w:rsid w:val="2D6973AD"/>
    <w:rsid w:val="2D9E56F5"/>
    <w:rsid w:val="2DBB39A9"/>
    <w:rsid w:val="2DC976A1"/>
    <w:rsid w:val="2E171B05"/>
    <w:rsid w:val="2E667F96"/>
    <w:rsid w:val="2E8226AB"/>
    <w:rsid w:val="2EDB09DE"/>
    <w:rsid w:val="2EFD3C6D"/>
    <w:rsid w:val="2F556561"/>
    <w:rsid w:val="2F581804"/>
    <w:rsid w:val="2FBE5DAE"/>
    <w:rsid w:val="2FC82B97"/>
    <w:rsid w:val="2FD065E6"/>
    <w:rsid w:val="2FD96870"/>
    <w:rsid w:val="2FE9288F"/>
    <w:rsid w:val="301461DC"/>
    <w:rsid w:val="30580BC9"/>
    <w:rsid w:val="30582E8D"/>
    <w:rsid w:val="30961732"/>
    <w:rsid w:val="309D61D2"/>
    <w:rsid w:val="311E2ED7"/>
    <w:rsid w:val="31456F95"/>
    <w:rsid w:val="314C656B"/>
    <w:rsid w:val="315619EE"/>
    <w:rsid w:val="315C449C"/>
    <w:rsid w:val="31AE55C2"/>
    <w:rsid w:val="31B82709"/>
    <w:rsid w:val="31D05482"/>
    <w:rsid w:val="31F167D5"/>
    <w:rsid w:val="32400B34"/>
    <w:rsid w:val="32413963"/>
    <w:rsid w:val="32506B03"/>
    <w:rsid w:val="32571FF6"/>
    <w:rsid w:val="329E6876"/>
    <w:rsid w:val="32A36A1D"/>
    <w:rsid w:val="32C1089D"/>
    <w:rsid w:val="32EB25DC"/>
    <w:rsid w:val="333015F2"/>
    <w:rsid w:val="334B6320"/>
    <w:rsid w:val="335A529C"/>
    <w:rsid w:val="33921838"/>
    <w:rsid w:val="33B72FA9"/>
    <w:rsid w:val="33D934D4"/>
    <w:rsid w:val="33E53710"/>
    <w:rsid w:val="33FE2F6A"/>
    <w:rsid w:val="340E07E5"/>
    <w:rsid w:val="34235BF7"/>
    <w:rsid w:val="34372941"/>
    <w:rsid w:val="344968DD"/>
    <w:rsid w:val="344B2032"/>
    <w:rsid w:val="345D2E9C"/>
    <w:rsid w:val="34897488"/>
    <w:rsid w:val="351C03B3"/>
    <w:rsid w:val="35482E39"/>
    <w:rsid w:val="35857716"/>
    <w:rsid w:val="358C5FA8"/>
    <w:rsid w:val="35A20611"/>
    <w:rsid w:val="35C15DF1"/>
    <w:rsid w:val="35D73F34"/>
    <w:rsid w:val="35FA1EDA"/>
    <w:rsid w:val="36074A7F"/>
    <w:rsid w:val="36923549"/>
    <w:rsid w:val="36B43191"/>
    <w:rsid w:val="36B75FBF"/>
    <w:rsid w:val="36BC4B34"/>
    <w:rsid w:val="36BD0C45"/>
    <w:rsid w:val="36CE3589"/>
    <w:rsid w:val="3718421F"/>
    <w:rsid w:val="373C7433"/>
    <w:rsid w:val="37500442"/>
    <w:rsid w:val="379D3A66"/>
    <w:rsid w:val="37E00298"/>
    <w:rsid w:val="3818013A"/>
    <w:rsid w:val="386A108F"/>
    <w:rsid w:val="3878127C"/>
    <w:rsid w:val="38B302F9"/>
    <w:rsid w:val="38D83318"/>
    <w:rsid w:val="38EE4F10"/>
    <w:rsid w:val="38F12CD3"/>
    <w:rsid w:val="38F94775"/>
    <w:rsid w:val="391050F3"/>
    <w:rsid w:val="392971ED"/>
    <w:rsid w:val="39325651"/>
    <w:rsid w:val="39477622"/>
    <w:rsid w:val="399F745E"/>
    <w:rsid w:val="3A5C4116"/>
    <w:rsid w:val="3A761B04"/>
    <w:rsid w:val="3A872856"/>
    <w:rsid w:val="3A901E53"/>
    <w:rsid w:val="3AD45740"/>
    <w:rsid w:val="3B3763D1"/>
    <w:rsid w:val="3B6914E4"/>
    <w:rsid w:val="3B7F495D"/>
    <w:rsid w:val="3BCB0097"/>
    <w:rsid w:val="3C156EEF"/>
    <w:rsid w:val="3C205E01"/>
    <w:rsid w:val="3C2B179C"/>
    <w:rsid w:val="3C2F6E1E"/>
    <w:rsid w:val="3C4A1903"/>
    <w:rsid w:val="3C4F64BA"/>
    <w:rsid w:val="3C5C5193"/>
    <w:rsid w:val="3C6D58F6"/>
    <w:rsid w:val="3CBF6544"/>
    <w:rsid w:val="3CC73F22"/>
    <w:rsid w:val="3CDA245A"/>
    <w:rsid w:val="3CDB69FF"/>
    <w:rsid w:val="3CDE4BFD"/>
    <w:rsid w:val="3CE6551C"/>
    <w:rsid w:val="3CE7042A"/>
    <w:rsid w:val="3CEE7A91"/>
    <w:rsid w:val="3D062EB0"/>
    <w:rsid w:val="3D1E06B7"/>
    <w:rsid w:val="3D74242C"/>
    <w:rsid w:val="3D7A7FC6"/>
    <w:rsid w:val="3DA648F9"/>
    <w:rsid w:val="3DF044EF"/>
    <w:rsid w:val="3DFF0731"/>
    <w:rsid w:val="3E292D8F"/>
    <w:rsid w:val="3E2B7821"/>
    <w:rsid w:val="3E477D61"/>
    <w:rsid w:val="3EA46747"/>
    <w:rsid w:val="3ED430FB"/>
    <w:rsid w:val="3EDA0523"/>
    <w:rsid w:val="3EF54DA7"/>
    <w:rsid w:val="3F1644D6"/>
    <w:rsid w:val="3F8A1452"/>
    <w:rsid w:val="3FA00F3A"/>
    <w:rsid w:val="3FA438F2"/>
    <w:rsid w:val="3FCF7A52"/>
    <w:rsid w:val="4028431C"/>
    <w:rsid w:val="40325B01"/>
    <w:rsid w:val="407A6407"/>
    <w:rsid w:val="408B5DFF"/>
    <w:rsid w:val="40A514E5"/>
    <w:rsid w:val="40A965D8"/>
    <w:rsid w:val="40CF5D4F"/>
    <w:rsid w:val="40E65973"/>
    <w:rsid w:val="411E1C2C"/>
    <w:rsid w:val="414D2D67"/>
    <w:rsid w:val="41856F3A"/>
    <w:rsid w:val="418B446A"/>
    <w:rsid w:val="41AC11DF"/>
    <w:rsid w:val="41B23984"/>
    <w:rsid w:val="41DF581D"/>
    <w:rsid w:val="41F540C0"/>
    <w:rsid w:val="4200449D"/>
    <w:rsid w:val="423A3BCC"/>
    <w:rsid w:val="424E57D2"/>
    <w:rsid w:val="425B28AF"/>
    <w:rsid w:val="428F3E63"/>
    <w:rsid w:val="42B26C49"/>
    <w:rsid w:val="42D45CE1"/>
    <w:rsid w:val="430E3019"/>
    <w:rsid w:val="43194EF2"/>
    <w:rsid w:val="431D1161"/>
    <w:rsid w:val="433A6FE6"/>
    <w:rsid w:val="43480868"/>
    <w:rsid w:val="4350713C"/>
    <w:rsid w:val="435144C1"/>
    <w:rsid w:val="436653E0"/>
    <w:rsid w:val="43994F1E"/>
    <w:rsid w:val="43B644DD"/>
    <w:rsid w:val="43C33D49"/>
    <w:rsid w:val="43C4431A"/>
    <w:rsid w:val="43C55573"/>
    <w:rsid w:val="43E04373"/>
    <w:rsid w:val="440F1C53"/>
    <w:rsid w:val="44320903"/>
    <w:rsid w:val="443A6796"/>
    <w:rsid w:val="44691568"/>
    <w:rsid w:val="44832483"/>
    <w:rsid w:val="44B951CC"/>
    <w:rsid w:val="44C0795E"/>
    <w:rsid w:val="44CD14E0"/>
    <w:rsid w:val="44E20341"/>
    <w:rsid w:val="44F20B0B"/>
    <w:rsid w:val="45200893"/>
    <w:rsid w:val="452E5F4C"/>
    <w:rsid w:val="454A5E13"/>
    <w:rsid w:val="45612018"/>
    <w:rsid w:val="458946E9"/>
    <w:rsid w:val="45A47C0E"/>
    <w:rsid w:val="45D37956"/>
    <w:rsid w:val="46341847"/>
    <w:rsid w:val="46523984"/>
    <w:rsid w:val="46577FD6"/>
    <w:rsid w:val="469B7E7E"/>
    <w:rsid w:val="46D955A7"/>
    <w:rsid w:val="46EA66D5"/>
    <w:rsid w:val="47125E4A"/>
    <w:rsid w:val="47133957"/>
    <w:rsid w:val="473A5340"/>
    <w:rsid w:val="47655843"/>
    <w:rsid w:val="477F18CB"/>
    <w:rsid w:val="479971D7"/>
    <w:rsid w:val="47A07E0C"/>
    <w:rsid w:val="47A23C1C"/>
    <w:rsid w:val="47DA005D"/>
    <w:rsid w:val="480908C5"/>
    <w:rsid w:val="48123636"/>
    <w:rsid w:val="483218AA"/>
    <w:rsid w:val="48457149"/>
    <w:rsid w:val="4870272E"/>
    <w:rsid w:val="48AC193F"/>
    <w:rsid w:val="491B2DF6"/>
    <w:rsid w:val="496407B2"/>
    <w:rsid w:val="49C574BA"/>
    <w:rsid w:val="49DC2E0E"/>
    <w:rsid w:val="49DC7715"/>
    <w:rsid w:val="49EC13C3"/>
    <w:rsid w:val="49F33CD7"/>
    <w:rsid w:val="4A023139"/>
    <w:rsid w:val="4A3B6C38"/>
    <w:rsid w:val="4A5E379E"/>
    <w:rsid w:val="4A677B24"/>
    <w:rsid w:val="4A7B576F"/>
    <w:rsid w:val="4A9D52F4"/>
    <w:rsid w:val="4AF561A9"/>
    <w:rsid w:val="4B102A00"/>
    <w:rsid w:val="4B2C6611"/>
    <w:rsid w:val="4B2D194F"/>
    <w:rsid w:val="4B315A7E"/>
    <w:rsid w:val="4B4469F6"/>
    <w:rsid w:val="4B8B7843"/>
    <w:rsid w:val="4BB06DB8"/>
    <w:rsid w:val="4BD72A88"/>
    <w:rsid w:val="4C043939"/>
    <w:rsid w:val="4C4267E4"/>
    <w:rsid w:val="4C4A0649"/>
    <w:rsid w:val="4C6F0F12"/>
    <w:rsid w:val="4C7E5ECA"/>
    <w:rsid w:val="4C876AA5"/>
    <w:rsid w:val="4C8A54B6"/>
    <w:rsid w:val="4C9606EC"/>
    <w:rsid w:val="4CFD3C38"/>
    <w:rsid w:val="4D0E00FB"/>
    <w:rsid w:val="4D154E8B"/>
    <w:rsid w:val="4D176606"/>
    <w:rsid w:val="4D1A2C2C"/>
    <w:rsid w:val="4D587BF8"/>
    <w:rsid w:val="4D911D7F"/>
    <w:rsid w:val="4DEC4FB0"/>
    <w:rsid w:val="4DF711BF"/>
    <w:rsid w:val="4E005165"/>
    <w:rsid w:val="4E075D8A"/>
    <w:rsid w:val="4E1A0137"/>
    <w:rsid w:val="4E1E674C"/>
    <w:rsid w:val="4E566C6E"/>
    <w:rsid w:val="4EB35F79"/>
    <w:rsid w:val="4EB64E7B"/>
    <w:rsid w:val="4EC00FAD"/>
    <w:rsid w:val="4EE259CC"/>
    <w:rsid w:val="4EF45D9B"/>
    <w:rsid w:val="4F651B6A"/>
    <w:rsid w:val="4F9843DC"/>
    <w:rsid w:val="4FC62A8C"/>
    <w:rsid w:val="4FD16CB3"/>
    <w:rsid w:val="4FD53F62"/>
    <w:rsid w:val="4FE20F0D"/>
    <w:rsid w:val="4FE51552"/>
    <w:rsid w:val="50473A89"/>
    <w:rsid w:val="504A3037"/>
    <w:rsid w:val="50504C4B"/>
    <w:rsid w:val="505B01BA"/>
    <w:rsid w:val="506A211C"/>
    <w:rsid w:val="50720FD1"/>
    <w:rsid w:val="509C6E7C"/>
    <w:rsid w:val="50A53D8C"/>
    <w:rsid w:val="50B43820"/>
    <w:rsid w:val="50DC5D82"/>
    <w:rsid w:val="510D4856"/>
    <w:rsid w:val="512322CB"/>
    <w:rsid w:val="5127196E"/>
    <w:rsid w:val="51481DCD"/>
    <w:rsid w:val="51495E20"/>
    <w:rsid w:val="51497F84"/>
    <w:rsid w:val="514A3707"/>
    <w:rsid w:val="514C537E"/>
    <w:rsid w:val="51547EF0"/>
    <w:rsid w:val="5162104E"/>
    <w:rsid w:val="51907961"/>
    <w:rsid w:val="519D5BDA"/>
    <w:rsid w:val="51B3364F"/>
    <w:rsid w:val="51BD159B"/>
    <w:rsid w:val="51C25394"/>
    <w:rsid w:val="53426A39"/>
    <w:rsid w:val="534374BD"/>
    <w:rsid w:val="53457C1F"/>
    <w:rsid w:val="5346301D"/>
    <w:rsid w:val="53582700"/>
    <w:rsid w:val="535E1F8C"/>
    <w:rsid w:val="53A039CC"/>
    <w:rsid w:val="53A1505A"/>
    <w:rsid w:val="54063E08"/>
    <w:rsid w:val="54314A02"/>
    <w:rsid w:val="543437E8"/>
    <w:rsid w:val="54391142"/>
    <w:rsid w:val="54460539"/>
    <w:rsid w:val="547075D6"/>
    <w:rsid w:val="54867BBC"/>
    <w:rsid w:val="54AA2D9E"/>
    <w:rsid w:val="54B61E35"/>
    <w:rsid w:val="54BB15CE"/>
    <w:rsid w:val="54E13BA7"/>
    <w:rsid w:val="54F73313"/>
    <w:rsid w:val="54F80955"/>
    <w:rsid w:val="5506363A"/>
    <w:rsid w:val="55254864"/>
    <w:rsid w:val="55511C8C"/>
    <w:rsid w:val="555170A7"/>
    <w:rsid w:val="55826821"/>
    <w:rsid w:val="5587536D"/>
    <w:rsid w:val="559B174B"/>
    <w:rsid w:val="55AA11AB"/>
    <w:rsid w:val="55C220B3"/>
    <w:rsid w:val="55CE0CF4"/>
    <w:rsid w:val="56065F6F"/>
    <w:rsid w:val="561674B5"/>
    <w:rsid w:val="56167F29"/>
    <w:rsid w:val="56624DE6"/>
    <w:rsid w:val="56AE528D"/>
    <w:rsid w:val="56B22A9C"/>
    <w:rsid w:val="56EE0C86"/>
    <w:rsid w:val="57002240"/>
    <w:rsid w:val="579706B0"/>
    <w:rsid w:val="579A2803"/>
    <w:rsid w:val="57A41E19"/>
    <w:rsid w:val="57B72A76"/>
    <w:rsid w:val="57C06AC6"/>
    <w:rsid w:val="57C3426C"/>
    <w:rsid w:val="57CE1F93"/>
    <w:rsid w:val="57F10402"/>
    <w:rsid w:val="57F2466C"/>
    <w:rsid w:val="580B364C"/>
    <w:rsid w:val="583C00B4"/>
    <w:rsid w:val="58694CB9"/>
    <w:rsid w:val="587B4A7E"/>
    <w:rsid w:val="588743D1"/>
    <w:rsid w:val="5887701A"/>
    <w:rsid w:val="58D319AC"/>
    <w:rsid w:val="59012EF2"/>
    <w:rsid w:val="5902548A"/>
    <w:rsid w:val="590A0778"/>
    <w:rsid w:val="59174204"/>
    <w:rsid w:val="59301A29"/>
    <w:rsid w:val="59376914"/>
    <w:rsid w:val="59B021AC"/>
    <w:rsid w:val="59C0439F"/>
    <w:rsid w:val="59D94497"/>
    <w:rsid w:val="5A7871E4"/>
    <w:rsid w:val="5A81078E"/>
    <w:rsid w:val="5ABE2233"/>
    <w:rsid w:val="5AC02876"/>
    <w:rsid w:val="5B2D5169"/>
    <w:rsid w:val="5B390F56"/>
    <w:rsid w:val="5B3D239E"/>
    <w:rsid w:val="5B5C08B4"/>
    <w:rsid w:val="5B890176"/>
    <w:rsid w:val="5B8A5421"/>
    <w:rsid w:val="5BD64622"/>
    <w:rsid w:val="5BDF5D95"/>
    <w:rsid w:val="5BFE7528"/>
    <w:rsid w:val="5C17321F"/>
    <w:rsid w:val="5C566F47"/>
    <w:rsid w:val="5C7C23A3"/>
    <w:rsid w:val="5CDF354A"/>
    <w:rsid w:val="5D240CDB"/>
    <w:rsid w:val="5D6121B1"/>
    <w:rsid w:val="5E1951D9"/>
    <w:rsid w:val="5E2467F1"/>
    <w:rsid w:val="5E2B7CC0"/>
    <w:rsid w:val="5E363FE7"/>
    <w:rsid w:val="5E7637FE"/>
    <w:rsid w:val="5E7A49EE"/>
    <w:rsid w:val="5EFF5730"/>
    <w:rsid w:val="5F1A2B43"/>
    <w:rsid w:val="5F2E2567"/>
    <w:rsid w:val="5F2F70DC"/>
    <w:rsid w:val="5F3759A0"/>
    <w:rsid w:val="5F4F13E1"/>
    <w:rsid w:val="5F7A6958"/>
    <w:rsid w:val="5F8403BB"/>
    <w:rsid w:val="5F8A0E44"/>
    <w:rsid w:val="5FB837BB"/>
    <w:rsid w:val="5FC87DCF"/>
    <w:rsid w:val="60183C3E"/>
    <w:rsid w:val="60306D75"/>
    <w:rsid w:val="604E1113"/>
    <w:rsid w:val="604E36B1"/>
    <w:rsid w:val="60716BAF"/>
    <w:rsid w:val="6073204D"/>
    <w:rsid w:val="60C95474"/>
    <w:rsid w:val="60CA62C0"/>
    <w:rsid w:val="60CC405A"/>
    <w:rsid w:val="61046BE4"/>
    <w:rsid w:val="615D35E3"/>
    <w:rsid w:val="61A85D23"/>
    <w:rsid w:val="61E215D8"/>
    <w:rsid w:val="62021CF4"/>
    <w:rsid w:val="620E751D"/>
    <w:rsid w:val="621B3775"/>
    <w:rsid w:val="62364782"/>
    <w:rsid w:val="623E6F65"/>
    <w:rsid w:val="62783AF4"/>
    <w:rsid w:val="62F977F1"/>
    <w:rsid w:val="634371A7"/>
    <w:rsid w:val="6394356A"/>
    <w:rsid w:val="63C61B2C"/>
    <w:rsid w:val="63D40BE9"/>
    <w:rsid w:val="63D478A7"/>
    <w:rsid w:val="63D63D97"/>
    <w:rsid w:val="63DC2A95"/>
    <w:rsid w:val="63EB1B26"/>
    <w:rsid w:val="64102431"/>
    <w:rsid w:val="641862DE"/>
    <w:rsid w:val="64487C27"/>
    <w:rsid w:val="64563599"/>
    <w:rsid w:val="64A5243A"/>
    <w:rsid w:val="64B02BC8"/>
    <w:rsid w:val="64DB34BA"/>
    <w:rsid w:val="64F531DE"/>
    <w:rsid w:val="65256574"/>
    <w:rsid w:val="65373578"/>
    <w:rsid w:val="654C7BEB"/>
    <w:rsid w:val="65670581"/>
    <w:rsid w:val="656C41F2"/>
    <w:rsid w:val="658E0008"/>
    <w:rsid w:val="65B27275"/>
    <w:rsid w:val="660C3D04"/>
    <w:rsid w:val="66481EF6"/>
    <w:rsid w:val="66E04A8F"/>
    <w:rsid w:val="66FB27B8"/>
    <w:rsid w:val="671F124A"/>
    <w:rsid w:val="673420F1"/>
    <w:rsid w:val="673D47F9"/>
    <w:rsid w:val="677A33C6"/>
    <w:rsid w:val="678E6299"/>
    <w:rsid w:val="67995DB7"/>
    <w:rsid w:val="67AB6E4B"/>
    <w:rsid w:val="68172E56"/>
    <w:rsid w:val="681F6961"/>
    <w:rsid w:val="68371848"/>
    <w:rsid w:val="685430F2"/>
    <w:rsid w:val="68610A2F"/>
    <w:rsid w:val="686A0AB4"/>
    <w:rsid w:val="687C32B5"/>
    <w:rsid w:val="68805514"/>
    <w:rsid w:val="68996CA3"/>
    <w:rsid w:val="68997279"/>
    <w:rsid w:val="68B24209"/>
    <w:rsid w:val="68D57192"/>
    <w:rsid w:val="68D868DF"/>
    <w:rsid w:val="69316E2F"/>
    <w:rsid w:val="694E2071"/>
    <w:rsid w:val="69526CDE"/>
    <w:rsid w:val="69766163"/>
    <w:rsid w:val="6979332A"/>
    <w:rsid w:val="697A3B33"/>
    <w:rsid w:val="699F6337"/>
    <w:rsid w:val="69D44760"/>
    <w:rsid w:val="69F85A5F"/>
    <w:rsid w:val="6A341401"/>
    <w:rsid w:val="6A520EC7"/>
    <w:rsid w:val="6A841BD5"/>
    <w:rsid w:val="6A862596"/>
    <w:rsid w:val="6AE95E85"/>
    <w:rsid w:val="6AF87E20"/>
    <w:rsid w:val="6B322639"/>
    <w:rsid w:val="6B3375C2"/>
    <w:rsid w:val="6B4F21E3"/>
    <w:rsid w:val="6B7F6B8B"/>
    <w:rsid w:val="6B813E81"/>
    <w:rsid w:val="6B853525"/>
    <w:rsid w:val="6B8F6EB7"/>
    <w:rsid w:val="6BFD39ED"/>
    <w:rsid w:val="6C03399D"/>
    <w:rsid w:val="6C053876"/>
    <w:rsid w:val="6C636C38"/>
    <w:rsid w:val="6CB57E24"/>
    <w:rsid w:val="6CC82FAC"/>
    <w:rsid w:val="6CCB33A9"/>
    <w:rsid w:val="6CDF07F0"/>
    <w:rsid w:val="6D222AAF"/>
    <w:rsid w:val="6D2D6C40"/>
    <w:rsid w:val="6D875B5B"/>
    <w:rsid w:val="6D927244"/>
    <w:rsid w:val="6DA46816"/>
    <w:rsid w:val="6DB34098"/>
    <w:rsid w:val="6DB545B6"/>
    <w:rsid w:val="6DD14C0D"/>
    <w:rsid w:val="6DD82566"/>
    <w:rsid w:val="6DE02FB4"/>
    <w:rsid w:val="6E14108A"/>
    <w:rsid w:val="6E42473E"/>
    <w:rsid w:val="6E514CED"/>
    <w:rsid w:val="6E88590D"/>
    <w:rsid w:val="6EAF4DE3"/>
    <w:rsid w:val="6EB153BC"/>
    <w:rsid w:val="6EB563D5"/>
    <w:rsid w:val="6EB86E64"/>
    <w:rsid w:val="6EBD7464"/>
    <w:rsid w:val="6ED92677"/>
    <w:rsid w:val="6F0D66BE"/>
    <w:rsid w:val="6F225983"/>
    <w:rsid w:val="6F377216"/>
    <w:rsid w:val="6F3F32A7"/>
    <w:rsid w:val="6F474FFF"/>
    <w:rsid w:val="6F4A42DA"/>
    <w:rsid w:val="6F7C0E87"/>
    <w:rsid w:val="6F9E7F1B"/>
    <w:rsid w:val="6FB93762"/>
    <w:rsid w:val="6FBC4FF3"/>
    <w:rsid w:val="6FFC5590"/>
    <w:rsid w:val="700F78E9"/>
    <w:rsid w:val="702D3BED"/>
    <w:rsid w:val="706D1DD0"/>
    <w:rsid w:val="70856B87"/>
    <w:rsid w:val="708F31E5"/>
    <w:rsid w:val="70C804F8"/>
    <w:rsid w:val="70D527EE"/>
    <w:rsid w:val="70F10D07"/>
    <w:rsid w:val="711C6E9E"/>
    <w:rsid w:val="715173C6"/>
    <w:rsid w:val="715B5300"/>
    <w:rsid w:val="717C7DD8"/>
    <w:rsid w:val="718810E7"/>
    <w:rsid w:val="71A60F0B"/>
    <w:rsid w:val="71C034F3"/>
    <w:rsid w:val="71D27F8A"/>
    <w:rsid w:val="71F55C18"/>
    <w:rsid w:val="72130821"/>
    <w:rsid w:val="721B697B"/>
    <w:rsid w:val="721D6EC1"/>
    <w:rsid w:val="72553024"/>
    <w:rsid w:val="726A2FCB"/>
    <w:rsid w:val="726C7EA5"/>
    <w:rsid w:val="727A2494"/>
    <w:rsid w:val="72850351"/>
    <w:rsid w:val="72910164"/>
    <w:rsid w:val="72B30690"/>
    <w:rsid w:val="72BB2588"/>
    <w:rsid w:val="73122968"/>
    <w:rsid w:val="731F5D5E"/>
    <w:rsid w:val="73351CBE"/>
    <w:rsid w:val="734A70A1"/>
    <w:rsid w:val="736E51D0"/>
    <w:rsid w:val="73C51AD5"/>
    <w:rsid w:val="741E793C"/>
    <w:rsid w:val="744234EA"/>
    <w:rsid w:val="745846D6"/>
    <w:rsid w:val="745E3944"/>
    <w:rsid w:val="7472484C"/>
    <w:rsid w:val="74F52643"/>
    <w:rsid w:val="75022089"/>
    <w:rsid w:val="755C396F"/>
    <w:rsid w:val="757E5A2E"/>
    <w:rsid w:val="75E45BAD"/>
    <w:rsid w:val="75E4686F"/>
    <w:rsid w:val="75F30A79"/>
    <w:rsid w:val="760706B3"/>
    <w:rsid w:val="760A40C2"/>
    <w:rsid w:val="762312B9"/>
    <w:rsid w:val="7635099D"/>
    <w:rsid w:val="763B5ECD"/>
    <w:rsid w:val="76B914B7"/>
    <w:rsid w:val="77132317"/>
    <w:rsid w:val="77737A4C"/>
    <w:rsid w:val="77762421"/>
    <w:rsid w:val="777A1A35"/>
    <w:rsid w:val="778522BC"/>
    <w:rsid w:val="77933CBE"/>
    <w:rsid w:val="779562C4"/>
    <w:rsid w:val="77B56B1F"/>
    <w:rsid w:val="78066D81"/>
    <w:rsid w:val="780F09F4"/>
    <w:rsid w:val="782E3B7D"/>
    <w:rsid w:val="783A38D3"/>
    <w:rsid w:val="788F1F38"/>
    <w:rsid w:val="78A90480"/>
    <w:rsid w:val="78C913ED"/>
    <w:rsid w:val="79DB78C6"/>
    <w:rsid w:val="7A147D16"/>
    <w:rsid w:val="7A364017"/>
    <w:rsid w:val="7A3A1A3C"/>
    <w:rsid w:val="7A3E00A9"/>
    <w:rsid w:val="7A4F24B2"/>
    <w:rsid w:val="7A661346"/>
    <w:rsid w:val="7A8265E1"/>
    <w:rsid w:val="7AB317CB"/>
    <w:rsid w:val="7AEA4406"/>
    <w:rsid w:val="7B306547"/>
    <w:rsid w:val="7B4E7DC1"/>
    <w:rsid w:val="7B686D42"/>
    <w:rsid w:val="7B841746"/>
    <w:rsid w:val="7BE25BFE"/>
    <w:rsid w:val="7BF72FDA"/>
    <w:rsid w:val="7C1242A9"/>
    <w:rsid w:val="7C464F3C"/>
    <w:rsid w:val="7C480CB4"/>
    <w:rsid w:val="7C6C5AC7"/>
    <w:rsid w:val="7C7378DE"/>
    <w:rsid w:val="7CC6544B"/>
    <w:rsid w:val="7CD53B62"/>
    <w:rsid w:val="7CDC15F5"/>
    <w:rsid w:val="7CFB22B1"/>
    <w:rsid w:val="7D0239FF"/>
    <w:rsid w:val="7D0E4813"/>
    <w:rsid w:val="7D2927B1"/>
    <w:rsid w:val="7D51609B"/>
    <w:rsid w:val="7D5E40CD"/>
    <w:rsid w:val="7DA737B9"/>
    <w:rsid w:val="7DC117F0"/>
    <w:rsid w:val="7DCD56F2"/>
    <w:rsid w:val="7DF2353C"/>
    <w:rsid w:val="7DF77816"/>
    <w:rsid w:val="7DFD19B3"/>
    <w:rsid w:val="7E8930CB"/>
    <w:rsid w:val="7EB72D23"/>
    <w:rsid w:val="7EE378A2"/>
    <w:rsid w:val="7F001CE7"/>
    <w:rsid w:val="7F0C03A8"/>
    <w:rsid w:val="7F153D93"/>
    <w:rsid w:val="7FA02BB5"/>
    <w:rsid w:val="7FE47E50"/>
    <w:rsid w:val="7FF62A8D"/>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99" w:semiHidden="0" w:name="Body Text Indent 2" w:locked="1"/>
    <w:lsdException w:unhideWhenUsed="0" w:uiPriority="0" w:semiHidden="0" w:name="Body Text Indent 3" w:locked="1"/>
    <w:lsdException w:qFormat="1"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qFormat="1"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left"/>
    </w:pPr>
    <w:rPr>
      <w:rFonts w:ascii="Times New Roman" w:hAnsi="Times New Roman" w:eastAsia="宋体" w:cs="Times New Roman"/>
      <w:kern w:val="2"/>
      <w:sz w:val="24"/>
      <w:szCs w:val="24"/>
      <w:lang w:val="en-US" w:eastAsia="zh-CN" w:bidi="ar-SA"/>
    </w:rPr>
  </w:style>
  <w:style w:type="paragraph" w:styleId="2">
    <w:name w:val="heading 1"/>
    <w:basedOn w:val="1"/>
    <w:next w:val="1"/>
    <w:autoRedefine/>
    <w:qFormat/>
    <w:locked/>
    <w:uiPriority w:val="99"/>
    <w:pPr>
      <w:keepNext/>
      <w:overflowPunct w:val="0"/>
      <w:snapToGrid w:val="0"/>
      <w:spacing w:before="120" w:after="160" w:line="240" w:lineRule="auto"/>
      <w:ind w:left="0" w:hanging="432"/>
      <w:jc w:val="left"/>
      <w:outlineLvl w:val="0"/>
    </w:pPr>
    <w:rPr>
      <w:rFonts w:ascii="宋体" w:hAnsi="宋体"/>
      <w:b/>
      <w:color w:val="000000"/>
      <w:kern w:val="44"/>
      <w:sz w:val="24"/>
      <w:szCs w:val="30"/>
    </w:rPr>
  </w:style>
  <w:style w:type="paragraph" w:styleId="3">
    <w:name w:val="heading 2"/>
    <w:basedOn w:val="1"/>
    <w:next w:val="1"/>
    <w:link w:val="34"/>
    <w:autoRedefine/>
    <w:unhideWhenUsed/>
    <w:qFormat/>
    <w:locked/>
    <w:uiPriority w:val="0"/>
    <w:pPr>
      <w:keepNext/>
      <w:keepLines/>
      <w:spacing w:before="260" w:after="260" w:line="416" w:lineRule="auto"/>
      <w:outlineLvl w:val="1"/>
    </w:pPr>
    <w:rPr>
      <w:rFonts w:ascii="Cambria" w:hAnsi="Cambria" w:eastAsia="宋体" w:cs="Times New Roman"/>
      <w:b/>
      <w:bCs/>
      <w:sz w:val="32"/>
      <w:szCs w:val="32"/>
    </w:rPr>
  </w:style>
  <w:style w:type="paragraph" w:styleId="4">
    <w:name w:val="heading 4"/>
    <w:basedOn w:val="1"/>
    <w:next w:val="1"/>
    <w:link w:val="35"/>
    <w:autoRedefine/>
    <w:unhideWhenUsed/>
    <w:qFormat/>
    <w:locked/>
    <w:uiPriority w:val="0"/>
    <w:pPr>
      <w:keepNext/>
      <w:keepLines/>
      <w:spacing w:before="280" w:after="290" w:line="376" w:lineRule="auto"/>
      <w:outlineLvl w:val="3"/>
    </w:pPr>
    <w:rPr>
      <w:rFonts w:ascii="Cambria" w:hAnsi="Cambria" w:eastAsia="宋体" w:cs="Times New Roman"/>
      <w:b/>
      <w:bCs/>
      <w:sz w:val="28"/>
      <w:szCs w:val="28"/>
    </w:rPr>
  </w:style>
  <w:style w:type="character" w:default="1" w:styleId="25">
    <w:name w:val="Default Paragraph Font"/>
    <w:autoRedefine/>
    <w:semiHidden/>
    <w:qFormat/>
    <w:uiPriority w:val="0"/>
  </w:style>
  <w:style w:type="table" w:default="1" w:styleId="22">
    <w:name w:val="Normal Table"/>
    <w:autoRedefin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5">
    <w:name w:val="Normal Indent"/>
    <w:basedOn w:val="1"/>
    <w:autoRedefine/>
    <w:qFormat/>
    <w:locked/>
    <w:uiPriority w:val="0"/>
    <w:rPr>
      <w:rFonts w:eastAsia="宋体"/>
      <w:sz w:val="24"/>
      <w:szCs w:val="20"/>
    </w:rPr>
  </w:style>
  <w:style w:type="paragraph" w:styleId="6">
    <w:name w:val="caption"/>
    <w:basedOn w:val="1"/>
    <w:next w:val="1"/>
    <w:autoRedefine/>
    <w:unhideWhenUsed/>
    <w:qFormat/>
    <w:locked/>
    <w:uiPriority w:val="0"/>
    <w:pPr>
      <w:ind w:firstLine="0" w:firstLineChars="0"/>
      <w:jc w:val="center"/>
    </w:pPr>
    <w:rPr>
      <w:b/>
    </w:rPr>
  </w:style>
  <w:style w:type="paragraph" w:styleId="7">
    <w:name w:val="annotation text"/>
    <w:basedOn w:val="1"/>
    <w:link w:val="36"/>
    <w:autoRedefine/>
    <w:semiHidden/>
    <w:qFormat/>
    <w:uiPriority w:val="0"/>
    <w:pPr>
      <w:jc w:val="left"/>
    </w:pPr>
    <w:rPr>
      <w:kern w:val="0"/>
      <w:sz w:val="24"/>
      <w:szCs w:val="20"/>
    </w:rPr>
  </w:style>
  <w:style w:type="paragraph" w:styleId="8">
    <w:name w:val="Body Text"/>
    <w:basedOn w:val="1"/>
    <w:link w:val="37"/>
    <w:autoRedefine/>
    <w:qFormat/>
    <w:uiPriority w:val="0"/>
    <w:pPr>
      <w:widowControl/>
      <w:snapToGrid w:val="0"/>
      <w:spacing w:before="60" w:after="160" w:line="259" w:lineRule="auto"/>
      <w:ind w:right="113"/>
    </w:pPr>
    <w:rPr>
      <w:kern w:val="0"/>
      <w:sz w:val="18"/>
      <w:szCs w:val="20"/>
    </w:rPr>
  </w:style>
  <w:style w:type="paragraph" w:styleId="9">
    <w:name w:val="Body Text Indent"/>
    <w:basedOn w:val="1"/>
    <w:next w:val="8"/>
    <w:link w:val="38"/>
    <w:autoRedefine/>
    <w:qFormat/>
    <w:uiPriority w:val="0"/>
    <w:pPr>
      <w:spacing w:after="120"/>
      <w:ind w:left="420" w:leftChars="200"/>
    </w:pPr>
    <w:rPr>
      <w:kern w:val="0"/>
      <w:sz w:val="24"/>
      <w:szCs w:val="20"/>
    </w:rPr>
  </w:style>
  <w:style w:type="paragraph" w:styleId="10">
    <w:name w:val="Block Text"/>
    <w:basedOn w:val="1"/>
    <w:autoRedefine/>
    <w:qFormat/>
    <w:locked/>
    <w:uiPriority w:val="0"/>
    <w:pPr>
      <w:snapToGrid w:val="0"/>
      <w:spacing w:line="408" w:lineRule="auto"/>
      <w:ind w:left="-113" w:right="-510" w:firstLine="510"/>
    </w:pPr>
    <w:rPr>
      <w:sz w:val="24"/>
      <w:szCs w:val="20"/>
    </w:rPr>
  </w:style>
  <w:style w:type="paragraph" w:styleId="11">
    <w:name w:val="Plain Text"/>
    <w:basedOn w:val="1"/>
    <w:link w:val="39"/>
    <w:autoRedefine/>
    <w:qFormat/>
    <w:locked/>
    <w:uiPriority w:val="0"/>
    <w:rPr>
      <w:rFonts w:ascii="宋体" w:hAnsi="Courier New" w:cs="Courier New"/>
      <w:szCs w:val="21"/>
    </w:rPr>
  </w:style>
  <w:style w:type="paragraph" w:styleId="12">
    <w:name w:val="Date"/>
    <w:basedOn w:val="1"/>
    <w:next w:val="1"/>
    <w:link w:val="40"/>
    <w:autoRedefine/>
    <w:qFormat/>
    <w:uiPriority w:val="0"/>
    <w:pPr>
      <w:ind w:left="100" w:leftChars="2500"/>
    </w:pPr>
    <w:rPr>
      <w:kern w:val="0"/>
      <w:sz w:val="24"/>
      <w:szCs w:val="20"/>
    </w:rPr>
  </w:style>
  <w:style w:type="paragraph" w:styleId="13">
    <w:name w:val="Body Text Indent 2"/>
    <w:basedOn w:val="14"/>
    <w:next w:val="1"/>
    <w:autoRedefine/>
    <w:qFormat/>
    <w:locked/>
    <w:uiPriority w:val="99"/>
    <w:pPr>
      <w:spacing w:after="120" w:afterLines="0" w:line="480" w:lineRule="auto"/>
      <w:ind w:left="420" w:leftChars="200"/>
    </w:pPr>
  </w:style>
  <w:style w:type="paragraph" w:customStyle="1" w:styleId="14">
    <w:name w:val="表头"/>
    <w:basedOn w:val="1"/>
    <w:autoRedefine/>
    <w:qFormat/>
    <w:uiPriority w:val="0"/>
    <w:pPr>
      <w:spacing w:line="360" w:lineRule="auto"/>
      <w:jc w:val="center"/>
    </w:pPr>
    <w:rPr>
      <w:b/>
      <w:sz w:val="24"/>
    </w:rPr>
  </w:style>
  <w:style w:type="paragraph" w:styleId="15">
    <w:name w:val="Balloon Text"/>
    <w:basedOn w:val="1"/>
    <w:link w:val="41"/>
    <w:autoRedefine/>
    <w:semiHidden/>
    <w:qFormat/>
    <w:uiPriority w:val="0"/>
    <w:rPr>
      <w:kern w:val="0"/>
      <w:sz w:val="18"/>
      <w:szCs w:val="20"/>
    </w:rPr>
  </w:style>
  <w:style w:type="paragraph" w:styleId="16">
    <w:name w:val="footer"/>
    <w:basedOn w:val="1"/>
    <w:link w:val="42"/>
    <w:autoRedefine/>
    <w:qFormat/>
    <w:uiPriority w:val="99"/>
    <w:pPr>
      <w:tabs>
        <w:tab w:val="center" w:pos="4153"/>
        <w:tab w:val="right" w:pos="8306"/>
      </w:tabs>
      <w:snapToGrid w:val="0"/>
      <w:jc w:val="left"/>
    </w:pPr>
    <w:rPr>
      <w:kern w:val="0"/>
      <w:sz w:val="18"/>
      <w:szCs w:val="20"/>
    </w:rPr>
  </w:style>
  <w:style w:type="paragraph" w:styleId="17">
    <w:name w:val="header"/>
    <w:basedOn w:val="1"/>
    <w:link w:val="43"/>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8">
    <w:name w:val="Normal (Web)"/>
    <w:basedOn w:val="1"/>
    <w:link w:val="44"/>
    <w:autoRedefine/>
    <w:qFormat/>
    <w:uiPriority w:val="0"/>
    <w:pPr>
      <w:widowControl/>
      <w:spacing w:before="100" w:beforeAutospacing="1" w:after="100" w:afterAutospacing="1"/>
      <w:jc w:val="left"/>
    </w:pPr>
    <w:rPr>
      <w:rFonts w:ascii="宋体" w:hAnsi="宋体"/>
      <w:kern w:val="0"/>
      <w:sz w:val="24"/>
      <w:szCs w:val="20"/>
    </w:rPr>
  </w:style>
  <w:style w:type="paragraph" w:styleId="19">
    <w:name w:val="Title"/>
    <w:basedOn w:val="1"/>
    <w:link w:val="45"/>
    <w:autoRedefine/>
    <w:qFormat/>
    <w:locked/>
    <w:uiPriority w:val="1"/>
    <w:pPr>
      <w:spacing w:before="28"/>
      <w:ind w:right="18"/>
      <w:jc w:val="center"/>
    </w:pPr>
    <w:rPr>
      <w:rFonts w:ascii="宋体" w:hAnsi="宋体" w:cs="宋体"/>
      <w:b/>
      <w:bCs/>
      <w:sz w:val="52"/>
      <w:szCs w:val="52"/>
    </w:rPr>
  </w:style>
  <w:style w:type="paragraph" w:styleId="20">
    <w:name w:val="annotation subject"/>
    <w:basedOn w:val="7"/>
    <w:next w:val="7"/>
    <w:link w:val="46"/>
    <w:autoRedefine/>
    <w:semiHidden/>
    <w:qFormat/>
    <w:uiPriority w:val="0"/>
    <w:rPr>
      <w:b/>
      <w:kern w:val="2"/>
    </w:rPr>
  </w:style>
  <w:style w:type="paragraph" w:styleId="21">
    <w:name w:val="Body Text First Indent 2"/>
    <w:basedOn w:val="9"/>
    <w:autoRedefine/>
    <w:qFormat/>
    <w:locked/>
    <w:uiPriority w:val="99"/>
    <w:pPr>
      <w:ind w:firstLine="420"/>
    </w:pPr>
    <w:rPr>
      <w:sz w:val="21"/>
    </w:rPr>
  </w:style>
  <w:style w:type="table" w:styleId="23">
    <w:name w:val="Table Grid"/>
    <w:basedOn w:val="22"/>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4">
    <w:name w:val="Table Theme"/>
    <w:basedOn w:val="22"/>
    <w:autoRedefine/>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autoRedefine/>
    <w:qFormat/>
    <w:locked/>
    <w:uiPriority w:val="0"/>
  </w:style>
  <w:style w:type="character" w:styleId="27">
    <w:name w:val="Hyperlink"/>
    <w:autoRedefine/>
    <w:unhideWhenUsed/>
    <w:qFormat/>
    <w:locked/>
    <w:uiPriority w:val="99"/>
    <w:rPr>
      <w:color w:val="0000FF"/>
      <w:u w:val="single"/>
    </w:rPr>
  </w:style>
  <w:style w:type="character" w:styleId="28">
    <w:name w:val="annotation reference"/>
    <w:autoRedefine/>
    <w:semiHidden/>
    <w:qFormat/>
    <w:uiPriority w:val="0"/>
    <w:rPr>
      <w:sz w:val="21"/>
    </w:rPr>
  </w:style>
  <w:style w:type="paragraph" w:customStyle="1" w:styleId="29">
    <w:name w:val="样式 正文文本缩进 + 行距: 1.5 倍行距"/>
    <w:basedOn w:val="1"/>
    <w:autoRedefine/>
    <w:qFormat/>
    <w:uiPriority w:val="0"/>
    <w:pPr>
      <w:spacing w:after="120" w:line="360" w:lineRule="auto"/>
      <w:ind w:left="90" w:leftChars="32" w:firstLine="560" w:firstLineChars="200"/>
    </w:pPr>
    <w:rPr>
      <w:rFonts w:cs="宋体"/>
    </w:rPr>
  </w:style>
  <w:style w:type="paragraph" w:customStyle="1" w:styleId="30">
    <w:name w:val="Default"/>
    <w:basedOn w:val="31"/>
    <w:next w:val="1"/>
    <w:autoRedefine/>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1">
    <w:name w:val="标题2"/>
    <w:basedOn w:val="1"/>
    <w:autoRedefine/>
    <w:qFormat/>
    <w:uiPriority w:val="0"/>
    <w:rPr>
      <w:rFonts w:ascii="宋体" w:hAnsi="宋体"/>
      <w:b/>
      <w:kern w:val="0"/>
      <w:sz w:val="24"/>
      <w:szCs w:val="24"/>
    </w:rPr>
  </w:style>
  <w:style w:type="paragraph" w:customStyle="1" w:styleId="32">
    <w:name w:val="样式35"/>
    <w:basedOn w:val="1"/>
    <w:next w:val="1"/>
    <w:autoRedefine/>
    <w:qFormat/>
    <w:uiPriority w:val="0"/>
    <w:pPr>
      <w:spacing w:line="312" w:lineRule="auto"/>
      <w:ind w:firstLine="567"/>
    </w:pPr>
    <w:rPr>
      <w:rFonts w:ascii="宋体"/>
      <w:sz w:val="28"/>
    </w:rPr>
  </w:style>
  <w:style w:type="paragraph" w:customStyle="1" w:styleId="33">
    <w:name w:val="无间隔1"/>
    <w:autoRedefine/>
    <w:qFormat/>
    <w:uiPriority w:val="0"/>
    <w:pPr>
      <w:adjustRightInd w:val="0"/>
      <w:snapToGrid w:val="0"/>
    </w:pPr>
    <w:rPr>
      <w:rFonts w:ascii="Tahoma" w:hAnsi="Tahoma" w:eastAsia="微软雅黑" w:cs="Times New Roman"/>
      <w:sz w:val="22"/>
      <w:szCs w:val="22"/>
      <w:lang w:val="en-US" w:eastAsia="zh-CN" w:bidi="ar-SA"/>
    </w:rPr>
  </w:style>
  <w:style w:type="character" w:customStyle="1" w:styleId="34">
    <w:name w:val="标题 2 Char"/>
    <w:link w:val="3"/>
    <w:autoRedefine/>
    <w:semiHidden/>
    <w:qFormat/>
    <w:uiPriority w:val="0"/>
    <w:rPr>
      <w:rFonts w:ascii="Cambria" w:hAnsi="Cambria" w:eastAsia="宋体" w:cs="Times New Roman"/>
      <w:b/>
      <w:bCs/>
      <w:kern w:val="2"/>
      <w:sz w:val="32"/>
      <w:szCs w:val="32"/>
    </w:rPr>
  </w:style>
  <w:style w:type="character" w:customStyle="1" w:styleId="35">
    <w:name w:val="标题 4 Char"/>
    <w:link w:val="4"/>
    <w:autoRedefine/>
    <w:semiHidden/>
    <w:qFormat/>
    <w:uiPriority w:val="0"/>
    <w:rPr>
      <w:rFonts w:ascii="Cambria" w:hAnsi="Cambria" w:eastAsia="宋体" w:cs="Times New Roman"/>
      <w:b/>
      <w:bCs/>
      <w:kern w:val="2"/>
      <w:sz w:val="28"/>
      <w:szCs w:val="28"/>
    </w:rPr>
  </w:style>
  <w:style w:type="character" w:customStyle="1" w:styleId="36">
    <w:name w:val="批注文字 Char"/>
    <w:link w:val="7"/>
    <w:autoRedefine/>
    <w:qFormat/>
    <w:locked/>
    <w:uiPriority w:val="0"/>
    <w:rPr>
      <w:rFonts w:ascii="Times New Roman" w:hAnsi="Times New Roman" w:eastAsia="宋体"/>
      <w:sz w:val="24"/>
    </w:rPr>
  </w:style>
  <w:style w:type="character" w:customStyle="1" w:styleId="37">
    <w:name w:val="正文文本 Char"/>
    <w:link w:val="8"/>
    <w:autoRedefine/>
    <w:qFormat/>
    <w:locked/>
    <w:uiPriority w:val="0"/>
    <w:rPr>
      <w:sz w:val="18"/>
    </w:rPr>
  </w:style>
  <w:style w:type="character" w:customStyle="1" w:styleId="38">
    <w:name w:val="正文文本缩进 Char"/>
    <w:link w:val="9"/>
    <w:autoRedefine/>
    <w:semiHidden/>
    <w:qFormat/>
    <w:locked/>
    <w:uiPriority w:val="0"/>
    <w:rPr>
      <w:rFonts w:ascii="Times New Roman" w:hAnsi="Times New Roman" w:eastAsia="宋体"/>
      <w:sz w:val="24"/>
    </w:rPr>
  </w:style>
  <w:style w:type="character" w:customStyle="1" w:styleId="39">
    <w:name w:val="纯文本 Char"/>
    <w:link w:val="11"/>
    <w:autoRedefine/>
    <w:qFormat/>
    <w:uiPriority w:val="0"/>
    <w:rPr>
      <w:rFonts w:ascii="宋体" w:hAnsi="Courier New" w:cs="Courier New"/>
      <w:kern w:val="2"/>
      <w:sz w:val="21"/>
      <w:szCs w:val="21"/>
    </w:rPr>
  </w:style>
  <w:style w:type="character" w:customStyle="1" w:styleId="40">
    <w:name w:val="日期 Char"/>
    <w:link w:val="12"/>
    <w:autoRedefine/>
    <w:qFormat/>
    <w:locked/>
    <w:uiPriority w:val="0"/>
    <w:rPr>
      <w:rFonts w:ascii="Times New Roman" w:hAnsi="Times New Roman" w:eastAsia="宋体"/>
      <w:sz w:val="24"/>
    </w:rPr>
  </w:style>
  <w:style w:type="character" w:customStyle="1" w:styleId="41">
    <w:name w:val="批注框文本 Char"/>
    <w:link w:val="15"/>
    <w:autoRedefine/>
    <w:semiHidden/>
    <w:qFormat/>
    <w:locked/>
    <w:uiPriority w:val="0"/>
    <w:rPr>
      <w:rFonts w:ascii="Times New Roman" w:hAnsi="Times New Roman" w:eastAsia="宋体"/>
      <w:sz w:val="18"/>
    </w:rPr>
  </w:style>
  <w:style w:type="character" w:customStyle="1" w:styleId="42">
    <w:name w:val="页脚 Char"/>
    <w:link w:val="16"/>
    <w:autoRedefine/>
    <w:qFormat/>
    <w:locked/>
    <w:uiPriority w:val="99"/>
    <w:rPr>
      <w:sz w:val="18"/>
    </w:rPr>
  </w:style>
  <w:style w:type="character" w:customStyle="1" w:styleId="43">
    <w:name w:val="页眉 Char"/>
    <w:link w:val="17"/>
    <w:autoRedefine/>
    <w:qFormat/>
    <w:locked/>
    <w:uiPriority w:val="0"/>
    <w:rPr>
      <w:sz w:val="18"/>
    </w:rPr>
  </w:style>
  <w:style w:type="character" w:customStyle="1" w:styleId="44">
    <w:name w:val="普通(网站) Char"/>
    <w:link w:val="18"/>
    <w:autoRedefine/>
    <w:qFormat/>
    <w:locked/>
    <w:uiPriority w:val="0"/>
    <w:rPr>
      <w:rFonts w:ascii="宋体" w:hAnsi="宋体" w:eastAsia="宋体"/>
      <w:sz w:val="24"/>
    </w:rPr>
  </w:style>
  <w:style w:type="character" w:customStyle="1" w:styleId="45">
    <w:name w:val="标题 Char"/>
    <w:link w:val="19"/>
    <w:autoRedefine/>
    <w:qFormat/>
    <w:uiPriority w:val="1"/>
    <w:rPr>
      <w:rFonts w:ascii="宋体" w:hAnsi="宋体" w:cs="宋体"/>
      <w:b/>
      <w:bCs/>
      <w:kern w:val="2"/>
      <w:sz w:val="52"/>
      <w:szCs w:val="52"/>
    </w:rPr>
  </w:style>
  <w:style w:type="character" w:customStyle="1" w:styleId="46">
    <w:name w:val="批注主题 Char"/>
    <w:link w:val="20"/>
    <w:autoRedefine/>
    <w:semiHidden/>
    <w:qFormat/>
    <w:locked/>
    <w:uiPriority w:val="0"/>
    <w:rPr>
      <w:rFonts w:ascii="Times New Roman" w:hAnsi="Times New Roman" w:eastAsia="宋体"/>
      <w:b/>
      <w:kern w:val="2"/>
      <w:sz w:val="24"/>
    </w:rPr>
  </w:style>
  <w:style w:type="character" w:customStyle="1" w:styleId="47">
    <w:name w:val="页脚 字符"/>
    <w:basedOn w:val="25"/>
    <w:autoRedefine/>
    <w:qFormat/>
    <w:uiPriority w:val="99"/>
  </w:style>
  <w:style w:type="character" w:customStyle="1" w:styleId="48">
    <w:name w:val="正文文本 字符1"/>
    <w:autoRedefine/>
    <w:semiHidden/>
    <w:qFormat/>
    <w:uiPriority w:val="0"/>
    <w:rPr>
      <w:rFonts w:ascii="Times New Roman" w:hAnsi="Times New Roman" w:eastAsia="宋体"/>
      <w:sz w:val="24"/>
    </w:rPr>
  </w:style>
  <w:style w:type="character" w:customStyle="1" w:styleId="49">
    <w:name w:val="表格 Char"/>
    <w:link w:val="50"/>
    <w:autoRedefine/>
    <w:qFormat/>
    <w:locked/>
    <w:uiPriority w:val="0"/>
    <w:rPr>
      <w:rFonts w:ascii="宋体"/>
      <w:sz w:val="21"/>
    </w:rPr>
  </w:style>
  <w:style w:type="paragraph" w:customStyle="1" w:styleId="50">
    <w:name w:val="表格"/>
    <w:basedOn w:val="1"/>
    <w:next w:val="1"/>
    <w:link w:val="49"/>
    <w:autoRedefine/>
    <w:qFormat/>
    <w:uiPriority w:val="0"/>
    <w:pPr>
      <w:adjustRightInd w:val="0"/>
      <w:snapToGrid w:val="0"/>
      <w:spacing w:beforeLines="10" w:afterLines="10" w:line="259" w:lineRule="auto"/>
      <w:jc w:val="center"/>
    </w:pPr>
    <w:rPr>
      <w:rFonts w:ascii="宋体"/>
      <w:kern w:val="0"/>
      <w:szCs w:val="20"/>
    </w:rPr>
  </w:style>
  <w:style w:type="character" w:customStyle="1" w:styleId="51">
    <w:name w:val="日期 字符"/>
    <w:autoRedefine/>
    <w:semiHidden/>
    <w:qFormat/>
    <w:uiPriority w:val="0"/>
    <w:rPr>
      <w:rFonts w:ascii="Times New Roman" w:hAnsi="Times New Roman" w:eastAsia="宋体"/>
      <w:sz w:val="24"/>
    </w:rPr>
  </w:style>
  <w:style w:type="character" w:customStyle="1" w:styleId="52">
    <w:name w:val="批注文字 字符1"/>
    <w:autoRedefine/>
    <w:semiHidden/>
    <w:qFormat/>
    <w:uiPriority w:val="0"/>
    <w:rPr>
      <w:rFonts w:ascii="Times New Roman" w:hAnsi="Times New Roman" w:eastAsia="宋体"/>
      <w:sz w:val="24"/>
    </w:rPr>
  </w:style>
  <w:style w:type="paragraph" w:customStyle="1" w:styleId="53">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4">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55">
    <w:name w:val="段落"/>
    <w:basedOn w:val="11"/>
    <w:autoRedefine/>
    <w:qFormat/>
    <w:uiPriority w:val="0"/>
    <w:pPr>
      <w:spacing w:line="480" w:lineRule="exact"/>
      <w:ind w:firstLine="578"/>
    </w:pPr>
    <w:rPr>
      <w:sz w:val="28"/>
      <w:szCs w:val="28"/>
    </w:rPr>
  </w:style>
  <w:style w:type="paragraph" w:customStyle="1" w:styleId="56">
    <w:name w:val="段落 Char"/>
    <w:basedOn w:val="11"/>
    <w:autoRedefine/>
    <w:qFormat/>
    <w:uiPriority w:val="0"/>
    <w:pPr>
      <w:spacing w:line="500" w:lineRule="exact"/>
      <w:ind w:firstLine="578"/>
    </w:pPr>
    <w:rPr>
      <w:rFonts w:ascii="Times New Roman" w:hAnsi="Times New Roman" w:cs="Times New Roman"/>
      <w:sz w:val="28"/>
      <w:szCs w:val="28"/>
    </w:rPr>
  </w:style>
  <w:style w:type="paragraph" w:customStyle="1" w:styleId="57">
    <w:name w:val="文字"/>
    <w:basedOn w:val="1"/>
    <w:autoRedefine/>
    <w:qFormat/>
    <w:uiPriority w:val="0"/>
    <w:pPr>
      <w:widowControl/>
      <w:spacing w:afterLines="50" w:line="360" w:lineRule="auto"/>
      <w:ind w:firstLine="420"/>
    </w:pPr>
    <w:rPr>
      <w:kern w:val="0"/>
      <w:sz w:val="24"/>
    </w:rPr>
  </w:style>
  <w:style w:type="character" w:customStyle="1" w:styleId="58">
    <w:name w:val="NormalCharacter"/>
    <w:autoRedefine/>
    <w:qFormat/>
    <w:uiPriority w:val="0"/>
  </w:style>
  <w:style w:type="character" w:customStyle="1" w:styleId="59">
    <w:name w:val="UserStyle_1"/>
    <w:link w:val="60"/>
    <w:autoRedefine/>
    <w:qFormat/>
    <w:locked/>
    <w:uiPriority w:val="0"/>
    <w:rPr>
      <w:rFonts w:ascii="宋体" w:hAnsi="宋体"/>
      <w:sz w:val="28"/>
    </w:rPr>
  </w:style>
  <w:style w:type="paragraph" w:customStyle="1" w:styleId="60">
    <w:name w:val="NormalIndent"/>
    <w:basedOn w:val="1"/>
    <w:link w:val="59"/>
    <w:autoRedefine/>
    <w:qFormat/>
    <w:uiPriority w:val="0"/>
    <w:pPr>
      <w:widowControl/>
      <w:textAlignment w:val="baseline"/>
    </w:pPr>
    <w:rPr>
      <w:rFonts w:ascii="宋体" w:hAnsi="宋体"/>
      <w:kern w:val="0"/>
      <w:sz w:val="28"/>
      <w:szCs w:val="20"/>
    </w:rPr>
  </w:style>
  <w:style w:type="paragraph" w:customStyle="1" w:styleId="61">
    <w:name w:val="Table Paragraph"/>
    <w:basedOn w:val="1"/>
    <w:autoRedefine/>
    <w:qFormat/>
    <w:uiPriority w:val="1"/>
    <w:pPr>
      <w:widowControl/>
      <w:jc w:val="left"/>
    </w:pPr>
    <w:rPr>
      <w:rFonts w:ascii="Calibri" w:hAnsi="Calibri" w:cs="宋体"/>
      <w:kern w:val="0"/>
      <w:sz w:val="22"/>
      <w:szCs w:val="22"/>
    </w:rPr>
  </w:style>
  <w:style w:type="paragraph" w:customStyle="1" w:styleId="62">
    <w:name w:val="TT正文"/>
    <w:basedOn w:val="1"/>
    <w:autoRedefine/>
    <w:qFormat/>
    <w:uiPriority w:val="0"/>
    <w:pPr>
      <w:ind w:firstLine="200" w:firstLineChars="200"/>
    </w:pPr>
    <w:rPr>
      <w:rFonts w:cs="宋体"/>
      <w:color w:val="000000"/>
      <w:sz w:val="24"/>
      <w:szCs w:val="20"/>
    </w:rPr>
  </w:style>
  <w:style w:type="paragraph" w:customStyle="1" w:styleId="63">
    <w:name w:val="表内"/>
    <w:basedOn w:val="1"/>
    <w:autoRedefine/>
    <w:qFormat/>
    <w:uiPriority w:val="99"/>
    <w:pPr>
      <w:framePr w:hSpace="180" w:wrap="around" w:vAnchor="page" w:hAnchor="margin" w:y="1411"/>
      <w:widowControl/>
    </w:pPr>
    <w:rPr>
      <w:rFonts w:ascii="宋体" w:hAnsi="宋体" w:eastAsia="仿宋"/>
      <w:kern w:val="0"/>
      <w:sz w:val="20"/>
      <w:szCs w:val="20"/>
    </w:rPr>
  </w:style>
  <w:style w:type="paragraph" w:customStyle="1" w:styleId="64">
    <w:name w:val="样式1"/>
    <w:basedOn w:val="1"/>
    <w:link w:val="65"/>
    <w:autoRedefine/>
    <w:qFormat/>
    <w:uiPriority w:val="0"/>
    <w:pPr>
      <w:jc w:val="left"/>
    </w:pPr>
    <w:rPr>
      <w:rFonts w:eastAsia="仿宋" w:cs="Times New Roman"/>
      <w:snapToGrid w:val="0"/>
      <w:kern w:val="0"/>
      <w:sz w:val="20"/>
      <w:szCs w:val="20"/>
      <w:shd w:val="clear" w:color="auto" w:fill="FFFFFF"/>
    </w:rPr>
  </w:style>
  <w:style w:type="character" w:customStyle="1" w:styleId="65">
    <w:name w:val="样式1 Char"/>
    <w:link w:val="64"/>
    <w:autoRedefine/>
    <w:qFormat/>
    <w:uiPriority w:val="0"/>
    <w:rPr>
      <w:rFonts w:eastAsia="仿宋" w:cs="Times New Roman"/>
      <w:snapToGrid w:val="0"/>
    </w:rPr>
  </w:style>
  <w:style w:type="paragraph" w:customStyle="1" w:styleId="66">
    <w:name w:val="22磅行间距"/>
    <w:autoRedefine/>
    <w:qFormat/>
    <w:uiPriority w:val="0"/>
    <w:pPr>
      <w:widowControl w:val="0"/>
      <w:adjustRightInd w:val="0"/>
      <w:snapToGrid w:val="0"/>
      <w:spacing w:line="44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7">
    <w:name w:val="鸿达表头"/>
    <w:basedOn w:val="1"/>
    <w:autoRedefine/>
    <w:qFormat/>
    <w:uiPriority w:val="0"/>
    <w:pPr>
      <w:adjustRightInd/>
      <w:snapToGrid/>
      <w:textAlignment w:val="auto"/>
    </w:pPr>
    <w:rPr>
      <w:b/>
      <w:kern w:val="2"/>
      <w:szCs w:val="24"/>
    </w:rPr>
  </w:style>
  <w:style w:type="paragraph" w:customStyle="1" w:styleId="68">
    <w:name w:val="样式36"/>
    <w:autoRedefine/>
    <w:qFormat/>
    <w:uiPriority w:val="0"/>
    <w:pPr>
      <w:autoSpaceDE w:val="0"/>
      <w:autoSpaceDN w:val="0"/>
      <w:adjustRightInd w:val="0"/>
      <w:snapToGrid w:val="0"/>
      <w:spacing w:after="157" w:afterLines="50"/>
      <w:jc w:val="left"/>
    </w:pPr>
    <w:rPr>
      <w:rFonts w:hint="eastAsia" w:ascii="Times New Roman" w:hAnsi="Times New Roman" w:eastAsia="宋体" w:cs="Times New Roman"/>
    </w:rPr>
  </w:style>
  <w:style w:type="paragraph" w:customStyle="1" w:styleId="69">
    <w:name w:val="样式37"/>
    <w:autoRedefine/>
    <w:qFormat/>
    <w:uiPriority w:val="0"/>
    <w:pPr>
      <w:autoSpaceDE w:val="0"/>
      <w:autoSpaceDN w:val="0"/>
      <w:adjustRightInd w:val="0"/>
      <w:snapToGrid w:val="0"/>
      <w:jc w:val="left"/>
    </w:pPr>
    <w:rPr>
      <w:rFonts w:ascii="Times New Roman" w:hAnsi="Times New Roman" w:eastAsia="宋体" w:cs="Times New Roman"/>
      <w:sz w:val="24"/>
    </w:rPr>
  </w:style>
  <w:style w:type="paragraph" w:styleId="70">
    <w:name w:val="List Paragraph"/>
    <w:basedOn w:val="1"/>
    <w:autoRedefine/>
    <w:qFormat/>
    <w:uiPriority w:val="34"/>
    <w:pPr>
      <w:ind w:firstLine="420" w:firstLineChars="200"/>
    </w:pPr>
  </w:style>
  <w:style w:type="paragraph" w:customStyle="1" w:styleId="71">
    <w:name w:val="鸿达表格文字"/>
    <w:basedOn w:val="1"/>
    <w:autoRedefine/>
    <w:qFormat/>
    <w:uiPriority w:val="0"/>
    <w:pPr>
      <w:contextualSpacing/>
      <w:jc w:val="center"/>
    </w:pPr>
    <w:rPr>
      <w:rFonts w:ascii="Times New Roman" w:hAnsi="Times New Roman" w:eastAsia="宋体"/>
      <w:szCs w:val="21"/>
    </w:rPr>
  </w:style>
  <w:style w:type="paragraph" w:customStyle="1" w:styleId="72">
    <w:name w:val="_Style 1"/>
    <w:basedOn w:val="1"/>
    <w:autoRedefine/>
    <w:qFormat/>
    <w:uiPriority w:val="34"/>
    <w:pPr>
      <w:ind w:firstLine="420" w:firstLineChars="200"/>
    </w:pPr>
    <w:rPr>
      <w:rFonts w:ascii="Times New Roman" w:hAnsi="Times New Roman" w:eastAsia="宋体"/>
    </w:rPr>
  </w:style>
  <w:style w:type="paragraph" w:customStyle="1" w:styleId="73">
    <w:name w:val="中文报告书样式"/>
    <w:basedOn w:val="1"/>
    <w:autoRedefine/>
    <w:qFormat/>
    <w:uiPriority w:val="0"/>
    <w:pPr>
      <w:adjustRightInd w:val="0"/>
      <w:spacing w:line="480" w:lineRule="atLeast"/>
      <w:ind w:firstLine="482"/>
      <w:textAlignment w:val="baseline"/>
    </w:pPr>
    <w:rPr>
      <w:rFonts w:cs="宋体"/>
      <w:color w:val="000000"/>
      <w:kern w:val="24"/>
      <w:sz w:val="24"/>
    </w:rPr>
  </w:style>
  <w:style w:type="paragraph" w:customStyle="1" w:styleId="74">
    <w:name w:val="赵正文"/>
    <w:basedOn w:val="1"/>
    <w:autoRedefine/>
    <w:qFormat/>
    <w:uiPriority w:val="0"/>
    <w:pPr>
      <w:spacing w:line="520" w:lineRule="exact"/>
      <w:ind w:firstLine="640" w:firstLineChars="200"/>
    </w:pPr>
    <w:rPr>
      <w:kern w:val="0"/>
      <w:sz w:val="24"/>
    </w:rPr>
  </w:style>
  <w:style w:type="paragraph" w:customStyle="1" w:styleId="75">
    <w:name w:val="正文1"/>
    <w:basedOn w:val="1"/>
    <w:autoRedefine/>
    <w:qFormat/>
    <w:uiPriority w:val="0"/>
    <w:pPr>
      <w:ind w:firstLine="552"/>
    </w:pPr>
    <w:rPr>
      <w:rFonts w:ascii="楷体_GB2312" w:eastAsia="楷体_GB2312"/>
      <w:b/>
    </w:rPr>
  </w:style>
  <w:style w:type="character" w:customStyle="1" w:styleId="76">
    <w:name w:val="font21"/>
    <w:basedOn w:val="25"/>
    <w:autoRedefine/>
    <w:qFormat/>
    <w:uiPriority w:val="0"/>
    <w:rPr>
      <w:rFonts w:hint="default" w:ascii="Times New Roman" w:hAnsi="Times New Roman" w:cs="Times New Roman"/>
      <w:color w:val="000000"/>
      <w:sz w:val="21"/>
      <w:szCs w:val="21"/>
      <w:u w:val="none"/>
    </w:rPr>
  </w:style>
  <w:style w:type="character" w:customStyle="1" w:styleId="77">
    <w:name w:val="font11"/>
    <w:basedOn w:val="25"/>
    <w:autoRedefine/>
    <w:qFormat/>
    <w:uiPriority w:val="0"/>
    <w:rPr>
      <w:rFonts w:hint="eastAsia" w:ascii="宋体" w:hAnsi="宋体" w:eastAsia="宋体" w:cs="宋体"/>
      <w:color w:val="000000"/>
      <w:sz w:val="21"/>
      <w:szCs w:val="21"/>
      <w:u w:val="none"/>
    </w:rPr>
  </w:style>
  <w:style w:type="paragraph" w:customStyle="1" w:styleId="78">
    <w:name w:val="鸿达表加粗"/>
    <w:basedOn w:val="1"/>
    <w:autoRedefine/>
    <w:qFormat/>
    <w:uiPriority w:val="0"/>
    <w:pPr>
      <w:adjustRightInd/>
      <w:snapToGrid/>
      <w:spacing w:line="240" w:lineRule="auto"/>
      <w:ind w:firstLine="0" w:firstLineChars="0"/>
      <w:jc w:val="center"/>
      <w:textAlignment w:val="auto"/>
    </w:pPr>
    <w:rPr>
      <w:rFonts w:cs="宋体"/>
      <w:b/>
      <w:color w:val="000000"/>
      <w:kern w:val="2"/>
      <w:sz w:val="21"/>
    </w:rPr>
  </w:style>
  <w:style w:type="paragraph" w:customStyle="1" w:styleId="79">
    <w:name w:val="表格内容"/>
    <w:basedOn w:val="1"/>
    <w:autoRedefine/>
    <w:qFormat/>
    <w:uiPriority w:val="0"/>
    <w:pPr>
      <w:spacing w:line="400" w:lineRule="atLeast"/>
      <w:jc w:val="center"/>
    </w:pPr>
    <w:rPr>
      <w:rFonts w:hint="eastAsia" w:ascii="Microsoft JhengHei Light" w:hAnsi="Microsoft JhengHei Light" w:eastAsia="Microsoft JhengHei Light"/>
      <w:color w:val="000000"/>
      <w:kern w:val="0"/>
      <w:sz w:val="22"/>
    </w:rPr>
  </w:style>
  <w:style w:type="paragraph" w:customStyle="1" w:styleId="80">
    <w:name w:val="标题 41"/>
    <w:basedOn w:val="1"/>
    <w:autoRedefine/>
    <w:qFormat/>
    <w:uiPriority w:val="0"/>
    <w:pPr>
      <w:autoSpaceDE w:val="0"/>
      <w:autoSpaceDN w:val="0"/>
      <w:spacing w:before="100" w:beforeAutospacing="1" w:after="100" w:afterAutospacing="1" w:line="240" w:lineRule="auto"/>
      <w:ind w:left="228" w:firstLine="0" w:firstLineChars="0"/>
      <w:jc w:val="left"/>
      <w:outlineLvl w:val="4"/>
    </w:pPr>
    <w:rPr>
      <w:rFonts w:ascii="宋体" w:hAnsi="宋体" w:cs="宋体"/>
      <w:b/>
      <w:bCs/>
      <w:kern w:val="0"/>
    </w:rPr>
  </w:style>
  <w:style w:type="paragraph" w:customStyle="1" w:styleId="81">
    <w:name w:val="xl27"/>
    <w:basedOn w:val="1"/>
    <w:autoRedefine/>
    <w:qFormat/>
    <w:uiPriority w:val="0"/>
    <w:pPr>
      <w:widowControl/>
      <w:pBdr>
        <w:bottom w:val="single" w:color="auto" w:sz="12" w:space="0"/>
      </w:pBdr>
      <w:spacing w:before="100" w:beforeLines="0" w:after="100" w:afterLines="0"/>
      <w:jc w:val="center"/>
    </w:pPr>
    <w:rPr>
      <w:rFonts w:ascii="宋体" w:hAnsi="宋体"/>
      <w:kern w:val="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e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10.emf"/><Relationship Id="rId17" Type="http://schemas.openxmlformats.org/officeDocument/2006/relationships/oleObject" Target="embeddings/oleObject1.bin"/><Relationship Id="rId16" Type="http://schemas.openxmlformats.org/officeDocument/2006/relationships/image" Target="media/image9.jpe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83</Pages>
  <Words>29021</Words>
  <Characters>32691</Characters>
  <Lines>1</Lines>
  <Paragraphs>1</Paragraphs>
  <TotalTime>5</TotalTime>
  <ScaleCrop>false</ScaleCrop>
  <LinksUpToDate>false</LinksUpToDate>
  <CharactersWithSpaces>33029</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WPS_1509862140</cp:lastModifiedBy>
  <cp:lastPrinted>2025-01-23T03:02:20Z</cp:lastPrinted>
  <dcterms:modified xsi:type="dcterms:W3CDTF">2025-01-23T03:08:08Z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4E6C31C7996C441EA235257AB5D2A7A5</vt:lpwstr>
  </property>
  <property fmtid="{D5CDD505-2E9C-101B-9397-08002B2CF9AE}" pid="4" name="KSOTemplateDocerSaveRecord">
    <vt:lpwstr>eyJoZGlkIjoiZWZhMmE3Y2ZkMWQ0NzBlOThhODRlMGIzZmZkZGIwNGEiLCJ1c2VySWQiOiIzMjAyNDgwNzEifQ==</vt:lpwstr>
  </property>
</Properties>
</file>