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ED614">
      <w:pPr>
        <w:widowControl/>
        <w:autoSpaceDE w:val="0"/>
        <w:autoSpaceDN w:val="0"/>
        <w:spacing w:before="802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850900</wp:posOffset>
            </wp:positionH>
            <wp:positionV relativeFrom="page">
              <wp:posOffset>1930400</wp:posOffset>
            </wp:positionV>
            <wp:extent cx="5816600" cy="6604000"/>
            <wp:effectExtent l="0" t="0" r="12700" b="635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7C918">
      <w:pPr>
        <w:widowControl/>
        <w:autoSpaceDE w:val="0"/>
        <w:autoSpaceDN w:val="0"/>
        <w:spacing w:before="0" w:after="0" w:line="320" w:lineRule="exact"/>
        <w:ind w:left="2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件</w:t>
      </w:r>
      <w:r>
        <w:rPr>
          <w:rFonts w:hint="eastAsia" w:ascii="仿宋" w:hAnsi="仿宋" w:eastAsia="仿宋" w:cs="仿宋"/>
          <w:color w:val="000000"/>
          <w:sz w:val="32"/>
        </w:rPr>
        <w:t>3</w:t>
      </w:r>
    </w:p>
    <w:p w14:paraId="5D7A4836">
      <w:pPr>
        <w:widowControl/>
        <w:autoSpaceDE w:val="0"/>
        <w:autoSpaceDN w:val="0"/>
        <w:spacing w:before="120" w:after="94" w:line="240" w:lineRule="auto"/>
        <w:ind w:left="684" w:right="0" w:firstLine="0"/>
        <w:jc w:val="left"/>
      </w:pPr>
      <w:r>
        <w:drawing>
          <wp:inline distT="0" distB="0" distL="114300" distR="114300">
            <wp:extent cx="5029200" cy="311785"/>
            <wp:effectExtent l="0" t="0" r="0" b="12065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0"/>
        <w:gridCol w:w="7420"/>
      </w:tblGrid>
      <w:tr w14:paraId="2F3A9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700" w:type="dxa"/>
            <w:tcMar>
              <w:left w:w="0" w:type="dxa"/>
              <w:right w:w="0" w:type="dxa"/>
            </w:tcMar>
          </w:tcPr>
          <w:p w14:paraId="1DD18242">
            <w:pPr>
              <w:widowControl/>
              <w:autoSpaceDE w:val="0"/>
              <w:autoSpaceDN w:val="0"/>
              <w:spacing w:before="60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099D3D71">
            <w:pPr>
              <w:widowControl/>
              <w:autoSpaceDE w:val="0"/>
              <w:autoSpaceDN w:val="0"/>
              <w:spacing w:before="60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</w:t>
            </w: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68A20567">
            <w:pPr>
              <w:widowControl/>
              <w:autoSpaceDE w:val="0"/>
              <w:autoSpaceDN w:val="0"/>
              <w:spacing w:before="230" w:after="0" w:line="240" w:lineRule="exact"/>
              <w:ind w:left="0" w:right="2550" w:firstLine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管理内容及扣分标准</w:t>
            </w:r>
          </w:p>
        </w:tc>
      </w:tr>
      <w:tr w14:paraId="5230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00" w:type="dxa"/>
            <w:tcMar>
              <w:left w:w="0" w:type="dxa"/>
              <w:right w:w="0" w:type="dxa"/>
            </w:tcMar>
          </w:tcPr>
          <w:p w14:paraId="0C59481C">
            <w:pPr>
              <w:widowControl/>
              <w:autoSpaceDE w:val="0"/>
              <w:autoSpaceDN w:val="0"/>
              <w:spacing w:before="66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目标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61ADA181">
            <w:pPr>
              <w:widowControl/>
              <w:autoSpaceDE w:val="0"/>
              <w:autoSpaceDN w:val="0"/>
              <w:spacing w:before="6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3010" w:type="dxa"/>
            <w:vMerge w:val="continue"/>
          </w:tcPr>
          <w:p w14:paraId="76DD2629">
            <w:pPr>
              <w:rPr>
                <w:rFonts w:hint="eastAsia" w:ascii="仿宋" w:hAnsi="仿宋" w:eastAsia="仿宋" w:cs="仿宋"/>
              </w:rPr>
            </w:pPr>
          </w:p>
        </w:tc>
      </w:tr>
      <w:tr w14:paraId="6901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0692AABF">
            <w:pPr>
              <w:widowControl/>
              <w:autoSpaceDE w:val="0"/>
              <w:autoSpaceDN w:val="0"/>
              <w:spacing w:before="1022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116DE038">
            <w:pPr>
              <w:widowControl/>
              <w:autoSpaceDE w:val="0"/>
              <w:autoSpaceDN w:val="0"/>
              <w:spacing w:before="114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62B6E19C">
            <w:pPr>
              <w:widowControl/>
              <w:autoSpaceDE w:val="0"/>
              <w:autoSpaceDN w:val="0"/>
              <w:spacing w:before="270" w:after="0" w:line="240" w:lineRule="exact"/>
              <w:ind w:left="14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不服从工作安排，推诿扯皮，每次扣5分，</w:t>
            </w:r>
          </w:p>
        </w:tc>
      </w:tr>
      <w:tr w14:paraId="43F1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3010" w:type="dxa"/>
            <w:vMerge w:val="continue"/>
          </w:tcPr>
          <w:p w14:paraId="1A4E675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52E5442F">
            <w:pPr>
              <w:widowControl/>
              <w:autoSpaceDE w:val="0"/>
              <w:autoSpaceDN w:val="0"/>
              <w:spacing w:before="3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态度</w:t>
            </w:r>
          </w:p>
        </w:tc>
        <w:tc>
          <w:tcPr>
            <w:tcW w:w="3010" w:type="dxa"/>
            <w:vMerge w:val="continue"/>
          </w:tcPr>
          <w:p w14:paraId="52D671D3">
            <w:pPr>
              <w:rPr>
                <w:rFonts w:hint="eastAsia" w:ascii="仿宋" w:hAnsi="仿宋" w:eastAsia="仿宋" w:cs="仿宋"/>
              </w:rPr>
            </w:pPr>
          </w:p>
        </w:tc>
      </w:tr>
      <w:tr w14:paraId="61FC9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3010" w:type="dxa"/>
            <w:vMerge w:val="continue"/>
          </w:tcPr>
          <w:p w14:paraId="5209908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578E347C">
            <w:pPr>
              <w:widowControl/>
              <w:autoSpaceDE w:val="0"/>
              <w:autoSpaceDN w:val="0"/>
              <w:spacing w:before="40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履行</w:t>
            </w: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20DE8737">
            <w:pPr>
              <w:widowControl/>
              <w:autoSpaceDE w:val="0"/>
              <w:autoSpaceDN w:val="0"/>
              <w:spacing w:before="9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因工作不力，未完成工作任务的每次扣2分。分管的工作出现明显或</w:t>
            </w:r>
          </w:p>
        </w:tc>
      </w:tr>
      <w:tr w14:paraId="33FB5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2F8A1890">
            <w:pPr>
              <w:widowControl/>
              <w:autoSpaceDE w:val="0"/>
              <w:autoSpaceDN w:val="0"/>
              <w:spacing w:before="36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业绩</w:t>
            </w:r>
          </w:p>
        </w:tc>
        <w:tc>
          <w:tcPr>
            <w:tcW w:w="3010" w:type="dxa"/>
            <w:vMerge w:val="continue"/>
          </w:tcPr>
          <w:p w14:paraId="1D93669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1C6C92FF">
            <w:pPr>
              <w:rPr>
                <w:rFonts w:hint="eastAsia" w:ascii="仿宋" w:hAnsi="仿宋" w:eastAsia="仿宋" w:cs="仿宋"/>
              </w:rPr>
            </w:pPr>
          </w:p>
        </w:tc>
      </w:tr>
      <w:tr w14:paraId="7B13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3010" w:type="dxa"/>
            <w:vMerge w:val="continue"/>
          </w:tcPr>
          <w:p w14:paraId="434CBE2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1569A81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2F0CA04D">
            <w:pPr>
              <w:widowControl/>
              <w:autoSpaceDE w:val="0"/>
              <w:autoSpaceDN w:val="0"/>
              <w:spacing w:before="34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较大的差错，每次扣2分，受到上级通报批评、督办、曝光、查究等</w:t>
            </w:r>
          </w:p>
        </w:tc>
      </w:tr>
      <w:tr w14:paraId="40295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010" w:type="dxa"/>
            <w:vMerge w:val="continue"/>
          </w:tcPr>
          <w:p w14:paraId="20EB10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267BC63B">
            <w:pPr>
              <w:widowControl/>
              <w:autoSpaceDE w:val="0"/>
              <w:autoSpaceDN w:val="0"/>
              <w:spacing w:before="38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职责</w:t>
            </w: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5A05494E">
            <w:pPr>
              <w:widowControl/>
              <w:autoSpaceDE w:val="0"/>
              <w:autoSpaceDN w:val="0"/>
              <w:spacing w:before="38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工作，主要负责人及相关责任人每次扣10分。对基层反映问题未及时</w:t>
            </w:r>
          </w:p>
        </w:tc>
      </w:tr>
    </w:tbl>
    <w:p w14:paraId="2C21C1AC">
      <w:pPr>
        <w:widowControl/>
        <w:autoSpaceDE w:val="0"/>
        <w:autoSpaceDN w:val="0"/>
        <w:spacing w:before="36" w:after="0" w:line="240" w:lineRule="exact"/>
        <w:ind w:left="164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有效处理、未按规定处理或存在明显工作失误的视情况扣1-2分。</w:t>
      </w:r>
    </w:p>
    <w:p w14:paraId="425CA5FA">
      <w:pPr>
        <w:widowControl/>
        <w:autoSpaceDE w:val="0"/>
        <w:autoSpaceDN w:val="0"/>
        <w:spacing w:before="520" w:after="318" w:line="240" w:lineRule="exact"/>
        <w:ind w:left="164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迟到、早退，每人次扣2分。超过30分钟的，每人次扣4分。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0"/>
        <w:gridCol w:w="7420"/>
      </w:tblGrid>
      <w:tr w14:paraId="6C0A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2494DD41">
            <w:pPr>
              <w:widowControl/>
              <w:autoSpaceDE w:val="0"/>
              <w:autoSpaceDN w:val="0"/>
              <w:spacing w:before="488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4D1BE951">
            <w:pPr>
              <w:widowControl/>
              <w:autoSpaceDE w:val="0"/>
              <w:autoSpaceDN w:val="0"/>
              <w:spacing w:before="17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执行</w:t>
            </w: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528C83F1">
            <w:pPr>
              <w:widowControl/>
              <w:autoSpaceDE w:val="0"/>
              <w:autoSpaceDN w:val="0"/>
              <w:spacing w:before="60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旷工的，每次扣10分；按时上下班，但无故未考勤且未及时说明未考</w:t>
            </w:r>
          </w:p>
        </w:tc>
      </w:tr>
      <w:tr w14:paraId="4436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exact"/>
        </w:trPr>
        <w:tc>
          <w:tcPr>
            <w:tcW w:w="3010" w:type="dxa"/>
            <w:vMerge w:val="continue"/>
          </w:tcPr>
          <w:p w14:paraId="08C8C14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4CF3B32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39C9B8B9">
            <w:pPr>
              <w:widowControl/>
              <w:autoSpaceDE w:val="0"/>
              <w:autoSpaceDN w:val="0"/>
              <w:spacing w:before="38" w:after="0" w:line="240" w:lineRule="exact"/>
              <w:ind w:left="14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勤请销原因的，每次扣2分。</w:t>
            </w:r>
          </w:p>
        </w:tc>
      </w:tr>
      <w:tr w14:paraId="2A9B5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10" w:type="dxa"/>
            <w:vMerge w:val="continue"/>
          </w:tcPr>
          <w:p w14:paraId="26E9B83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0E28163D"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请销</w:t>
            </w:r>
          </w:p>
        </w:tc>
        <w:tc>
          <w:tcPr>
            <w:tcW w:w="3010" w:type="dxa"/>
            <w:vMerge w:val="continue"/>
          </w:tcPr>
          <w:p w14:paraId="70F8F22A">
            <w:pPr>
              <w:rPr>
                <w:rFonts w:hint="eastAsia" w:ascii="仿宋" w:hAnsi="仿宋" w:eastAsia="仿宋" w:cs="仿宋"/>
              </w:rPr>
            </w:pPr>
          </w:p>
        </w:tc>
      </w:tr>
      <w:tr w14:paraId="7A5CC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7809BC8F">
            <w:pPr>
              <w:widowControl/>
              <w:autoSpaceDE w:val="0"/>
              <w:autoSpaceDN w:val="0"/>
              <w:spacing w:before="24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纪律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3B96FCC8">
            <w:pPr>
              <w:widowControl/>
              <w:autoSpaceDE w:val="0"/>
              <w:autoSpaceDN w:val="0"/>
              <w:spacing w:before="24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假制</w:t>
            </w: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3132C42B">
            <w:pPr>
              <w:widowControl/>
              <w:autoSpaceDE w:val="0"/>
              <w:autoSpaceDN w:val="0"/>
              <w:spacing w:before="17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请假每天扣5分（半天扣2.5分</w:t>
            </w:r>
            <w:r>
              <w:rPr>
                <w:rFonts w:hint="eastAsia" w:ascii="仿宋" w:hAnsi="仿宋" w:eastAsia="仿宋" w:cs="仿宋"/>
                <w:color w:val="000000"/>
                <w:spacing w:val="-12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，未请假擅离岗位的，视为旷工；因</w:t>
            </w:r>
          </w:p>
        </w:tc>
      </w:tr>
      <w:tr w14:paraId="0542D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3010" w:type="dxa"/>
            <w:vMerge w:val="continue"/>
          </w:tcPr>
          <w:p w14:paraId="043BC35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636CA813">
            <w:pPr>
              <w:widowControl/>
              <w:autoSpaceDE w:val="0"/>
              <w:autoSpaceDN w:val="0"/>
              <w:spacing w:before="3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度</w:t>
            </w:r>
          </w:p>
        </w:tc>
        <w:tc>
          <w:tcPr>
            <w:tcW w:w="3010" w:type="dxa"/>
            <w:vMerge w:val="continue"/>
          </w:tcPr>
          <w:p w14:paraId="1646C7B2">
            <w:pPr>
              <w:rPr>
                <w:rFonts w:hint="eastAsia" w:ascii="仿宋" w:hAnsi="仿宋" w:eastAsia="仿宋" w:cs="仿宋"/>
              </w:rPr>
            </w:pPr>
          </w:p>
        </w:tc>
      </w:tr>
      <w:tr w14:paraId="0F98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010" w:type="dxa"/>
            <w:vMerge w:val="continue"/>
          </w:tcPr>
          <w:p w14:paraId="3EA205A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7BD2B7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45A85C5E">
            <w:pPr>
              <w:widowControl/>
              <w:autoSpaceDE w:val="0"/>
              <w:autoSpaceDN w:val="0"/>
              <w:spacing w:before="48" w:after="0" w:line="240" w:lineRule="exact"/>
              <w:ind w:left="14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公请假外出，认真填写外出申请单，请假单未按要求交办公室备案</w:t>
            </w:r>
          </w:p>
        </w:tc>
      </w:tr>
    </w:tbl>
    <w:p w14:paraId="13990EB6">
      <w:pPr>
        <w:widowControl/>
        <w:autoSpaceDE w:val="0"/>
        <w:autoSpaceDN w:val="0"/>
        <w:spacing w:before="36" w:after="0" w:line="240" w:lineRule="exact"/>
        <w:ind w:left="164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的，视为旷工。正常调休需注明调休事由、日期，按程序报批不扣分</w:t>
      </w:r>
    </w:p>
    <w:p w14:paraId="28162890">
      <w:pPr>
        <w:widowControl/>
        <w:autoSpaceDE w:val="0"/>
        <w:autoSpaceDN w:val="0"/>
        <w:spacing w:before="72" w:after="384" w:line="240" w:lineRule="exact"/>
        <w:ind w:left="164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（注意签到</w:t>
      </w:r>
      <w:r>
        <w:rPr>
          <w:rFonts w:hint="eastAsia" w:ascii="仿宋" w:hAnsi="仿宋" w:eastAsia="仿宋" w:cs="仿宋"/>
          <w:color w:val="000000"/>
          <w:spacing w:val="-120"/>
          <w:sz w:val="24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0"/>
        <w:gridCol w:w="7420"/>
      </w:tblGrid>
      <w:tr w14:paraId="2DFD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0E9C5FD8">
            <w:pPr>
              <w:widowControl/>
              <w:autoSpaceDE w:val="0"/>
              <w:autoSpaceDN w:val="0"/>
              <w:spacing w:before="1202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奖惩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783936D8">
            <w:pPr>
              <w:widowControl/>
              <w:autoSpaceDE w:val="0"/>
              <w:autoSpaceDN w:val="0"/>
              <w:spacing w:before="21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获奖</w:t>
            </w: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732B5F9B">
            <w:pPr>
              <w:widowControl/>
              <w:autoSpaceDE w:val="0"/>
              <w:autoSpaceDN w:val="0"/>
              <w:spacing w:before="60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县委、县政府确定的全县综合性工作获得省、市表彰的，或排序进入</w:t>
            </w:r>
          </w:p>
        </w:tc>
      </w:tr>
      <w:tr w14:paraId="22A33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3010" w:type="dxa"/>
            <w:vMerge w:val="continue"/>
          </w:tcPr>
          <w:p w14:paraId="0A2CB3F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55DA592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7158675D">
            <w:pPr>
              <w:widowControl/>
              <w:autoSpaceDE w:val="0"/>
              <w:autoSpaceDN w:val="0"/>
              <w:spacing w:before="4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第一获奖奖励梯队的，参与工作人员奖励（省100分、市50分</w:t>
            </w:r>
            <w:r>
              <w:rPr>
                <w:rFonts w:hint="eastAsia" w:ascii="仿宋" w:hAnsi="仿宋" w:eastAsia="仿宋" w:cs="仿宋"/>
                <w:color w:val="000000"/>
                <w:spacing w:val="-120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，奖励</w:t>
            </w:r>
          </w:p>
        </w:tc>
      </w:tr>
      <w:tr w14:paraId="4C60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3010" w:type="dxa"/>
            <w:vMerge w:val="continue"/>
          </w:tcPr>
          <w:p w14:paraId="5C3E07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3985B907">
            <w:pPr>
              <w:widowControl/>
              <w:autoSpaceDE w:val="0"/>
              <w:autoSpaceDN w:val="0"/>
              <w:spacing w:before="42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奖励</w:t>
            </w:r>
          </w:p>
        </w:tc>
        <w:tc>
          <w:tcPr>
            <w:tcW w:w="3010" w:type="dxa"/>
            <w:vMerge w:val="continue"/>
          </w:tcPr>
          <w:p w14:paraId="3FE57295">
            <w:pPr>
              <w:rPr>
                <w:rFonts w:hint="eastAsia" w:ascii="仿宋" w:hAnsi="仿宋" w:eastAsia="仿宋" w:cs="仿宋"/>
              </w:rPr>
            </w:pPr>
          </w:p>
        </w:tc>
      </w:tr>
      <w:tr w14:paraId="0745F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3010" w:type="dxa"/>
            <w:vMerge w:val="continue"/>
          </w:tcPr>
          <w:p w14:paraId="5C2A9F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6B9E72B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1EA73638">
            <w:pPr>
              <w:widowControl/>
              <w:autoSpaceDE w:val="0"/>
              <w:autoSpaceDN w:val="0"/>
              <w:spacing w:before="34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不重复计算。业务工作受省、市表彰的，省级加50分，市级加20分。</w:t>
            </w:r>
          </w:p>
        </w:tc>
      </w:tr>
      <w:tr w14:paraId="371C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010" w:type="dxa"/>
            <w:vMerge w:val="continue"/>
          </w:tcPr>
          <w:p w14:paraId="193E50F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31DE75FA">
            <w:pPr>
              <w:widowControl/>
              <w:autoSpaceDE w:val="0"/>
              <w:autoSpaceDN w:val="0"/>
              <w:spacing w:before="290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信息</w:t>
            </w: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61DF84CF">
            <w:pPr>
              <w:widowControl/>
              <w:autoSpaceDE w:val="0"/>
              <w:autoSpaceDN w:val="0"/>
              <w:spacing w:before="446" w:after="0" w:line="240" w:lineRule="exact"/>
              <w:ind w:left="14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按信息宣传管理办法（试行）执行。</w:t>
            </w:r>
          </w:p>
        </w:tc>
      </w:tr>
      <w:tr w14:paraId="5D0F1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592E3DDC">
            <w:pPr>
              <w:widowControl/>
              <w:autoSpaceDE w:val="0"/>
              <w:autoSpaceDN w:val="0"/>
              <w:spacing w:before="36" w:after="0" w:line="240" w:lineRule="exact"/>
              <w:ind w:left="5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情况</w:t>
            </w:r>
          </w:p>
        </w:tc>
        <w:tc>
          <w:tcPr>
            <w:tcW w:w="3010" w:type="dxa"/>
            <w:vMerge w:val="continue"/>
          </w:tcPr>
          <w:p w14:paraId="26BB10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2E1C02C4">
            <w:pPr>
              <w:rPr>
                <w:rFonts w:hint="eastAsia" w:ascii="仿宋" w:hAnsi="仿宋" w:eastAsia="仿宋" w:cs="仿宋"/>
              </w:rPr>
            </w:pPr>
          </w:p>
        </w:tc>
      </w:tr>
      <w:tr w14:paraId="3F15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010" w:type="dxa"/>
            <w:vMerge w:val="continue"/>
          </w:tcPr>
          <w:p w14:paraId="535685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48E2265C">
            <w:pPr>
              <w:widowControl/>
              <w:autoSpaceDE w:val="0"/>
              <w:autoSpaceDN w:val="0"/>
              <w:spacing w:before="42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上报</w:t>
            </w:r>
          </w:p>
        </w:tc>
        <w:tc>
          <w:tcPr>
            <w:tcW w:w="3010" w:type="dxa"/>
            <w:vMerge w:val="continue"/>
          </w:tcPr>
          <w:p w14:paraId="7DDB2DC9">
            <w:pPr>
              <w:rPr>
                <w:rFonts w:hint="eastAsia" w:ascii="仿宋" w:hAnsi="仿宋" w:eastAsia="仿宋" w:cs="仿宋"/>
              </w:rPr>
            </w:pPr>
          </w:p>
        </w:tc>
      </w:tr>
      <w:tr w14:paraId="13363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010" w:type="dxa"/>
            <w:vMerge w:val="continue"/>
          </w:tcPr>
          <w:p w14:paraId="0C008D9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03EBB670">
            <w:pPr>
              <w:widowControl/>
              <w:autoSpaceDE w:val="0"/>
              <w:autoSpaceDN w:val="0"/>
              <w:spacing w:before="378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延时</w:t>
            </w: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7F4B050B">
            <w:pPr>
              <w:widowControl/>
              <w:autoSpaceDE w:val="0"/>
              <w:autoSpaceDN w:val="0"/>
              <w:spacing w:before="222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尽量控制加班次数，确需加班的，需经过领导同意。参加单位组织的</w:t>
            </w:r>
          </w:p>
        </w:tc>
      </w:tr>
      <w:tr w14:paraId="7046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3010" w:type="dxa"/>
            <w:vMerge w:val="continue"/>
          </w:tcPr>
          <w:p w14:paraId="695C960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016E5F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vMerge w:val="restart"/>
            <w:tcMar>
              <w:left w:w="0" w:type="dxa"/>
              <w:right w:w="0" w:type="dxa"/>
            </w:tcMar>
          </w:tcPr>
          <w:p w14:paraId="57CA91DE"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加班，视加班时间长短，工作任务繁简每人每次加1-3分，延时工作</w:t>
            </w:r>
          </w:p>
        </w:tc>
      </w:tr>
      <w:tr w14:paraId="5833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3010" w:type="dxa"/>
            <w:vMerge w:val="continue"/>
          </w:tcPr>
          <w:p w14:paraId="6E966E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19A2C97A">
            <w:pPr>
              <w:widowControl/>
              <w:autoSpaceDE w:val="0"/>
              <w:autoSpaceDN w:val="0"/>
              <w:spacing w:before="48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</w:tc>
        <w:tc>
          <w:tcPr>
            <w:tcW w:w="3010" w:type="dxa"/>
            <w:vMerge w:val="continue"/>
          </w:tcPr>
          <w:p w14:paraId="0AEC9F60">
            <w:pPr>
              <w:rPr>
                <w:rFonts w:hint="eastAsia" w:ascii="仿宋" w:hAnsi="仿宋" w:eastAsia="仿宋" w:cs="仿宋"/>
              </w:rPr>
            </w:pPr>
          </w:p>
        </w:tc>
      </w:tr>
      <w:tr w14:paraId="102F8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3010" w:type="dxa"/>
            <w:vMerge w:val="continue"/>
          </w:tcPr>
          <w:p w14:paraId="7895938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0" w:type="dxa"/>
            <w:vMerge w:val="continue"/>
          </w:tcPr>
          <w:p w14:paraId="05649EC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420" w:type="dxa"/>
            <w:tcMar>
              <w:left w:w="0" w:type="dxa"/>
              <w:right w:w="0" w:type="dxa"/>
            </w:tcMar>
          </w:tcPr>
          <w:p w14:paraId="4A867BB0">
            <w:pPr>
              <w:widowControl/>
              <w:autoSpaceDE w:val="0"/>
              <w:autoSpaceDN w:val="0"/>
              <w:spacing w:before="44" w:after="0" w:line="240" w:lineRule="exact"/>
              <w:ind w:left="14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与调休不重复计算。</w:t>
            </w:r>
          </w:p>
        </w:tc>
      </w:tr>
    </w:tbl>
    <w:p w14:paraId="47FE410D">
      <w:pPr>
        <w:widowControl/>
        <w:autoSpaceDE w:val="0"/>
        <w:autoSpaceDN w:val="0"/>
        <w:spacing w:before="254" w:after="0" w:line="240" w:lineRule="exact"/>
        <w:ind w:left="2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合计</w:t>
      </w:r>
    </w:p>
    <w:p w14:paraId="035F1653">
      <w:pPr>
        <w:widowControl/>
        <w:autoSpaceDE w:val="0"/>
        <w:autoSpaceDN w:val="0"/>
        <w:spacing w:before="2098" w:after="0" w:line="246" w:lineRule="exact"/>
        <w:ind w:left="0" w:right="4252" w:firstLine="0"/>
        <w:jc w:val="right"/>
        <w:rPr>
          <w:rFonts w:hint="eastAsia" w:ascii="仿宋" w:hAnsi="仿宋" w:eastAsia="仿宋" w:cs="仿宋"/>
        </w:rPr>
      </w:pPr>
    </w:p>
    <w:sectPr>
      <w:type w:val="continuous"/>
      <w:pgSz w:w="11910" w:h="17240"/>
      <w:pgMar w:top="1020" w:right="1440" w:bottom="620" w:left="1440" w:header="720" w:footer="720" w:gutter="0"/>
      <w:cols w:equalWidth="0" w:num="1">
        <w:col w:w="903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M9RMeqq+FangSong">
    <w:altName w:val="MV Boli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VRFGMvEb+SimHei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jAyMmY2MjBkMzU1M2E0NTI5NTM4ODU5N2U2ND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1E1C03"/>
    <w:rsid w:val="14C955E0"/>
    <w:rsid w:val="41643AD4"/>
    <w:rsid w:val="4D1050E2"/>
    <w:rsid w:val="5E9B5562"/>
    <w:rsid w:val="78B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552</Characters>
  <Lines>0</Lines>
  <Paragraphs>0</Paragraphs>
  <TotalTime>7</TotalTime>
  <ScaleCrop>false</ScaleCrop>
  <LinksUpToDate>false</LinksUpToDate>
  <CharactersWithSpaces>552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WPS_1515079879</cp:lastModifiedBy>
  <dcterms:modified xsi:type="dcterms:W3CDTF">2024-12-20T03:17:10Z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77C07468E0E145969E104F8B735B2EDF_13</vt:lpwstr>
  </property>
</Properties>
</file>